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F1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autoSpaceDE w:val="0"/>
        <w:autoSpaceDN/>
        <w:bidi w:val="0"/>
        <w:adjustRightInd/>
        <w:snapToGrid/>
        <w:spacing w:before="0" w:beforeAutospacing="0" w:afterAutospacing="0" w:line="560" w:lineRule="exact"/>
        <w:ind w:right="0" w:rightChars="0"/>
        <w:jc w:val="left"/>
        <w:textAlignment w:val="auto"/>
        <w:rPr>
          <w:rFonts w:hint="default" w:ascii="黑体" w:hAnsi="黑体" w:eastAsia="黑体" w:cs="黑体"/>
          <w:color w:val="000000"/>
          <w:sz w:val="28"/>
          <w:szCs w:val="28"/>
          <w:highlight w:val="none"/>
          <w:lang w:val="en-US" w:eastAsia="zh-CN"/>
        </w:rPr>
      </w:pPr>
      <w:r>
        <w:rPr>
          <w:rFonts w:hint="eastAsia" w:ascii="黑体" w:hAnsi="黑体" w:eastAsia="黑体" w:cs="黑体"/>
          <w:color w:val="000000"/>
          <w:sz w:val="28"/>
          <w:szCs w:val="28"/>
          <w:highlight w:val="none"/>
          <w:lang w:val="en-US" w:eastAsia="zh-CN"/>
        </w:rPr>
        <w:t>附件6</w:t>
      </w:r>
    </w:p>
    <w:p w14:paraId="375729E4">
      <w:pPr>
        <w:spacing w:line="20" w:lineRule="exact"/>
        <w:jc w:val="center"/>
        <w:rPr>
          <w:rFonts w:hint="eastAsia" w:ascii="黑体" w:hAnsi="黑体" w:eastAsia="黑体"/>
          <w:sz w:val="32"/>
          <w:szCs w:val="32"/>
          <w:highlight w:val="none"/>
        </w:rPr>
      </w:pPr>
    </w:p>
    <w:p w14:paraId="423DF6A9">
      <w:pPr>
        <w:spacing w:line="20" w:lineRule="exact"/>
        <w:jc w:val="center"/>
        <w:rPr>
          <w:rFonts w:hint="eastAsia" w:ascii="黑体" w:hAnsi="黑体" w:eastAsia="黑体"/>
          <w:sz w:val="32"/>
          <w:szCs w:val="32"/>
          <w:highlight w:val="none"/>
        </w:rPr>
      </w:pPr>
    </w:p>
    <w:p w14:paraId="27F5EFF1">
      <w:pPr>
        <w:pStyle w:val="4"/>
        <w:keepNext w:val="0"/>
        <w:keepLines w:val="0"/>
        <w:pageBreakBefore w:val="0"/>
        <w:widowControl/>
        <w:kinsoku/>
        <w:wordWrap/>
        <w:overflowPunct/>
        <w:topLinePunct w:val="0"/>
        <w:autoSpaceDE/>
        <w:autoSpaceDN/>
        <w:bidi w:val="0"/>
        <w:adjustRightInd/>
        <w:snapToGrid/>
        <w:spacing w:before="0" w:after="0" w:line="560" w:lineRule="exact"/>
        <w:textAlignment w:val="auto"/>
        <w:rPr>
          <w:rFonts w:hint="eastAsia" w:ascii="方正小标宋_GBK" w:hAnsi="方正小标宋_GBK" w:eastAsia="方正小标宋_GBK" w:cs="方正小标宋_GBK"/>
          <w:sz w:val="44"/>
          <w:szCs w:val="44"/>
          <w:highlight w:val="none"/>
        </w:rPr>
      </w:pPr>
      <w:bookmarkStart w:id="0" w:name="NEW_STAND_NAME"/>
      <w:r>
        <w:rPr>
          <w:rFonts w:hint="eastAsia" w:ascii="方正小标宋_GBK" w:hAnsi="方正小标宋_GBK" w:eastAsia="方正小标宋_GBK" w:cs="方正小标宋_GBK"/>
          <w:sz w:val="44"/>
          <w:szCs w:val="44"/>
          <w:highlight w:val="none"/>
        </w:rPr>
        <w:t>农作物秸秆标准化收储网点建设规范</w:t>
      </w:r>
    </w:p>
    <w:bookmarkEnd w:id="0"/>
    <w:p w14:paraId="72AA1A09">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1" w:name="_Toc24884211"/>
      <w:bookmarkStart w:id="2" w:name="_Toc17233333"/>
      <w:bookmarkStart w:id="3" w:name="_Toc26648465"/>
      <w:bookmarkStart w:id="4" w:name="_Toc26718930"/>
      <w:bookmarkStart w:id="5" w:name="_Toc26986530"/>
      <w:bookmarkStart w:id="6" w:name="_Toc231551811"/>
      <w:bookmarkStart w:id="7" w:name="_Toc17233325"/>
      <w:bookmarkStart w:id="8" w:name="_Toc24884218"/>
      <w:bookmarkStart w:id="9" w:name="_Toc97192964"/>
      <w:bookmarkStart w:id="10" w:name="_Toc26986771"/>
      <w:r>
        <w:rPr>
          <w:rFonts w:hint="eastAsia" w:ascii="黑体" w:hAnsi="Times New Roman" w:eastAsia="黑体" w:cs="Times New Roman"/>
          <w:b w:val="0"/>
          <w:i w:val="0"/>
          <w:sz w:val="32"/>
          <w:szCs w:val="32"/>
          <w:highlight w:val="none"/>
          <w:lang w:val="en-US" w:eastAsia="zh-CN" w:bidi="ar-SA"/>
        </w:rPr>
        <w:t>1　</w:t>
      </w:r>
      <w:r>
        <w:rPr>
          <w:rFonts w:hint="eastAsia"/>
          <w:sz w:val="32"/>
          <w:szCs w:val="32"/>
          <w:highlight w:val="none"/>
        </w:rPr>
        <w:t>范围</w:t>
      </w:r>
      <w:bookmarkEnd w:id="1"/>
      <w:bookmarkEnd w:id="2"/>
      <w:bookmarkEnd w:id="3"/>
      <w:bookmarkEnd w:id="4"/>
      <w:bookmarkEnd w:id="5"/>
      <w:bookmarkEnd w:id="6"/>
      <w:bookmarkEnd w:id="7"/>
      <w:bookmarkEnd w:id="8"/>
      <w:bookmarkEnd w:id="9"/>
      <w:bookmarkEnd w:id="10"/>
    </w:p>
    <w:p w14:paraId="3CD97811">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bookmarkStart w:id="11" w:name="_Toc26648466"/>
      <w:bookmarkStart w:id="12" w:name="_Toc24884212"/>
      <w:bookmarkStart w:id="13" w:name="_Toc17233334"/>
      <w:bookmarkStart w:id="14" w:name="_Toc24884219"/>
      <w:bookmarkStart w:id="15" w:name="_Toc17233326"/>
      <w:r>
        <w:rPr>
          <w:rFonts w:hint="eastAsia" w:ascii="仿宋_GB2312" w:hAnsi="仿宋_GB2312" w:eastAsia="仿宋_GB2312" w:cs="仿宋_GB2312"/>
          <w:sz w:val="32"/>
          <w:szCs w:val="32"/>
          <w:highlight w:val="none"/>
        </w:rPr>
        <w:t>本文件规定了农作物秸秆标准化收储点（以下简称“收储点”）建设的规划与选址、建设内容、配套设施设备、网点管理、消防与安全和档案管理。</w:t>
      </w:r>
    </w:p>
    <w:p w14:paraId="41750F4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本文件适用于主要农作物秸秆的标准化收储网点的新建和改（扩）建工作。</w:t>
      </w:r>
    </w:p>
    <w:p w14:paraId="39C45B7F">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16" w:name="_Toc97192965"/>
      <w:bookmarkStart w:id="17" w:name="_Toc231551812"/>
      <w:bookmarkStart w:id="18" w:name="_Toc26718931"/>
      <w:bookmarkStart w:id="19" w:name="_Toc26986772"/>
      <w:bookmarkStart w:id="20" w:name="_Toc26986531"/>
      <w:r>
        <w:rPr>
          <w:rFonts w:hint="eastAsia" w:ascii="黑体" w:hAnsi="Times New Roman" w:eastAsia="黑体" w:cs="Times New Roman"/>
          <w:b w:val="0"/>
          <w:i w:val="0"/>
          <w:sz w:val="32"/>
          <w:szCs w:val="32"/>
          <w:highlight w:val="none"/>
          <w:lang w:val="en-US" w:eastAsia="zh-CN" w:bidi="ar-SA"/>
        </w:rPr>
        <w:t>2　</w:t>
      </w:r>
      <w:r>
        <w:rPr>
          <w:rFonts w:hint="eastAsia"/>
          <w:sz w:val="32"/>
          <w:szCs w:val="32"/>
          <w:highlight w:val="none"/>
        </w:rPr>
        <w:t>规范性引用文件</w:t>
      </w:r>
      <w:bookmarkEnd w:id="11"/>
      <w:bookmarkEnd w:id="12"/>
      <w:bookmarkEnd w:id="13"/>
      <w:bookmarkEnd w:id="14"/>
      <w:bookmarkEnd w:id="15"/>
      <w:bookmarkEnd w:id="16"/>
      <w:bookmarkEnd w:id="17"/>
      <w:bookmarkEnd w:id="18"/>
      <w:bookmarkEnd w:id="19"/>
      <w:bookmarkEnd w:id="20"/>
    </w:p>
    <w:p w14:paraId="3606BD06">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01F4D6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 13495.1 消防安全标志 第1部分：标志</w:t>
      </w:r>
    </w:p>
    <w:p w14:paraId="778B6979">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 15630 消防安全标志设置要求</w:t>
      </w:r>
    </w:p>
    <w:p w14:paraId="3D642A53">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GB/T 42118 秸秆收储运体系建设规范</w:t>
      </w:r>
    </w:p>
    <w:p w14:paraId="5CF66CEA">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GB/T 36867 粮食钢罩棚设计规范</w:t>
      </w:r>
    </w:p>
    <w:p w14:paraId="6CA64DE8">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 50016 建筑设计防火规范</w:t>
      </w:r>
    </w:p>
    <w:p w14:paraId="0FCDC7E9">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 50017 钢结构设计标准</w:t>
      </w:r>
    </w:p>
    <w:p w14:paraId="64983138">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 50052 供配电系统设计规范</w:t>
      </w:r>
    </w:p>
    <w:p w14:paraId="131B3E63">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 50057 建筑物防雷设计规范</w:t>
      </w:r>
    </w:p>
    <w:p w14:paraId="14D1519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GB 51249 建筑钢结构防火技术规范</w:t>
      </w:r>
    </w:p>
    <w:p w14:paraId="28507E9A">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sz w:val="32"/>
          <w:szCs w:val="32"/>
          <w:highlight w:val="none"/>
        </w:rPr>
      </w:pPr>
      <w:r>
        <w:rPr>
          <w:rFonts w:hint="eastAsia" w:ascii="仿宋_GB2312" w:hAnsi="仿宋_GB2312" w:eastAsia="仿宋_GB2312" w:cs="仿宋_GB2312"/>
          <w:sz w:val="32"/>
          <w:szCs w:val="32"/>
          <w:highlight w:val="none"/>
        </w:rPr>
        <w:t>DB 43/T 2824 农作物秸秆收储运技术规范</w:t>
      </w:r>
    </w:p>
    <w:p w14:paraId="5AC017E6">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21" w:name="_Toc231551813"/>
      <w:bookmarkStart w:id="22" w:name="_Toc97192966"/>
      <w:r>
        <w:rPr>
          <w:rFonts w:hint="eastAsia" w:ascii="黑体" w:hAnsi="Times New Roman" w:eastAsia="黑体" w:cs="Times New Roman"/>
          <w:b w:val="0"/>
          <w:i w:val="0"/>
          <w:sz w:val="32"/>
          <w:szCs w:val="32"/>
          <w:highlight w:val="none"/>
          <w:lang w:val="en-US" w:eastAsia="zh-CN" w:bidi="ar-SA"/>
        </w:rPr>
        <w:t>3　</w:t>
      </w:r>
      <w:r>
        <w:rPr>
          <w:rFonts w:hint="eastAsia"/>
          <w:sz w:val="32"/>
          <w:szCs w:val="32"/>
          <w:highlight w:val="none"/>
        </w:rPr>
        <w:t>术语和定义</w:t>
      </w:r>
      <w:bookmarkEnd w:id="21"/>
      <w:bookmarkEnd w:id="22"/>
    </w:p>
    <w:p w14:paraId="22270C20">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bookmarkStart w:id="23" w:name="_Toc26986532"/>
      <w:bookmarkEnd w:id="23"/>
      <w:r>
        <w:rPr>
          <w:rFonts w:hint="eastAsia" w:ascii="仿宋_GB2312" w:hAnsi="仿宋_GB2312" w:eastAsia="仿宋_GB2312" w:cs="仿宋_GB2312"/>
          <w:sz w:val="32"/>
          <w:szCs w:val="32"/>
          <w:highlight w:val="none"/>
        </w:rPr>
        <w:t>下列术语和定义适用于本文件。</w:t>
      </w:r>
    </w:p>
    <w:p w14:paraId="70F64A75">
      <w:pPr>
        <w:pStyle w:val="7"/>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640" w:leftChars="0" w:hanging="640" w:hangingChars="200"/>
        <w:textAlignment w:val="auto"/>
        <w:rPr>
          <w:rFonts w:hint="eastAsia" w:ascii="黑体" w:hAnsi="黑体" w:eastAsia="黑体"/>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3.1　</w:t>
      </w:r>
      <w:r>
        <w:rPr>
          <w:rFonts w:hint="eastAsia" w:ascii="黑体" w:hAnsi="黑体" w:eastAsia="黑体"/>
          <w:sz w:val="32"/>
          <w:szCs w:val="32"/>
          <w:highlight w:val="none"/>
        </w:rPr>
        <w:t>农作物秸秆 crop straw</w:t>
      </w:r>
    </w:p>
    <w:p w14:paraId="75251A9B">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指农业生产过程中产生的水稻、玉米、油菜等作物的茎、叶、穗等残余物。</w:t>
      </w:r>
    </w:p>
    <w:p w14:paraId="5CA31084">
      <w:pPr>
        <w:pStyle w:val="7"/>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640" w:leftChars="0" w:hanging="640" w:hangingChars="200"/>
        <w:textAlignment w:val="auto"/>
        <w:rPr>
          <w:rFonts w:hint="eastAsia" w:ascii="黑体" w:hAnsi="黑体" w:eastAsia="黑体"/>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3.2　</w:t>
      </w:r>
      <w:r>
        <w:rPr>
          <w:rFonts w:hint="eastAsia" w:ascii="黑体" w:hAnsi="黑体" w:eastAsia="黑体"/>
          <w:sz w:val="32"/>
          <w:szCs w:val="32"/>
          <w:highlight w:val="none"/>
        </w:rPr>
        <w:t>标准化收储网点 standardized straw collection and storage network outlets</w:t>
      </w:r>
    </w:p>
    <w:p w14:paraId="3F68989F">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具备固定场所和相应设施设备，用于农作物秸秆的收集、储存、转运，并满足安全生产、环境保护要求的场所。其建设、运营和管理包括：临时堆场、临时收储点、一般收储点、收储中心。</w:t>
      </w:r>
    </w:p>
    <w:p w14:paraId="32072BDA">
      <w:pPr>
        <w:pStyle w:val="10"/>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640" w:leftChars="0" w:hanging="640" w:hangingChars="200"/>
        <w:textAlignment w:val="auto"/>
        <w:rPr>
          <w:rFonts w:hint="eastAsia" w:ascii="黑体" w:hAnsi="黑体" w:eastAsia="黑体"/>
          <w:sz w:val="32"/>
          <w:szCs w:val="32"/>
          <w:highlight w:val="none"/>
        </w:rPr>
      </w:pPr>
      <w:r>
        <w:rPr>
          <w:rFonts w:hint="eastAsia" w:ascii="黑体" w:hAnsi="黑体" w:eastAsia="黑体" w:cs="Times New Roman"/>
          <w:b w:val="0"/>
          <w:i w:val="0"/>
          <w:sz w:val="32"/>
          <w:szCs w:val="32"/>
          <w:highlight w:val="none"/>
          <w:lang w:val="en-US" w:eastAsia="zh-CN" w:bidi="ar-SA"/>
        </w:rPr>
        <w:t>3.2.1　</w:t>
      </w:r>
      <w:r>
        <w:rPr>
          <w:rFonts w:hint="eastAsia" w:ascii="黑体" w:hAnsi="黑体" w:eastAsia="黑体"/>
          <w:sz w:val="32"/>
          <w:szCs w:val="32"/>
          <w:highlight w:val="none"/>
        </w:rPr>
        <w:t>临时堆场 temporary straw stockpiling yard</w:t>
      </w:r>
    </w:p>
    <w:p w14:paraId="501023E0">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收储点内用于秸秆临时堆放、周转的场地，通常采用露天形式，但需采取必要的安全防护措施。</w:t>
      </w:r>
    </w:p>
    <w:p w14:paraId="10913318">
      <w:pPr>
        <w:pStyle w:val="10"/>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640" w:leftChars="0" w:hanging="640" w:hangingChars="200"/>
        <w:textAlignment w:val="auto"/>
        <w:rPr>
          <w:rFonts w:hint="eastAsia" w:ascii="黑体" w:hAnsi="黑体" w:eastAsia="黑体"/>
          <w:sz w:val="32"/>
          <w:szCs w:val="32"/>
          <w:highlight w:val="none"/>
        </w:rPr>
      </w:pPr>
      <w:r>
        <w:rPr>
          <w:rFonts w:hint="eastAsia" w:ascii="黑体" w:hAnsi="黑体" w:eastAsia="黑体" w:cs="Times New Roman"/>
          <w:b w:val="0"/>
          <w:i w:val="0"/>
          <w:sz w:val="32"/>
          <w:szCs w:val="32"/>
          <w:highlight w:val="none"/>
          <w:lang w:val="en-US" w:eastAsia="zh-CN" w:bidi="ar-SA"/>
        </w:rPr>
        <w:t>3.2.2　</w:t>
      </w:r>
      <w:r>
        <w:rPr>
          <w:rFonts w:hint="eastAsia" w:ascii="黑体" w:hAnsi="黑体" w:eastAsia="黑体"/>
          <w:sz w:val="32"/>
          <w:szCs w:val="32"/>
          <w:highlight w:val="none"/>
        </w:rPr>
        <w:t>临时收储点 temporary straw collection and storage point</w:t>
      </w:r>
    </w:p>
    <w:p w14:paraId="11E3D643">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用于临时堆放就近收储秸秆的收储点，包括闲置厂房、育秧大棚等。</w:t>
      </w:r>
    </w:p>
    <w:p w14:paraId="71DEFE48">
      <w:pPr>
        <w:pStyle w:val="10"/>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640" w:leftChars="0" w:hanging="640" w:hangingChars="200"/>
        <w:textAlignment w:val="auto"/>
        <w:rPr>
          <w:rFonts w:hint="eastAsia" w:ascii="黑体" w:hAnsi="黑体" w:eastAsia="黑体"/>
          <w:sz w:val="32"/>
          <w:szCs w:val="32"/>
          <w:highlight w:val="none"/>
        </w:rPr>
      </w:pPr>
      <w:r>
        <w:rPr>
          <w:rFonts w:hint="eastAsia" w:ascii="黑体" w:hAnsi="黑体" w:eastAsia="黑体" w:cs="Times New Roman"/>
          <w:b w:val="0"/>
          <w:i w:val="0"/>
          <w:sz w:val="32"/>
          <w:szCs w:val="32"/>
          <w:highlight w:val="none"/>
          <w:lang w:val="en-US" w:eastAsia="zh-CN" w:bidi="ar-SA"/>
        </w:rPr>
        <w:t>3.2.3　</w:t>
      </w:r>
      <w:r>
        <w:rPr>
          <w:rFonts w:hint="eastAsia" w:ascii="黑体" w:hAnsi="黑体" w:eastAsia="黑体"/>
          <w:sz w:val="32"/>
          <w:szCs w:val="32"/>
          <w:highlight w:val="none"/>
        </w:rPr>
        <w:t>一般收储点 general straw collection and storage point</w:t>
      </w:r>
    </w:p>
    <w:p w14:paraId="7E9ED076">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用于临时或短期存放秸秆的收储点。</w:t>
      </w:r>
    </w:p>
    <w:p w14:paraId="777A57CC">
      <w:pPr>
        <w:pStyle w:val="10"/>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640" w:leftChars="0" w:hanging="640" w:hangingChars="200"/>
        <w:textAlignment w:val="auto"/>
        <w:rPr>
          <w:rFonts w:hint="eastAsia" w:ascii="黑体" w:hAnsi="黑体" w:eastAsia="黑体"/>
          <w:sz w:val="32"/>
          <w:szCs w:val="32"/>
          <w:highlight w:val="none"/>
        </w:rPr>
      </w:pPr>
      <w:r>
        <w:rPr>
          <w:rFonts w:hint="eastAsia" w:ascii="黑体" w:hAnsi="黑体" w:eastAsia="黑体" w:cs="Times New Roman"/>
          <w:b w:val="0"/>
          <w:i w:val="0"/>
          <w:sz w:val="32"/>
          <w:szCs w:val="32"/>
          <w:highlight w:val="none"/>
          <w:lang w:val="en-US" w:eastAsia="zh-CN" w:bidi="ar-SA"/>
        </w:rPr>
        <w:t>3.2.4　</w:t>
      </w:r>
      <w:r>
        <w:rPr>
          <w:rFonts w:hint="eastAsia" w:ascii="黑体" w:hAnsi="黑体" w:eastAsia="黑体"/>
          <w:sz w:val="32"/>
          <w:szCs w:val="32"/>
          <w:highlight w:val="none"/>
        </w:rPr>
        <w:t>收储中心 straw collection and storage center</w:t>
      </w:r>
    </w:p>
    <w:p w14:paraId="1A89DC8B">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区域内秸秆收集、储存、转运中心，大型收储点。具备秸秆粗加工能力。</w:t>
      </w:r>
    </w:p>
    <w:p w14:paraId="5AFD1BC9">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24" w:name="_Toc231551814"/>
      <w:r>
        <w:rPr>
          <w:rFonts w:hint="eastAsia" w:ascii="黑体" w:hAnsi="Times New Roman" w:eastAsia="黑体" w:cs="Times New Roman"/>
          <w:b w:val="0"/>
          <w:i w:val="0"/>
          <w:sz w:val="32"/>
          <w:szCs w:val="32"/>
          <w:highlight w:val="none"/>
          <w:lang w:val="en-US" w:eastAsia="zh-CN" w:bidi="ar-SA"/>
        </w:rPr>
        <w:t>4　</w:t>
      </w:r>
      <w:r>
        <w:rPr>
          <w:rFonts w:hint="eastAsia"/>
          <w:sz w:val="32"/>
          <w:szCs w:val="32"/>
          <w:highlight w:val="none"/>
        </w:rPr>
        <w:t>规划与选址</w:t>
      </w:r>
      <w:bookmarkEnd w:id="24"/>
    </w:p>
    <w:p w14:paraId="2101FAF8">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4.1　</w:t>
      </w:r>
      <w:r>
        <w:rPr>
          <w:rFonts w:hint="eastAsia"/>
          <w:sz w:val="32"/>
          <w:szCs w:val="32"/>
          <w:highlight w:val="none"/>
        </w:rPr>
        <w:t>规划</w:t>
      </w:r>
    </w:p>
    <w:p w14:paraId="0BC98F71">
      <w:pPr>
        <w:pStyle w:val="12"/>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i w:val="0"/>
          <w:sz w:val="32"/>
          <w:szCs w:val="32"/>
          <w:highlight w:val="none"/>
          <w:lang w:val="en-US" w:eastAsia="zh-CN" w:bidi="ar-SA"/>
        </w:rPr>
        <w:t>4.1.1　</w:t>
      </w:r>
      <w:r>
        <w:rPr>
          <w:rFonts w:hint="eastAsia"/>
          <w:sz w:val="32"/>
          <w:szCs w:val="32"/>
          <w:highlight w:val="none"/>
        </w:rPr>
        <w:t>布点</w:t>
      </w:r>
    </w:p>
    <w:p w14:paraId="1A3F1820">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遵循“以用定离、以用定储”原则，依据村、乡（镇）、县市区农作物种植面积为基础，建设收储网点。</w:t>
      </w:r>
    </w:p>
    <w:p w14:paraId="51FB9A6F">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临时堆场：所属行政单元内，根据农作物种植面积≥300亩，可选择适合场地进行临时堆储。</w:t>
      </w:r>
    </w:p>
    <w:p w14:paraId="1E9E875E">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临时收储点：所属行政单元内，农作物种植面积≥500亩，可依托闲置厂房、育秧大棚等建设临时收储点。</w:t>
      </w:r>
    </w:p>
    <w:p w14:paraId="6B14B456">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一般收储点：所属行政单元内，农作物种植面积≥10000亩，布设1个一般收储点。</w:t>
      </w:r>
    </w:p>
    <w:p w14:paraId="0387C4ED">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收储中心：所属行政单元内，农作物播种面积≥15万亩，建设1个收储中心。</w:t>
      </w:r>
    </w:p>
    <w:p w14:paraId="30923204">
      <w:pPr>
        <w:pStyle w:val="12"/>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i w:val="0"/>
          <w:sz w:val="32"/>
          <w:szCs w:val="32"/>
          <w:highlight w:val="none"/>
          <w:lang w:val="en-US" w:eastAsia="zh-CN" w:bidi="ar-SA"/>
        </w:rPr>
        <w:t>4.1.2　</w:t>
      </w:r>
      <w:r>
        <w:rPr>
          <w:rFonts w:hint="eastAsia"/>
          <w:sz w:val="32"/>
          <w:szCs w:val="32"/>
          <w:highlight w:val="none"/>
        </w:rPr>
        <w:t>收储点辐射范围</w:t>
      </w:r>
    </w:p>
    <w:p w14:paraId="4BBCBD2B">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丘陵/山区：辐射范围不超过10 km。</w:t>
      </w:r>
    </w:p>
    <w:p w14:paraId="461CFD3E">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湖区/平原区：辐射范围不超过20 km。</w:t>
      </w:r>
    </w:p>
    <w:p w14:paraId="7E3D3A44">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4.2　</w:t>
      </w:r>
      <w:r>
        <w:rPr>
          <w:rFonts w:hint="eastAsia"/>
          <w:sz w:val="32"/>
          <w:szCs w:val="32"/>
          <w:highlight w:val="none"/>
        </w:rPr>
        <w:t>选址</w:t>
      </w:r>
    </w:p>
    <w:p w14:paraId="27AED8F5">
      <w:pPr>
        <w:pStyle w:val="12"/>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i w:val="0"/>
          <w:sz w:val="32"/>
          <w:szCs w:val="32"/>
          <w:highlight w:val="none"/>
          <w:lang w:val="en-US" w:eastAsia="zh-CN" w:bidi="ar-SA"/>
        </w:rPr>
        <w:t>4.2.1　</w:t>
      </w:r>
      <w:r>
        <w:rPr>
          <w:rFonts w:hint="eastAsia"/>
          <w:sz w:val="32"/>
          <w:szCs w:val="32"/>
          <w:highlight w:val="none"/>
        </w:rPr>
        <w:t>原则</w:t>
      </w:r>
    </w:p>
    <w:p w14:paraId="2E59E71E">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选址应符合国土空间规划、产业发展规划、消防安全、环境保护等法律法规及GB/T 42118标准要求，兼顾交通便利性、秸秆资源集中度及运输成本，避免跨区域远距离调运。不占或少占耕地，严禁占用永久基本农田</w:t>
      </w:r>
    </w:p>
    <w:p w14:paraId="4F91DA51">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选址应在地势较高、排水通畅、地质条件良好区域，具备可靠供水、供电和通信条件。宜避开低洼地、洪水淹没区、地质灾害易发区。</w:t>
      </w:r>
    </w:p>
    <w:p w14:paraId="3DF2FD68">
      <w:pPr>
        <w:pStyle w:val="12"/>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i w:val="0"/>
          <w:sz w:val="32"/>
          <w:szCs w:val="32"/>
          <w:highlight w:val="none"/>
          <w:lang w:val="en-US" w:eastAsia="zh-CN" w:bidi="ar-SA"/>
        </w:rPr>
        <w:t>4.2.2　</w:t>
      </w:r>
      <w:r>
        <w:rPr>
          <w:rFonts w:hint="eastAsia"/>
          <w:sz w:val="32"/>
          <w:szCs w:val="32"/>
          <w:highlight w:val="none"/>
        </w:rPr>
        <w:t>具体要求</w:t>
      </w:r>
    </w:p>
    <w:p w14:paraId="1D5622AE">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选址应与居民区、学校、医院等敏感建筑物的距离应大于100 m，且宜位于其全年最小频率风向的上风侧。</w:t>
      </w:r>
    </w:p>
    <w:p w14:paraId="0DCFCA92">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与铁路、高速公路、国省干道的距离不宜小于50 m。</w:t>
      </w:r>
    </w:p>
    <w:p w14:paraId="6B7A4BD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与高压输电线路的安全距离应不小于电杆高度的1.5倍，且最小水平距离不应小于50 m。与明火/火花点、变配电站：≥25 m～50 m，远离易燃易爆物品生产储存场所。</w:t>
      </w:r>
    </w:p>
    <w:p w14:paraId="259A336B">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25" w:name="_Toc231551815"/>
      <w:r>
        <w:rPr>
          <w:rFonts w:hint="eastAsia" w:ascii="黑体" w:hAnsi="Times New Roman" w:eastAsia="黑体" w:cs="Times New Roman"/>
          <w:b w:val="0"/>
          <w:i w:val="0"/>
          <w:sz w:val="32"/>
          <w:szCs w:val="32"/>
          <w:highlight w:val="none"/>
          <w:lang w:val="en-US" w:eastAsia="zh-CN" w:bidi="ar-SA"/>
        </w:rPr>
        <w:t>5　</w:t>
      </w:r>
      <w:r>
        <w:rPr>
          <w:rFonts w:hint="eastAsia"/>
          <w:sz w:val="32"/>
          <w:szCs w:val="32"/>
          <w:highlight w:val="none"/>
        </w:rPr>
        <w:t>建设内容</w:t>
      </w:r>
      <w:bookmarkEnd w:id="25"/>
    </w:p>
    <w:p w14:paraId="1E5FEF68">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5.1　</w:t>
      </w:r>
      <w:r>
        <w:rPr>
          <w:rFonts w:hint="eastAsia"/>
          <w:sz w:val="32"/>
          <w:szCs w:val="32"/>
          <w:highlight w:val="none"/>
        </w:rPr>
        <w:t>建设分级</w:t>
      </w:r>
    </w:p>
    <w:p w14:paraId="1FCF0AD4">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标准化收储点根据设计存储量分为四级，分别为收储中心、一般收储点、临时收储点和临时堆场，具体分级宜符合附录A的规定。</w:t>
      </w:r>
    </w:p>
    <w:p w14:paraId="7C216FF3">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5.2　</w:t>
      </w:r>
      <w:r>
        <w:rPr>
          <w:rFonts w:hint="eastAsia"/>
          <w:sz w:val="32"/>
          <w:szCs w:val="32"/>
          <w:highlight w:val="none"/>
        </w:rPr>
        <w:t>临时堆场</w:t>
      </w:r>
    </w:p>
    <w:p w14:paraId="32457314">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储存设施：</w:t>
      </w:r>
      <w:r>
        <w:rPr>
          <w:rFonts w:hint="eastAsia" w:ascii="仿宋_GB2312" w:hAnsi="仿宋_GB2312" w:eastAsia="仿宋_GB2312" w:cs="仿宋_GB2312"/>
          <w:sz w:val="32"/>
          <w:szCs w:val="32"/>
          <w:highlight w:val="none"/>
        </w:rPr>
        <w:t>一般可利用闲置露天平地，非低洼地块，具有一定防雨、防晒功能。</w:t>
      </w:r>
    </w:p>
    <w:p w14:paraId="78AB8CFD">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作业场地：</w:t>
      </w:r>
      <w:r>
        <w:rPr>
          <w:rFonts w:hint="eastAsia" w:ascii="仿宋_GB2312" w:hAnsi="仿宋_GB2312" w:eastAsia="仿宋_GB2312" w:cs="仿宋_GB2312"/>
          <w:sz w:val="32"/>
          <w:szCs w:val="32"/>
          <w:highlight w:val="none"/>
        </w:rPr>
        <w:t>满足小型车辆、抓草机等设备作业需求。</w:t>
      </w:r>
    </w:p>
    <w:p w14:paraId="3A65CC98">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辅助设施：</w:t>
      </w:r>
      <w:r>
        <w:rPr>
          <w:rFonts w:hint="eastAsia" w:ascii="仿宋_GB2312" w:hAnsi="仿宋_GB2312" w:eastAsia="仿宋_GB2312" w:cs="仿宋_GB2312"/>
          <w:sz w:val="32"/>
          <w:szCs w:val="32"/>
          <w:highlight w:val="none"/>
        </w:rPr>
        <w:t>应设置灭火器、防雨薄膜、排水沟等。</w:t>
      </w:r>
    </w:p>
    <w:p w14:paraId="69DEF519">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标识标牌：</w:t>
      </w:r>
      <w:r>
        <w:rPr>
          <w:rFonts w:hint="eastAsia" w:ascii="仿宋_GB2312" w:hAnsi="仿宋_GB2312" w:eastAsia="仿宋_GB2312" w:cs="仿宋_GB2312"/>
          <w:sz w:val="32"/>
          <w:szCs w:val="32"/>
          <w:highlight w:val="none"/>
        </w:rPr>
        <w:t>可参照附录B悬挂临时堆场标识标牌。</w:t>
      </w:r>
    </w:p>
    <w:p w14:paraId="51DBE116">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5.3　</w:t>
      </w:r>
      <w:r>
        <w:rPr>
          <w:rFonts w:hint="eastAsia"/>
          <w:sz w:val="32"/>
          <w:szCs w:val="32"/>
          <w:highlight w:val="none"/>
        </w:rPr>
        <w:t>临时收储点</w:t>
      </w:r>
    </w:p>
    <w:p w14:paraId="1147861A">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sz w:val="32"/>
          <w:szCs w:val="32"/>
          <w:highlight w:val="none"/>
        </w:rPr>
      </w:pPr>
      <w:r>
        <w:rPr>
          <w:rFonts w:hint="eastAsia" w:ascii="黑体" w:hAnsi="黑体" w:eastAsia="黑体"/>
          <w:sz w:val="32"/>
          <w:szCs w:val="32"/>
          <w:highlight w:val="none"/>
        </w:rPr>
        <w:t>储存设施：</w:t>
      </w:r>
      <w:r>
        <w:rPr>
          <w:rFonts w:hint="eastAsia" w:ascii="仿宋_GB2312" w:hAnsi="仿宋_GB2312" w:eastAsia="仿宋_GB2312" w:cs="仿宋_GB2312"/>
          <w:sz w:val="32"/>
          <w:szCs w:val="32"/>
          <w:highlight w:val="none"/>
        </w:rPr>
        <w:t>宜设置简易罩棚或半敞开式轻钢结构棚，地面硬化并防潮防渗，具备防雨、防晒功能。</w:t>
      </w:r>
    </w:p>
    <w:p w14:paraId="75FEA82F">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作业场地：</w:t>
      </w:r>
      <w:r>
        <w:rPr>
          <w:rFonts w:hint="eastAsia" w:ascii="仿宋_GB2312" w:hAnsi="仿宋_GB2312" w:eastAsia="仿宋_GB2312" w:cs="仿宋_GB2312"/>
          <w:sz w:val="32"/>
          <w:szCs w:val="32"/>
          <w:highlight w:val="none"/>
        </w:rPr>
        <w:t>配置简易装卸场地，满足小型车辆、抓草机等设备作业需求。</w:t>
      </w:r>
    </w:p>
    <w:p w14:paraId="1AF110E6">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辅助设施：</w:t>
      </w:r>
      <w:r>
        <w:rPr>
          <w:rFonts w:hint="eastAsia" w:ascii="仿宋_GB2312" w:hAnsi="仿宋_GB2312" w:eastAsia="仿宋_GB2312" w:cs="仿宋_GB2312"/>
          <w:sz w:val="32"/>
          <w:szCs w:val="32"/>
          <w:highlight w:val="none"/>
        </w:rPr>
        <w:t>应设置灭火器、消防沙池、排水沟、值班休息室（可移动式或简易板房）。</w:t>
      </w:r>
    </w:p>
    <w:p w14:paraId="5CB33548">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配套设备</w:t>
      </w:r>
      <w:r>
        <w:rPr>
          <w:rFonts w:hint="eastAsia" w:ascii="黑体" w:hAnsi="黑体" w:eastAsia="黑体"/>
          <w:sz w:val="32"/>
          <w:szCs w:val="32"/>
          <w:highlight w:val="none"/>
        </w:rPr>
        <w:t>：</w:t>
      </w:r>
      <w:r>
        <w:rPr>
          <w:rFonts w:hint="eastAsia" w:ascii="仿宋_GB2312" w:hAnsi="仿宋_GB2312" w:eastAsia="仿宋_GB2312" w:cs="仿宋_GB2312"/>
          <w:sz w:val="32"/>
          <w:szCs w:val="32"/>
          <w:highlight w:val="none"/>
        </w:rPr>
        <w:t>宜配备打捆机、抓草机、叉车、水分快速测定仪等基本作业与检测设备。</w:t>
      </w:r>
    </w:p>
    <w:p w14:paraId="1415418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标识标牌：</w:t>
      </w:r>
      <w:r>
        <w:rPr>
          <w:rFonts w:hint="eastAsia" w:ascii="仿宋_GB2312" w:hAnsi="仿宋_GB2312" w:eastAsia="仿宋_GB2312" w:cs="仿宋_GB2312"/>
          <w:sz w:val="32"/>
          <w:szCs w:val="32"/>
          <w:highlight w:val="none"/>
        </w:rPr>
        <w:t>参照附录B悬挂临时收储点标识</w:t>
      </w:r>
    </w:p>
    <w:p w14:paraId="00008FDE">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5.4　</w:t>
      </w:r>
      <w:r>
        <w:rPr>
          <w:rFonts w:hint="eastAsia"/>
          <w:sz w:val="32"/>
          <w:szCs w:val="32"/>
          <w:highlight w:val="none"/>
        </w:rPr>
        <w:t>一般收储点</w:t>
      </w:r>
    </w:p>
    <w:p w14:paraId="05B66103">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储存设施：</w:t>
      </w:r>
      <w:r>
        <w:rPr>
          <w:rFonts w:hint="eastAsia" w:ascii="仿宋_GB2312" w:hAnsi="仿宋_GB2312" w:eastAsia="仿宋_GB2312" w:cs="仿宋_GB2312"/>
          <w:sz w:val="32"/>
          <w:szCs w:val="32"/>
          <w:highlight w:val="none"/>
        </w:rPr>
        <w:t>应采用轻钢结构敞开式或半敞开式罩棚，符合GB 50017、GB 51249和GB/T 36867要求。屋顶宜双坡，地面硬化、防潮防渗，保证通风。承载力满足机械作业要求。</w:t>
      </w:r>
    </w:p>
    <w:p w14:paraId="6522200D">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作业场地：</w:t>
      </w:r>
      <w:r>
        <w:rPr>
          <w:rFonts w:hint="eastAsia" w:ascii="仿宋_GB2312" w:hAnsi="仿宋_GB2312" w:eastAsia="仿宋_GB2312" w:cs="仿宋_GB2312"/>
          <w:sz w:val="32"/>
          <w:szCs w:val="32"/>
          <w:highlight w:val="none"/>
        </w:rPr>
        <w:t>设置秸秆加工场地、装卸场地，地面硬化。具备打捆、码垛等基本作业能力。</w:t>
      </w:r>
    </w:p>
    <w:p w14:paraId="1394812F">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道路条件：</w:t>
      </w:r>
      <w:r>
        <w:rPr>
          <w:rFonts w:hint="eastAsia" w:ascii="仿宋_GB2312" w:hAnsi="仿宋_GB2312" w:eastAsia="仿宋_GB2312" w:cs="仿宋_GB2312"/>
          <w:sz w:val="32"/>
          <w:szCs w:val="32"/>
          <w:highlight w:val="none"/>
        </w:rPr>
        <w:t>场内道路宽度不小于4 m。出入口不少于2个，宜设置回车场</w:t>
      </w:r>
    </w:p>
    <w:p w14:paraId="65E45775">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配套设备：</w:t>
      </w:r>
      <w:r>
        <w:rPr>
          <w:rFonts w:hint="eastAsia" w:ascii="仿宋_GB2312" w:hAnsi="仿宋_GB2312" w:eastAsia="仿宋_GB2312" w:cs="仿宋_GB2312"/>
          <w:sz w:val="32"/>
          <w:szCs w:val="32"/>
          <w:highlight w:val="none"/>
        </w:rPr>
        <w:t>应满足6配套设施设备与8消防与安全相关要求</w:t>
      </w:r>
    </w:p>
    <w:p w14:paraId="50512831">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标识标牌：</w:t>
      </w:r>
      <w:r>
        <w:rPr>
          <w:rFonts w:hint="eastAsia" w:ascii="仿宋_GB2312" w:hAnsi="仿宋_GB2312" w:eastAsia="仿宋_GB2312" w:cs="仿宋_GB2312"/>
          <w:sz w:val="32"/>
          <w:szCs w:val="32"/>
          <w:highlight w:val="none"/>
        </w:rPr>
        <w:t xml:space="preserve">悬挂“一般收储点”标识（参照附录B）。设置安全警示标志，功能区标识牌，应符合GB 13495.1和GB 15630要求。 </w:t>
      </w:r>
    </w:p>
    <w:p w14:paraId="4E10A2BD">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5.5　</w:t>
      </w:r>
      <w:r>
        <w:rPr>
          <w:rFonts w:hint="eastAsia"/>
          <w:sz w:val="32"/>
          <w:szCs w:val="32"/>
          <w:highlight w:val="none"/>
        </w:rPr>
        <w:t>收储中心</w:t>
      </w:r>
    </w:p>
    <w:p w14:paraId="7BC4FCAB">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储存设施：</w:t>
      </w:r>
      <w:r>
        <w:rPr>
          <w:rFonts w:hint="eastAsia" w:ascii="仿宋_GB2312" w:hAnsi="仿宋_GB2312" w:eastAsia="仿宋_GB2312" w:cs="仿宋_GB2312"/>
          <w:sz w:val="32"/>
          <w:szCs w:val="32"/>
          <w:highlight w:val="none"/>
        </w:rPr>
        <w:t>应采用轻钢结构封闭或半封闭仓库，符合GB 50017、GB 51249和GB/T 36867要求。屋顶双坡或拱形，地面硬化、防潮防渗，仓库南北朝向为宜，减少日照升温。承载力满足机械作业和重载堆放。</w:t>
      </w:r>
    </w:p>
    <w:p w14:paraId="45233980">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黑体" w:hAnsi="黑体" w:eastAsia="黑体"/>
          <w:sz w:val="32"/>
          <w:szCs w:val="32"/>
          <w:highlight w:val="none"/>
        </w:rPr>
        <w:t>作业场地：</w:t>
      </w:r>
      <w:r>
        <w:rPr>
          <w:rFonts w:hint="eastAsia" w:ascii="仿宋_GB2312" w:hAnsi="仿宋_GB2312" w:eastAsia="仿宋_GB2312" w:cs="仿宋_GB2312"/>
          <w:sz w:val="32"/>
          <w:szCs w:val="32"/>
          <w:highlight w:val="none"/>
        </w:rPr>
        <w:t>设置独立的加工车间、装卸场地、检测场地，地面硬化，具备秸秆粉碎、加压、成型等粗加工能力。</w:t>
      </w:r>
    </w:p>
    <w:p w14:paraId="604A9459">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sz w:val="32"/>
          <w:szCs w:val="32"/>
          <w:highlight w:val="none"/>
        </w:rPr>
      </w:pPr>
      <w:r>
        <w:rPr>
          <w:rFonts w:hint="eastAsia" w:ascii="黑体" w:hAnsi="黑体" w:eastAsia="黑体" w:cs="黑体"/>
          <w:sz w:val="32"/>
          <w:szCs w:val="32"/>
          <w:highlight w:val="none"/>
        </w:rPr>
        <w:t>道路条件</w:t>
      </w:r>
      <w:r>
        <w:rPr>
          <w:rFonts w:hint="eastAsia" w:ascii="黑体" w:hAnsi="黑体" w:eastAsia="黑体"/>
          <w:sz w:val="32"/>
          <w:szCs w:val="32"/>
          <w:highlight w:val="none"/>
        </w:rPr>
        <w:t>：</w:t>
      </w:r>
      <w:r>
        <w:rPr>
          <w:rFonts w:hint="eastAsia"/>
          <w:sz w:val="32"/>
          <w:szCs w:val="32"/>
          <w:highlight w:val="none"/>
        </w:rPr>
        <w:t>主干道宽度不小于6 m，次要道路不小于4 m。设置环形消防通道，出入口不少于2个，人流物流分开。设置回车场（不小于12 m×12 m）。</w:t>
      </w:r>
    </w:p>
    <w:p w14:paraId="26D87713">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sz w:val="32"/>
          <w:szCs w:val="32"/>
          <w:highlight w:val="none"/>
        </w:rPr>
      </w:pPr>
      <w:r>
        <w:rPr>
          <w:rFonts w:hint="eastAsia" w:ascii="黑体" w:hAnsi="黑体" w:eastAsia="黑体"/>
          <w:sz w:val="32"/>
          <w:szCs w:val="32"/>
          <w:highlight w:val="none"/>
        </w:rPr>
        <w:t>配套设备：</w:t>
      </w:r>
      <w:r>
        <w:rPr>
          <w:rFonts w:hint="eastAsia"/>
          <w:sz w:val="32"/>
          <w:szCs w:val="32"/>
          <w:highlight w:val="none"/>
        </w:rPr>
        <w:t>应满足6配套设施设备与8消防与安全相关要求</w:t>
      </w:r>
    </w:p>
    <w:p w14:paraId="10C3C5D7">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sz w:val="32"/>
          <w:szCs w:val="32"/>
          <w:highlight w:val="none"/>
        </w:rPr>
      </w:pPr>
      <w:r>
        <w:rPr>
          <w:rFonts w:hint="eastAsia" w:ascii="黑体" w:hAnsi="黑体" w:eastAsia="黑体"/>
          <w:sz w:val="32"/>
          <w:szCs w:val="32"/>
          <w:highlight w:val="none"/>
        </w:rPr>
        <w:t>标识标牌：</w:t>
      </w:r>
      <w:r>
        <w:rPr>
          <w:rFonts w:hint="eastAsia"/>
          <w:sz w:val="32"/>
          <w:szCs w:val="32"/>
          <w:highlight w:val="none"/>
        </w:rPr>
        <w:t xml:space="preserve">悬挂“收储中心”标识（参照附录B）。设置安全警示标志，功能区标识牌，应符合GB 13495.1和GB 15630要求。 </w:t>
      </w:r>
    </w:p>
    <w:p w14:paraId="41D7F7CC">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26" w:name="_Toc231551816"/>
      <w:r>
        <w:rPr>
          <w:rFonts w:hint="eastAsia" w:ascii="黑体" w:hAnsi="Times New Roman" w:eastAsia="黑体" w:cs="Times New Roman"/>
          <w:b w:val="0"/>
          <w:i w:val="0"/>
          <w:sz w:val="32"/>
          <w:szCs w:val="32"/>
          <w:highlight w:val="none"/>
          <w:lang w:val="en-US" w:eastAsia="zh-CN" w:bidi="ar-SA"/>
        </w:rPr>
        <w:t>6　</w:t>
      </w:r>
      <w:r>
        <w:rPr>
          <w:rFonts w:hint="eastAsia"/>
          <w:sz w:val="32"/>
          <w:szCs w:val="32"/>
          <w:highlight w:val="none"/>
        </w:rPr>
        <w:t>配套设施设备</w:t>
      </w:r>
      <w:bookmarkEnd w:id="26"/>
    </w:p>
    <w:p w14:paraId="67BCC62F">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6.1　</w:t>
      </w:r>
      <w:r>
        <w:rPr>
          <w:rFonts w:hint="eastAsia"/>
          <w:sz w:val="32"/>
          <w:szCs w:val="32"/>
          <w:highlight w:val="none"/>
        </w:rPr>
        <w:t>收储作业设备</w:t>
      </w:r>
    </w:p>
    <w:p w14:paraId="1A7CCFC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根据生产规模和服务半径，配置必要的秸秆收集、打捆、粉碎、加压、码垛、装卸、运输等设备，如搂草机、打捆机（方捆/圆捆）、抓草机、叉车、装载机、地磅、输送带等。设备选型应符合GB/T 42118、DB 43/T 2824 标准有关要求。</w:t>
      </w:r>
    </w:p>
    <w:p w14:paraId="00EB2C66">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6.2　</w:t>
      </w:r>
      <w:r>
        <w:rPr>
          <w:rFonts w:hint="eastAsia"/>
          <w:sz w:val="32"/>
          <w:szCs w:val="32"/>
          <w:highlight w:val="none"/>
        </w:rPr>
        <w:t>检测设备</w:t>
      </w:r>
    </w:p>
    <w:p w14:paraId="6A2481FA">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宜配置水分快速测定仪、磅秤、简易含杂率检测工具等。</w:t>
      </w:r>
    </w:p>
    <w:p w14:paraId="3A349631">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6.3　</w:t>
      </w:r>
      <w:r>
        <w:rPr>
          <w:rFonts w:hint="eastAsia"/>
          <w:sz w:val="32"/>
          <w:szCs w:val="32"/>
          <w:highlight w:val="none"/>
        </w:rPr>
        <w:t>供电系统</w:t>
      </w:r>
    </w:p>
    <w:p w14:paraId="60975B54">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供电负荷等级和供电方案应符合GB 50052的要求。场内照明宜选用防尘、防水、防爆型灯具。</w:t>
      </w:r>
    </w:p>
    <w:p w14:paraId="53130FEB">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6.4　</w:t>
      </w:r>
      <w:r>
        <w:rPr>
          <w:rFonts w:hint="eastAsia"/>
          <w:sz w:val="32"/>
          <w:szCs w:val="32"/>
          <w:highlight w:val="none"/>
        </w:rPr>
        <w:t>给排水系统</w:t>
      </w:r>
    </w:p>
    <w:p w14:paraId="250B3ABA">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应设置完善的排水系统，排水沟宽度宜为30 cm～40 cm，深度宜为40 cm～60 cm，纵向坡度不小于1.5%，并与场外排水系统衔接顺畅。排水沟表面宜铺设承重盖板。</w:t>
      </w:r>
    </w:p>
    <w:p w14:paraId="44402D28">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27" w:name="_Toc231551817"/>
      <w:r>
        <w:rPr>
          <w:rFonts w:hint="eastAsia" w:ascii="黑体" w:hAnsi="Times New Roman" w:eastAsia="黑体" w:cs="Times New Roman"/>
          <w:b w:val="0"/>
          <w:i w:val="0"/>
          <w:sz w:val="32"/>
          <w:szCs w:val="32"/>
          <w:highlight w:val="none"/>
          <w:lang w:val="en-US" w:eastAsia="zh-CN" w:bidi="ar-SA"/>
        </w:rPr>
        <w:t>7　</w:t>
      </w:r>
      <w:r>
        <w:rPr>
          <w:rFonts w:hint="eastAsia"/>
          <w:sz w:val="32"/>
          <w:szCs w:val="32"/>
          <w:highlight w:val="none"/>
        </w:rPr>
        <w:t>网点管理</w:t>
      </w:r>
      <w:bookmarkEnd w:id="27"/>
    </w:p>
    <w:p w14:paraId="3535D34F">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7.1　</w:t>
      </w:r>
      <w:r>
        <w:rPr>
          <w:rFonts w:hint="eastAsia"/>
          <w:sz w:val="32"/>
          <w:szCs w:val="32"/>
          <w:highlight w:val="none"/>
        </w:rPr>
        <w:t>制度建立</w:t>
      </w:r>
    </w:p>
    <w:p w14:paraId="7A6A2D19">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网点职责制度：明确负责人、安全员、设备操作员、仓管员等岗位职责，并上墙公示。</w:t>
      </w:r>
    </w:p>
    <w:p w14:paraId="129163A6">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应急制度：制定火灾、秸秆自燃、极端天气等应急预案，明确报警、疏散、初期扑救等措施，每年至少演练1次。</w:t>
      </w:r>
    </w:p>
    <w:p w14:paraId="10B3097B">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巡查制度：每日巡查火源、电气线路、设备运行、消防设施、堆垛温湿度及排水系统，并做好记录。高温季节（≥35 ℃）应增加巡查频次。</w:t>
      </w:r>
    </w:p>
    <w:p w14:paraId="7A6FE2DC">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7.2　</w:t>
      </w:r>
      <w:r>
        <w:rPr>
          <w:rFonts w:hint="eastAsia"/>
          <w:sz w:val="32"/>
          <w:szCs w:val="32"/>
          <w:highlight w:val="none"/>
        </w:rPr>
        <w:t>人员管理</w:t>
      </w:r>
    </w:p>
    <w:p w14:paraId="7E72148F">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配备与收储点规模相适应的管理、作业及安全人员。所有人员应经岗前培训，特种设备操作人员持证上岗。作业时应配备必要的劳动防护用品。</w:t>
      </w:r>
    </w:p>
    <w:p w14:paraId="5BA255EB">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7.3　</w:t>
      </w:r>
      <w:r>
        <w:rPr>
          <w:rFonts w:hint="eastAsia"/>
          <w:sz w:val="32"/>
          <w:szCs w:val="32"/>
          <w:highlight w:val="none"/>
        </w:rPr>
        <w:t>秸秆管理</w:t>
      </w:r>
    </w:p>
    <w:p w14:paraId="26052EF7">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管理原则：同种类秸秆分区存放，设立标识牌，严禁湿料（含水率＞20%）大规模集中堆存，优先出库储存时间较长的秸秆。</w:t>
      </w:r>
    </w:p>
    <w:p w14:paraId="2520C8E1">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秸秆堆垛高度：收储中心、一般收储点打捆堆放秸秆≤8 m、散装秸秆≤13 m，临时收储点、临时堆场堆放秸秆≤4 m</w:t>
      </w:r>
    </w:p>
    <w:p w14:paraId="48174C80">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垛组长度与间距：收储中心、一般收储点、临时收储点条垛长度不宜超过100 m，宽度不宜超过15 m，临时堆场不宜超过10 m；垛组之间≥8 m（防火通道）</w:t>
      </w:r>
    </w:p>
    <w:p w14:paraId="6A79F87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垛组温度监测：每周至少监测1次堆垛内部温度；高温季节每日监测。当温度达到＞60 ℃时，应立即拆垛散热，并做好灭火准备；超过70℃应报警并启动应急预案。</w:t>
      </w:r>
    </w:p>
    <w:p w14:paraId="48B1125C">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7.4　</w:t>
      </w:r>
      <w:r>
        <w:rPr>
          <w:rFonts w:hint="eastAsia"/>
          <w:sz w:val="32"/>
          <w:szCs w:val="32"/>
          <w:highlight w:val="none"/>
        </w:rPr>
        <w:t>设备管理</w:t>
      </w:r>
    </w:p>
    <w:p w14:paraId="17E54A85">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建立设备台账和操作规程。作业前检查设备状况。定期维护保养，燃油设备应远离秸秆堆垛存放。检测设备定期校准。</w:t>
      </w:r>
    </w:p>
    <w:p w14:paraId="3CB65232">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28" w:name="_Toc231551818"/>
      <w:r>
        <w:rPr>
          <w:rFonts w:hint="eastAsia" w:ascii="黑体" w:hAnsi="Times New Roman" w:eastAsia="黑体" w:cs="Times New Roman"/>
          <w:b w:val="0"/>
          <w:i w:val="0"/>
          <w:sz w:val="32"/>
          <w:szCs w:val="32"/>
          <w:highlight w:val="none"/>
          <w:lang w:val="en-US" w:eastAsia="zh-CN" w:bidi="ar-SA"/>
        </w:rPr>
        <w:t>8　</w:t>
      </w:r>
      <w:r>
        <w:rPr>
          <w:rFonts w:hint="eastAsia"/>
          <w:sz w:val="32"/>
          <w:szCs w:val="32"/>
          <w:highlight w:val="none"/>
        </w:rPr>
        <w:t>消防与安全</w:t>
      </w:r>
      <w:bookmarkEnd w:id="28"/>
    </w:p>
    <w:p w14:paraId="4EC21851">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8.1　</w:t>
      </w:r>
      <w:r>
        <w:rPr>
          <w:rFonts w:hint="eastAsia"/>
          <w:sz w:val="32"/>
          <w:szCs w:val="32"/>
          <w:highlight w:val="none"/>
        </w:rPr>
        <w:t>消防设施</w:t>
      </w:r>
    </w:p>
    <w:p w14:paraId="43B82C4B">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应配置独立的消防蓄水池（容量满足3 h消防用水量）、消防泵房（含加压泵、备用泵）、室外消火栓（间距≤120 m，覆盖全场）、灭火器、消防沙池等，具体消防设施设备配置参考附录A.2的规定。</w:t>
      </w:r>
    </w:p>
    <w:p w14:paraId="1BB1BEC6">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8.2　</w:t>
      </w:r>
      <w:r>
        <w:rPr>
          <w:rFonts w:hint="eastAsia"/>
          <w:sz w:val="32"/>
          <w:szCs w:val="32"/>
          <w:highlight w:val="none"/>
        </w:rPr>
        <w:t>消防通道</w:t>
      </w:r>
    </w:p>
    <w:p w14:paraId="5D1844C8">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确保消防通道畅通，建筑防火间距、耐火等级应符合GB 50016的规定。</w:t>
      </w:r>
    </w:p>
    <w:p w14:paraId="06E14A78">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8.3　</w:t>
      </w:r>
      <w:r>
        <w:rPr>
          <w:rFonts w:hint="eastAsia"/>
          <w:sz w:val="32"/>
          <w:szCs w:val="32"/>
          <w:highlight w:val="none"/>
        </w:rPr>
        <w:t>监控与报警</w:t>
      </w:r>
    </w:p>
    <w:p w14:paraId="68B40B58">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应设置火灾自动报警系统和视频监控系统，实现全天候无死角监控，监控室专人值守。</w:t>
      </w:r>
    </w:p>
    <w:p w14:paraId="7AB0DEAD">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8.4　</w:t>
      </w:r>
      <w:r>
        <w:rPr>
          <w:rFonts w:hint="eastAsia"/>
          <w:sz w:val="32"/>
          <w:szCs w:val="32"/>
          <w:highlight w:val="none"/>
        </w:rPr>
        <w:t>防雷</w:t>
      </w:r>
    </w:p>
    <w:p w14:paraId="60C9A16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所有建（构）筑物应按规定设置避雷接地装置，并定期检测，符合GB 50057的要求。</w:t>
      </w:r>
    </w:p>
    <w:p w14:paraId="5FA44757">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8.5　</w:t>
      </w:r>
      <w:r>
        <w:rPr>
          <w:rFonts w:hint="eastAsia"/>
          <w:sz w:val="32"/>
          <w:szCs w:val="32"/>
          <w:highlight w:val="none"/>
        </w:rPr>
        <w:t>逃生装置</w:t>
      </w:r>
    </w:p>
    <w:p w14:paraId="645FE223">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收储点应在人员活动区域设置明显的安全出口标志和疏散指示标志。应配置应急照明灯、防烟面罩、防火毯等逃生器材。</w:t>
      </w:r>
    </w:p>
    <w:p w14:paraId="10844D89">
      <w:pPr>
        <w:pStyle w:val="5"/>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bookmarkStart w:id="29" w:name="_Toc231551819"/>
      <w:r>
        <w:rPr>
          <w:rFonts w:hint="eastAsia" w:ascii="黑体" w:hAnsi="Times New Roman" w:eastAsia="黑体" w:cs="Times New Roman"/>
          <w:b w:val="0"/>
          <w:i w:val="0"/>
          <w:sz w:val="32"/>
          <w:szCs w:val="32"/>
          <w:highlight w:val="none"/>
          <w:lang w:val="en-US" w:eastAsia="zh-CN" w:bidi="ar-SA"/>
        </w:rPr>
        <w:t>9　</w:t>
      </w:r>
      <w:r>
        <w:rPr>
          <w:rFonts w:hint="eastAsia"/>
          <w:sz w:val="32"/>
          <w:szCs w:val="32"/>
          <w:highlight w:val="none"/>
        </w:rPr>
        <w:t>档案管理</w:t>
      </w:r>
      <w:bookmarkEnd w:id="29"/>
    </w:p>
    <w:p w14:paraId="1DF1A1C6">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9.1　</w:t>
      </w:r>
      <w:r>
        <w:rPr>
          <w:rFonts w:hint="eastAsia"/>
          <w:sz w:val="32"/>
          <w:szCs w:val="32"/>
          <w:highlight w:val="none"/>
        </w:rPr>
        <w:t>记录内容</w:t>
      </w:r>
    </w:p>
    <w:p w14:paraId="129E673C">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应建立收储点运营全过程档案，包括秸秆来源记录、秸秆出入库台账、设备维护保养记录、安全巡查记录、人员培训记录、消防演练记录、秸秆温湿度监测记录等。</w:t>
      </w:r>
    </w:p>
    <w:p w14:paraId="7DED0158">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9.2　</w:t>
      </w:r>
      <w:r>
        <w:rPr>
          <w:rFonts w:hint="eastAsia"/>
          <w:sz w:val="32"/>
          <w:szCs w:val="32"/>
          <w:highlight w:val="none"/>
        </w:rPr>
        <w:t>保存期限</w:t>
      </w:r>
    </w:p>
    <w:p w14:paraId="3C17A05B">
      <w:pPr>
        <w:pStyle w:val="6"/>
        <w:keepNext w:val="0"/>
        <w:keepLines w:val="0"/>
        <w:pageBreakBefore w:val="0"/>
        <w:widowControl w:val="0"/>
        <w:kinsoku/>
        <w:wordWrap/>
        <w:overflowPunct/>
        <w:topLinePunct/>
        <w:autoSpaceDE w:val="0"/>
        <w:autoSpaceDN/>
        <w:bidi w:val="0"/>
        <w:adjustRightInd/>
        <w:snapToGrid/>
        <w:spacing w:line="560" w:lineRule="exact"/>
        <w:ind w:firstLine="42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档案保存期限不应少于3年。涉及安全生产、消防、环保等重要档案应长期保存。</w:t>
      </w:r>
    </w:p>
    <w:p w14:paraId="79315292">
      <w:pPr>
        <w:pStyle w:val="9"/>
        <w:keepNext w:val="0"/>
        <w:keepLines w:val="0"/>
        <w:pageBreakBefore w:val="0"/>
        <w:widowControl w:val="0"/>
        <w:numPr>
          <w:ilvl w:val="0"/>
          <w:numId w:val="0"/>
        </w:numPr>
        <w:kinsoku/>
        <w:wordWrap/>
        <w:overflowPunct/>
        <w:topLinePunct/>
        <w:autoSpaceDE w:val="0"/>
        <w:autoSpaceDN/>
        <w:bidi w:val="0"/>
        <w:adjustRightInd/>
        <w:snapToGrid/>
        <w:spacing w:before="0" w:beforeLines="0" w:after="0" w:afterLines="0" w:line="560" w:lineRule="exact"/>
        <w:ind w:left="0" w:leftChars="0" w:firstLine="0" w:firstLineChars="0"/>
        <w:textAlignment w:val="auto"/>
        <w:rPr>
          <w:sz w:val="32"/>
          <w:szCs w:val="32"/>
          <w:highlight w:val="none"/>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32"/>
          <w:szCs w:val="32"/>
          <w:highlight w:val="none"/>
          <w:u w:val="none"/>
          <w:vertAlign w:val="baseline"/>
          <w:lang w:val="en-US" w:eastAsia="zh-CN" w:bidi="ar-SA"/>
        </w:rPr>
        <w:t>9.3　</w:t>
      </w:r>
      <w:r>
        <w:rPr>
          <w:rFonts w:hint="eastAsia"/>
          <w:sz w:val="32"/>
          <w:szCs w:val="32"/>
          <w:highlight w:val="none"/>
        </w:rPr>
        <w:t>管理办法</w:t>
      </w:r>
    </w:p>
    <w:p w14:paraId="35C4EF12">
      <w:pPr>
        <w:rPr>
          <w:rFonts w:hint="eastAsia" w:ascii="仿宋_GB2312" w:hAnsi="仿宋_GB2312" w:eastAsia="仿宋_GB2312" w:cs="仿宋_GB2312"/>
          <w:sz w:val="32"/>
          <w:szCs w:val="32"/>
          <w:highlight w:val="none"/>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highlight w:val="none"/>
        </w:rPr>
        <w:t>应指定专人负责档案管理，实行分类编号、立卷归档。鼓励采用电子档案管理系统，确保数据真实、完整、可追溯。档案查阅应办理登记手续，防止丢失、篡改。</w:t>
      </w:r>
    </w:p>
    <w:p w14:paraId="571B202C">
      <w:pPr>
        <w:pStyle w:val="13"/>
        <w:keepNext w:val="0"/>
        <w:keepLines w:val="0"/>
        <w:pageBreakBefore w:val="0"/>
        <w:widowControl/>
        <w:numPr>
          <w:ilvl w:val="0"/>
          <w:numId w:val="0"/>
        </w:numPr>
        <w:kinsoku/>
        <w:wordWrap/>
        <w:overflowPunct/>
        <w:topLinePunct w:val="0"/>
        <w:autoSpaceDE/>
        <w:autoSpaceDN/>
        <w:bidi w:val="0"/>
        <w:adjustRightInd/>
        <w:snapToGrid/>
        <w:spacing w:before="0" w:after="0" w:afterLines="0"/>
        <w:ind w:left="0" w:leftChars="0" w:firstLine="0" w:firstLineChars="0"/>
        <w:textAlignment w:val="auto"/>
        <w:rPr>
          <w:highlight w:val="none"/>
        </w:rPr>
      </w:pPr>
      <w:r>
        <w:rPr>
          <w:rFonts w:hint="eastAsia" w:ascii="黑体" w:hAnsi="Times New Roman" w:eastAsia="黑体" w:cs="Times New Roman"/>
          <w:spacing w:val="100"/>
          <w:sz w:val="21"/>
          <w:highlight w:val="none"/>
          <w:lang w:val="en-US" w:eastAsia="zh-CN" w:bidi="ar-SA"/>
        </w:rPr>
        <w:t>附录A</w:t>
      </w:r>
      <w:r>
        <w:rPr>
          <w:highlight w:val="none"/>
        </w:rPr>
        <w:br w:type="textWrapping"/>
      </w:r>
      <w:bookmarkStart w:id="30" w:name="_Toc231551820"/>
      <w:r>
        <w:rPr>
          <w:rFonts w:hint="eastAsia"/>
          <w:highlight w:val="none"/>
        </w:rPr>
        <w:t>（资料性）</w:t>
      </w:r>
      <w:r>
        <w:rPr>
          <w:highlight w:val="none"/>
        </w:rPr>
        <w:br w:type="textWrapping"/>
      </w:r>
      <w:r>
        <w:rPr>
          <w:rFonts w:hint="eastAsia"/>
          <w:highlight w:val="none"/>
        </w:rPr>
        <w:t>收储点建设规模分级</w:t>
      </w:r>
      <w:bookmarkEnd w:id="30"/>
    </w:p>
    <w:p w14:paraId="0D8784DD">
      <w:pPr>
        <w:pStyle w:val="14"/>
        <w:numPr>
          <w:ilvl w:val="0"/>
          <w:numId w:val="0"/>
        </w:numPr>
        <w:spacing w:before="120" w:after="120"/>
        <w:ind w:left="0" w:leftChars="0" w:firstLine="0" w:firstLineChars="0"/>
        <w:rPr>
          <w:highlight w:val="none"/>
        </w:rPr>
      </w:pPr>
      <w:r>
        <w:rPr>
          <w:rFonts w:hint="eastAsia" w:ascii="黑体" w:hAnsi="Times New Roman" w:eastAsia="黑体" w:cs="Times New Roman"/>
          <w:b w:val="0"/>
          <w:i w:val="0"/>
          <w:kern w:val="21"/>
          <w:sz w:val="21"/>
          <w:highlight w:val="none"/>
          <w:lang w:val="en-US" w:eastAsia="zh-CN" w:bidi="ar-SA"/>
        </w:rPr>
        <w:t>A.1　</w:t>
      </w:r>
      <w:r>
        <w:rPr>
          <w:rFonts w:hint="eastAsia"/>
          <w:highlight w:val="none"/>
        </w:rPr>
        <w:t>分级</w:t>
      </w:r>
    </w:p>
    <w:p w14:paraId="5F2DBB8B">
      <w:pPr>
        <w:pStyle w:val="6"/>
        <w:ind w:firstLine="420"/>
        <w:rPr>
          <w:highlight w:val="none"/>
        </w:rPr>
      </w:pPr>
      <w:r>
        <w:rPr>
          <w:highlight w:val="none"/>
        </w:rPr>
        <w:t>农作物秸秆标准化收储点建设规模分级</w:t>
      </w:r>
      <w:r>
        <w:rPr>
          <w:rFonts w:hint="eastAsia"/>
          <w:highlight w:val="none"/>
        </w:rPr>
        <w:t>见表A.1。</w:t>
      </w:r>
    </w:p>
    <w:p w14:paraId="13DF1C75">
      <w:pPr>
        <w:pStyle w:val="15"/>
        <w:spacing w:before="120" w:after="120"/>
        <w:rPr>
          <w:highlight w:val="none"/>
        </w:rPr>
      </w:pPr>
      <w:r>
        <w:rPr>
          <w:highlight w:val="none"/>
        </w:rPr>
        <w:t>农作物秸秆标准化收储点建设规模分级表</w:t>
      </w:r>
    </w:p>
    <w:tbl>
      <w:tblPr>
        <w:tblStyle w:val="2"/>
        <w:tblW w:w="9641" w:type="dxa"/>
        <w:jc w:val="center"/>
        <w:tblLayout w:type="autofit"/>
        <w:tblCellMar>
          <w:top w:w="0" w:type="dxa"/>
          <w:left w:w="108" w:type="dxa"/>
          <w:bottom w:w="0" w:type="dxa"/>
          <w:right w:w="108" w:type="dxa"/>
        </w:tblCellMar>
      </w:tblPr>
      <w:tblGrid>
        <w:gridCol w:w="1506"/>
        <w:gridCol w:w="2153"/>
        <w:gridCol w:w="3110"/>
        <w:gridCol w:w="2872"/>
      </w:tblGrid>
      <w:tr w14:paraId="4F889731">
        <w:tblPrEx>
          <w:tblCellMar>
            <w:top w:w="0" w:type="dxa"/>
            <w:left w:w="108" w:type="dxa"/>
            <w:bottom w:w="0" w:type="dxa"/>
            <w:right w:w="108" w:type="dxa"/>
          </w:tblCellMar>
        </w:tblPrEx>
        <w:trPr>
          <w:trHeight w:val="51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A425A">
            <w:pPr>
              <w:widowControl/>
              <w:snapToGrid w:val="0"/>
              <w:spacing w:line="240" w:lineRule="auto"/>
              <w:jc w:val="center"/>
              <w:textAlignment w:val="center"/>
              <w:rPr>
                <w:rFonts w:ascii="Times New Roman" w:hAnsi="Times New Roman"/>
                <w:b/>
                <w:kern w:val="0"/>
                <w:szCs w:val="20"/>
                <w:highlight w:val="none"/>
              </w:rPr>
            </w:pPr>
            <w:r>
              <w:rPr>
                <w:rFonts w:ascii="Times New Roman" w:hAnsi="Times New Roman"/>
                <w:b/>
                <w:kern w:val="0"/>
                <w:szCs w:val="20"/>
                <w:highlight w:val="none"/>
              </w:rPr>
              <w:t>级别</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408AE">
            <w:pPr>
              <w:widowControl/>
              <w:snapToGrid w:val="0"/>
              <w:spacing w:line="240" w:lineRule="auto"/>
              <w:jc w:val="center"/>
              <w:textAlignment w:val="center"/>
              <w:rPr>
                <w:rFonts w:ascii="Times New Roman" w:hAnsi="Times New Roman"/>
                <w:b/>
                <w:kern w:val="0"/>
                <w:szCs w:val="20"/>
                <w:highlight w:val="none"/>
              </w:rPr>
            </w:pPr>
            <w:r>
              <w:rPr>
                <w:rFonts w:ascii="Times New Roman" w:hAnsi="Times New Roman"/>
                <w:b/>
                <w:kern w:val="0"/>
                <w:szCs w:val="20"/>
                <w:highlight w:val="none"/>
              </w:rPr>
              <w:t>设计存储量</w:t>
            </w:r>
            <w:r>
              <w:rPr>
                <w:rFonts w:hint="eastAsia" w:ascii="Times New Roman" w:hAnsi="Times New Roman"/>
                <w:b/>
                <w:kern w:val="0"/>
                <w:szCs w:val="20"/>
                <w:highlight w:val="none"/>
              </w:rPr>
              <w:t>（吨）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7463CC">
            <w:pPr>
              <w:widowControl/>
              <w:snapToGrid w:val="0"/>
              <w:spacing w:line="240" w:lineRule="auto"/>
              <w:jc w:val="center"/>
              <w:textAlignment w:val="center"/>
              <w:rPr>
                <w:rFonts w:ascii="Times New Roman" w:hAnsi="Times New Roman"/>
                <w:b/>
                <w:kern w:val="0"/>
                <w:szCs w:val="20"/>
                <w:highlight w:val="none"/>
              </w:rPr>
            </w:pPr>
            <w:r>
              <w:rPr>
                <w:rFonts w:ascii="Times New Roman" w:hAnsi="Times New Roman"/>
                <w:b/>
                <w:kern w:val="0"/>
                <w:szCs w:val="20"/>
                <w:highlight w:val="none"/>
              </w:rPr>
              <w:t>收储点占地面积</w:t>
            </w:r>
            <w:r>
              <w:rPr>
                <w:rFonts w:hint="eastAsia" w:ascii="Times New Roman" w:hAnsi="Times New Roman"/>
                <w:b/>
                <w:kern w:val="0"/>
                <w:szCs w:val="20"/>
                <w:highlight w:val="none"/>
              </w:rPr>
              <w:t>（平方米）</w:t>
            </w:r>
          </w:p>
        </w:tc>
        <w:tc>
          <w:tcPr>
            <w:tcW w:w="28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64994">
            <w:pPr>
              <w:widowControl/>
              <w:snapToGrid w:val="0"/>
              <w:spacing w:line="240" w:lineRule="auto"/>
              <w:jc w:val="center"/>
              <w:textAlignment w:val="center"/>
              <w:rPr>
                <w:rFonts w:ascii="Times New Roman" w:hAnsi="Times New Roman"/>
                <w:b/>
                <w:kern w:val="0"/>
                <w:szCs w:val="20"/>
                <w:highlight w:val="none"/>
              </w:rPr>
            </w:pPr>
            <w:r>
              <w:rPr>
                <w:rFonts w:ascii="Times New Roman" w:hAnsi="Times New Roman"/>
                <w:b/>
                <w:kern w:val="0"/>
                <w:szCs w:val="20"/>
                <w:highlight w:val="none"/>
              </w:rPr>
              <w:t>存储区域面积</w:t>
            </w:r>
            <w:r>
              <w:rPr>
                <w:rFonts w:hint="eastAsia" w:ascii="Times New Roman" w:hAnsi="Times New Roman"/>
                <w:b/>
                <w:kern w:val="0"/>
                <w:szCs w:val="20"/>
                <w:highlight w:val="none"/>
              </w:rPr>
              <w:t>（平方米）</w:t>
            </w:r>
          </w:p>
        </w:tc>
      </w:tr>
      <w:tr w14:paraId="3F0A79BD">
        <w:tblPrEx>
          <w:tblCellMar>
            <w:top w:w="0" w:type="dxa"/>
            <w:left w:w="108" w:type="dxa"/>
            <w:bottom w:w="0" w:type="dxa"/>
            <w:right w:w="108" w:type="dxa"/>
          </w:tblCellMar>
        </w:tblPrEx>
        <w:trPr>
          <w:trHeight w:val="51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2080FA">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收储中心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EEDF0">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5000~10000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5900E">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20000~40000</w:t>
            </w:r>
          </w:p>
        </w:tc>
        <w:tc>
          <w:tcPr>
            <w:tcW w:w="28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F2A0F">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10000~20000</w:t>
            </w:r>
          </w:p>
        </w:tc>
      </w:tr>
      <w:tr w14:paraId="447530D4">
        <w:tblPrEx>
          <w:tblCellMar>
            <w:top w:w="0" w:type="dxa"/>
            <w:left w:w="108" w:type="dxa"/>
            <w:bottom w:w="0" w:type="dxa"/>
            <w:right w:w="108" w:type="dxa"/>
          </w:tblCellMar>
        </w:tblPrEx>
        <w:trPr>
          <w:trHeight w:val="51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66F99">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一般收储点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E30DB">
            <w:pPr>
              <w:widowControl/>
              <w:snapToGrid w:val="0"/>
              <w:spacing w:line="240" w:lineRule="auto"/>
              <w:jc w:val="center"/>
              <w:textAlignment w:val="center"/>
              <w:rPr>
                <w:rFonts w:ascii="Times New Roman" w:hAnsi="Times New Roman"/>
                <w:kern w:val="0"/>
                <w:szCs w:val="20"/>
                <w:highlight w:val="none"/>
              </w:rPr>
            </w:pPr>
            <w:r>
              <w:rPr>
                <w:rFonts w:hint="eastAsia" w:ascii="Times New Roman" w:hAnsi="Times New Roman"/>
                <w:kern w:val="0"/>
                <w:szCs w:val="20"/>
                <w:highlight w:val="none"/>
              </w:rPr>
              <w:t>2</w:t>
            </w:r>
            <w:r>
              <w:rPr>
                <w:rFonts w:ascii="Times New Roman" w:hAnsi="Times New Roman"/>
                <w:kern w:val="0"/>
                <w:szCs w:val="20"/>
                <w:highlight w:val="none"/>
              </w:rPr>
              <w:t>000~</w:t>
            </w:r>
            <w:r>
              <w:rPr>
                <w:rFonts w:hint="eastAsia" w:ascii="Times New Roman" w:hAnsi="Times New Roman"/>
                <w:kern w:val="0"/>
                <w:szCs w:val="20"/>
                <w:highlight w:val="none"/>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7E4A7">
            <w:pPr>
              <w:widowControl/>
              <w:snapToGrid w:val="0"/>
              <w:spacing w:line="240" w:lineRule="auto"/>
              <w:jc w:val="center"/>
              <w:textAlignment w:val="center"/>
              <w:rPr>
                <w:rFonts w:ascii="Times New Roman" w:hAnsi="Times New Roman"/>
                <w:kern w:val="0"/>
                <w:szCs w:val="20"/>
                <w:highlight w:val="none"/>
              </w:rPr>
            </w:pPr>
            <w:r>
              <w:rPr>
                <w:rFonts w:hint="eastAsia" w:ascii="Times New Roman" w:hAnsi="Times New Roman"/>
                <w:kern w:val="0"/>
                <w:szCs w:val="20"/>
                <w:highlight w:val="none"/>
              </w:rPr>
              <w:t>12000</w:t>
            </w:r>
            <w:r>
              <w:rPr>
                <w:rFonts w:ascii="Times New Roman" w:hAnsi="Times New Roman"/>
                <w:kern w:val="0"/>
                <w:szCs w:val="20"/>
                <w:highlight w:val="none"/>
              </w:rPr>
              <w:t>~</w:t>
            </w:r>
            <w:r>
              <w:rPr>
                <w:rFonts w:hint="eastAsia" w:ascii="Times New Roman" w:hAnsi="Times New Roman"/>
                <w:kern w:val="0"/>
                <w:szCs w:val="20"/>
                <w:highlight w:val="none"/>
              </w:rPr>
              <w:t>2</w:t>
            </w:r>
            <w:r>
              <w:rPr>
                <w:rFonts w:ascii="Times New Roman" w:hAnsi="Times New Roman"/>
                <w:kern w:val="0"/>
                <w:szCs w:val="20"/>
                <w:highlight w:val="none"/>
              </w:rPr>
              <w:t>000</w:t>
            </w:r>
            <w:r>
              <w:rPr>
                <w:rFonts w:hint="eastAsia" w:ascii="Times New Roman" w:hAnsi="Times New Roman"/>
                <w:kern w:val="0"/>
                <w:szCs w:val="20"/>
                <w:highlight w:val="none"/>
              </w:rPr>
              <w:t>0</w:t>
            </w:r>
          </w:p>
        </w:tc>
        <w:tc>
          <w:tcPr>
            <w:tcW w:w="28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27035">
            <w:pPr>
              <w:widowControl/>
              <w:snapToGrid w:val="0"/>
              <w:spacing w:line="240" w:lineRule="auto"/>
              <w:jc w:val="center"/>
              <w:textAlignment w:val="center"/>
              <w:rPr>
                <w:rFonts w:ascii="Times New Roman" w:hAnsi="Times New Roman"/>
                <w:kern w:val="0"/>
                <w:szCs w:val="20"/>
                <w:highlight w:val="none"/>
              </w:rPr>
            </w:pPr>
            <w:r>
              <w:rPr>
                <w:rFonts w:hint="eastAsia" w:ascii="Times New Roman" w:hAnsi="Times New Roman"/>
                <w:kern w:val="0"/>
                <w:szCs w:val="20"/>
                <w:highlight w:val="none"/>
              </w:rPr>
              <w:t>6000</w:t>
            </w:r>
            <w:r>
              <w:rPr>
                <w:rFonts w:ascii="Times New Roman" w:hAnsi="Times New Roman"/>
                <w:kern w:val="0"/>
                <w:szCs w:val="20"/>
                <w:highlight w:val="none"/>
              </w:rPr>
              <w:t>~</w:t>
            </w:r>
            <w:r>
              <w:rPr>
                <w:rFonts w:hint="eastAsia" w:ascii="Times New Roman" w:hAnsi="Times New Roman"/>
                <w:kern w:val="0"/>
                <w:szCs w:val="20"/>
                <w:highlight w:val="none"/>
              </w:rPr>
              <w:t>10</w:t>
            </w:r>
            <w:r>
              <w:rPr>
                <w:rFonts w:ascii="Times New Roman" w:hAnsi="Times New Roman"/>
                <w:kern w:val="0"/>
                <w:szCs w:val="20"/>
                <w:highlight w:val="none"/>
              </w:rPr>
              <w:t>000</w:t>
            </w:r>
          </w:p>
        </w:tc>
      </w:tr>
      <w:tr w14:paraId="346FDB43">
        <w:tblPrEx>
          <w:tblCellMar>
            <w:top w:w="0" w:type="dxa"/>
            <w:left w:w="108" w:type="dxa"/>
            <w:bottom w:w="0" w:type="dxa"/>
            <w:right w:w="108" w:type="dxa"/>
          </w:tblCellMar>
        </w:tblPrEx>
        <w:trPr>
          <w:trHeight w:val="51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85829">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临时收储点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2823F">
            <w:pPr>
              <w:widowControl/>
              <w:snapToGrid w:val="0"/>
              <w:spacing w:line="240" w:lineRule="auto"/>
              <w:jc w:val="center"/>
              <w:textAlignment w:val="center"/>
              <w:rPr>
                <w:rFonts w:ascii="Times New Roman" w:hAnsi="Times New Roman"/>
                <w:kern w:val="0"/>
                <w:szCs w:val="20"/>
                <w:highlight w:val="none"/>
              </w:rPr>
            </w:pPr>
            <w:r>
              <w:rPr>
                <w:rFonts w:hint="eastAsia" w:ascii="Times New Roman" w:hAnsi="Times New Roman"/>
                <w:kern w:val="0"/>
                <w:szCs w:val="20"/>
                <w:highlight w:val="none"/>
              </w:rPr>
              <w:t>1</w:t>
            </w:r>
            <w:r>
              <w:rPr>
                <w:rFonts w:ascii="Times New Roman" w:hAnsi="Times New Roman"/>
                <w:kern w:val="0"/>
                <w:szCs w:val="20"/>
                <w:highlight w:val="none"/>
              </w:rPr>
              <w:t>000~</w:t>
            </w:r>
            <w:r>
              <w:rPr>
                <w:rFonts w:hint="eastAsia" w:ascii="Times New Roman" w:hAnsi="Times New Roman"/>
                <w:kern w:val="0"/>
                <w:szCs w:val="20"/>
                <w:highlight w:val="none"/>
              </w:rPr>
              <w:t>2</w:t>
            </w:r>
            <w:r>
              <w:rPr>
                <w:rFonts w:ascii="Times New Roman" w:hAnsi="Times New Roman"/>
                <w:kern w:val="0"/>
                <w:szCs w:val="20"/>
                <w:highlight w:val="none"/>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87C7B0">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8000~</w:t>
            </w:r>
            <w:r>
              <w:rPr>
                <w:rFonts w:hint="eastAsia" w:ascii="Times New Roman" w:hAnsi="Times New Roman"/>
                <w:kern w:val="0"/>
                <w:szCs w:val="20"/>
                <w:highlight w:val="none"/>
              </w:rPr>
              <w:t>12</w:t>
            </w:r>
            <w:r>
              <w:rPr>
                <w:rFonts w:ascii="Times New Roman" w:hAnsi="Times New Roman"/>
                <w:kern w:val="0"/>
                <w:szCs w:val="20"/>
                <w:highlight w:val="none"/>
              </w:rPr>
              <w:t>000</w:t>
            </w:r>
          </w:p>
        </w:tc>
        <w:tc>
          <w:tcPr>
            <w:tcW w:w="28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086D83">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4000~</w:t>
            </w:r>
            <w:r>
              <w:rPr>
                <w:rFonts w:hint="eastAsia" w:ascii="Times New Roman" w:hAnsi="Times New Roman"/>
                <w:kern w:val="0"/>
                <w:szCs w:val="20"/>
                <w:highlight w:val="none"/>
              </w:rPr>
              <w:t>6</w:t>
            </w:r>
            <w:r>
              <w:rPr>
                <w:rFonts w:ascii="Times New Roman" w:hAnsi="Times New Roman"/>
                <w:kern w:val="0"/>
                <w:szCs w:val="20"/>
                <w:highlight w:val="none"/>
              </w:rPr>
              <w:t>000</w:t>
            </w:r>
          </w:p>
        </w:tc>
      </w:tr>
      <w:tr w14:paraId="262528A9">
        <w:tblPrEx>
          <w:tblCellMar>
            <w:top w:w="0" w:type="dxa"/>
            <w:left w:w="108" w:type="dxa"/>
            <w:bottom w:w="0" w:type="dxa"/>
            <w:right w:w="108" w:type="dxa"/>
          </w:tblCellMar>
        </w:tblPrEx>
        <w:trPr>
          <w:trHeight w:val="510" w:hRule="atLeast"/>
          <w:jc w:val="center"/>
        </w:trPr>
        <w:tc>
          <w:tcPr>
            <w:tcW w:w="15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BE796">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收储</w:t>
            </w:r>
            <w:r>
              <w:rPr>
                <w:rFonts w:hint="eastAsia" w:ascii="Times New Roman" w:hAnsi="Times New Roman"/>
                <w:kern w:val="0"/>
                <w:szCs w:val="20"/>
                <w:highlight w:val="none"/>
              </w:rPr>
              <w:t>堆场</w:t>
            </w:r>
          </w:p>
        </w:tc>
        <w:tc>
          <w:tcPr>
            <w:tcW w:w="21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1A0E29">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500~</w:t>
            </w:r>
            <w:r>
              <w:rPr>
                <w:rFonts w:hint="eastAsia" w:ascii="Times New Roman" w:hAnsi="Times New Roman"/>
                <w:kern w:val="0"/>
                <w:szCs w:val="20"/>
                <w:highlight w:val="none"/>
              </w:rPr>
              <w:t>1</w:t>
            </w:r>
            <w:r>
              <w:rPr>
                <w:rFonts w:ascii="Times New Roman" w:hAnsi="Times New Roman"/>
                <w:kern w:val="0"/>
                <w:szCs w:val="20"/>
                <w:highlight w:val="none"/>
              </w:rPr>
              <w:t>000</w:t>
            </w:r>
          </w:p>
        </w:tc>
        <w:tc>
          <w:tcPr>
            <w:tcW w:w="31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7B5D1">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2000~8000</w:t>
            </w:r>
          </w:p>
        </w:tc>
        <w:tc>
          <w:tcPr>
            <w:tcW w:w="28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3F2C3">
            <w:pPr>
              <w:widowControl/>
              <w:snapToGrid w:val="0"/>
              <w:spacing w:line="240" w:lineRule="auto"/>
              <w:jc w:val="center"/>
              <w:textAlignment w:val="center"/>
              <w:rPr>
                <w:rFonts w:ascii="Times New Roman" w:hAnsi="Times New Roman"/>
                <w:kern w:val="0"/>
                <w:szCs w:val="20"/>
                <w:highlight w:val="none"/>
              </w:rPr>
            </w:pPr>
            <w:r>
              <w:rPr>
                <w:rFonts w:ascii="Times New Roman" w:hAnsi="Times New Roman"/>
                <w:kern w:val="0"/>
                <w:szCs w:val="20"/>
                <w:highlight w:val="none"/>
              </w:rPr>
              <w:t>1000~4000</w:t>
            </w:r>
          </w:p>
        </w:tc>
      </w:tr>
    </w:tbl>
    <w:p w14:paraId="57D93FBE">
      <w:pPr>
        <w:pStyle w:val="6"/>
        <w:ind w:firstLine="420"/>
        <w:rPr>
          <w:highlight w:val="none"/>
        </w:rPr>
      </w:pPr>
    </w:p>
    <w:p w14:paraId="72A534E4">
      <w:pPr>
        <w:pStyle w:val="14"/>
        <w:numPr>
          <w:ilvl w:val="0"/>
          <w:numId w:val="0"/>
        </w:numPr>
        <w:spacing w:before="120" w:after="120"/>
        <w:ind w:left="0" w:leftChars="0" w:firstLine="0" w:firstLineChars="0"/>
        <w:rPr>
          <w:highlight w:val="none"/>
        </w:rPr>
      </w:pPr>
      <w:r>
        <w:rPr>
          <w:rFonts w:hint="eastAsia" w:ascii="黑体" w:hAnsi="Times New Roman" w:eastAsia="黑体" w:cs="Times New Roman"/>
          <w:b w:val="0"/>
          <w:i w:val="0"/>
          <w:kern w:val="21"/>
          <w:sz w:val="21"/>
          <w:highlight w:val="none"/>
          <w:lang w:val="en-US" w:eastAsia="zh-CN" w:bidi="ar-SA"/>
        </w:rPr>
        <w:t>A.2　</w:t>
      </w:r>
      <w:r>
        <w:rPr>
          <w:rFonts w:hint="eastAsia"/>
          <w:highlight w:val="none"/>
        </w:rPr>
        <w:t>消防设施配置</w:t>
      </w:r>
    </w:p>
    <w:p w14:paraId="08EE8BA8">
      <w:pPr>
        <w:pStyle w:val="6"/>
        <w:ind w:firstLine="420"/>
        <w:rPr>
          <w:highlight w:val="none"/>
        </w:rPr>
      </w:pPr>
      <w:r>
        <w:rPr>
          <w:rFonts w:hint="eastAsia"/>
          <w:highlight w:val="none"/>
        </w:rPr>
        <w:t>四级收储点的消防设施配置见表A.2。</w:t>
      </w:r>
    </w:p>
    <w:p w14:paraId="6DC97F81">
      <w:pPr>
        <w:pStyle w:val="15"/>
        <w:spacing w:before="120" w:after="120"/>
        <w:rPr>
          <w:highlight w:val="none"/>
        </w:rPr>
      </w:pPr>
      <w:r>
        <w:rPr>
          <w:highlight w:val="none"/>
        </w:rPr>
        <w:t>四级收储点消防设施配置参考表</w:t>
      </w:r>
    </w:p>
    <w:tbl>
      <w:tblPr>
        <w:tblStyle w:val="2"/>
        <w:tblW w:w="10040" w:type="dxa"/>
        <w:jc w:val="center"/>
        <w:tblLayout w:type="autofit"/>
        <w:tblCellMar>
          <w:top w:w="0" w:type="dxa"/>
          <w:left w:w="108" w:type="dxa"/>
          <w:bottom w:w="0" w:type="dxa"/>
          <w:right w:w="108" w:type="dxa"/>
        </w:tblCellMar>
      </w:tblPr>
      <w:tblGrid>
        <w:gridCol w:w="1600"/>
        <w:gridCol w:w="2351"/>
        <w:gridCol w:w="2351"/>
        <w:gridCol w:w="2351"/>
        <w:gridCol w:w="1387"/>
      </w:tblGrid>
      <w:tr w14:paraId="0D938C79">
        <w:trPr>
          <w:trHeight w:val="454" w:hRule="atLeast"/>
          <w:tblHeader/>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06EB91">
            <w:pPr>
              <w:widowControl/>
              <w:snapToGrid w:val="0"/>
              <w:spacing w:line="240" w:lineRule="auto"/>
              <w:jc w:val="center"/>
              <w:textAlignment w:val="center"/>
              <w:rPr>
                <w:rFonts w:ascii="宋体" w:hAnsi="Times New Roman"/>
                <w:b/>
                <w:kern w:val="0"/>
                <w:szCs w:val="20"/>
                <w:highlight w:val="none"/>
              </w:rPr>
            </w:pPr>
            <w:r>
              <w:rPr>
                <w:rFonts w:ascii="宋体" w:hAnsi="Times New Roman"/>
                <w:b/>
                <w:kern w:val="0"/>
                <w:szCs w:val="20"/>
                <w:highlight w:val="none"/>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C54EB">
            <w:pPr>
              <w:widowControl/>
              <w:snapToGrid w:val="0"/>
              <w:spacing w:line="240" w:lineRule="auto"/>
              <w:jc w:val="center"/>
              <w:textAlignment w:val="center"/>
              <w:rPr>
                <w:rFonts w:ascii="宋体" w:hAnsi="Times New Roman"/>
                <w:b/>
                <w:kern w:val="0"/>
                <w:szCs w:val="20"/>
                <w:highlight w:val="none"/>
              </w:rPr>
            </w:pPr>
            <w:r>
              <w:rPr>
                <w:rFonts w:hint="eastAsia" w:ascii="宋体" w:hAnsi="Times New Roman"/>
                <w:b/>
                <w:kern w:val="0"/>
                <w:szCs w:val="20"/>
                <w:highlight w:val="none"/>
              </w:rPr>
              <w:t>收储中心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3E1EB">
            <w:pPr>
              <w:widowControl/>
              <w:snapToGrid w:val="0"/>
              <w:spacing w:line="240" w:lineRule="auto"/>
              <w:jc w:val="center"/>
              <w:textAlignment w:val="center"/>
              <w:rPr>
                <w:rFonts w:ascii="宋体" w:hAnsi="Times New Roman"/>
                <w:b/>
                <w:kern w:val="0"/>
                <w:szCs w:val="20"/>
                <w:highlight w:val="none"/>
              </w:rPr>
            </w:pPr>
            <w:r>
              <w:rPr>
                <w:rFonts w:hint="eastAsia" w:ascii="宋体" w:hAnsi="Times New Roman"/>
                <w:b/>
                <w:kern w:val="0"/>
                <w:szCs w:val="20"/>
                <w:highlight w:val="none"/>
              </w:rPr>
              <w:t>一般收储点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FC4A2A">
            <w:pPr>
              <w:widowControl/>
              <w:snapToGrid w:val="0"/>
              <w:spacing w:line="240" w:lineRule="auto"/>
              <w:jc w:val="center"/>
              <w:textAlignment w:val="center"/>
              <w:rPr>
                <w:rFonts w:ascii="宋体" w:hAnsi="Times New Roman"/>
                <w:b/>
                <w:kern w:val="0"/>
                <w:szCs w:val="20"/>
                <w:highlight w:val="none"/>
              </w:rPr>
            </w:pPr>
            <w:r>
              <w:rPr>
                <w:rFonts w:hint="eastAsia" w:ascii="宋体" w:hAnsi="Times New Roman"/>
                <w:b/>
                <w:kern w:val="0"/>
                <w:szCs w:val="20"/>
                <w:highlight w:val="none"/>
              </w:rPr>
              <w:t>临时收储点</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66B74">
            <w:pPr>
              <w:widowControl/>
              <w:snapToGrid w:val="0"/>
              <w:spacing w:line="240" w:lineRule="auto"/>
              <w:jc w:val="center"/>
              <w:textAlignment w:val="center"/>
              <w:rPr>
                <w:rFonts w:ascii="宋体" w:hAnsi="Times New Roman"/>
                <w:b/>
                <w:kern w:val="0"/>
                <w:szCs w:val="20"/>
                <w:highlight w:val="none"/>
              </w:rPr>
            </w:pPr>
            <w:r>
              <w:rPr>
                <w:rFonts w:hint="eastAsia" w:ascii="宋体" w:hAnsi="Times New Roman"/>
                <w:b/>
                <w:kern w:val="0"/>
                <w:szCs w:val="20"/>
                <w:highlight w:val="none"/>
              </w:rPr>
              <w:t>临时堆场</w:t>
            </w:r>
          </w:p>
        </w:tc>
      </w:tr>
      <w:tr w14:paraId="59F77A17">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9D3D1">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消防设备要求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E95BA">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应配置完善的固定式和移动式消防设施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D1B2E">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应配置完善的固定式和移动式消防设施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250E3">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应配置必要的消防设施</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00F90A">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应配置必要的消防设施</w:t>
            </w:r>
          </w:p>
        </w:tc>
      </w:tr>
      <w:tr w14:paraId="699223EC">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0FB549">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人员配置要求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5934B">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应配备专职管理人员和作业队伍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C3D0DA">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应配备专职管理人员</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D75E4">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应配备专职或兼职管理人员</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2C3B88">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配备兼职管理人员</w:t>
            </w:r>
          </w:p>
        </w:tc>
      </w:tr>
      <w:tr w14:paraId="0F640E51">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DC36E1">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消防水池容量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A4B0D">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≥满足3</w:t>
            </w:r>
            <w:r>
              <w:rPr>
                <w:rFonts w:hint="eastAsia" w:ascii="宋体" w:hAnsi="Times New Roman"/>
                <w:kern w:val="0"/>
                <w:szCs w:val="20"/>
                <w:highlight w:val="none"/>
              </w:rPr>
              <w:t>小时</w:t>
            </w:r>
            <w:r>
              <w:rPr>
                <w:rFonts w:ascii="宋体" w:hAnsi="Times New Roman"/>
                <w:kern w:val="0"/>
                <w:szCs w:val="20"/>
                <w:highlight w:val="none"/>
              </w:rPr>
              <w:t>室内外消防用水量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F03BB0">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≥满足3</w:t>
            </w:r>
            <w:r>
              <w:rPr>
                <w:rFonts w:hint="eastAsia" w:ascii="宋体" w:hAnsi="Times New Roman"/>
                <w:kern w:val="0"/>
                <w:szCs w:val="20"/>
                <w:highlight w:val="none"/>
              </w:rPr>
              <w:t>小时</w:t>
            </w:r>
            <w:r>
              <w:rPr>
                <w:rFonts w:ascii="宋体" w:hAnsi="Times New Roman"/>
                <w:kern w:val="0"/>
                <w:szCs w:val="20"/>
                <w:highlight w:val="none"/>
              </w:rPr>
              <w:t>室内外消防用水量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61D81C">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≥满足3</w:t>
            </w:r>
            <w:r>
              <w:rPr>
                <w:rFonts w:hint="eastAsia" w:ascii="宋体" w:hAnsi="Times New Roman"/>
                <w:kern w:val="0"/>
                <w:szCs w:val="20"/>
                <w:highlight w:val="none"/>
              </w:rPr>
              <w:t>小时</w:t>
            </w:r>
            <w:r>
              <w:rPr>
                <w:rFonts w:ascii="宋体" w:hAnsi="Times New Roman"/>
                <w:kern w:val="0"/>
                <w:szCs w:val="20"/>
                <w:highlight w:val="none"/>
              </w:rPr>
              <w:t>室内外消防用水量</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95AF8">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≥满足初期火灾扑救需求</w:t>
            </w:r>
          </w:p>
        </w:tc>
      </w:tr>
      <w:tr w14:paraId="0C950523">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84C602">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室外消火栓</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CD7AE">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全覆盖，间距≤120</w:t>
            </w:r>
            <w:r>
              <w:rPr>
                <w:rFonts w:hint="eastAsia" w:ascii="宋体" w:hAnsi="Times New Roman"/>
                <w:kern w:val="0"/>
                <w:szCs w:val="20"/>
                <w:highlight w:val="none"/>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3EF8CA">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全覆盖，间距≤120</w:t>
            </w:r>
            <w:r>
              <w:rPr>
                <w:rFonts w:hint="eastAsia" w:ascii="宋体" w:hAnsi="Times New Roman"/>
                <w:kern w:val="0"/>
                <w:szCs w:val="20"/>
                <w:highlight w:val="none"/>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824043">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全覆盖，间距≤120</w:t>
            </w:r>
            <w:r>
              <w:rPr>
                <w:rFonts w:hint="eastAsia" w:ascii="宋体" w:hAnsi="Times New Roman"/>
                <w:kern w:val="0"/>
                <w:szCs w:val="20"/>
                <w:highlight w:val="none"/>
              </w:rPr>
              <w:t>米</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BDD2E">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主要区域覆盖</w:t>
            </w:r>
          </w:p>
        </w:tc>
      </w:tr>
      <w:tr w14:paraId="38693972">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DA9305">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灭火器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256B5">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按严重危险级场所配置，类型适用固体火灾</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0D5FC">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按严重危险级场所配置，类型适用固体火灾</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A5538">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按严重危险级场所配置，类型适用固体火灾</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2A700">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按中危险级场所配置</w:t>
            </w:r>
          </w:p>
        </w:tc>
      </w:tr>
      <w:tr w14:paraId="132867E1">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B65B4">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消防水泵及备用泵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7A4A78">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必须设置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46A18">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必须设置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5D437">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宜设置</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F32F7">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可根据条件设置</w:t>
            </w:r>
          </w:p>
        </w:tc>
      </w:tr>
      <w:tr w14:paraId="6658E617">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DA6E68">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火灾自动报警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6F17F2">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必须设置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F0D975">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宜设置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1634E">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鼓励设置</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AB8E6">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可选</w:t>
            </w:r>
          </w:p>
        </w:tc>
      </w:tr>
      <w:tr w14:paraId="1F893B9D">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62A4E">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监控系统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D9E016">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全覆盖</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AC1F2">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重点区域覆盖</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01D29">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重点区域覆盖</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549C53">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可选</w:t>
            </w:r>
          </w:p>
        </w:tc>
      </w:tr>
      <w:tr w14:paraId="7A9E744C">
        <w:tblPrEx>
          <w:tblCellMar>
            <w:top w:w="0" w:type="dxa"/>
            <w:left w:w="108" w:type="dxa"/>
            <w:bottom w:w="0" w:type="dxa"/>
            <w:right w:w="108" w:type="dxa"/>
          </w:tblCellMar>
        </w:tblPrEx>
        <w:trPr>
          <w:trHeight w:val="454" w:hRule="atLeast"/>
          <w:jc w:val="center"/>
        </w:trPr>
        <w:tc>
          <w:tcPr>
            <w:tcW w:w="16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004884">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消防车</w:t>
            </w:r>
          </w:p>
        </w:tc>
        <w:tc>
          <w:tcPr>
            <w:tcW w:w="23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DE902">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鼓励自备或签订应急协议</w:t>
            </w:r>
          </w:p>
        </w:tc>
        <w:tc>
          <w:tcPr>
            <w:tcW w:w="23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672272">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鼓励签订应急协议</w:t>
            </w:r>
          </w:p>
        </w:tc>
        <w:tc>
          <w:tcPr>
            <w:tcW w:w="23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501F9">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E4F76">
            <w:pPr>
              <w:widowControl/>
              <w:snapToGrid w:val="0"/>
              <w:spacing w:line="240" w:lineRule="auto"/>
              <w:jc w:val="center"/>
              <w:textAlignment w:val="center"/>
              <w:rPr>
                <w:rFonts w:ascii="宋体" w:hAnsi="Times New Roman"/>
                <w:kern w:val="0"/>
                <w:szCs w:val="20"/>
                <w:highlight w:val="none"/>
              </w:rPr>
            </w:pPr>
            <w:r>
              <w:rPr>
                <w:rFonts w:ascii="宋体" w:hAnsi="Times New Roman"/>
                <w:kern w:val="0"/>
                <w:szCs w:val="20"/>
                <w:highlight w:val="none"/>
              </w:rPr>
              <w:t>-</w:t>
            </w:r>
          </w:p>
        </w:tc>
      </w:tr>
    </w:tbl>
    <w:p w14:paraId="225F3FCA">
      <w:pPr>
        <w:pStyle w:val="6"/>
        <w:ind w:firstLine="420"/>
        <w:rPr>
          <w:highlight w:val="none"/>
        </w:rPr>
      </w:pPr>
    </w:p>
    <w:p w14:paraId="51606223">
      <w:pPr>
        <w:pStyle w:val="6"/>
        <w:ind w:firstLine="420"/>
        <w:rPr>
          <w:highlight w:val="none"/>
        </w:rPr>
        <w:sectPr>
          <w:pgSz w:w="11906" w:h="16838"/>
          <w:pgMar w:top="1928" w:right="1134" w:bottom="1134" w:left="1134" w:header="1418" w:footer="1134" w:gutter="284"/>
          <w:cols w:space="720" w:num="1"/>
          <w:formProt w:val="0"/>
          <w:docGrid w:linePitch="312" w:charSpace="0"/>
        </w:sectPr>
      </w:pPr>
    </w:p>
    <w:p w14:paraId="76DEBD6A">
      <w:pPr>
        <w:pStyle w:val="13"/>
        <w:keepNext w:val="0"/>
        <w:keepLines w:val="0"/>
        <w:pageBreakBefore w:val="0"/>
        <w:widowControl/>
        <w:numPr>
          <w:ilvl w:val="0"/>
          <w:numId w:val="0"/>
        </w:numPr>
        <w:kinsoku/>
        <w:wordWrap/>
        <w:overflowPunct/>
        <w:topLinePunct w:val="0"/>
        <w:autoSpaceDE/>
        <w:autoSpaceDN/>
        <w:bidi w:val="0"/>
        <w:adjustRightInd/>
        <w:snapToGrid/>
        <w:spacing w:before="0" w:after="0" w:afterLines="0"/>
        <w:ind w:left="0" w:leftChars="0" w:firstLine="0" w:firstLineChars="0"/>
        <w:textAlignment w:val="auto"/>
        <w:rPr>
          <w:highlight w:val="none"/>
        </w:rPr>
      </w:pPr>
      <w:bookmarkStart w:id="31" w:name="_Toc231551821"/>
      <w:r>
        <w:rPr>
          <w:rFonts w:hint="eastAsia" w:ascii="黑体" w:hAnsi="Times New Roman" w:eastAsia="黑体" w:cs="Times New Roman"/>
          <w:spacing w:val="100"/>
          <w:sz w:val="21"/>
          <w:highlight w:val="none"/>
          <w:lang w:val="en-US" w:eastAsia="zh-CN" w:bidi="ar-SA"/>
        </w:rPr>
        <w:t>附录B</w:t>
      </w:r>
      <w:r>
        <w:rPr>
          <w:rFonts w:hint="eastAsia"/>
          <w:highlight w:val="none"/>
        </w:rPr>
        <w:t>（规范性）</w:t>
      </w:r>
      <w:r>
        <w:rPr>
          <w:highlight w:val="none"/>
        </w:rPr>
        <w:br w:type="textWrapping"/>
      </w:r>
      <w:r>
        <w:rPr>
          <w:rFonts w:hint="eastAsia"/>
          <w:highlight w:val="none"/>
        </w:rPr>
        <w:t>收储点标识参考</w:t>
      </w:r>
      <w:bookmarkEnd w:id="31"/>
    </w:p>
    <w:p w14:paraId="5953F379">
      <w:pPr>
        <w:pStyle w:val="14"/>
        <w:numPr>
          <w:ilvl w:val="0"/>
          <w:numId w:val="0"/>
        </w:numPr>
        <w:spacing w:before="120" w:after="120"/>
        <w:ind w:left="0" w:leftChars="0" w:firstLine="0" w:firstLineChars="0"/>
        <w:rPr>
          <w:highlight w:val="none"/>
        </w:rPr>
      </w:pPr>
      <w:r>
        <w:rPr>
          <w:rFonts w:hint="eastAsia" w:ascii="黑体" w:hAnsi="Times New Roman" w:eastAsia="黑体" w:cs="Times New Roman"/>
          <w:b w:val="0"/>
          <w:i w:val="0"/>
          <w:kern w:val="21"/>
          <w:sz w:val="21"/>
          <w:highlight w:val="none"/>
          <w:lang w:val="en-US" w:eastAsia="zh-CN" w:bidi="ar-SA"/>
        </w:rPr>
        <w:t>B.1　</w:t>
      </w:r>
      <w:r>
        <w:rPr>
          <w:highlight w:val="none"/>
        </w:rPr>
        <w:t>收储中心</w:t>
      </w:r>
    </w:p>
    <w:p w14:paraId="729DC901">
      <w:pPr>
        <w:pStyle w:val="6"/>
        <w:ind w:firstLine="420"/>
        <w:jc w:val="center"/>
        <w:rPr>
          <w:highlight w:val="none"/>
        </w:rPr>
      </w:pPr>
      <w:r>
        <w:rPr>
          <w:highlight w:val="none"/>
        </w:rPr>
        <w:drawing>
          <wp:inline distT="0" distB="0" distL="114300" distR="114300">
            <wp:extent cx="2111375" cy="1151890"/>
            <wp:effectExtent l="0" t="0" r="317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111375" cy="1151890"/>
                    </a:xfrm>
                    <a:prstGeom prst="rect">
                      <a:avLst/>
                    </a:prstGeom>
                    <a:noFill/>
                    <a:ln>
                      <a:noFill/>
                    </a:ln>
                  </pic:spPr>
                </pic:pic>
              </a:graphicData>
            </a:graphic>
          </wp:inline>
        </w:drawing>
      </w:r>
    </w:p>
    <w:p w14:paraId="114DB241">
      <w:pPr>
        <w:pStyle w:val="16"/>
        <w:spacing w:before="120" w:after="120"/>
        <w:rPr>
          <w:highlight w:val="none"/>
        </w:rPr>
      </w:pPr>
      <w:r>
        <w:rPr>
          <w:highlight w:val="none"/>
        </w:rPr>
        <w:t>收储中心标识</w:t>
      </w:r>
    </w:p>
    <w:p w14:paraId="72BF9742">
      <w:pPr>
        <w:pStyle w:val="14"/>
        <w:numPr>
          <w:ilvl w:val="0"/>
          <w:numId w:val="0"/>
        </w:numPr>
        <w:spacing w:before="120" w:after="120"/>
        <w:ind w:left="0" w:leftChars="0" w:firstLine="0" w:firstLineChars="0"/>
        <w:rPr>
          <w:highlight w:val="none"/>
        </w:rPr>
      </w:pPr>
      <w:r>
        <w:rPr>
          <w:rFonts w:hint="eastAsia" w:ascii="黑体" w:hAnsi="Times New Roman" w:eastAsia="黑体" w:cs="Times New Roman"/>
          <w:b w:val="0"/>
          <w:i w:val="0"/>
          <w:kern w:val="21"/>
          <w:sz w:val="21"/>
          <w:highlight w:val="none"/>
          <w:lang w:val="en-US" w:eastAsia="zh-CN" w:bidi="ar-SA"/>
        </w:rPr>
        <w:t>B.2　</w:t>
      </w:r>
      <w:r>
        <w:rPr>
          <w:highlight w:val="none"/>
        </w:rPr>
        <w:t>一般收储点</w:t>
      </w:r>
    </w:p>
    <w:p w14:paraId="0E28CF3C">
      <w:pPr>
        <w:pStyle w:val="6"/>
        <w:ind w:firstLine="420"/>
        <w:jc w:val="center"/>
        <w:rPr>
          <w:highlight w:val="none"/>
        </w:rPr>
      </w:pPr>
      <w:r>
        <w:rPr>
          <w:highlight w:val="none"/>
        </w:rPr>
        <w:drawing>
          <wp:inline distT="0" distB="0" distL="114300" distR="114300">
            <wp:extent cx="2108835" cy="1151890"/>
            <wp:effectExtent l="0" t="0" r="5715" b="1016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2108835" cy="1151890"/>
                    </a:xfrm>
                    <a:prstGeom prst="rect">
                      <a:avLst/>
                    </a:prstGeom>
                    <a:noFill/>
                    <a:ln>
                      <a:noFill/>
                    </a:ln>
                  </pic:spPr>
                </pic:pic>
              </a:graphicData>
            </a:graphic>
          </wp:inline>
        </w:drawing>
      </w:r>
    </w:p>
    <w:p w14:paraId="77DC66EC">
      <w:pPr>
        <w:pStyle w:val="16"/>
        <w:spacing w:before="120" w:after="120"/>
        <w:rPr>
          <w:highlight w:val="none"/>
        </w:rPr>
      </w:pPr>
      <w:r>
        <w:rPr>
          <w:highlight w:val="none"/>
        </w:rPr>
        <w:t>一般收储点标识</w:t>
      </w:r>
    </w:p>
    <w:p w14:paraId="1E84B61F">
      <w:pPr>
        <w:pStyle w:val="14"/>
        <w:numPr>
          <w:ilvl w:val="0"/>
          <w:numId w:val="0"/>
        </w:numPr>
        <w:spacing w:before="120" w:after="120"/>
        <w:ind w:left="0" w:leftChars="0" w:firstLine="0" w:firstLineChars="0"/>
        <w:rPr>
          <w:highlight w:val="none"/>
        </w:rPr>
      </w:pPr>
      <w:r>
        <w:rPr>
          <w:rFonts w:hint="eastAsia" w:ascii="黑体" w:hAnsi="Times New Roman" w:eastAsia="黑体" w:cs="Times New Roman"/>
          <w:b w:val="0"/>
          <w:i w:val="0"/>
          <w:kern w:val="21"/>
          <w:sz w:val="21"/>
          <w:highlight w:val="none"/>
          <w:lang w:val="en-US" w:eastAsia="zh-CN" w:bidi="ar-SA"/>
        </w:rPr>
        <w:t>B.3　</w:t>
      </w:r>
      <w:r>
        <w:rPr>
          <w:highlight w:val="none"/>
        </w:rPr>
        <w:t>临时收储点</w:t>
      </w:r>
    </w:p>
    <w:p w14:paraId="1F625174">
      <w:pPr>
        <w:pStyle w:val="6"/>
        <w:ind w:firstLine="420"/>
        <w:jc w:val="center"/>
        <w:rPr>
          <w:highlight w:val="none"/>
        </w:rPr>
      </w:pPr>
      <w:r>
        <w:rPr>
          <w:highlight w:val="none"/>
        </w:rPr>
        <w:drawing>
          <wp:inline distT="0" distB="0" distL="114300" distR="114300">
            <wp:extent cx="2110740" cy="1151890"/>
            <wp:effectExtent l="0" t="0" r="3810"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110740" cy="1151890"/>
                    </a:xfrm>
                    <a:prstGeom prst="rect">
                      <a:avLst/>
                    </a:prstGeom>
                    <a:noFill/>
                    <a:ln>
                      <a:noFill/>
                    </a:ln>
                  </pic:spPr>
                </pic:pic>
              </a:graphicData>
            </a:graphic>
          </wp:inline>
        </w:drawing>
      </w:r>
    </w:p>
    <w:p w14:paraId="419BEB69">
      <w:pPr>
        <w:pStyle w:val="16"/>
        <w:spacing w:before="120" w:after="120"/>
        <w:rPr>
          <w:highlight w:val="none"/>
        </w:rPr>
      </w:pPr>
      <w:r>
        <w:rPr>
          <w:highlight w:val="none"/>
        </w:rPr>
        <w:t>临时收储点标识</w:t>
      </w:r>
    </w:p>
    <w:p w14:paraId="63AAA74B">
      <w:pPr>
        <w:pStyle w:val="14"/>
        <w:numPr>
          <w:ilvl w:val="0"/>
          <w:numId w:val="0"/>
        </w:numPr>
        <w:spacing w:before="120" w:after="120"/>
        <w:ind w:left="0" w:leftChars="0" w:firstLine="0" w:firstLineChars="0"/>
        <w:rPr>
          <w:highlight w:val="none"/>
        </w:rPr>
      </w:pPr>
      <w:r>
        <w:rPr>
          <w:rFonts w:hint="eastAsia" w:ascii="黑体" w:hAnsi="Times New Roman" w:eastAsia="黑体" w:cs="Times New Roman"/>
          <w:b w:val="0"/>
          <w:i w:val="0"/>
          <w:kern w:val="21"/>
          <w:sz w:val="21"/>
          <w:highlight w:val="none"/>
          <w:lang w:val="en-US" w:eastAsia="zh-CN" w:bidi="ar-SA"/>
        </w:rPr>
        <w:t>B.4　</w:t>
      </w:r>
      <w:r>
        <w:rPr>
          <w:highlight w:val="none"/>
        </w:rPr>
        <w:t>临时堆场</w:t>
      </w:r>
    </w:p>
    <w:p w14:paraId="54F78CB4">
      <w:pPr>
        <w:pStyle w:val="6"/>
        <w:ind w:firstLine="420"/>
        <w:jc w:val="center"/>
        <w:rPr>
          <w:highlight w:val="none"/>
        </w:rPr>
      </w:pPr>
      <w:r>
        <w:rPr>
          <w:highlight w:val="none"/>
        </w:rPr>
        <w:drawing>
          <wp:inline distT="0" distB="0" distL="114300" distR="114300">
            <wp:extent cx="2313940" cy="1259840"/>
            <wp:effectExtent l="0" t="0" r="10160" b="1651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9"/>
                    <a:stretch>
                      <a:fillRect/>
                    </a:stretch>
                  </pic:blipFill>
                  <pic:spPr>
                    <a:xfrm>
                      <a:off x="0" y="0"/>
                      <a:ext cx="2313940" cy="1259840"/>
                    </a:xfrm>
                    <a:prstGeom prst="rect">
                      <a:avLst/>
                    </a:prstGeom>
                    <a:noFill/>
                    <a:ln>
                      <a:noFill/>
                    </a:ln>
                  </pic:spPr>
                </pic:pic>
              </a:graphicData>
            </a:graphic>
          </wp:inline>
        </w:drawing>
      </w:r>
    </w:p>
    <w:p w14:paraId="4F3BE9C3">
      <w:pPr>
        <w:pStyle w:val="16"/>
        <w:spacing w:before="120" w:after="120"/>
        <w:rPr>
          <w:highlight w:val="none"/>
        </w:rPr>
      </w:pPr>
      <w:r>
        <w:rPr>
          <w:highlight w:val="none"/>
        </w:rPr>
        <w:t>临时堆场标识</w:t>
      </w:r>
    </w:p>
    <w:p w14:paraId="2A6CED89">
      <w:pPr>
        <w:pStyle w:val="6"/>
        <w:ind w:firstLine="420"/>
        <w:rPr>
          <w:highlight w:val="none"/>
        </w:rPr>
      </w:pPr>
    </w:p>
    <w:p w14:paraId="074C0EB2">
      <w:pPr>
        <w:pStyle w:val="14"/>
        <w:numPr>
          <w:ilvl w:val="0"/>
          <w:numId w:val="0"/>
        </w:numPr>
        <w:spacing w:before="120" w:after="120"/>
        <w:ind w:left="0" w:leftChars="0" w:firstLine="0" w:firstLineChars="0"/>
        <w:rPr>
          <w:highlight w:val="none"/>
        </w:rPr>
      </w:pPr>
      <w:r>
        <w:rPr>
          <w:rFonts w:hint="eastAsia" w:ascii="黑体" w:hAnsi="Times New Roman" w:eastAsia="黑体" w:cs="Times New Roman"/>
          <w:b w:val="0"/>
          <w:i w:val="0"/>
          <w:kern w:val="21"/>
          <w:sz w:val="21"/>
          <w:highlight w:val="none"/>
          <w:lang w:val="en-US" w:eastAsia="zh-CN" w:bidi="ar-SA"/>
        </w:rPr>
        <w:br w:type="page"/>
      </w:r>
      <w:r>
        <w:rPr>
          <w:rFonts w:hint="eastAsia" w:ascii="黑体" w:hAnsi="Times New Roman" w:eastAsia="黑体" w:cs="Times New Roman"/>
          <w:b w:val="0"/>
          <w:i w:val="0"/>
          <w:kern w:val="21"/>
          <w:sz w:val="21"/>
          <w:highlight w:val="none"/>
          <w:lang w:val="en-US" w:eastAsia="zh-CN" w:bidi="ar-SA"/>
        </w:rPr>
        <w:t>B.5　</w:t>
      </w:r>
      <w:r>
        <w:rPr>
          <w:highlight w:val="none"/>
        </w:rPr>
        <w:t>收储网点标识字体</w:t>
      </w:r>
    </w:p>
    <w:p w14:paraId="023CA0EE">
      <w:pPr>
        <w:pStyle w:val="6"/>
        <w:ind w:firstLine="420"/>
        <w:rPr>
          <w:rFonts w:hint="eastAsia"/>
          <w:highlight w:val="none"/>
        </w:rPr>
      </w:pPr>
      <w:r>
        <w:rPr>
          <w:highlight w:val="none"/>
        </w:rPr>
        <w:t>农作物秸秆标准化收储网点标识字体规范</w:t>
      </w:r>
      <w:r>
        <w:rPr>
          <w:rFonts w:hint="eastAsia"/>
          <w:highlight w:val="none"/>
        </w:rPr>
        <w:t>见表B.1。</w:t>
      </w:r>
    </w:p>
    <w:p w14:paraId="732EB93D">
      <w:pPr>
        <w:pStyle w:val="6"/>
        <w:ind w:firstLine="420"/>
        <w:rPr>
          <w:highlight w:val="none"/>
        </w:rPr>
      </w:pPr>
    </w:p>
    <w:p w14:paraId="232E3106">
      <w:pPr>
        <w:pStyle w:val="15"/>
        <w:spacing w:before="120" w:after="120"/>
        <w:rPr>
          <w:highlight w:val="none"/>
        </w:rPr>
      </w:pPr>
      <w:r>
        <w:rPr>
          <w:highlight w:val="none"/>
        </w:rPr>
        <w:t>标识字体规范汇总表</w:t>
      </w:r>
    </w:p>
    <w:tbl>
      <w:tblPr>
        <w:tblStyle w:val="2"/>
        <w:tblW w:w="10092" w:type="dxa"/>
        <w:jc w:val="center"/>
        <w:tblLayout w:type="fixed"/>
        <w:tblCellMar>
          <w:top w:w="0" w:type="dxa"/>
          <w:left w:w="108" w:type="dxa"/>
          <w:bottom w:w="0" w:type="dxa"/>
          <w:right w:w="108" w:type="dxa"/>
        </w:tblCellMar>
      </w:tblPr>
      <w:tblGrid>
        <w:gridCol w:w="1029"/>
        <w:gridCol w:w="1358"/>
        <w:gridCol w:w="2993"/>
        <w:gridCol w:w="2570"/>
        <w:gridCol w:w="2142"/>
      </w:tblGrid>
      <w:tr w14:paraId="022E997C">
        <w:tblPrEx>
          <w:tblCellMar>
            <w:top w:w="0" w:type="dxa"/>
            <w:left w:w="108" w:type="dxa"/>
            <w:bottom w:w="0" w:type="dxa"/>
            <w:right w:w="108" w:type="dxa"/>
          </w:tblCellMar>
        </w:tblPrEx>
        <w:trPr>
          <w:cantSplit/>
          <w:trHeight w:val="90" w:hRule="atLeast"/>
          <w:tblHeader/>
          <w:jc w:val="center"/>
        </w:trPr>
        <w:tc>
          <w:tcPr>
            <w:tcW w:w="1029" w:type="dxa"/>
            <w:tcBorders>
              <w:top w:val="single" w:color="000000" w:sz="4" w:space="0"/>
              <w:left w:val="single" w:color="000000" w:sz="4" w:space="0"/>
              <w:bottom w:val="single" w:color="000000" w:sz="4" w:space="0"/>
              <w:right w:val="single" w:color="000000" w:sz="4" w:space="0"/>
            </w:tcBorders>
            <w:noWrap w:val="0"/>
            <w:vAlign w:val="center"/>
          </w:tcPr>
          <w:p w14:paraId="18D5D772">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b/>
                <w:color w:val="000000"/>
                <w:sz w:val="22"/>
                <w:szCs w:val="22"/>
                <w:highlight w:val="none"/>
              </w:rPr>
            </w:pPr>
            <w:r>
              <w:rPr>
                <w:rFonts w:ascii="Times New Roman" w:hAnsi="Times New Roman"/>
                <w:b/>
                <w:color w:val="000000"/>
                <w:kern w:val="0"/>
                <w:sz w:val="22"/>
                <w:szCs w:val="22"/>
                <w:highlight w:val="none"/>
                <w:lang w:bidi="ar"/>
              </w:rPr>
              <w:t>收储点级别</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51FD6B12">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b/>
                <w:color w:val="000000"/>
                <w:sz w:val="22"/>
                <w:szCs w:val="22"/>
                <w:highlight w:val="none"/>
              </w:rPr>
            </w:pPr>
            <w:r>
              <w:rPr>
                <w:rFonts w:ascii="Times New Roman" w:hAnsi="Times New Roman"/>
                <w:b/>
                <w:color w:val="000000"/>
                <w:kern w:val="0"/>
                <w:sz w:val="22"/>
                <w:szCs w:val="22"/>
                <w:highlight w:val="none"/>
                <w:lang w:bidi="ar"/>
              </w:rPr>
              <w:t>标识类型</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6C961800">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b/>
                <w:color w:val="000000"/>
                <w:kern w:val="0"/>
                <w:sz w:val="22"/>
                <w:szCs w:val="22"/>
                <w:highlight w:val="none"/>
                <w:lang w:bidi="ar"/>
              </w:rPr>
            </w:pPr>
            <w:r>
              <w:rPr>
                <w:rFonts w:ascii="Times New Roman" w:hAnsi="Times New Roman"/>
                <w:b/>
                <w:color w:val="000000"/>
                <w:kern w:val="0"/>
                <w:sz w:val="22"/>
                <w:szCs w:val="22"/>
                <w:highlight w:val="none"/>
                <w:lang w:bidi="ar"/>
              </w:rPr>
              <w:t>主标题字体规范</w:t>
            </w:r>
          </w:p>
          <w:p w14:paraId="6FE3937A">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b/>
                <w:color w:val="000000"/>
                <w:sz w:val="22"/>
                <w:szCs w:val="22"/>
                <w:highlight w:val="none"/>
              </w:rPr>
            </w:pPr>
            <w:r>
              <w:rPr>
                <w:rFonts w:ascii="Times New Roman" w:hAnsi="Times New Roman"/>
                <w:b/>
                <w:color w:val="000000"/>
                <w:kern w:val="0"/>
                <w:sz w:val="22"/>
                <w:szCs w:val="22"/>
                <w:highlight w:val="none"/>
                <w:lang w:bidi="ar"/>
              </w:rPr>
              <w:t>（收储点核心名称）</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6C0FD347">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b/>
                <w:color w:val="000000"/>
                <w:kern w:val="0"/>
                <w:sz w:val="22"/>
                <w:szCs w:val="22"/>
                <w:highlight w:val="none"/>
                <w:lang w:bidi="ar"/>
              </w:rPr>
            </w:pPr>
            <w:r>
              <w:rPr>
                <w:rFonts w:ascii="Times New Roman" w:hAnsi="Times New Roman"/>
                <w:b/>
                <w:color w:val="000000"/>
                <w:kern w:val="0"/>
                <w:sz w:val="22"/>
                <w:szCs w:val="22"/>
                <w:highlight w:val="none"/>
                <w:lang w:bidi="ar"/>
              </w:rPr>
              <w:t>辅助信息字体规范</w:t>
            </w:r>
          </w:p>
          <w:p w14:paraId="25375372">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b/>
                <w:color w:val="000000"/>
                <w:sz w:val="22"/>
                <w:szCs w:val="22"/>
                <w:highlight w:val="none"/>
              </w:rPr>
            </w:pPr>
            <w:r>
              <w:rPr>
                <w:rFonts w:ascii="Times New Roman" w:hAnsi="Times New Roman"/>
                <w:b/>
                <w:color w:val="000000"/>
                <w:kern w:val="0"/>
                <w:sz w:val="22"/>
                <w:szCs w:val="22"/>
                <w:highlight w:val="none"/>
                <w:lang w:bidi="ar"/>
              </w:rPr>
              <w:t>（建设主体、监管单位、地址等）</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2F98D748">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b/>
                <w:color w:val="000000"/>
                <w:sz w:val="22"/>
                <w:szCs w:val="22"/>
                <w:highlight w:val="none"/>
              </w:rPr>
            </w:pPr>
            <w:r>
              <w:rPr>
                <w:rFonts w:ascii="Times New Roman" w:hAnsi="Times New Roman"/>
                <w:b/>
                <w:color w:val="000000"/>
                <w:kern w:val="0"/>
                <w:sz w:val="22"/>
                <w:szCs w:val="22"/>
                <w:highlight w:val="none"/>
                <w:lang w:bidi="ar"/>
              </w:rPr>
              <w:t>安全警示语字体规范</w:t>
            </w:r>
          </w:p>
        </w:tc>
      </w:tr>
      <w:tr w14:paraId="4B9AF046">
        <w:tblPrEx>
          <w:tblCellMar>
            <w:top w:w="0" w:type="dxa"/>
            <w:left w:w="108" w:type="dxa"/>
            <w:bottom w:w="0" w:type="dxa"/>
            <w:right w:w="108" w:type="dxa"/>
          </w:tblCellMar>
        </w:tblPrEx>
        <w:trPr>
          <w:cantSplit/>
          <w:trHeight w:val="2257" w:hRule="atLeast"/>
          <w:jc w:val="center"/>
        </w:trPr>
        <w:tc>
          <w:tcPr>
            <w:tcW w:w="1029" w:type="dxa"/>
            <w:vMerge w:val="restart"/>
            <w:tcBorders>
              <w:top w:val="single" w:color="000000" w:sz="4" w:space="0"/>
              <w:left w:val="single" w:color="000000" w:sz="4" w:space="0"/>
              <w:bottom w:val="single" w:color="000000" w:sz="4" w:space="0"/>
              <w:right w:val="single" w:color="000000" w:sz="4" w:space="0"/>
            </w:tcBorders>
            <w:noWrap w:val="0"/>
            <w:vAlign w:val="center"/>
          </w:tcPr>
          <w:p w14:paraId="479BACBD">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收储中心</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48FCA818">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落地式</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0F90F651">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字体种类：优先选用黑体、思源黑体、微软雅黑。字高参数：800mm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1000mm格式要求：字宽与字高比例 1:1，字间距不小于字高的 1/10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7DA7E505">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字体种类：优先选用方正宋体 GBK、仿宋 GB2312。字高参数：150mm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200mm格式要求：字宽与字高比例 0.8:1，行间距不小于字高的 1/2</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7CA1CAA8">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 字高参数：≥300mm。</w:t>
            </w:r>
          </w:p>
        </w:tc>
      </w:tr>
      <w:tr w14:paraId="6EB502D7">
        <w:tblPrEx>
          <w:tblCellMar>
            <w:top w:w="0" w:type="dxa"/>
            <w:left w:w="108" w:type="dxa"/>
            <w:bottom w:w="0" w:type="dxa"/>
            <w:right w:w="108" w:type="dxa"/>
          </w:tblCellMar>
        </w:tblPrEx>
        <w:trPr>
          <w:cantSplit/>
          <w:trHeight w:val="90" w:hRule="atLeast"/>
          <w:jc w:val="center"/>
        </w:trPr>
        <w:tc>
          <w:tcPr>
            <w:tcW w:w="10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39DB4">
            <w:pPr>
              <w:keepNext w:val="0"/>
              <w:keepLines w:val="0"/>
              <w:pageBreakBefore w:val="0"/>
              <w:widowControl w:val="0"/>
              <w:kinsoku/>
              <w:wordWrap/>
              <w:overflowPunct/>
              <w:topLinePunct/>
              <w:autoSpaceDE w:val="0"/>
              <w:autoSpaceDN/>
              <w:bidi w:val="0"/>
              <w:adjustRightInd w:val="0"/>
              <w:snapToGrid w:val="0"/>
              <w:jc w:val="center"/>
              <w:rPr>
                <w:rFonts w:ascii="Times New Roman" w:hAnsi="Times New Roman"/>
                <w:color w:val="000000"/>
                <w:sz w:val="22"/>
                <w:szCs w:val="22"/>
                <w:highlight w:val="none"/>
              </w:rPr>
            </w:pP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58F2DD0F">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建筑附着式</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3321C825">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字体种类：优先选用黑体、思源黑体、微软雅黑。字高参数：500mm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600mm格式要求：字宽与字高比例 1:1，字间距不小于字高的 1/10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373A738">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字体种类：优先选用方正宋体 GBK、仿宋 GB2312。字高参数：100mm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120mm格式要求：字宽与字高比例 0.8:1</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1B6ABC1E">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 字高参数：≥200mm</w:t>
            </w:r>
          </w:p>
        </w:tc>
      </w:tr>
      <w:tr w14:paraId="7AC494BF">
        <w:tblPrEx>
          <w:tblCellMar>
            <w:top w:w="0" w:type="dxa"/>
            <w:left w:w="108" w:type="dxa"/>
            <w:bottom w:w="0" w:type="dxa"/>
            <w:right w:w="108" w:type="dxa"/>
          </w:tblCellMar>
        </w:tblPrEx>
        <w:trPr>
          <w:cantSplit/>
          <w:trHeight w:val="2332" w:hRule="atLeast"/>
          <w:jc w:val="center"/>
        </w:trPr>
        <w:tc>
          <w:tcPr>
            <w:tcW w:w="1029" w:type="dxa"/>
            <w:vMerge w:val="restart"/>
            <w:tcBorders>
              <w:top w:val="single" w:color="000000" w:sz="4" w:space="0"/>
              <w:left w:val="single" w:color="000000" w:sz="4" w:space="0"/>
              <w:bottom w:val="single" w:color="000000" w:sz="4" w:space="0"/>
              <w:right w:val="single" w:color="000000" w:sz="4" w:space="0"/>
            </w:tcBorders>
            <w:noWrap w:val="0"/>
            <w:vAlign w:val="center"/>
          </w:tcPr>
          <w:p w14:paraId="7C18D8AC">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一般收储点</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27899F09">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落地式</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5A344743">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字体种类：优先选用黑体、思源黑体、微软雅黑。字高参数：500mm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600mm格式要求：字宽与字高比例 1:1，字间距不小于字高的 1/10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628A996B">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字体种类：优先选用方正宋体 GBK、仿宋 GB2312。字高参数：100mm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120mm格式要求：字宽与字高比例 0.8:1，行间距不小于字高的 1/2</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545A5B5B">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 字高参数：≥200mm</w:t>
            </w:r>
          </w:p>
        </w:tc>
      </w:tr>
      <w:tr w14:paraId="138F0676">
        <w:tblPrEx>
          <w:tblCellMar>
            <w:top w:w="0" w:type="dxa"/>
            <w:left w:w="108" w:type="dxa"/>
            <w:bottom w:w="0" w:type="dxa"/>
            <w:right w:w="108" w:type="dxa"/>
          </w:tblCellMar>
        </w:tblPrEx>
        <w:trPr>
          <w:cantSplit/>
          <w:trHeight w:val="90" w:hRule="atLeast"/>
          <w:jc w:val="center"/>
        </w:trPr>
        <w:tc>
          <w:tcPr>
            <w:tcW w:w="10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FDA4FC">
            <w:pPr>
              <w:keepNext w:val="0"/>
              <w:keepLines w:val="0"/>
              <w:pageBreakBefore w:val="0"/>
              <w:widowControl w:val="0"/>
              <w:kinsoku/>
              <w:wordWrap/>
              <w:overflowPunct/>
              <w:topLinePunct/>
              <w:autoSpaceDE w:val="0"/>
              <w:autoSpaceDN/>
              <w:bidi w:val="0"/>
              <w:adjustRightInd w:val="0"/>
              <w:snapToGrid w:val="0"/>
              <w:jc w:val="center"/>
              <w:rPr>
                <w:rFonts w:ascii="Times New Roman" w:hAnsi="Times New Roman"/>
                <w:color w:val="000000"/>
                <w:sz w:val="22"/>
                <w:szCs w:val="22"/>
                <w:highlight w:val="none"/>
              </w:rPr>
            </w:pP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7CA1DFA5">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建筑附着式</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7BE9AE87">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字体种类：优先选用黑体、思源黑体、微软雅黑。字高参数：350mm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400mm格式要求：字宽与字高比例 1:1，字间距不小于字高的 1/10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AFED7C1">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字体种类：优先选用方正宋体 GBK、仿宋 GB2312。字高参数：80mm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100mm格式要求：字宽与字高比例 0.8:1</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3F08EBFD">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 字高参数：≥150mm</w:t>
            </w:r>
          </w:p>
        </w:tc>
      </w:tr>
      <w:tr w14:paraId="30903CB9">
        <w:tblPrEx>
          <w:tblCellMar>
            <w:top w:w="0" w:type="dxa"/>
            <w:left w:w="108" w:type="dxa"/>
            <w:bottom w:w="0" w:type="dxa"/>
            <w:right w:w="108" w:type="dxa"/>
          </w:tblCellMar>
        </w:tblPrEx>
        <w:trPr>
          <w:cantSplit/>
          <w:trHeight w:val="90" w:hRule="atLeast"/>
          <w:jc w:val="center"/>
        </w:trPr>
        <w:tc>
          <w:tcPr>
            <w:tcW w:w="1029" w:type="dxa"/>
            <w:vMerge w:val="restart"/>
            <w:tcBorders>
              <w:top w:val="single" w:color="000000" w:sz="4" w:space="0"/>
              <w:left w:val="single" w:color="000000" w:sz="4" w:space="0"/>
              <w:bottom w:val="single" w:color="000000" w:sz="4" w:space="0"/>
              <w:right w:val="single" w:color="000000" w:sz="4" w:space="0"/>
            </w:tcBorders>
            <w:noWrap w:val="0"/>
            <w:vAlign w:val="center"/>
          </w:tcPr>
          <w:p w14:paraId="4463F938">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临时收储点</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1CEB8DF3">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落地式</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1CC8419A">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字体种类：优先选用黑体、思源黑体、微软雅黑。字高参数：350mm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400mm格式要求：字宽与字高比例 1:1，字间距不小于字高的 1/10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E374C3A">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字体种类：优先选用方正宋体 GBK、仿宋 GB2312。字高参数：80mm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100mm格式要求：字宽与字高比例 0.8:1，行间距不小于字高的 1/2</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6087BB36">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 字高参数：≥150mm</w:t>
            </w:r>
          </w:p>
        </w:tc>
      </w:tr>
      <w:tr w14:paraId="6AC0AE7F">
        <w:tblPrEx>
          <w:tblCellMar>
            <w:top w:w="0" w:type="dxa"/>
            <w:left w:w="108" w:type="dxa"/>
            <w:bottom w:w="0" w:type="dxa"/>
            <w:right w:w="108" w:type="dxa"/>
          </w:tblCellMar>
        </w:tblPrEx>
        <w:trPr>
          <w:cantSplit/>
          <w:trHeight w:val="1849" w:hRule="atLeast"/>
          <w:jc w:val="center"/>
        </w:trPr>
        <w:tc>
          <w:tcPr>
            <w:tcW w:w="10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096E6">
            <w:pPr>
              <w:keepNext w:val="0"/>
              <w:keepLines w:val="0"/>
              <w:pageBreakBefore w:val="0"/>
              <w:widowControl w:val="0"/>
              <w:kinsoku/>
              <w:wordWrap/>
              <w:overflowPunct/>
              <w:topLinePunct/>
              <w:autoSpaceDE w:val="0"/>
              <w:autoSpaceDN/>
              <w:bidi w:val="0"/>
              <w:adjustRightInd w:val="0"/>
              <w:snapToGrid w:val="0"/>
              <w:jc w:val="center"/>
              <w:rPr>
                <w:rFonts w:ascii="Times New Roman" w:hAnsi="Times New Roman"/>
                <w:color w:val="000000"/>
                <w:sz w:val="22"/>
                <w:szCs w:val="22"/>
                <w:highlight w:val="none"/>
              </w:rPr>
            </w:pP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24472511">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建筑附着式</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4D4EEF85">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字体种类：优先选用黑体、思源黑体、微软雅黑。字高参数：250mm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300mm格式要求：字宽与字高比例 1:1，字间距不小于字高的 1/10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47F85D3">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字体种类：优先选用方正宋体 GBK、仿宋 GB231。2字高参数：50mm</w:t>
            </w:r>
            <w:r>
              <w:rPr>
                <w:rFonts w:hint="eastAsia" w:ascii="Times New Roman" w:hAnsi="Times New Roman"/>
                <w:color w:val="000000"/>
                <w:kern w:val="0"/>
                <w:sz w:val="22"/>
                <w:szCs w:val="22"/>
                <w:highlight w:val="none"/>
                <w:lang w:bidi="ar"/>
              </w:rPr>
              <w:t>～</w:t>
            </w:r>
            <w:r>
              <w:rPr>
                <w:rFonts w:ascii="Times New Roman" w:hAnsi="Times New Roman"/>
                <w:color w:val="000000"/>
                <w:kern w:val="0"/>
                <w:sz w:val="22"/>
                <w:szCs w:val="22"/>
                <w:highlight w:val="none"/>
                <w:lang w:bidi="ar"/>
              </w:rPr>
              <w:t>60mm格式要求：字宽与字高比例 0.8:1</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23DE886C">
            <w:pPr>
              <w:keepNext w:val="0"/>
              <w:keepLines w:val="0"/>
              <w:pageBreakBefore w:val="0"/>
              <w:widowControl w:val="0"/>
              <w:kinsoku/>
              <w:wordWrap/>
              <w:overflowPunct/>
              <w:topLinePunct/>
              <w:autoSpaceDE w:val="0"/>
              <w:autoSpaceDN/>
              <w:bidi w:val="0"/>
              <w:adjustRightInd w:val="0"/>
              <w:snapToGrid w:val="0"/>
              <w:spacing w:line="240" w:lineRule="auto"/>
              <w:jc w:val="left"/>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字体种类：优先选用黑体、思源黑体 字高参数：≥100mm</w:t>
            </w:r>
          </w:p>
        </w:tc>
      </w:tr>
      <w:tr w14:paraId="4CE47D50">
        <w:tblPrEx>
          <w:tblCellMar>
            <w:top w:w="0" w:type="dxa"/>
            <w:left w:w="108" w:type="dxa"/>
            <w:bottom w:w="0" w:type="dxa"/>
            <w:right w:w="108" w:type="dxa"/>
          </w:tblCellMar>
        </w:tblPrEx>
        <w:trPr>
          <w:cantSplit/>
          <w:trHeight w:val="2677" w:hRule="atLeast"/>
          <w:jc w:val="center"/>
        </w:trPr>
        <w:tc>
          <w:tcPr>
            <w:tcW w:w="1029" w:type="dxa"/>
            <w:tcBorders>
              <w:top w:val="single" w:color="000000" w:sz="4" w:space="0"/>
              <w:left w:val="single" w:color="000000" w:sz="4" w:space="0"/>
              <w:bottom w:val="single" w:color="000000" w:sz="4" w:space="0"/>
              <w:right w:val="single" w:color="000000" w:sz="4" w:space="0"/>
            </w:tcBorders>
            <w:noWrap w:val="0"/>
            <w:vAlign w:val="center"/>
          </w:tcPr>
          <w:p w14:paraId="5DD88698">
            <w:pPr>
              <w:keepNext w:val="0"/>
              <w:keepLines w:val="0"/>
              <w:pageBreakBefore w:val="0"/>
              <w:widowControl w:val="0"/>
              <w:kinsoku/>
              <w:wordWrap/>
              <w:overflowPunct/>
              <w:topLinePunct/>
              <w:autoSpaceDE w:val="0"/>
              <w:autoSpaceDN/>
              <w:bidi w:val="0"/>
              <w:adjustRightInd w:val="0"/>
              <w:snapToGrid w:val="0"/>
              <w:jc w:val="center"/>
              <w:rPr>
                <w:rFonts w:hint="eastAsia" w:ascii="Times New Roman" w:hAnsi="Times New Roman"/>
                <w:color w:val="000000"/>
                <w:sz w:val="22"/>
                <w:szCs w:val="22"/>
                <w:highlight w:val="none"/>
              </w:rPr>
            </w:pPr>
            <w:r>
              <w:rPr>
                <w:rFonts w:hint="eastAsia" w:ascii="Times New Roman" w:hAnsi="Times New Roman"/>
                <w:color w:val="000000"/>
                <w:sz w:val="22"/>
                <w:szCs w:val="22"/>
                <w:highlight w:val="none"/>
              </w:rPr>
              <w:t>临时</w:t>
            </w:r>
          </w:p>
          <w:p w14:paraId="6FB0FB68">
            <w:pPr>
              <w:keepNext w:val="0"/>
              <w:keepLines w:val="0"/>
              <w:pageBreakBefore w:val="0"/>
              <w:widowControl w:val="0"/>
              <w:kinsoku/>
              <w:wordWrap/>
              <w:overflowPunct/>
              <w:topLinePunct/>
              <w:autoSpaceDE w:val="0"/>
              <w:autoSpaceDN/>
              <w:bidi w:val="0"/>
              <w:adjustRightInd w:val="0"/>
              <w:snapToGrid w:val="0"/>
              <w:jc w:val="center"/>
              <w:rPr>
                <w:rFonts w:ascii="Times New Roman" w:hAnsi="Times New Roman"/>
                <w:color w:val="000000"/>
                <w:sz w:val="22"/>
                <w:szCs w:val="22"/>
                <w:highlight w:val="none"/>
              </w:rPr>
            </w:pPr>
            <w:r>
              <w:rPr>
                <w:rFonts w:hint="eastAsia" w:ascii="Times New Roman" w:hAnsi="Times New Roman"/>
                <w:color w:val="000000"/>
                <w:sz w:val="22"/>
                <w:szCs w:val="22"/>
                <w:highlight w:val="none"/>
              </w:rPr>
              <w:t>堆场</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3E5C02CF">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kern w:val="0"/>
                <w:sz w:val="22"/>
                <w:szCs w:val="22"/>
                <w:highlight w:val="none"/>
                <w:lang w:bidi="ar"/>
              </w:rPr>
            </w:pPr>
            <w:r>
              <w:rPr>
                <w:rFonts w:ascii="Times New Roman" w:hAnsi="Times New Roman"/>
                <w:color w:val="000000"/>
                <w:kern w:val="0"/>
                <w:sz w:val="22"/>
                <w:szCs w:val="22"/>
                <w:highlight w:val="none"/>
                <w:lang w:bidi="ar"/>
              </w:rPr>
              <w:t>落地式</w:t>
            </w:r>
          </w:p>
        </w:tc>
        <w:tc>
          <w:tcPr>
            <w:tcW w:w="2993" w:type="dxa"/>
            <w:tcBorders>
              <w:top w:val="single" w:color="000000" w:sz="4" w:space="0"/>
              <w:left w:val="single" w:color="000000" w:sz="4" w:space="0"/>
              <w:bottom w:val="single" w:color="000000" w:sz="4" w:space="0"/>
              <w:right w:val="single" w:color="000000" w:sz="4" w:space="0"/>
            </w:tcBorders>
            <w:noWrap w:val="0"/>
            <w:vAlign w:val="center"/>
          </w:tcPr>
          <w:p w14:paraId="538FA395">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kern w:val="0"/>
                <w:sz w:val="22"/>
                <w:szCs w:val="22"/>
                <w:highlight w:val="none"/>
                <w:lang w:bidi="ar"/>
              </w:rPr>
            </w:pPr>
            <w:r>
              <w:rPr>
                <w:rFonts w:ascii="Times New Roman" w:hAnsi="Times New Roman"/>
                <w:color w:val="000000"/>
                <w:kern w:val="0"/>
                <w:sz w:val="22"/>
                <w:szCs w:val="22"/>
                <w:highlight w:val="none"/>
                <w:lang w:bidi="ar"/>
              </w:rPr>
              <w:t>字体种类：优先选用黑体、思源黑体、微软雅黑。字高参数：</w:t>
            </w:r>
            <w:r>
              <w:rPr>
                <w:rFonts w:hint="eastAsia" w:ascii="Times New Roman" w:hAnsi="Times New Roman"/>
                <w:color w:val="000000"/>
                <w:kern w:val="0"/>
                <w:sz w:val="22"/>
                <w:szCs w:val="22"/>
                <w:highlight w:val="none"/>
                <w:lang w:bidi="ar"/>
              </w:rPr>
              <w:t>1</w:t>
            </w:r>
            <w:r>
              <w:rPr>
                <w:rFonts w:ascii="Times New Roman" w:hAnsi="Times New Roman"/>
                <w:color w:val="000000"/>
                <w:kern w:val="0"/>
                <w:sz w:val="22"/>
                <w:szCs w:val="22"/>
                <w:highlight w:val="none"/>
                <w:lang w:bidi="ar"/>
              </w:rPr>
              <w:t>50mm</w:t>
            </w:r>
            <w:r>
              <w:rPr>
                <w:rFonts w:hint="eastAsia" w:ascii="Times New Roman" w:hAnsi="Times New Roman"/>
                <w:color w:val="000000"/>
                <w:kern w:val="0"/>
                <w:sz w:val="22"/>
                <w:szCs w:val="22"/>
                <w:highlight w:val="none"/>
                <w:lang w:bidi="ar"/>
              </w:rPr>
              <w:t>～3</w:t>
            </w:r>
            <w:r>
              <w:rPr>
                <w:rFonts w:ascii="Times New Roman" w:hAnsi="Times New Roman"/>
                <w:color w:val="000000"/>
                <w:kern w:val="0"/>
                <w:sz w:val="22"/>
                <w:szCs w:val="22"/>
                <w:highlight w:val="none"/>
                <w:lang w:bidi="ar"/>
              </w:rPr>
              <w:t>00mm格式要求：字宽与字高比例 1:1，字间距不小于字高的 1/10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419016DC">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kern w:val="0"/>
                <w:sz w:val="22"/>
                <w:szCs w:val="22"/>
                <w:highlight w:val="none"/>
                <w:lang w:bidi="ar"/>
              </w:rPr>
            </w:pPr>
            <w:r>
              <w:rPr>
                <w:rFonts w:hint="eastAsia" w:ascii="Times New Roman" w:hAnsi="Times New Roman"/>
                <w:color w:val="000000"/>
                <w:kern w:val="0"/>
                <w:sz w:val="22"/>
                <w:szCs w:val="22"/>
                <w:highlight w:val="none"/>
                <w:lang w:bidi="ar"/>
              </w:rPr>
              <w:t>字体种类：优先选用方正宋体 GBK、仿宋 GB2312。字高参数：60mm～80mm格式要求：字宽与字高比例 0.8:1，行间距不小于字高的 1/2</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7D5B2D4E">
            <w:pPr>
              <w:keepNext w:val="0"/>
              <w:keepLines w:val="0"/>
              <w:pageBreakBefore w:val="0"/>
              <w:widowControl w:val="0"/>
              <w:kinsoku/>
              <w:wordWrap/>
              <w:overflowPunct/>
              <w:topLinePunct/>
              <w:autoSpaceDE w:val="0"/>
              <w:autoSpaceDN/>
              <w:bidi w:val="0"/>
              <w:adjustRightInd w:val="0"/>
              <w:snapToGrid w:val="0"/>
              <w:spacing w:line="240" w:lineRule="auto"/>
              <w:jc w:val="left"/>
              <w:textAlignment w:val="center"/>
              <w:rPr>
                <w:rFonts w:ascii="Times New Roman" w:hAnsi="Times New Roman"/>
                <w:color w:val="000000"/>
                <w:kern w:val="0"/>
                <w:sz w:val="22"/>
                <w:szCs w:val="22"/>
                <w:highlight w:val="none"/>
                <w:lang w:bidi="ar"/>
              </w:rPr>
            </w:pPr>
            <w:r>
              <w:rPr>
                <w:rFonts w:ascii="Times New Roman" w:hAnsi="Times New Roman"/>
                <w:color w:val="000000"/>
                <w:kern w:val="0"/>
                <w:sz w:val="22"/>
                <w:szCs w:val="22"/>
                <w:highlight w:val="none"/>
                <w:lang w:bidi="ar"/>
              </w:rPr>
              <w:t>字体种类：优先选用黑体、思源黑体 字高参数：≥1</w:t>
            </w:r>
            <w:r>
              <w:rPr>
                <w:rFonts w:hint="eastAsia" w:ascii="Times New Roman" w:hAnsi="Times New Roman"/>
                <w:color w:val="000000"/>
                <w:kern w:val="0"/>
                <w:sz w:val="22"/>
                <w:szCs w:val="22"/>
                <w:highlight w:val="none"/>
                <w:lang w:bidi="ar"/>
              </w:rPr>
              <w:t>0</w:t>
            </w:r>
            <w:r>
              <w:rPr>
                <w:rFonts w:ascii="Times New Roman" w:hAnsi="Times New Roman"/>
                <w:color w:val="000000"/>
                <w:kern w:val="0"/>
                <w:sz w:val="22"/>
                <w:szCs w:val="22"/>
                <w:highlight w:val="none"/>
                <w:lang w:bidi="ar"/>
              </w:rPr>
              <w:t>0mm</w:t>
            </w:r>
          </w:p>
        </w:tc>
      </w:tr>
      <w:tr w14:paraId="7CE08EE5">
        <w:tblPrEx>
          <w:tblCellMar>
            <w:top w:w="0" w:type="dxa"/>
            <w:left w:w="108" w:type="dxa"/>
            <w:bottom w:w="0" w:type="dxa"/>
            <w:right w:w="108" w:type="dxa"/>
          </w:tblCellMar>
        </w:tblPrEx>
        <w:trPr>
          <w:cantSplit/>
          <w:trHeight w:val="3348" w:hRule="atLeast"/>
          <w:jc w:val="center"/>
        </w:trPr>
        <w:tc>
          <w:tcPr>
            <w:tcW w:w="1029" w:type="dxa"/>
            <w:tcBorders>
              <w:top w:val="single" w:color="000000" w:sz="4" w:space="0"/>
              <w:left w:val="single" w:color="000000" w:sz="4" w:space="0"/>
              <w:bottom w:val="single" w:color="000000" w:sz="4" w:space="0"/>
              <w:right w:val="single" w:color="000000" w:sz="4" w:space="0"/>
            </w:tcBorders>
            <w:noWrap/>
            <w:vAlign w:val="center"/>
          </w:tcPr>
          <w:p w14:paraId="22BDB8FB">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备注</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14:paraId="10642A5E">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落地式标识：竖立在厂房入口或显眼位置地面上。建筑附着式：悬挂在厂房靠近主路或醒目一侧的外立面上。</w:t>
            </w:r>
          </w:p>
        </w:tc>
        <w:tc>
          <w:tcPr>
            <w:tcW w:w="2993" w:type="dxa"/>
            <w:tcBorders>
              <w:top w:val="single" w:color="000000" w:sz="4" w:space="0"/>
              <w:left w:val="single" w:color="000000" w:sz="4" w:space="0"/>
              <w:bottom w:val="single" w:color="000000" w:sz="4" w:space="0"/>
              <w:right w:val="single" w:color="000000" w:sz="4" w:space="0"/>
            </w:tcBorders>
            <w:noWrap/>
            <w:vAlign w:val="center"/>
          </w:tcPr>
          <w:p w14:paraId="3C88DFF4">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w:t>
            </w:r>
          </w:p>
        </w:tc>
        <w:tc>
          <w:tcPr>
            <w:tcW w:w="2570" w:type="dxa"/>
            <w:tcBorders>
              <w:top w:val="single" w:color="000000" w:sz="4" w:space="0"/>
              <w:left w:val="single" w:color="000000" w:sz="4" w:space="0"/>
              <w:bottom w:val="single" w:color="000000" w:sz="4" w:space="0"/>
              <w:right w:val="single" w:color="000000" w:sz="4" w:space="0"/>
            </w:tcBorders>
            <w:noWrap/>
            <w:vAlign w:val="center"/>
          </w:tcPr>
          <w:p w14:paraId="3F648E57">
            <w:pPr>
              <w:keepNext w:val="0"/>
              <w:keepLines w:val="0"/>
              <w:pageBreakBefore w:val="0"/>
              <w:widowControl w:val="0"/>
              <w:kinsoku/>
              <w:wordWrap/>
              <w:overflowPunct/>
              <w:topLinePunct/>
              <w:autoSpaceDE w:val="0"/>
              <w:autoSpaceDN/>
              <w:bidi w:val="0"/>
              <w:adjustRightInd w:val="0"/>
              <w:snapToGrid w:val="0"/>
              <w:spacing w:line="240" w:lineRule="auto"/>
              <w:jc w:val="center"/>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w:t>
            </w:r>
          </w:p>
        </w:tc>
        <w:tc>
          <w:tcPr>
            <w:tcW w:w="2142" w:type="dxa"/>
            <w:tcBorders>
              <w:top w:val="single" w:color="000000" w:sz="4" w:space="0"/>
              <w:left w:val="single" w:color="000000" w:sz="4" w:space="0"/>
              <w:bottom w:val="single" w:color="000000" w:sz="4" w:space="0"/>
              <w:right w:val="single" w:color="000000" w:sz="4" w:space="0"/>
            </w:tcBorders>
            <w:noWrap/>
            <w:vAlign w:val="center"/>
          </w:tcPr>
          <w:p w14:paraId="4FEEAFE0">
            <w:pPr>
              <w:keepNext w:val="0"/>
              <w:keepLines w:val="0"/>
              <w:pageBreakBefore w:val="0"/>
              <w:widowControl w:val="0"/>
              <w:kinsoku/>
              <w:wordWrap/>
              <w:overflowPunct/>
              <w:topLinePunct/>
              <w:autoSpaceDE w:val="0"/>
              <w:autoSpaceDN/>
              <w:bidi w:val="0"/>
              <w:adjustRightInd w:val="0"/>
              <w:snapToGrid w:val="0"/>
              <w:spacing w:line="240" w:lineRule="auto"/>
              <w:jc w:val="left"/>
              <w:textAlignment w:val="center"/>
              <w:rPr>
                <w:rFonts w:ascii="Times New Roman" w:hAnsi="Times New Roman"/>
                <w:color w:val="000000"/>
                <w:sz w:val="22"/>
                <w:szCs w:val="22"/>
                <w:highlight w:val="none"/>
              </w:rPr>
            </w:pPr>
            <w:r>
              <w:rPr>
                <w:rFonts w:ascii="Times New Roman" w:hAnsi="Times New Roman"/>
                <w:color w:val="000000"/>
                <w:kern w:val="0"/>
                <w:sz w:val="22"/>
                <w:szCs w:val="22"/>
                <w:highlight w:val="none"/>
                <w:lang w:bidi="ar"/>
              </w:rPr>
              <w:t>格式要求：醒目突出，与背景采用高对比度配色</w:t>
            </w:r>
          </w:p>
        </w:tc>
      </w:tr>
    </w:tbl>
    <w:p w14:paraId="6B406B9D">
      <w:pPr>
        <w:rPr>
          <w:rFonts w:hint="eastAsia" w:ascii="仿宋_GB2312" w:hAnsi="仿宋_GB2312" w:eastAsia="仿宋_GB2312" w:cs="仿宋_GB2312"/>
          <w:sz w:val="32"/>
          <w:szCs w:val="32"/>
          <w:highlight w:val="none"/>
        </w:rPr>
      </w:pPr>
      <w:bookmarkStart w:id="32" w:name="_GoBack"/>
      <w:bookmarkEnd w:id="3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802D1C"/>
    <w:multiLevelType w:val="multilevel"/>
    <w:tmpl w:val="48802D1C"/>
    <w:lvl w:ilvl="0" w:tentative="0">
      <w:start w:val="1"/>
      <w:numFmt w:val="upperLetter"/>
      <w:lvlText w:val="%1"/>
      <w:lvlJc w:val="left"/>
      <w:pPr>
        <w:ind w:left="420" w:hanging="420"/>
      </w:pPr>
      <w:rPr>
        <w:rFonts w:hint="eastAsia"/>
      </w:rPr>
    </w:lvl>
    <w:lvl w:ilvl="1" w:tentative="0">
      <w:start w:val="1"/>
      <w:numFmt w:val="decimal"/>
      <w:pStyle w:val="16"/>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15"/>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657D3FBC"/>
    <w:multiLevelType w:val="multilevel"/>
    <w:tmpl w:val="657D3FBC"/>
    <w:lvl w:ilvl="0" w:tentative="0">
      <w:start w:val="1"/>
      <w:numFmt w:val="upperLetter"/>
      <w:pStyle w:val="13"/>
      <w:suff w:val="nothing"/>
      <w:lvlText w:val="附录%1"/>
      <w:lvlJc w:val="left"/>
      <w:pPr>
        <w:ind w:left="0" w:firstLine="0"/>
      </w:pPr>
      <w:rPr>
        <w:rFonts w:hint="eastAsia"/>
        <w:spacing w:val="100"/>
      </w:rPr>
    </w:lvl>
    <w:lvl w:ilvl="1" w:tentative="0">
      <w:start w:val="1"/>
      <w:numFmt w:val="decimal"/>
      <w:pStyle w:val="14"/>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
      <w:suff w:val="nothing"/>
      <w:lvlText w:val="%1%2　"/>
      <w:lvlJc w:val="left"/>
      <w:pPr>
        <w:ind w:left="0" w:firstLine="0"/>
      </w:pPr>
      <w:rPr>
        <w:rFonts w:hint="eastAsia" w:ascii="黑体" w:eastAsia="黑体"/>
        <w:b w:val="0"/>
        <w:i w:val="0"/>
        <w:sz w:val="21"/>
      </w:rPr>
    </w:lvl>
    <w:lvl w:ilvl="2" w:tentative="0">
      <w:start w:val="1"/>
      <w:numFmt w:val="decimal"/>
      <w:pStyle w:val="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2"/>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691887"/>
    <w:rsid w:val="524E7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5">
    <w:name w:val="标准文件_章标题"/>
    <w:next w:val="6"/>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6">
    <w:name w:val="标准文件_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7">
    <w:name w:val="标准文件_术语条一"/>
    <w:basedOn w:val="8"/>
    <w:next w:val="6"/>
    <w:qFormat/>
    <w:uiPriority w:val="0"/>
  </w:style>
  <w:style w:type="paragraph" w:customStyle="1" w:styleId="8">
    <w:name w:val="标准文件_一级无标题"/>
    <w:basedOn w:val="9"/>
    <w:qFormat/>
    <w:uiPriority w:val="0"/>
    <w:pPr>
      <w:spacing w:before="0" w:beforeLines="0" w:after="0" w:afterLines="0"/>
      <w:outlineLvl w:val="9"/>
    </w:pPr>
    <w:rPr>
      <w:rFonts w:ascii="宋体" w:eastAsia="宋体"/>
    </w:rPr>
  </w:style>
  <w:style w:type="paragraph" w:customStyle="1" w:styleId="9">
    <w:name w:val="标准文件_一级条标题"/>
    <w:basedOn w:val="5"/>
    <w:next w:val="6"/>
    <w:qFormat/>
    <w:uiPriority w:val="0"/>
    <w:pPr>
      <w:numPr>
        <w:ilvl w:val="2"/>
      </w:numPr>
      <w:spacing w:before="50" w:beforeLines="50" w:after="50" w:afterLines="50"/>
      <w:outlineLvl w:val="1"/>
    </w:pPr>
  </w:style>
  <w:style w:type="paragraph" w:customStyle="1" w:styleId="10">
    <w:name w:val="标准文件_术语条二"/>
    <w:basedOn w:val="11"/>
    <w:next w:val="6"/>
    <w:qFormat/>
    <w:uiPriority w:val="0"/>
  </w:style>
  <w:style w:type="paragraph" w:customStyle="1" w:styleId="11">
    <w:name w:val="标准文件_二级无标题"/>
    <w:basedOn w:val="12"/>
    <w:qFormat/>
    <w:uiPriority w:val="0"/>
    <w:pPr>
      <w:spacing w:before="0" w:beforeLines="0" w:after="0" w:afterLines="0"/>
      <w:outlineLvl w:val="9"/>
    </w:pPr>
    <w:rPr>
      <w:rFonts w:ascii="宋体" w:eastAsia="宋体"/>
    </w:rPr>
  </w:style>
  <w:style w:type="paragraph" w:customStyle="1" w:styleId="12">
    <w:name w:val="标准文件_二级条标题"/>
    <w:next w:val="6"/>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3">
    <w:name w:val="标准文件_附录标识"/>
    <w:next w:val="6"/>
    <w:qFormat/>
    <w:uiPriority w:val="0"/>
    <w:pPr>
      <w:numPr>
        <w:ilvl w:val="0"/>
        <w:numId w:val="2"/>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4">
    <w:name w:val="标准文件_附录一级条标题"/>
    <w:next w:val="6"/>
    <w:qFormat/>
    <w:uiPriority w:val="0"/>
    <w:pPr>
      <w:widowControl w:val="0"/>
      <w:numPr>
        <w:ilvl w:val="1"/>
        <w:numId w:val="2"/>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5">
    <w:name w:val="标准文件_附录表标题"/>
    <w:next w:val="6"/>
    <w:qFormat/>
    <w:uiPriority w:val="0"/>
    <w:pPr>
      <w:numPr>
        <w:ilvl w:val="1"/>
        <w:numId w:val="3"/>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16">
    <w:name w:val="标准文件_附录图标题"/>
    <w:next w:val="6"/>
    <w:qFormat/>
    <w:uiPriority w:val="0"/>
    <w:pPr>
      <w:numPr>
        <w:ilvl w:val="1"/>
        <w:numId w:val="4"/>
      </w:numPr>
      <w:adjustRightInd w:val="0"/>
      <w:snapToGrid w:val="0"/>
      <w:spacing w:before="50" w:beforeLines="50" w:after="50" w:afterLines="50"/>
      <w:jc w:val="center"/>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3338</Words>
  <Characters>3786</Characters>
  <Lines>0</Lines>
  <Paragraphs>0</Paragraphs>
  <TotalTime>0</TotalTime>
  <ScaleCrop>false</ScaleCrop>
  <LinksUpToDate>false</LinksUpToDate>
  <CharactersWithSpaces>3927</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2026-08-07T07:58:00Z</dcterms:created>
  <dc:creator>Administrator</dc:creator>
  <cp:lastModifiedBy>sanayeon</cp:lastModifiedBy>
  <dcterms:modified xsi:type="dcterms:W3CDTF">2026-08-07T07:59:58Z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eyJoZGlkIjoiMmMzNmQ5MTg2YmVjNjY5MmQ0NDcxNTYwODdmNDYxZmIiLCJ1c2VySWQiOiIxNDI3MzcxNzU3In0=</vt:lpwstr>
  </property>
  <property fmtid="{D5CDD505-2E9C-101B-9397-08002B2CF9AE}" pid="4" name="ICV">
    <vt:lpwstr>8A8AEB32AD724411822CE2A584361976_12</vt:lpwstr>
  </property>
</Properties>
</file>