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9289F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highlight w:val="none"/>
          <w:lang w:val="en-US" w:eastAsia="zh-CN"/>
        </w:rPr>
        <w:t>附件5</w:t>
      </w:r>
    </w:p>
    <w:p w14:paraId="139C528C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秸秆收储场所安全生产注意事项</w:t>
      </w:r>
    </w:p>
    <w:p w14:paraId="512AB78E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一、消防安全</w:t>
      </w:r>
    </w:p>
    <w:p w14:paraId="7095074A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消防设施器材（灭火器、消防水池、消防栓）完好有效；</w:t>
      </w:r>
    </w:p>
    <w:p w14:paraId="6280579B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安全疏散通道保持畅通；</w:t>
      </w:r>
    </w:p>
    <w:p w14:paraId="5D661D8A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电气线路敷设规范，有无老化、私拉乱接；</w:t>
      </w:r>
    </w:p>
    <w:p w14:paraId="7EA0311F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动火作业执行审批管理制度；</w:t>
      </w:r>
    </w:p>
    <w:p w14:paraId="19F641C4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无违规存放易燃易爆物品；</w:t>
      </w:r>
    </w:p>
    <w:p w14:paraId="60FFC12A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厂区及周边防火隔离带设置达标；</w:t>
      </w:r>
    </w:p>
    <w:p w14:paraId="2A25B893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禁火标志醒目规范。</w:t>
      </w:r>
    </w:p>
    <w:p w14:paraId="7FA58DF0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二、储存安全</w:t>
      </w:r>
    </w:p>
    <w:p w14:paraId="3AF260C1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8.秸秆堆垛间距、高度符合安全标准；</w:t>
      </w:r>
    </w:p>
    <w:p w14:paraId="5A4D0CB9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9.防风、防雨、防雷等防护设施完善；</w:t>
      </w:r>
    </w:p>
    <w:p w14:paraId="25B70DE3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10.定期检测堆垛内部温湿度，防范自燃；</w:t>
      </w:r>
    </w:p>
    <w:p w14:paraId="1450CECA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11.建立并严格执行值班巡查制度。</w:t>
      </w:r>
    </w:p>
    <w:p w14:paraId="3AFFC1E8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三、作业安全</w:t>
      </w:r>
    </w:p>
    <w:p w14:paraId="48A56561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12.转运、装卸、粉碎、打包等机械设备安全防护装置齐全有效；</w:t>
      </w:r>
    </w:p>
    <w:p w14:paraId="381B6620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13.操作人员经安全培训合格上岗，是否遵守操作规程；</w:t>
      </w:r>
    </w:p>
    <w:p w14:paraId="784182D4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14.作业区域设置安全警示标识。</w:t>
      </w:r>
    </w:p>
    <w:p w14:paraId="270A823A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四、防爆安全</w:t>
      </w:r>
    </w:p>
    <w:p w14:paraId="7AE7A971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15.秸秆粉碎加工等粉尘场所配置防爆电气设备；</w:t>
      </w:r>
    </w:p>
    <w:p w14:paraId="6344BCE8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16.通风除尘系统正常运行；</w:t>
      </w:r>
    </w:p>
    <w:p w14:paraId="5843DAB3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17.粉尘清扫制度落实到位。</w:t>
      </w:r>
    </w:p>
    <w:p w14:paraId="23170A52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/>
          <w:sz w:val="32"/>
          <w:szCs w:val="32"/>
          <w:highlight w:val="none"/>
          <w:lang w:eastAsia="zh-CN"/>
        </w:rPr>
      </w:pPr>
    </w:p>
    <w:p w14:paraId="221B5DA3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附录：</w:t>
      </w:r>
    </w:p>
    <w:p w14:paraId="7BC8276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一、堆垛高度安全标准</w:t>
      </w:r>
    </w:p>
    <w:p w14:paraId="69DE45D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1.打捆秸秆（规模化收储）：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  <w:t>≤8m；</w:t>
      </w:r>
    </w:p>
    <w:p w14:paraId="4C252C0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2.散装秸秆（规模化收储）：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  <w:t>≤13m；</w:t>
      </w:r>
    </w:p>
    <w:p w14:paraId="2827A1B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3.田间/村屯临时堆放：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  <w:t>≤4m；</w:t>
      </w:r>
    </w:p>
    <w:p w14:paraId="69F30D0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4.饲料化/小型散户堆放：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  <w:t>≤2.5/3m。</w:t>
      </w:r>
    </w:p>
    <w:p w14:paraId="55E6FE2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二、堆垛间距安全标准</w:t>
      </w:r>
    </w:p>
    <w:p w14:paraId="01A59AC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Autospacing="0" w:line="560" w:lineRule="exact"/>
        <w:ind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val="en-US" w:eastAsia="zh-CN"/>
        </w:rPr>
        <w:t>1.</w:t>
      </w: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垛与垛间距</w:t>
      </w:r>
    </w:p>
    <w:p w14:paraId="3E4DE12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规模化收储：≥</w:t>
      </w: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5m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（通风+防火分隔）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；</w:t>
      </w:r>
    </w:p>
    <w:p w14:paraId="77106EC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临时/村屯堆放：≥</w:t>
      </w: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4–5m</w:t>
      </w: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eastAsia="zh-CN"/>
        </w:rPr>
        <w:t>。</w:t>
      </w:r>
    </w:p>
    <w:p w14:paraId="778523B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Autospacing="0" w:line="560" w:lineRule="exact"/>
        <w:ind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val="en-US" w:eastAsia="zh-CN"/>
        </w:rPr>
        <w:t>2.</w:t>
      </w: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垛组与通道</w:t>
      </w:r>
    </w:p>
    <w:p w14:paraId="65FF7F8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垛组之间：≥</w:t>
      </w: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8m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（防火通道）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；</w:t>
      </w:r>
    </w:p>
    <w:p w14:paraId="55E2280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主消防通道：≥</w:t>
      </w: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10m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（必须畅通）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。</w:t>
      </w:r>
    </w:p>
    <w:p w14:paraId="4188367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Autospacing="0" w:line="560" w:lineRule="exact"/>
        <w:ind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val="en-US" w:eastAsia="zh-CN"/>
        </w:rPr>
        <w:t>3.</w:t>
      </w: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外部安全距离</w:t>
      </w:r>
    </w:p>
    <w:p w14:paraId="7E3C698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与建筑物、围墙、树木：≥</w:t>
      </w: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10m</w:t>
      </w: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eastAsia="zh-CN"/>
        </w:rPr>
        <w:t>；</w:t>
      </w:r>
    </w:p>
    <w:p w14:paraId="6C97C01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与明火/火花点、变配电站：≥</w:t>
      </w: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25–50m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（GB50016）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；</w:t>
      </w:r>
    </w:p>
    <w:p w14:paraId="66653FD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储量＞2万吨堆场：分区存放，区间距≥</w:t>
      </w: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25m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（GB50016）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。</w:t>
      </w:r>
    </w:p>
    <w:p w14:paraId="677CA45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三、配套强制要求</w:t>
      </w:r>
    </w:p>
    <w:p w14:paraId="30881DD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垛基垫高≥</w:t>
      </w: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30cm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，防雨、防雷、防潮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；</w:t>
      </w:r>
    </w:p>
    <w:p w14:paraId="2E0B48D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堆垛呈</w:t>
      </w: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屋脊形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，顶部做排水坡度，覆盖防雨布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；</w:t>
      </w:r>
    </w:p>
    <w:p w14:paraId="3E24C91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定期测温：堆内＞50℃</w:t>
      </w: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立即翻垛散热，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＞60℃紧急拆垛降温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；</w:t>
      </w:r>
    </w:p>
    <w:p w14:paraId="30EA8C1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严禁湿料（含水率＞</w:t>
      </w: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20%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）大规模集中堆存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。</w:t>
      </w:r>
    </w:p>
    <w:p w14:paraId="3FE6669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四、现场监测要求</w:t>
      </w:r>
    </w:p>
    <w:p w14:paraId="55CEF2B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监测频次：日常</w:t>
      </w: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每日1次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；暖冬/干燥/雨雪后</w:t>
      </w: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每日2次</w:t>
      </w: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eastAsia="zh-CN"/>
        </w:rPr>
        <w:t>；</w:t>
      </w:r>
    </w:p>
    <w:p w14:paraId="1C7F629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监测位置：垛中心、1/2高度、底部、边缘（多点测温）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；</w:t>
      </w:r>
    </w:p>
    <w:p w14:paraId="2E35765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必须建立</w:t>
      </w:r>
      <w:r>
        <w:rPr>
          <w:rStyle w:val="5"/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温湿度巡查台账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，异常立即处置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。</w:t>
      </w:r>
    </w:p>
    <w:p w14:paraId="7CD3AB8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0E55FE-E064-468D-8A78-48C311726F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7C7CA91-4827-49C1-BA9C-1848D4CF63A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5CA585D-3A22-49A6-B1D7-D1B60D988CE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9E3FA16-ECD8-42F7-A2E6-C185424BC6F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75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2026-08-07T07:58:11Z</dcterms:created>
  <dc:creator>Administrator</dc:creator>
  <cp:lastModifiedBy>sanayeon</cp:lastModifiedBy>
  <dcterms:modified xsi:type="dcterms:W3CDTF">2026-08-07T07:58:20Z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eyJoZGlkIjoiMmMzNmQ5MTg2YmVjNjY5MmQ0NDcxNTYwODdmNDYxZmIiLCJ1c2VySWQiOiIxNDI3MzcxNzU3In0=</vt:lpwstr>
  </property>
  <property fmtid="{D5CDD505-2E9C-101B-9397-08002B2CF9AE}" pid="4" name="ICV">
    <vt:lpwstr>7545228D368F430F851E90FA3296667B_12</vt:lpwstr>
  </property>
</Properties>
</file>