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A000F57">
      <w:pPr>
        <w:spacing w:line="348" w:lineRule="auto"/>
        <w:rPr>
          <w:rFonts w:ascii="黑体" w:hAnsi="黑体" w:eastAsia="黑体" w:cs="黑体"/>
          <w:bCs/>
          <w:sz w:val="32"/>
          <w:szCs w:val="32"/>
        </w:rPr>
      </w:pPr>
      <w:r>
        <w:rPr>
          <w:rFonts w:hint="eastAsia" w:ascii="黑体" w:hAnsi="黑体" w:eastAsia="黑体" w:cs="黑体"/>
          <w:bCs/>
          <w:sz w:val="32"/>
          <w:szCs w:val="32"/>
        </w:rPr>
        <w:t>附件2-1</w:t>
      </w:r>
      <w:bookmarkStart w:id="0" w:name="_GoBack"/>
      <w:bookmarkEnd w:id="0"/>
    </w:p>
    <w:p w14:paraId="62637D0B">
      <w:pPr>
        <w:spacing w:line="348" w:lineRule="auto"/>
        <w:jc w:val="center"/>
        <w:rPr>
          <w:rFonts w:eastAsia="方正小标宋简体"/>
          <w:bCs/>
          <w:sz w:val="42"/>
          <w:szCs w:val="42"/>
        </w:rPr>
      </w:pPr>
    </w:p>
    <w:p w14:paraId="5160ACCD">
      <w:pPr>
        <w:spacing w:line="800" w:lineRule="exact"/>
        <w:jc w:val="center"/>
        <w:rPr>
          <w:rFonts w:eastAsia="方正小标宋简体"/>
          <w:bCs/>
          <w:sz w:val="46"/>
          <w:szCs w:val="46"/>
        </w:rPr>
      </w:pPr>
      <w:r>
        <w:rPr>
          <w:rFonts w:hint="eastAsia" w:eastAsia="方正小标宋简体"/>
          <w:bCs/>
          <w:sz w:val="46"/>
          <w:szCs w:val="46"/>
        </w:rPr>
        <w:t>华容县2020年度部门整体支出</w:t>
      </w:r>
    </w:p>
    <w:p w14:paraId="53DF68BE">
      <w:pPr>
        <w:spacing w:line="800" w:lineRule="exact"/>
        <w:jc w:val="center"/>
        <w:rPr>
          <w:rFonts w:eastAsia="方正小标宋简体"/>
          <w:bCs/>
          <w:sz w:val="46"/>
          <w:szCs w:val="46"/>
        </w:rPr>
      </w:pPr>
      <w:r>
        <w:rPr>
          <w:rFonts w:hint="eastAsia" w:eastAsia="方正小标宋简体"/>
          <w:bCs/>
          <w:sz w:val="46"/>
          <w:szCs w:val="46"/>
        </w:rPr>
        <w:t>绩效评价自评报告</w:t>
      </w:r>
    </w:p>
    <w:p w14:paraId="761614EA">
      <w:pPr>
        <w:rPr>
          <w:rFonts w:eastAsia="仿宋_GB2312"/>
          <w:b/>
          <w:sz w:val="32"/>
        </w:rPr>
      </w:pPr>
    </w:p>
    <w:p w14:paraId="60AFED7A">
      <w:pPr>
        <w:rPr>
          <w:rFonts w:eastAsia="仿宋_GB2312"/>
          <w:b/>
          <w:sz w:val="32"/>
        </w:rPr>
      </w:pPr>
    </w:p>
    <w:p w14:paraId="14EC6EC1">
      <w:pPr>
        <w:spacing w:beforeLines="50" w:line="348" w:lineRule="auto"/>
        <w:ind w:firstLine="476" w:firstLineChars="150"/>
        <w:rPr>
          <w:rFonts w:eastAsia="仿宋_GB2312"/>
          <w:sz w:val="32"/>
          <w:szCs w:val="32"/>
          <w:u w:val="single"/>
        </w:rPr>
      </w:pPr>
      <w:r>
        <w:rPr>
          <w:rFonts w:hint="eastAsia" w:eastAsia="仿宋_GB2312"/>
          <w:sz w:val="32"/>
          <w:szCs w:val="32"/>
        </w:rPr>
        <w:t>部门(单位)名称：</w:t>
      </w:r>
      <w:r>
        <w:rPr>
          <w:rFonts w:hint="eastAsia" w:eastAsia="仿宋_GB2312"/>
          <w:sz w:val="32"/>
          <w:szCs w:val="32"/>
          <w:u w:val="single"/>
        </w:rPr>
        <w:t xml:space="preserve">    华容县发展和改革局            </w:t>
      </w:r>
    </w:p>
    <w:p w14:paraId="791A6876">
      <w:pPr>
        <w:spacing w:beforeLines="50" w:line="348" w:lineRule="auto"/>
        <w:ind w:firstLine="476" w:firstLineChars="150"/>
        <w:rPr>
          <w:rFonts w:eastAsia="仿宋_GB2312"/>
          <w:spacing w:val="20"/>
          <w:sz w:val="32"/>
          <w:szCs w:val="32"/>
        </w:rPr>
      </w:pPr>
      <w:r>
        <w:rPr>
          <w:rFonts w:hint="eastAsia" w:eastAsia="仿宋_GB2312"/>
          <w:sz w:val="32"/>
          <w:szCs w:val="32"/>
        </w:rPr>
        <w:t>预</w:t>
      </w:r>
      <w:r>
        <w:rPr>
          <w:rFonts w:hint="eastAsia" w:eastAsia="仿宋_GB2312"/>
          <w:spacing w:val="30"/>
          <w:sz w:val="32"/>
          <w:szCs w:val="32"/>
        </w:rPr>
        <w:t xml:space="preserve"> 算 编 码：</w:t>
      </w:r>
      <w:r>
        <w:rPr>
          <w:rFonts w:hint="eastAsia" w:eastAsia="仿宋_GB2312"/>
          <w:spacing w:val="20"/>
          <w:sz w:val="32"/>
          <w:szCs w:val="32"/>
          <w:u w:val="single"/>
        </w:rPr>
        <w:t xml:space="preserve">     107001                </w:t>
      </w:r>
    </w:p>
    <w:p w14:paraId="32A47365">
      <w:pPr>
        <w:spacing w:beforeLines="50" w:line="348" w:lineRule="auto"/>
        <w:ind w:firstLine="476" w:firstLineChars="150"/>
        <w:rPr>
          <w:rFonts w:eastAsia="仿宋_GB2312"/>
          <w:sz w:val="32"/>
          <w:szCs w:val="32"/>
        </w:rPr>
      </w:pPr>
      <w:r>
        <w:rPr>
          <w:rFonts w:hint="eastAsia" w:eastAsia="仿宋_GB2312"/>
          <w:sz w:val="32"/>
          <w:szCs w:val="32"/>
        </w:rPr>
        <w:t>评价方式：部门（单位）绩效自评</w:t>
      </w:r>
    </w:p>
    <w:p w14:paraId="3818C88A">
      <w:pPr>
        <w:spacing w:beforeLines="50" w:line="348" w:lineRule="auto"/>
        <w:ind w:firstLine="476" w:firstLineChars="150"/>
        <w:rPr>
          <w:rFonts w:eastAsia="仿宋_GB2312"/>
          <w:sz w:val="32"/>
          <w:szCs w:val="32"/>
        </w:rPr>
      </w:pPr>
      <w:r>
        <w:rPr>
          <w:rFonts w:hint="eastAsia" w:eastAsia="仿宋_GB2312"/>
          <w:sz w:val="32"/>
          <w:szCs w:val="32"/>
        </w:rPr>
        <w:t xml:space="preserve">评价机构：部门（单位）评价组   </w:t>
      </w:r>
    </w:p>
    <w:p w14:paraId="50DCCE4F">
      <w:pPr>
        <w:spacing w:line="720" w:lineRule="exact"/>
        <w:ind w:firstLine="2188" w:firstLineChars="690"/>
        <w:rPr>
          <w:rFonts w:eastAsia="仿宋_GB2312"/>
          <w:sz w:val="32"/>
        </w:rPr>
      </w:pPr>
    </w:p>
    <w:p w14:paraId="2000A541">
      <w:pPr>
        <w:spacing w:line="720" w:lineRule="exact"/>
        <w:ind w:firstLine="2188" w:firstLineChars="690"/>
        <w:rPr>
          <w:rFonts w:eastAsia="仿宋_GB2312"/>
          <w:sz w:val="32"/>
        </w:rPr>
      </w:pPr>
    </w:p>
    <w:p w14:paraId="07D0AE26">
      <w:pPr>
        <w:spacing w:line="720" w:lineRule="exact"/>
        <w:ind w:firstLine="2188" w:firstLineChars="690"/>
        <w:rPr>
          <w:rFonts w:eastAsia="仿宋_GB2312"/>
          <w:sz w:val="32"/>
        </w:rPr>
      </w:pPr>
    </w:p>
    <w:p w14:paraId="4FB6E2CD">
      <w:pPr>
        <w:spacing w:line="348" w:lineRule="auto"/>
        <w:jc w:val="center"/>
        <w:rPr>
          <w:rFonts w:eastAsia="仿宋_GB2312"/>
          <w:sz w:val="32"/>
        </w:rPr>
      </w:pPr>
      <w:r>
        <w:rPr>
          <w:rFonts w:hint="eastAsia" w:eastAsia="仿宋_GB2312"/>
          <w:sz w:val="32"/>
        </w:rPr>
        <w:t>报告日期：   2021年7月27 日</w:t>
      </w:r>
    </w:p>
    <w:p w14:paraId="054338B9">
      <w:pPr>
        <w:autoSpaceDN w:val="0"/>
        <w:jc w:val="center"/>
        <w:textAlignment w:val="center"/>
        <w:rPr>
          <w:rFonts w:eastAsia="仿宋_GB2312"/>
          <w:sz w:val="32"/>
          <w:szCs w:val="32"/>
        </w:rPr>
        <w:sectPr>
          <w:footerReference r:id="rId3" w:type="default"/>
          <w:footerReference r:id="rId4" w:type="even"/>
          <w:pgSz w:w="11906" w:h="16838"/>
          <w:pgMar w:top="1588" w:right="1588" w:bottom="1588" w:left="1588" w:header="851" w:footer="992" w:gutter="0"/>
          <w:pgNumType w:start="1"/>
          <w:cols w:space="720" w:num="1"/>
          <w:docGrid w:type="linesAndChars" w:linePitch="602" w:charSpace="-782"/>
        </w:sectPr>
      </w:pPr>
      <w:r>
        <w:rPr>
          <w:rFonts w:hint="eastAsia" w:eastAsia="仿宋_GB2312"/>
          <w:sz w:val="32"/>
        </w:rPr>
        <w:t>华容县财政</w:t>
      </w:r>
      <w:r>
        <w:rPr>
          <w:rFonts w:hint="eastAsia" w:eastAsia="仿宋_GB2312"/>
          <w:sz w:val="32"/>
          <w:szCs w:val="32"/>
        </w:rPr>
        <w:t>局（制）</w:t>
      </w:r>
    </w:p>
    <w:tbl>
      <w:tblPr>
        <w:tblStyle w:val="4"/>
        <w:tblW w:w="9767"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
      <w:tblGrid>
        <w:gridCol w:w="1408"/>
        <w:gridCol w:w="213"/>
        <w:gridCol w:w="46"/>
        <w:gridCol w:w="1080"/>
        <w:gridCol w:w="210"/>
        <w:gridCol w:w="1145"/>
        <w:gridCol w:w="272"/>
        <w:gridCol w:w="808"/>
        <w:gridCol w:w="1479"/>
        <w:gridCol w:w="226"/>
        <w:gridCol w:w="196"/>
        <w:gridCol w:w="259"/>
        <w:gridCol w:w="1080"/>
        <w:gridCol w:w="265"/>
        <w:gridCol w:w="139"/>
        <w:gridCol w:w="316"/>
        <w:gridCol w:w="625"/>
      </w:tblGrid>
      <w:tr w14:paraId="4CB4E97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9767" w:type="dxa"/>
            <w:gridSpan w:val="17"/>
            <w:vAlign w:val="center"/>
          </w:tcPr>
          <w:p w14:paraId="4A4DF7F2">
            <w:pPr>
              <w:autoSpaceDN w:val="0"/>
              <w:spacing w:line="320" w:lineRule="exact"/>
              <w:jc w:val="center"/>
              <w:textAlignment w:val="center"/>
              <w:rPr>
                <w:rFonts w:ascii="仿宋_GB2312" w:hAnsi="仿宋_GB2312" w:eastAsia="仿宋_GB2312" w:cs="仿宋_GB2312"/>
                <w:color w:val="000000"/>
                <w:sz w:val="24"/>
              </w:rPr>
            </w:pPr>
            <w:r>
              <w:rPr>
                <w:rFonts w:hint="eastAsia" w:ascii="黑体" w:hAnsi="黑体" w:eastAsia="黑体" w:cs="黑体"/>
                <w:color w:val="000000"/>
                <w:sz w:val="28"/>
                <w:szCs w:val="28"/>
              </w:rPr>
              <w:t>一、部门（单位）基本概况</w:t>
            </w:r>
          </w:p>
        </w:tc>
      </w:tr>
      <w:tr w14:paraId="5830E53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621" w:type="dxa"/>
            <w:gridSpan w:val="2"/>
            <w:vAlign w:val="center"/>
          </w:tcPr>
          <w:p w14:paraId="22DA69B6">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联系人</w:t>
            </w:r>
          </w:p>
        </w:tc>
        <w:tc>
          <w:tcPr>
            <w:tcW w:w="3561" w:type="dxa"/>
            <w:gridSpan w:val="6"/>
            <w:vAlign w:val="center"/>
          </w:tcPr>
          <w:p w14:paraId="3D5D664F">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黎丽萍</w:t>
            </w:r>
          </w:p>
        </w:tc>
        <w:tc>
          <w:tcPr>
            <w:tcW w:w="1479" w:type="dxa"/>
            <w:vAlign w:val="center"/>
          </w:tcPr>
          <w:p w14:paraId="02FD308A">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联络电话</w:t>
            </w:r>
          </w:p>
        </w:tc>
        <w:tc>
          <w:tcPr>
            <w:tcW w:w="3106" w:type="dxa"/>
            <w:gridSpan w:val="8"/>
            <w:vAlign w:val="center"/>
          </w:tcPr>
          <w:p w14:paraId="710CD2EC">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4188323</w:t>
            </w:r>
          </w:p>
        </w:tc>
      </w:tr>
      <w:tr w14:paraId="23E3439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621" w:type="dxa"/>
            <w:gridSpan w:val="2"/>
            <w:vAlign w:val="center"/>
          </w:tcPr>
          <w:p w14:paraId="71E838C4">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人员编制</w:t>
            </w:r>
          </w:p>
        </w:tc>
        <w:tc>
          <w:tcPr>
            <w:tcW w:w="3561" w:type="dxa"/>
            <w:gridSpan w:val="6"/>
            <w:vAlign w:val="center"/>
          </w:tcPr>
          <w:p w14:paraId="286296E9">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38</w:t>
            </w:r>
          </w:p>
        </w:tc>
        <w:tc>
          <w:tcPr>
            <w:tcW w:w="1479" w:type="dxa"/>
            <w:vAlign w:val="center"/>
          </w:tcPr>
          <w:p w14:paraId="776C35EA">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实有人数</w:t>
            </w:r>
          </w:p>
        </w:tc>
        <w:tc>
          <w:tcPr>
            <w:tcW w:w="3106" w:type="dxa"/>
            <w:gridSpan w:val="8"/>
            <w:vAlign w:val="center"/>
          </w:tcPr>
          <w:p w14:paraId="0362A130">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54</w:t>
            </w:r>
          </w:p>
        </w:tc>
      </w:tr>
      <w:tr w14:paraId="1FCC144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1500" w:hRule="atLeast"/>
          <w:jc w:val="center"/>
        </w:trPr>
        <w:tc>
          <w:tcPr>
            <w:tcW w:w="1621" w:type="dxa"/>
            <w:gridSpan w:val="2"/>
            <w:vAlign w:val="center"/>
          </w:tcPr>
          <w:p w14:paraId="3B73778D">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职能职责概述</w:t>
            </w:r>
          </w:p>
        </w:tc>
        <w:tc>
          <w:tcPr>
            <w:tcW w:w="8146" w:type="dxa"/>
            <w:gridSpan w:val="15"/>
            <w:vAlign w:val="center"/>
          </w:tcPr>
          <w:p w14:paraId="4104DE50">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1、拟订全县国民经济和社会发展战略、中长期规划和年度计划并组织实施；2、组织编制国民经济动员、国防交通保障规划、计划；3、统筹规划和综合协调产业发展，推动全县经济结构战略性调整；4、协调平衡卫生健康、科技教育、文化旅游、体育民政等发展政策；5、推进可持续发展战略，负责节能减排的综合协调工作；6、负责全县固定资产投资管理；7、负责全县价格工作的宏观管理和综合平衡；8、完成上级交办的其他任务。</w:t>
            </w:r>
          </w:p>
        </w:tc>
      </w:tr>
      <w:tr w14:paraId="188E003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464" w:hRule="atLeast"/>
          <w:jc w:val="center"/>
        </w:trPr>
        <w:tc>
          <w:tcPr>
            <w:tcW w:w="1621" w:type="dxa"/>
            <w:gridSpan w:val="2"/>
            <w:vAlign w:val="center"/>
          </w:tcPr>
          <w:p w14:paraId="0A422964">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年度主要</w:t>
            </w:r>
          </w:p>
          <w:p w14:paraId="230B9A45">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工作内容</w:t>
            </w:r>
          </w:p>
        </w:tc>
        <w:tc>
          <w:tcPr>
            <w:tcW w:w="8146" w:type="dxa"/>
            <w:gridSpan w:val="15"/>
            <w:vAlign w:val="center"/>
          </w:tcPr>
          <w:p w14:paraId="79652D8A">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任务1:完成“十四五”规划编制年度任务</w:t>
            </w:r>
          </w:p>
          <w:p w14:paraId="71E193FB">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任务2:完成争项争资年度任务</w:t>
            </w:r>
          </w:p>
          <w:p w14:paraId="2CD12C81">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任务3:完成华容长江大保护项目年度建设任务</w:t>
            </w:r>
          </w:p>
          <w:p w14:paraId="7C182C82">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任务4:完成固定资产投资年度目标</w:t>
            </w:r>
          </w:p>
          <w:p w14:paraId="026F1055">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任务5:完成智慧华容PPP项目年度建设任务</w:t>
            </w:r>
          </w:p>
          <w:p w14:paraId="108880F6">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任务6:完成易地扶贫搬迁年度任务</w:t>
            </w:r>
          </w:p>
          <w:p w14:paraId="66B5EBBA">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任务7:完成经济和社会体制和事业单位公车年度改革任务</w:t>
            </w:r>
          </w:p>
          <w:p w14:paraId="1CCD9E9C">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任务8:完成年度成本调查和监测任务</w:t>
            </w:r>
          </w:p>
          <w:p w14:paraId="2370DA00">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任务9:按要求做好涉案物的鉴定工作</w:t>
            </w:r>
          </w:p>
          <w:p w14:paraId="73C4EBD5">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任务10:完成上级交办的其他任务。</w:t>
            </w:r>
          </w:p>
        </w:tc>
      </w:tr>
      <w:tr w14:paraId="1E4FEBB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260" w:hRule="atLeast"/>
          <w:jc w:val="center"/>
        </w:trPr>
        <w:tc>
          <w:tcPr>
            <w:tcW w:w="1621" w:type="dxa"/>
            <w:gridSpan w:val="2"/>
            <w:vAlign w:val="center"/>
          </w:tcPr>
          <w:p w14:paraId="2C1645D0">
            <w:pPr>
              <w:autoSpaceDN w:val="0"/>
              <w:spacing w:line="320" w:lineRule="exact"/>
              <w:jc w:val="center"/>
              <w:textAlignment w:val="center"/>
              <w:rPr>
                <w:rFonts w:ascii="仿宋_GB2312" w:hAnsi="仿宋_GB2312" w:eastAsia="仿宋_GB2312" w:cs="仿宋_GB2312"/>
                <w:color w:val="000000"/>
                <w:spacing w:val="-6"/>
                <w:sz w:val="24"/>
              </w:rPr>
            </w:pPr>
            <w:r>
              <w:rPr>
                <w:rFonts w:hint="eastAsia" w:ascii="仿宋_GB2312" w:hAnsi="仿宋_GB2312" w:eastAsia="仿宋_GB2312" w:cs="仿宋_GB2312"/>
                <w:color w:val="000000"/>
                <w:spacing w:val="-6"/>
                <w:sz w:val="24"/>
              </w:rPr>
              <w:t>年度部门（单位）总体运行情况及取得的成绩</w:t>
            </w:r>
          </w:p>
        </w:tc>
        <w:tc>
          <w:tcPr>
            <w:tcW w:w="8146" w:type="dxa"/>
            <w:gridSpan w:val="15"/>
            <w:vAlign w:val="center"/>
          </w:tcPr>
          <w:p w14:paraId="666FDC8B">
            <w:pPr>
              <w:spacing w:line="360" w:lineRule="exact"/>
              <w:ind w:firstLine="480" w:firstLineChars="200"/>
              <w:jc w:val="left"/>
              <w:rPr>
                <w:rFonts w:hint="eastAsia" w:ascii="仿宋_GB2312" w:hAnsi="仿宋_GB2312" w:eastAsia="仿宋_GB2312" w:cs="仿宋_GB2312"/>
                <w:color w:val="000000"/>
                <w:sz w:val="24"/>
                <w:lang w:eastAsia="zh-CN"/>
              </w:rPr>
            </w:pPr>
            <w:r>
              <w:rPr>
                <w:rFonts w:hint="eastAsia" w:ascii="仿宋_GB2312" w:eastAsia="仿宋_GB2312"/>
                <w:sz w:val="24"/>
              </w:rPr>
              <w:t>2020年，县发改局在县委、县政府的坚强领导下，认真落实“一三五”基本思路，扎实践行“一线工作法”，较好地完成了年度各项工作任务。全年地区生产增长</w:t>
            </w:r>
            <w:r>
              <w:rPr>
                <w:rFonts w:hint="eastAsia" w:ascii="仿宋_GB2312" w:eastAsia="仿宋_GB2312"/>
                <w:sz w:val="24"/>
                <w:lang w:val="en-US" w:eastAsia="zh-CN"/>
              </w:rPr>
              <w:t>3.8</w:t>
            </w:r>
            <w:r>
              <w:rPr>
                <w:rFonts w:hint="eastAsia" w:ascii="仿宋_GB2312" w:eastAsia="仿宋_GB2312"/>
                <w:sz w:val="24"/>
              </w:rPr>
              <w:t>%</w:t>
            </w:r>
            <w:r>
              <w:rPr>
                <w:rFonts w:hint="eastAsia" w:ascii="仿宋_GB2312" w:eastAsia="仿宋_GB2312"/>
                <w:sz w:val="24"/>
                <w:lang w:val="en-US" w:eastAsia="zh-CN"/>
              </w:rPr>
              <w:t>,</w:t>
            </w:r>
            <w:r>
              <w:rPr>
                <w:rFonts w:hint="eastAsia" w:ascii="仿宋_GB2312" w:eastAsia="仿宋_GB2312"/>
                <w:sz w:val="24"/>
              </w:rPr>
              <w:t>固投增长</w:t>
            </w:r>
            <w:r>
              <w:rPr>
                <w:rFonts w:hint="eastAsia" w:ascii="仿宋_GB2312" w:eastAsia="仿宋_GB2312"/>
                <w:sz w:val="24"/>
                <w:lang w:val="en-US" w:eastAsia="zh-CN"/>
              </w:rPr>
              <w:t>9.2</w:t>
            </w:r>
            <w:r>
              <w:rPr>
                <w:rFonts w:hint="eastAsia" w:ascii="仿宋_GB2312" w:eastAsia="仿宋_GB2312"/>
                <w:sz w:val="24"/>
              </w:rPr>
              <w:t>%，六县市排名第</w:t>
            </w:r>
            <w:r>
              <w:rPr>
                <w:rFonts w:hint="eastAsia" w:ascii="仿宋_GB2312" w:eastAsia="仿宋_GB2312"/>
                <w:sz w:val="24"/>
                <w:lang w:eastAsia="zh-CN"/>
              </w:rPr>
              <w:t>二</w:t>
            </w:r>
            <w:r>
              <w:rPr>
                <w:rFonts w:hint="eastAsia" w:ascii="仿宋_GB2312" w:eastAsia="仿宋_GB2312"/>
                <w:sz w:val="24"/>
              </w:rPr>
              <w:t>；城居收入增长4.</w:t>
            </w:r>
            <w:r>
              <w:rPr>
                <w:rFonts w:hint="eastAsia" w:ascii="仿宋_GB2312" w:eastAsia="仿宋_GB2312"/>
                <w:sz w:val="24"/>
                <w:lang w:val="en-US" w:eastAsia="zh-CN"/>
              </w:rPr>
              <w:t>7</w:t>
            </w:r>
            <w:r>
              <w:rPr>
                <w:rFonts w:hint="eastAsia" w:ascii="仿宋_GB2312" w:eastAsia="仿宋_GB2312"/>
                <w:sz w:val="24"/>
              </w:rPr>
              <w:t>%，六县市排名第二。较好</w:t>
            </w:r>
            <w:r>
              <w:rPr>
                <w:rFonts w:hint="eastAsia" w:ascii="仿宋_GB2312" w:eastAsia="仿宋_GB2312"/>
                <w:sz w:val="24"/>
                <w:lang w:eastAsia="zh-CN"/>
              </w:rPr>
              <w:t>完成了</w:t>
            </w:r>
            <w:r>
              <w:rPr>
                <w:rFonts w:hint="eastAsia" w:ascii="仿宋_GB2312" w:eastAsia="仿宋_GB2312"/>
                <w:sz w:val="24"/>
              </w:rPr>
              <w:t>县委、县政府</w:t>
            </w:r>
            <w:r>
              <w:rPr>
                <w:rFonts w:hint="eastAsia" w:ascii="仿宋_GB2312" w:eastAsia="仿宋_GB2312"/>
                <w:sz w:val="24"/>
                <w:lang w:eastAsia="zh-CN"/>
              </w:rPr>
              <w:t>下达的</w:t>
            </w:r>
            <w:r>
              <w:rPr>
                <w:rFonts w:hint="eastAsia" w:ascii="仿宋_GB2312" w:eastAsia="仿宋_GB2312"/>
                <w:sz w:val="24"/>
              </w:rPr>
              <w:t>目标任务，易地扶贫搬迁顺利通过省级检查验收.</w:t>
            </w:r>
            <w:r>
              <w:rPr>
                <w:rFonts w:hint="eastAsia" w:ascii="仿宋_GB2312" w:eastAsia="仿宋_GB2312"/>
                <w:sz w:val="24"/>
                <w:lang w:val="en-US" w:eastAsia="zh-CN"/>
              </w:rPr>
              <w:t>2020年获</w:t>
            </w:r>
            <w:r>
              <w:rPr>
                <w:rFonts w:hint="eastAsia" w:ascii="仿宋_GB2312" w:hAnsi="仿宋_GB2312" w:eastAsia="仿宋_GB2312" w:cs="仿宋_GB2312"/>
                <w:color w:val="000000"/>
                <w:sz w:val="24"/>
              </w:rPr>
              <w:t>全县“综合绩效考核”一类单位，</w:t>
            </w:r>
            <w:r>
              <w:rPr>
                <w:rFonts w:hint="eastAsia" w:ascii="仿宋_GB2312" w:hAnsi="仿宋_GB2312" w:eastAsia="仿宋_GB2312" w:cs="仿宋_GB2312"/>
                <w:color w:val="000000"/>
                <w:sz w:val="24"/>
                <w:lang w:eastAsia="zh-CN"/>
              </w:rPr>
              <w:t>脱贫攻坚优胜单位、推进产业链发展优胜单位、安全生产和消防工作优胜单位。</w:t>
            </w:r>
          </w:p>
        </w:tc>
      </w:tr>
      <w:tr w14:paraId="12813FC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9767" w:type="dxa"/>
            <w:gridSpan w:val="17"/>
            <w:vAlign w:val="center"/>
          </w:tcPr>
          <w:p w14:paraId="2A4BE7E0">
            <w:pPr>
              <w:autoSpaceDN w:val="0"/>
              <w:spacing w:line="320" w:lineRule="exact"/>
              <w:jc w:val="center"/>
              <w:textAlignment w:val="center"/>
              <w:rPr>
                <w:rFonts w:ascii="仿宋_GB2312" w:hAnsi="仿宋_GB2312" w:eastAsia="仿宋_GB2312" w:cs="仿宋_GB2312"/>
                <w:color w:val="000000"/>
                <w:sz w:val="24"/>
              </w:rPr>
            </w:pPr>
            <w:r>
              <w:rPr>
                <w:rFonts w:hint="eastAsia" w:ascii="黑体" w:hAnsi="黑体" w:eastAsia="黑体" w:cs="黑体"/>
                <w:color w:val="000000"/>
                <w:sz w:val="28"/>
                <w:szCs w:val="28"/>
              </w:rPr>
              <w:t>二、部门（单位）收支情况</w:t>
            </w:r>
          </w:p>
        </w:tc>
      </w:tr>
      <w:tr w14:paraId="63813EB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42" w:hRule="atLeast"/>
          <w:jc w:val="center"/>
        </w:trPr>
        <w:tc>
          <w:tcPr>
            <w:tcW w:w="9767" w:type="dxa"/>
            <w:gridSpan w:val="17"/>
            <w:vAlign w:val="center"/>
          </w:tcPr>
          <w:p w14:paraId="16B263E1">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b/>
                <w:bCs/>
                <w:color w:val="000000"/>
                <w:sz w:val="24"/>
              </w:rPr>
              <w:t>年度收入情况（万元）</w:t>
            </w:r>
          </w:p>
        </w:tc>
      </w:tr>
      <w:tr w14:paraId="406E66B1">
        <w:tblPrEx>
          <w:tblCellMar>
            <w:top w:w="0" w:type="dxa"/>
            <w:left w:w="15" w:type="dxa"/>
            <w:bottom w:w="0" w:type="dxa"/>
            <w:right w:w="15" w:type="dxa"/>
          </w:tblCellMar>
        </w:tblPrEx>
        <w:trPr>
          <w:trHeight w:val="422" w:hRule="atLeast"/>
          <w:jc w:val="center"/>
        </w:trPr>
        <w:tc>
          <w:tcPr>
            <w:tcW w:w="1667" w:type="dxa"/>
            <w:gridSpan w:val="3"/>
            <w:vMerge w:val="restart"/>
            <w:vAlign w:val="center"/>
          </w:tcPr>
          <w:p w14:paraId="07AF74FC">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机构名称</w:t>
            </w:r>
          </w:p>
        </w:tc>
        <w:tc>
          <w:tcPr>
            <w:tcW w:w="1080" w:type="dxa"/>
            <w:vMerge w:val="restart"/>
            <w:tcBorders>
              <w:right w:val="single" w:color="auto" w:sz="4" w:space="0"/>
            </w:tcBorders>
            <w:vAlign w:val="center"/>
          </w:tcPr>
          <w:p w14:paraId="55E592C5">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收入合计</w:t>
            </w:r>
          </w:p>
        </w:tc>
        <w:tc>
          <w:tcPr>
            <w:tcW w:w="7020" w:type="dxa"/>
            <w:gridSpan w:val="13"/>
            <w:tcBorders>
              <w:left w:val="single" w:color="auto" w:sz="4" w:space="0"/>
            </w:tcBorders>
            <w:vAlign w:val="center"/>
          </w:tcPr>
          <w:p w14:paraId="2A8C26B3">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r>
      <w:tr w14:paraId="4E171E4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49" w:hRule="atLeast"/>
          <w:jc w:val="center"/>
        </w:trPr>
        <w:tc>
          <w:tcPr>
            <w:tcW w:w="1667" w:type="dxa"/>
            <w:gridSpan w:val="3"/>
            <w:vMerge w:val="continue"/>
            <w:vAlign w:val="center"/>
          </w:tcPr>
          <w:p w14:paraId="3D747856">
            <w:pPr>
              <w:autoSpaceDN w:val="0"/>
              <w:spacing w:line="320" w:lineRule="exact"/>
              <w:jc w:val="center"/>
              <w:textAlignment w:val="center"/>
              <w:rPr>
                <w:rFonts w:ascii="仿宋_GB2312" w:hAnsi="仿宋_GB2312" w:eastAsia="仿宋_GB2312" w:cs="仿宋_GB2312"/>
                <w:color w:val="000000"/>
                <w:sz w:val="24"/>
              </w:rPr>
            </w:pPr>
          </w:p>
        </w:tc>
        <w:tc>
          <w:tcPr>
            <w:tcW w:w="1080" w:type="dxa"/>
            <w:vMerge w:val="continue"/>
            <w:tcBorders>
              <w:right w:val="single" w:color="auto" w:sz="4" w:space="0"/>
            </w:tcBorders>
            <w:vAlign w:val="center"/>
          </w:tcPr>
          <w:p w14:paraId="7BBA1D97">
            <w:pPr>
              <w:autoSpaceDN w:val="0"/>
              <w:spacing w:line="320" w:lineRule="exact"/>
              <w:jc w:val="center"/>
              <w:textAlignment w:val="center"/>
              <w:rPr>
                <w:rFonts w:ascii="仿宋_GB2312" w:hAnsi="仿宋_GB2312" w:eastAsia="仿宋_GB2312" w:cs="仿宋_GB2312"/>
                <w:color w:val="000000"/>
                <w:sz w:val="24"/>
              </w:rPr>
            </w:pPr>
          </w:p>
        </w:tc>
        <w:tc>
          <w:tcPr>
            <w:tcW w:w="1355" w:type="dxa"/>
            <w:gridSpan w:val="2"/>
            <w:tcBorders>
              <w:left w:val="single" w:color="auto" w:sz="4" w:space="0"/>
            </w:tcBorders>
            <w:vAlign w:val="center"/>
          </w:tcPr>
          <w:p w14:paraId="335E10A3">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上年结转</w:t>
            </w:r>
          </w:p>
        </w:tc>
        <w:tc>
          <w:tcPr>
            <w:tcW w:w="1080" w:type="dxa"/>
            <w:gridSpan w:val="2"/>
            <w:vAlign w:val="center"/>
          </w:tcPr>
          <w:p w14:paraId="79ED9FD9">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公共财</w:t>
            </w:r>
          </w:p>
          <w:p w14:paraId="27CE3703">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政拨款</w:t>
            </w:r>
          </w:p>
        </w:tc>
        <w:tc>
          <w:tcPr>
            <w:tcW w:w="1705" w:type="dxa"/>
            <w:gridSpan w:val="2"/>
            <w:vAlign w:val="center"/>
          </w:tcPr>
          <w:p w14:paraId="0C754CD0">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政府基金拨款</w:t>
            </w:r>
          </w:p>
        </w:tc>
        <w:tc>
          <w:tcPr>
            <w:tcW w:w="1800" w:type="dxa"/>
            <w:gridSpan w:val="4"/>
            <w:vAlign w:val="center"/>
          </w:tcPr>
          <w:p w14:paraId="7776D764">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纳入专户管理的非税收入拨款</w:t>
            </w:r>
          </w:p>
        </w:tc>
        <w:tc>
          <w:tcPr>
            <w:tcW w:w="1080" w:type="dxa"/>
            <w:gridSpan w:val="3"/>
            <w:vAlign w:val="center"/>
          </w:tcPr>
          <w:p w14:paraId="5086D39C">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其他</w:t>
            </w:r>
          </w:p>
          <w:p w14:paraId="3B5E15BA">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收入</w:t>
            </w:r>
          </w:p>
        </w:tc>
      </w:tr>
      <w:tr w14:paraId="2788225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772" w:hRule="atLeast"/>
          <w:jc w:val="center"/>
        </w:trPr>
        <w:tc>
          <w:tcPr>
            <w:tcW w:w="1667" w:type="dxa"/>
            <w:gridSpan w:val="3"/>
            <w:vAlign w:val="center"/>
          </w:tcPr>
          <w:p w14:paraId="10FADFCC">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局机关及二级机构汇总</w:t>
            </w:r>
          </w:p>
        </w:tc>
        <w:tc>
          <w:tcPr>
            <w:tcW w:w="1080" w:type="dxa"/>
            <w:tcBorders>
              <w:right w:val="single" w:color="auto" w:sz="4" w:space="0"/>
            </w:tcBorders>
            <w:vAlign w:val="center"/>
          </w:tcPr>
          <w:p w14:paraId="0B31908A">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2766.28</w:t>
            </w:r>
          </w:p>
        </w:tc>
        <w:tc>
          <w:tcPr>
            <w:tcW w:w="1355" w:type="dxa"/>
            <w:gridSpan w:val="2"/>
            <w:tcBorders>
              <w:left w:val="single" w:color="auto" w:sz="4" w:space="0"/>
            </w:tcBorders>
            <w:vAlign w:val="center"/>
          </w:tcPr>
          <w:p w14:paraId="352A35A1">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70.28</w:t>
            </w:r>
          </w:p>
        </w:tc>
        <w:tc>
          <w:tcPr>
            <w:tcW w:w="1080" w:type="dxa"/>
            <w:gridSpan w:val="2"/>
            <w:vAlign w:val="center"/>
          </w:tcPr>
          <w:p w14:paraId="11AD8F3A">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966.28</w:t>
            </w:r>
          </w:p>
        </w:tc>
        <w:tc>
          <w:tcPr>
            <w:tcW w:w="1705" w:type="dxa"/>
            <w:gridSpan w:val="2"/>
            <w:vAlign w:val="center"/>
          </w:tcPr>
          <w:p w14:paraId="0C18F0AB">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1800</w:t>
            </w:r>
          </w:p>
        </w:tc>
        <w:tc>
          <w:tcPr>
            <w:tcW w:w="1800" w:type="dxa"/>
            <w:gridSpan w:val="4"/>
            <w:vAlign w:val="center"/>
          </w:tcPr>
          <w:p w14:paraId="0A4CEC66">
            <w:pPr>
              <w:autoSpaceDN w:val="0"/>
              <w:spacing w:line="320" w:lineRule="exact"/>
              <w:jc w:val="center"/>
              <w:textAlignment w:val="center"/>
              <w:rPr>
                <w:rFonts w:ascii="仿宋_GB2312" w:hAnsi="仿宋_GB2312" w:eastAsia="仿宋_GB2312" w:cs="仿宋_GB2312"/>
                <w:color w:val="000000"/>
                <w:sz w:val="24"/>
              </w:rPr>
            </w:pPr>
          </w:p>
        </w:tc>
        <w:tc>
          <w:tcPr>
            <w:tcW w:w="1080" w:type="dxa"/>
            <w:gridSpan w:val="3"/>
            <w:vAlign w:val="center"/>
          </w:tcPr>
          <w:p w14:paraId="2DAAADF7">
            <w:pPr>
              <w:autoSpaceDN w:val="0"/>
              <w:spacing w:line="320" w:lineRule="exact"/>
              <w:jc w:val="left"/>
              <w:textAlignment w:val="center"/>
              <w:rPr>
                <w:rFonts w:ascii="仿宋_GB2312" w:hAnsi="仿宋_GB2312" w:eastAsia="仿宋_GB2312" w:cs="仿宋_GB2312"/>
                <w:color w:val="000000"/>
                <w:sz w:val="24"/>
              </w:rPr>
            </w:pPr>
          </w:p>
        </w:tc>
      </w:tr>
      <w:tr w14:paraId="5916A4E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667" w:type="dxa"/>
            <w:gridSpan w:val="3"/>
            <w:vAlign w:val="center"/>
          </w:tcPr>
          <w:p w14:paraId="2B57BFB6">
            <w:pPr>
              <w:spacing w:line="320" w:lineRule="exact"/>
              <w:rPr>
                <w:rFonts w:ascii="仿宋_GB2312" w:hAnsi="仿宋_GB2312" w:eastAsia="仿宋_GB2312" w:cs="仿宋_GB2312"/>
                <w:sz w:val="24"/>
              </w:rPr>
            </w:pPr>
            <w:r>
              <w:rPr>
                <w:rFonts w:hint="eastAsia" w:ascii="仿宋_GB2312" w:hAnsi="仿宋_GB2312" w:eastAsia="仿宋_GB2312" w:cs="仿宋_GB2312"/>
                <w:sz w:val="24"/>
              </w:rPr>
              <w:t>1、局机关</w:t>
            </w:r>
          </w:p>
        </w:tc>
        <w:tc>
          <w:tcPr>
            <w:tcW w:w="1080" w:type="dxa"/>
            <w:tcBorders>
              <w:right w:val="single" w:color="auto" w:sz="4" w:space="0"/>
            </w:tcBorders>
            <w:vAlign w:val="center"/>
          </w:tcPr>
          <w:p w14:paraId="3ED13521">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2766.28</w:t>
            </w:r>
          </w:p>
        </w:tc>
        <w:tc>
          <w:tcPr>
            <w:tcW w:w="1355" w:type="dxa"/>
            <w:gridSpan w:val="2"/>
            <w:tcBorders>
              <w:left w:val="single" w:color="auto" w:sz="4" w:space="0"/>
            </w:tcBorders>
            <w:vAlign w:val="center"/>
          </w:tcPr>
          <w:p w14:paraId="70647DFF">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70.28</w:t>
            </w:r>
          </w:p>
        </w:tc>
        <w:tc>
          <w:tcPr>
            <w:tcW w:w="1080" w:type="dxa"/>
            <w:gridSpan w:val="2"/>
            <w:vAlign w:val="center"/>
          </w:tcPr>
          <w:p w14:paraId="4CD6170B">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966.28</w:t>
            </w:r>
          </w:p>
        </w:tc>
        <w:tc>
          <w:tcPr>
            <w:tcW w:w="1705" w:type="dxa"/>
            <w:gridSpan w:val="2"/>
            <w:vAlign w:val="center"/>
          </w:tcPr>
          <w:p w14:paraId="33F56B72">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1800</w:t>
            </w:r>
          </w:p>
        </w:tc>
        <w:tc>
          <w:tcPr>
            <w:tcW w:w="1800" w:type="dxa"/>
            <w:gridSpan w:val="4"/>
            <w:vAlign w:val="center"/>
          </w:tcPr>
          <w:p w14:paraId="03ADBBED">
            <w:pPr>
              <w:autoSpaceDN w:val="0"/>
              <w:spacing w:line="320" w:lineRule="exact"/>
              <w:jc w:val="center"/>
              <w:textAlignment w:val="center"/>
              <w:rPr>
                <w:rFonts w:ascii="仿宋_GB2312" w:hAnsi="仿宋_GB2312" w:eastAsia="仿宋_GB2312" w:cs="仿宋_GB2312"/>
                <w:color w:val="000000"/>
                <w:sz w:val="24"/>
              </w:rPr>
            </w:pPr>
          </w:p>
        </w:tc>
        <w:tc>
          <w:tcPr>
            <w:tcW w:w="1080" w:type="dxa"/>
            <w:gridSpan w:val="3"/>
            <w:vAlign w:val="center"/>
          </w:tcPr>
          <w:p w14:paraId="6A366679">
            <w:pPr>
              <w:autoSpaceDN w:val="0"/>
              <w:spacing w:line="320" w:lineRule="exact"/>
              <w:jc w:val="left"/>
              <w:textAlignment w:val="center"/>
              <w:rPr>
                <w:rFonts w:ascii="仿宋_GB2312" w:hAnsi="仿宋_GB2312" w:eastAsia="仿宋_GB2312" w:cs="仿宋_GB2312"/>
                <w:color w:val="000000"/>
                <w:sz w:val="24"/>
              </w:rPr>
            </w:pPr>
          </w:p>
        </w:tc>
      </w:tr>
      <w:tr w14:paraId="5454875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667" w:type="dxa"/>
            <w:gridSpan w:val="3"/>
            <w:vAlign w:val="center"/>
          </w:tcPr>
          <w:p w14:paraId="1120CA6D">
            <w:pPr>
              <w:spacing w:line="320" w:lineRule="exact"/>
              <w:rPr>
                <w:rFonts w:ascii="仿宋_GB2312" w:hAnsi="仿宋_GB2312" w:eastAsia="仿宋_GB2312" w:cs="仿宋_GB2312"/>
                <w:sz w:val="24"/>
              </w:rPr>
            </w:pPr>
            <w:r>
              <w:rPr>
                <w:rFonts w:hint="eastAsia" w:ascii="仿宋_GB2312" w:hAnsi="仿宋_GB2312" w:eastAsia="仿宋_GB2312" w:cs="仿宋_GB2312"/>
                <w:sz w:val="24"/>
              </w:rPr>
              <w:t>2、二级机构1</w:t>
            </w:r>
          </w:p>
        </w:tc>
        <w:tc>
          <w:tcPr>
            <w:tcW w:w="1080" w:type="dxa"/>
            <w:tcBorders>
              <w:right w:val="single" w:color="auto" w:sz="4" w:space="0"/>
            </w:tcBorders>
            <w:vAlign w:val="center"/>
          </w:tcPr>
          <w:p w14:paraId="539ABEDF">
            <w:pPr>
              <w:autoSpaceDN w:val="0"/>
              <w:spacing w:line="320" w:lineRule="exact"/>
              <w:jc w:val="left"/>
              <w:textAlignment w:val="center"/>
              <w:rPr>
                <w:rFonts w:ascii="仿宋_GB2312" w:hAnsi="仿宋_GB2312" w:eastAsia="仿宋_GB2312" w:cs="仿宋_GB2312"/>
                <w:color w:val="000000"/>
                <w:sz w:val="24"/>
              </w:rPr>
            </w:pPr>
          </w:p>
        </w:tc>
        <w:tc>
          <w:tcPr>
            <w:tcW w:w="1355" w:type="dxa"/>
            <w:gridSpan w:val="2"/>
            <w:tcBorders>
              <w:left w:val="single" w:color="auto" w:sz="4" w:space="0"/>
            </w:tcBorders>
            <w:vAlign w:val="center"/>
          </w:tcPr>
          <w:p w14:paraId="1B57778E">
            <w:pPr>
              <w:autoSpaceDN w:val="0"/>
              <w:spacing w:line="320" w:lineRule="exact"/>
              <w:jc w:val="left"/>
              <w:textAlignment w:val="center"/>
              <w:rPr>
                <w:rFonts w:ascii="仿宋_GB2312" w:hAnsi="仿宋_GB2312" w:eastAsia="仿宋_GB2312" w:cs="仿宋_GB2312"/>
                <w:color w:val="000000"/>
                <w:sz w:val="24"/>
              </w:rPr>
            </w:pPr>
          </w:p>
        </w:tc>
        <w:tc>
          <w:tcPr>
            <w:tcW w:w="1080" w:type="dxa"/>
            <w:gridSpan w:val="2"/>
            <w:vAlign w:val="center"/>
          </w:tcPr>
          <w:p w14:paraId="2BA9209A">
            <w:pPr>
              <w:autoSpaceDN w:val="0"/>
              <w:spacing w:line="320" w:lineRule="exact"/>
              <w:jc w:val="left"/>
              <w:textAlignment w:val="center"/>
              <w:rPr>
                <w:rFonts w:ascii="仿宋_GB2312" w:hAnsi="仿宋_GB2312" w:eastAsia="仿宋_GB2312" w:cs="仿宋_GB2312"/>
                <w:color w:val="000000"/>
                <w:sz w:val="24"/>
              </w:rPr>
            </w:pPr>
          </w:p>
        </w:tc>
        <w:tc>
          <w:tcPr>
            <w:tcW w:w="1705" w:type="dxa"/>
            <w:gridSpan w:val="2"/>
            <w:vAlign w:val="center"/>
          </w:tcPr>
          <w:p w14:paraId="12B74CB1">
            <w:pPr>
              <w:autoSpaceDN w:val="0"/>
              <w:spacing w:line="320" w:lineRule="exact"/>
              <w:jc w:val="left"/>
              <w:textAlignment w:val="center"/>
              <w:rPr>
                <w:rFonts w:ascii="仿宋_GB2312" w:hAnsi="仿宋_GB2312" w:eastAsia="仿宋_GB2312" w:cs="仿宋_GB2312"/>
                <w:color w:val="000000"/>
                <w:sz w:val="24"/>
              </w:rPr>
            </w:pPr>
          </w:p>
        </w:tc>
        <w:tc>
          <w:tcPr>
            <w:tcW w:w="1800" w:type="dxa"/>
            <w:gridSpan w:val="4"/>
            <w:vAlign w:val="center"/>
          </w:tcPr>
          <w:p w14:paraId="6E254549">
            <w:pPr>
              <w:autoSpaceDN w:val="0"/>
              <w:spacing w:line="320" w:lineRule="exact"/>
              <w:jc w:val="center"/>
              <w:textAlignment w:val="center"/>
              <w:rPr>
                <w:rFonts w:ascii="仿宋_GB2312" w:hAnsi="仿宋_GB2312" w:eastAsia="仿宋_GB2312" w:cs="仿宋_GB2312"/>
                <w:color w:val="000000"/>
                <w:sz w:val="24"/>
              </w:rPr>
            </w:pPr>
          </w:p>
        </w:tc>
        <w:tc>
          <w:tcPr>
            <w:tcW w:w="1080" w:type="dxa"/>
            <w:gridSpan w:val="3"/>
            <w:vAlign w:val="center"/>
          </w:tcPr>
          <w:p w14:paraId="639F8296">
            <w:pPr>
              <w:autoSpaceDN w:val="0"/>
              <w:spacing w:line="320" w:lineRule="exact"/>
              <w:jc w:val="left"/>
              <w:textAlignment w:val="center"/>
              <w:rPr>
                <w:rFonts w:ascii="仿宋_GB2312" w:hAnsi="仿宋_GB2312" w:eastAsia="仿宋_GB2312" w:cs="仿宋_GB2312"/>
                <w:color w:val="000000"/>
                <w:sz w:val="24"/>
              </w:rPr>
            </w:pPr>
          </w:p>
        </w:tc>
      </w:tr>
      <w:tr w14:paraId="7F1923E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667" w:type="dxa"/>
            <w:gridSpan w:val="3"/>
            <w:vAlign w:val="center"/>
          </w:tcPr>
          <w:p w14:paraId="3FBE39C5">
            <w:pPr>
              <w:spacing w:line="320" w:lineRule="exact"/>
              <w:rPr>
                <w:rFonts w:ascii="仿宋_GB2312" w:hAnsi="仿宋_GB2312" w:eastAsia="仿宋_GB2312" w:cs="仿宋_GB2312"/>
                <w:sz w:val="24"/>
              </w:rPr>
            </w:pPr>
            <w:r>
              <w:rPr>
                <w:rFonts w:hint="eastAsia" w:ascii="仿宋_GB2312" w:hAnsi="仿宋_GB2312" w:eastAsia="仿宋_GB2312" w:cs="仿宋_GB2312"/>
                <w:sz w:val="24"/>
              </w:rPr>
              <w:t>3、二级机构2</w:t>
            </w:r>
          </w:p>
        </w:tc>
        <w:tc>
          <w:tcPr>
            <w:tcW w:w="1080" w:type="dxa"/>
            <w:tcBorders>
              <w:right w:val="single" w:color="auto" w:sz="4" w:space="0"/>
            </w:tcBorders>
            <w:vAlign w:val="center"/>
          </w:tcPr>
          <w:p w14:paraId="1EC12529">
            <w:pPr>
              <w:autoSpaceDN w:val="0"/>
              <w:spacing w:line="320" w:lineRule="exact"/>
              <w:jc w:val="left"/>
              <w:textAlignment w:val="center"/>
              <w:rPr>
                <w:rFonts w:ascii="仿宋_GB2312" w:hAnsi="仿宋_GB2312" w:eastAsia="仿宋_GB2312" w:cs="仿宋_GB2312"/>
                <w:color w:val="000000"/>
                <w:sz w:val="24"/>
              </w:rPr>
            </w:pPr>
          </w:p>
        </w:tc>
        <w:tc>
          <w:tcPr>
            <w:tcW w:w="1355" w:type="dxa"/>
            <w:gridSpan w:val="2"/>
            <w:tcBorders>
              <w:left w:val="single" w:color="auto" w:sz="4" w:space="0"/>
            </w:tcBorders>
            <w:vAlign w:val="center"/>
          </w:tcPr>
          <w:p w14:paraId="639CE6FC">
            <w:pPr>
              <w:autoSpaceDN w:val="0"/>
              <w:spacing w:line="320" w:lineRule="exact"/>
              <w:jc w:val="left"/>
              <w:textAlignment w:val="center"/>
              <w:rPr>
                <w:rFonts w:ascii="仿宋_GB2312" w:hAnsi="仿宋_GB2312" w:eastAsia="仿宋_GB2312" w:cs="仿宋_GB2312"/>
                <w:color w:val="000000"/>
                <w:sz w:val="24"/>
              </w:rPr>
            </w:pPr>
          </w:p>
        </w:tc>
        <w:tc>
          <w:tcPr>
            <w:tcW w:w="1080" w:type="dxa"/>
            <w:gridSpan w:val="2"/>
            <w:vAlign w:val="center"/>
          </w:tcPr>
          <w:p w14:paraId="008F37C8">
            <w:pPr>
              <w:autoSpaceDN w:val="0"/>
              <w:spacing w:line="320" w:lineRule="exact"/>
              <w:jc w:val="left"/>
              <w:textAlignment w:val="center"/>
              <w:rPr>
                <w:rFonts w:ascii="仿宋_GB2312" w:hAnsi="仿宋_GB2312" w:eastAsia="仿宋_GB2312" w:cs="仿宋_GB2312"/>
                <w:color w:val="000000"/>
                <w:sz w:val="24"/>
              </w:rPr>
            </w:pPr>
          </w:p>
        </w:tc>
        <w:tc>
          <w:tcPr>
            <w:tcW w:w="1705" w:type="dxa"/>
            <w:gridSpan w:val="2"/>
            <w:vAlign w:val="center"/>
          </w:tcPr>
          <w:p w14:paraId="3F06FCED">
            <w:pPr>
              <w:autoSpaceDN w:val="0"/>
              <w:spacing w:line="320" w:lineRule="exact"/>
              <w:jc w:val="left"/>
              <w:textAlignment w:val="center"/>
              <w:rPr>
                <w:rFonts w:ascii="仿宋_GB2312" w:hAnsi="仿宋_GB2312" w:eastAsia="仿宋_GB2312" w:cs="仿宋_GB2312"/>
                <w:color w:val="000000"/>
                <w:sz w:val="24"/>
              </w:rPr>
            </w:pPr>
          </w:p>
        </w:tc>
        <w:tc>
          <w:tcPr>
            <w:tcW w:w="1800" w:type="dxa"/>
            <w:gridSpan w:val="4"/>
            <w:vAlign w:val="center"/>
          </w:tcPr>
          <w:p w14:paraId="30923408">
            <w:pPr>
              <w:autoSpaceDN w:val="0"/>
              <w:spacing w:line="320" w:lineRule="exact"/>
              <w:jc w:val="center"/>
              <w:textAlignment w:val="center"/>
              <w:rPr>
                <w:rFonts w:ascii="仿宋_GB2312" w:hAnsi="仿宋_GB2312" w:eastAsia="仿宋_GB2312" w:cs="仿宋_GB2312"/>
                <w:color w:val="000000"/>
                <w:sz w:val="24"/>
              </w:rPr>
            </w:pPr>
          </w:p>
        </w:tc>
        <w:tc>
          <w:tcPr>
            <w:tcW w:w="1080" w:type="dxa"/>
            <w:gridSpan w:val="3"/>
            <w:vAlign w:val="center"/>
          </w:tcPr>
          <w:p w14:paraId="177D599C">
            <w:pPr>
              <w:autoSpaceDN w:val="0"/>
              <w:spacing w:line="320" w:lineRule="exact"/>
              <w:jc w:val="left"/>
              <w:textAlignment w:val="center"/>
              <w:rPr>
                <w:rFonts w:ascii="仿宋_GB2312" w:hAnsi="仿宋_GB2312" w:eastAsia="仿宋_GB2312" w:cs="仿宋_GB2312"/>
                <w:color w:val="000000"/>
                <w:sz w:val="24"/>
              </w:rPr>
            </w:pPr>
          </w:p>
        </w:tc>
      </w:tr>
      <w:tr w14:paraId="4272532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9767" w:type="dxa"/>
            <w:gridSpan w:val="17"/>
            <w:vAlign w:val="center"/>
          </w:tcPr>
          <w:p w14:paraId="3B059436">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b/>
                <w:bCs/>
                <w:color w:val="000000"/>
                <w:sz w:val="24"/>
              </w:rPr>
              <w:t>部门（单位）年度支出和结余情况（万元）</w:t>
            </w:r>
          </w:p>
        </w:tc>
      </w:tr>
      <w:tr w14:paraId="67D5C57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89" w:hRule="atLeast"/>
          <w:jc w:val="center"/>
        </w:trPr>
        <w:tc>
          <w:tcPr>
            <w:tcW w:w="1667" w:type="dxa"/>
            <w:gridSpan w:val="3"/>
            <w:vMerge w:val="restart"/>
            <w:vAlign w:val="center"/>
          </w:tcPr>
          <w:p w14:paraId="3CA9BB7D">
            <w:pPr>
              <w:snapToGrid w:val="0"/>
              <w:spacing w:line="320" w:lineRule="exact"/>
              <w:jc w:val="center"/>
              <w:rPr>
                <w:rFonts w:ascii="仿宋_GB2312" w:hAnsi="仿宋_GB2312" w:eastAsia="仿宋_GB2312" w:cs="仿宋_GB2312"/>
                <w:sz w:val="24"/>
              </w:rPr>
            </w:pPr>
            <w:r>
              <w:rPr>
                <w:rFonts w:hint="eastAsia" w:ascii="仿宋_GB2312" w:hAnsi="仿宋_GB2312" w:eastAsia="仿宋_GB2312" w:cs="仿宋_GB2312"/>
                <w:sz w:val="24"/>
              </w:rPr>
              <w:t>机构名称</w:t>
            </w:r>
          </w:p>
        </w:tc>
        <w:tc>
          <w:tcPr>
            <w:tcW w:w="1080" w:type="dxa"/>
            <w:vMerge w:val="restart"/>
            <w:tcBorders>
              <w:right w:val="single" w:color="auto" w:sz="4" w:space="0"/>
            </w:tcBorders>
            <w:vAlign w:val="center"/>
          </w:tcPr>
          <w:p w14:paraId="49F3B07C">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支出合计</w:t>
            </w:r>
          </w:p>
        </w:tc>
        <w:tc>
          <w:tcPr>
            <w:tcW w:w="5675" w:type="dxa"/>
            <w:gridSpan w:val="9"/>
            <w:tcBorders>
              <w:left w:val="single" w:color="auto" w:sz="4" w:space="0"/>
              <w:bottom w:val="single" w:color="auto" w:sz="4" w:space="0"/>
              <w:right w:val="single" w:color="auto" w:sz="4" w:space="0"/>
            </w:tcBorders>
            <w:vAlign w:val="center"/>
          </w:tcPr>
          <w:p w14:paraId="06CCEED7">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c>
          <w:tcPr>
            <w:tcW w:w="1345" w:type="dxa"/>
            <w:gridSpan w:val="4"/>
            <w:tcBorders>
              <w:left w:val="single" w:color="auto" w:sz="4" w:space="0"/>
              <w:bottom w:val="single" w:color="auto" w:sz="4" w:space="0"/>
            </w:tcBorders>
            <w:vAlign w:val="center"/>
          </w:tcPr>
          <w:p w14:paraId="23529050">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结余</w:t>
            </w:r>
          </w:p>
        </w:tc>
      </w:tr>
      <w:tr w14:paraId="1990F94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374" w:hRule="atLeast"/>
          <w:jc w:val="center"/>
        </w:trPr>
        <w:tc>
          <w:tcPr>
            <w:tcW w:w="1667" w:type="dxa"/>
            <w:gridSpan w:val="3"/>
            <w:vMerge w:val="continue"/>
            <w:vAlign w:val="center"/>
          </w:tcPr>
          <w:p w14:paraId="5EBF3ED0">
            <w:pPr>
              <w:spacing w:line="320" w:lineRule="exact"/>
              <w:jc w:val="center"/>
              <w:rPr>
                <w:rFonts w:ascii="仿宋_GB2312" w:hAnsi="仿宋_GB2312" w:eastAsia="仿宋_GB2312" w:cs="仿宋_GB2312"/>
                <w:sz w:val="24"/>
              </w:rPr>
            </w:pPr>
          </w:p>
        </w:tc>
        <w:tc>
          <w:tcPr>
            <w:tcW w:w="1080" w:type="dxa"/>
            <w:vMerge w:val="continue"/>
            <w:tcBorders>
              <w:right w:val="single" w:color="auto" w:sz="4" w:space="0"/>
            </w:tcBorders>
            <w:vAlign w:val="center"/>
          </w:tcPr>
          <w:p w14:paraId="698B4167">
            <w:pPr>
              <w:autoSpaceDN w:val="0"/>
              <w:spacing w:line="320" w:lineRule="exact"/>
              <w:jc w:val="center"/>
              <w:textAlignment w:val="center"/>
              <w:rPr>
                <w:rFonts w:ascii="仿宋_GB2312" w:hAnsi="仿宋_GB2312" w:eastAsia="仿宋_GB2312" w:cs="仿宋_GB2312"/>
                <w:color w:val="000000"/>
                <w:sz w:val="24"/>
              </w:rPr>
            </w:pPr>
          </w:p>
        </w:tc>
        <w:tc>
          <w:tcPr>
            <w:tcW w:w="1355" w:type="dxa"/>
            <w:gridSpan w:val="2"/>
            <w:vMerge w:val="restart"/>
            <w:tcBorders>
              <w:top w:val="single" w:color="auto" w:sz="4" w:space="0"/>
              <w:left w:val="single" w:color="auto" w:sz="4" w:space="0"/>
            </w:tcBorders>
            <w:vAlign w:val="center"/>
          </w:tcPr>
          <w:p w14:paraId="6DE7D5CE">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基本支出</w:t>
            </w:r>
          </w:p>
        </w:tc>
        <w:tc>
          <w:tcPr>
            <w:tcW w:w="3240" w:type="dxa"/>
            <w:gridSpan w:val="6"/>
            <w:tcBorders>
              <w:top w:val="single" w:color="auto" w:sz="4" w:space="0"/>
            </w:tcBorders>
            <w:vAlign w:val="center"/>
          </w:tcPr>
          <w:p w14:paraId="5B71FBFB">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c>
          <w:tcPr>
            <w:tcW w:w="1080" w:type="dxa"/>
            <w:vMerge w:val="restart"/>
            <w:tcBorders>
              <w:top w:val="single" w:color="auto" w:sz="4" w:space="0"/>
              <w:right w:val="single" w:color="auto" w:sz="4" w:space="0"/>
            </w:tcBorders>
            <w:vAlign w:val="center"/>
          </w:tcPr>
          <w:p w14:paraId="0717AF10">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项目支出</w:t>
            </w:r>
          </w:p>
        </w:tc>
        <w:tc>
          <w:tcPr>
            <w:tcW w:w="720" w:type="dxa"/>
            <w:gridSpan w:val="3"/>
            <w:vMerge w:val="restart"/>
            <w:tcBorders>
              <w:top w:val="single" w:color="auto" w:sz="4" w:space="0"/>
              <w:left w:val="single" w:color="auto" w:sz="4" w:space="0"/>
              <w:right w:val="single" w:color="auto" w:sz="4" w:space="0"/>
            </w:tcBorders>
            <w:vAlign w:val="center"/>
          </w:tcPr>
          <w:p w14:paraId="23AAA296">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当年结余</w:t>
            </w:r>
          </w:p>
        </w:tc>
        <w:tc>
          <w:tcPr>
            <w:tcW w:w="625" w:type="dxa"/>
            <w:vMerge w:val="restart"/>
            <w:tcBorders>
              <w:top w:val="single" w:color="auto" w:sz="4" w:space="0"/>
              <w:left w:val="single" w:color="auto" w:sz="4" w:space="0"/>
            </w:tcBorders>
            <w:vAlign w:val="center"/>
          </w:tcPr>
          <w:p w14:paraId="05D86C17">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累计结余</w:t>
            </w:r>
          </w:p>
        </w:tc>
      </w:tr>
      <w:tr w14:paraId="738E37D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00" w:hRule="atLeast"/>
          <w:jc w:val="center"/>
        </w:trPr>
        <w:tc>
          <w:tcPr>
            <w:tcW w:w="1667" w:type="dxa"/>
            <w:gridSpan w:val="3"/>
            <w:vMerge w:val="continue"/>
            <w:vAlign w:val="center"/>
          </w:tcPr>
          <w:p w14:paraId="7854C134">
            <w:pPr>
              <w:spacing w:line="320" w:lineRule="exact"/>
              <w:jc w:val="center"/>
              <w:rPr>
                <w:rFonts w:ascii="仿宋_GB2312" w:hAnsi="仿宋_GB2312" w:eastAsia="仿宋_GB2312" w:cs="仿宋_GB2312"/>
                <w:sz w:val="24"/>
              </w:rPr>
            </w:pPr>
          </w:p>
        </w:tc>
        <w:tc>
          <w:tcPr>
            <w:tcW w:w="1080" w:type="dxa"/>
            <w:vMerge w:val="continue"/>
            <w:tcBorders>
              <w:right w:val="single" w:color="auto" w:sz="4" w:space="0"/>
            </w:tcBorders>
            <w:vAlign w:val="center"/>
          </w:tcPr>
          <w:p w14:paraId="41125535">
            <w:pPr>
              <w:autoSpaceDN w:val="0"/>
              <w:spacing w:line="320" w:lineRule="exact"/>
              <w:jc w:val="center"/>
              <w:textAlignment w:val="center"/>
              <w:rPr>
                <w:rFonts w:ascii="仿宋_GB2312" w:hAnsi="仿宋_GB2312" w:eastAsia="仿宋_GB2312" w:cs="仿宋_GB2312"/>
                <w:color w:val="000000"/>
                <w:sz w:val="24"/>
              </w:rPr>
            </w:pPr>
          </w:p>
        </w:tc>
        <w:tc>
          <w:tcPr>
            <w:tcW w:w="1355" w:type="dxa"/>
            <w:gridSpan w:val="2"/>
            <w:vMerge w:val="continue"/>
            <w:tcBorders>
              <w:left w:val="single" w:color="auto" w:sz="4" w:space="0"/>
            </w:tcBorders>
            <w:vAlign w:val="center"/>
          </w:tcPr>
          <w:p w14:paraId="51A5A503">
            <w:pPr>
              <w:autoSpaceDN w:val="0"/>
              <w:spacing w:line="320" w:lineRule="exact"/>
              <w:jc w:val="center"/>
              <w:textAlignment w:val="center"/>
              <w:rPr>
                <w:rFonts w:ascii="仿宋_GB2312" w:hAnsi="仿宋_GB2312" w:eastAsia="仿宋_GB2312" w:cs="仿宋_GB2312"/>
                <w:color w:val="000000"/>
                <w:sz w:val="24"/>
              </w:rPr>
            </w:pPr>
          </w:p>
        </w:tc>
        <w:tc>
          <w:tcPr>
            <w:tcW w:w="1080" w:type="dxa"/>
            <w:gridSpan w:val="2"/>
            <w:vAlign w:val="center"/>
          </w:tcPr>
          <w:p w14:paraId="5B132F96">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人员支出</w:t>
            </w:r>
          </w:p>
        </w:tc>
        <w:tc>
          <w:tcPr>
            <w:tcW w:w="2160" w:type="dxa"/>
            <w:gridSpan w:val="4"/>
            <w:vAlign w:val="center"/>
          </w:tcPr>
          <w:p w14:paraId="3D60B934">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公用支出</w:t>
            </w:r>
          </w:p>
        </w:tc>
        <w:tc>
          <w:tcPr>
            <w:tcW w:w="1080" w:type="dxa"/>
            <w:vMerge w:val="continue"/>
            <w:tcBorders>
              <w:right w:val="single" w:color="auto" w:sz="4" w:space="0"/>
            </w:tcBorders>
            <w:vAlign w:val="center"/>
          </w:tcPr>
          <w:p w14:paraId="58EA111A">
            <w:pPr>
              <w:autoSpaceDN w:val="0"/>
              <w:spacing w:line="320" w:lineRule="exact"/>
              <w:jc w:val="center"/>
              <w:textAlignment w:val="center"/>
              <w:rPr>
                <w:rFonts w:ascii="仿宋_GB2312" w:hAnsi="仿宋_GB2312" w:eastAsia="仿宋_GB2312" w:cs="仿宋_GB2312"/>
                <w:color w:val="000000"/>
                <w:sz w:val="24"/>
              </w:rPr>
            </w:pPr>
          </w:p>
        </w:tc>
        <w:tc>
          <w:tcPr>
            <w:tcW w:w="720" w:type="dxa"/>
            <w:gridSpan w:val="3"/>
            <w:vMerge w:val="continue"/>
            <w:tcBorders>
              <w:left w:val="single" w:color="auto" w:sz="4" w:space="0"/>
              <w:right w:val="single" w:color="auto" w:sz="4" w:space="0"/>
            </w:tcBorders>
            <w:vAlign w:val="center"/>
          </w:tcPr>
          <w:p w14:paraId="5DDAE7DB">
            <w:pPr>
              <w:autoSpaceDN w:val="0"/>
              <w:spacing w:line="320" w:lineRule="exact"/>
              <w:jc w:val="center"/>
              <w:textAlignment w:val="center"/>
              <w:rPr>
                <w:rFonts w:ascii="仿宋_GB2312" w:hAnsi="仿宋_GB2312" w:eastAsia="仿宋_GB2312" w:cs="仿宋_GB2312"/>
                <w:color w:val="000000"/>
                <w:sz w:val="24"/>
              </w:rPr>
            </w:pPr>
          </w:p>
        </w:tc>
        <w:tc>
          <w:tcPr>
            <w:tcW w:w="625" w:type="dxa"/>
            <w:vMerge w:val="continue"/>
            <w:tcBorders>
              <w:left w:val="single" w:color="auto" w:sz="4" w:space="0"/>
            </w:tcBorders>
            <w:vAlign w:val="center"/>
          </w:tcPr>
          <w:p w14:paraId="7748F9A9">
            <w:pPr>
              <w:autoSpaceDN w:val="0"/>
              <w:spacing w:line="320" w:lineRule="exact"/>
              <w:jc w:val="center"/>
              <w:textAlignment w:val="center"/>
              <w:rPr>
                <w:rFonts w:ascii="仿宋_GB2312" w:hAnsi="仿宋_GB2312" w:eastAsia="仿宋_GB2312" w:cs="仿宋_GB2312"/>
                <w:color w:val="000000"/>
                <w:sz w:val="24"/>
              </w:rPr>
            </w:pPr>
          </w:p>
        </w:tc>
      </w:tr>
      <w:tr w14:paraId="19C4087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877" w:hRule="atLeast"/>
          <w:jc w:val="center"/>
        </w:trPr>
        <w:tc>
          <w:tcPr>
            <w:tcW w:w="1667" w:type="dxa"/>
            <w:gridSpan w:val="3"/>
            <w:vAlign w:val="center"/>
          </w:tcPr>
          <w:p w14:paraId="3656E804">
            <w:pPr>
              <w:spacing w:line="320" w:lineRule="exact"/>
              <w:jc w:val="left"/>
              <w:rPr>
                <w:rFonts w:ascii="仿宋_GB2312" w:hAnsi="仿宋_GB2312" w:eastAsia="仿宋_GB2312" w:cs="仿宋_GB2312"/>
                <w:sz w:val="24"/>
              </w:rPr>
            </w:pPr>
            <w:r>
              <w:rPr>
                <w:rFonts w:hint="eastAsia" w:ascii="仿宋_GB2312" w:hAnsi="仿宋_GB2312" w:eastAsia="仿宋_GB2312" w:cs="仿宋_GB2312"/>
                <w:color w:val="000000"/>
                <w:sz w:val="24"/>
              </w:rPr>
              <w:t>局机关及二级机构汇总</w:t>
            </w:r>
          </w:p>
        </w:tc>
        <w:tc>
          <w:tcPr>
            <w:tcW w:w="1080" w:type="dxa"/>
            <w:tcBorders>
              <w:right w:val="single" w:color="auto" w:sz="4" w:space="0"/>
            </w:tcBorders>
            <w:vAlign w:val="center"/>
          </w:tcPr>
          <w:p w14:paraId="44C16FE2">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2836.56</w:t>
            </w:r>
          </w:p>
        </w:tc>
        <w:tc>
          <w:tcPr>
            <w:tcW w:w="1355" w:type="dxa"/>
            <w:gridSpan w:val="2"/>
            <w:tcBorders>
              <w:left w:val="single" w:color="auto" w:sz="4" w:space="0"/>
            </w:tcBorders>
            <w:vAlign w:val="center"/>
          </w:tcPr>
          <w:p w14:paraId="2B579E63">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903.93</w:t>
            </w:r>
          </w:p>
        </w:tc>
        <w:tc>
          <w:tcPr>
            <w:tcW w:w="1080" w:type="dxa"/>
            <w:gridSpan w:val="2"/>
            <w:vAlign w:val="center"/>
          </w:tcPr>
          <w:p w14:paraId="1C891B82">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676.52</w:t>
            </w:r>
          </w:p>
        </w:tc>
        <w:tc>
          <w:tcPr>
            <w:tcW w:w="2160" w:type="dxa"/>
            <w:gridSpan w:val="4"/>
            <w:vAlign w:val="center"/>
          </w:tcPr>
          <w:p w14:paraId="02ABB7E8">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227.41</w:t>
            </w:r>
          </w:p>
        </w:tc>
        <w:tc>
          <w:tcPr>
            <w:tcW w:w="1080" w:type="dxa"/>
            <w:vAlign w:val="center"/>
          </w:tcPr>
          <w:p w14:paraId="69A29F79">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1932.63</w:t>
            </w:r>
          </w:p>
        </w:tc>
        <w:tc>
          <w:tcPr>
            <w:tcW w:w="720" w:type="dxa"/>
            <w:gridSpan w:val="3"/>
            <w:tcBorders>
              <w:right w:val="single" w:color="auto" w:sz="4" w:space="0"/>
            </w:tcBorders>
            <w:vAlign w:val="center"/>
          </w:tcPr>
          <w:p w14:paraId="7F1C8047">
            <w:pPr>
              <w:autoSpaceDN w:val="0"/>
              <w:spacing w:line="320" w:lineRule="exact"/>
              <w:jc w:val="center"/>
              <w:textAlignment w:val="center"/>
              <w:rPr>
                <w:rFonts w:ascii="仿宋_GB2312" w:hAnsi="仿宋_GB2312" w:eastAsia="仿宋_GB2312" w:cs="仿宋_GB2312"/>
                <w:color w:val="000000"/>
                <w:sz w:val="24"/>
              </w:rPr>
            </w:pPr>
          </w:p>
        </w:tc>
        <w:tc>
          <w:tcPr>
            <w:tcW w:w="625" w:type="dxa"/>
            <w:tcBorders>
              <w:left w:val="single" w:color="auto" w:sz="4" w:space="0"/>
            </w:tcBorders>
            <w:vAlign w:val="center"/>
          </w:tcPr>
          <w:p w14:paraId="6AF0CA1F">
            <w:pPr>
              <w:autoSpaceDN w:val="0"/>
              <w:spacing w:line="320" w:lineRule="exact"/>
              <w:jc w:val="center"/>
              <w:textAlignment w:val="center"/>
              <w:rPr>
                <w:rFonts w:ascii="仿宋_GB2312" w:hAnsi="仿宋_GB2312" w:eastAsia="仿宋_GB2312" w:cs="仿宋_GB2312"/>
                <w:color w:val="000000"/>
                <w:sz w:val="24"/>
              </w:rPr>
            </w:pPr>
          </w:p>
        </w:tc>
      </w:tr>
      <w:tr w14:paraId="1EE7C6A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667" w:type="dxa"/>
            <w:gridSpan w:val="3"/>
            <w:vAlign w:val="center"/>
          </w:tcPr>
          <w:p w14:paraId="76169E1B">
            <w:pPr>
              <w:spacing w:line="320" w:lineRule="exact"/>
              <w:jc w:val="left"/>
              <w:rPr>
                <w:rFonts w:ascii="仿宋_GB2312" w:hAnsi="仿宋_GB2312" w:eastAsia="仿宋_GB2312" w:cs="仿宋_GB2312"/>
                <w:color w:val="000000"/>
                <w:sz w:val="24"/>
              </w:rPr>
            </w:pPr>
            <w:r>
              <w:rPr>
                <w:rFonts w:hint="eastAsia" w:ascii="仿宋_GB2312" w:hAnsi="仿宋_GB2312" w:eastAsia="仿宋_GB2312" w:cs="仿宋_GB2312"/>
                <w:sz w:val="24"/>
              </w:rPr>
              <w:t>1、局机关</w:t>
            </w:r>
          </w:p>
        </w:tc>
        <w:tc>
          <w:tcPr>
            <w:tcW w:w="1080" w:type="dxa"/>
            <w:tcBorders>
              <w:right w:val="single" w:color="auto" w:sz="4" w:space="0"/>
            </w:tcBorders>
            <w:vAlign w:val="center"/>
          </w:tcPr>
          <w:p w14:paraId="421668F3">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2836.56</w:t>
            </w:r>
          </w:p>
        </w:tc>
        <w:tc>
          <w:tcPr>
            <w:tcW w:w="1355" w:type="dxa"/>
            <w:gridSpan w:val="2"/>
            <w:tcBorders>
              <w:left w:val="single" w:color="auto" w:sz="4" w:space="0"/>
            </w:tcBorders>
            <w:vAlign w:val="center"/>
          </w:tcPr>
          <w:p w14:paraId="40424C90">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903.93</w:t>
            </w:r>
          </w:p>
        </w:tc>
        <w:tc>
          <w:tcPr>
            <w:tcW w:w="1080" w:type="dxa"/>
            <w:gridSpan w:val="2"/>
            <w:vAlign w:val="center"/>
          </w:tcPr>
          <w:p w14:paraId="3D42CD42">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676.52</w:t>
            </w:r>
          </w:p>
        </w:tc>
        <w:tc>
          <w:tcPr>
            <w:tcW w:w="2160" w:type="dxa"/>
            <w:gridSpan w:val="4"/>
            <w:vAlign w:val="center"/>
          </w:tcPr>
          <w:p w14:paraId="72C3837E">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227.41</w:t>
            </w:r>
          </w:p>
        </w:tc>
        <w:tc>
          <w:tcPr>
            <w:tcW w:w="1080" w:type="dxa"/>
            <w:vAlign w:val="center"/>
          </w:tcPr>
          <w:p w14:paraId="47DA34E5">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1932.63</w:t>
            </w:r>
          </w:p>
        </w:tc>
        <w:tc>
          <w:tcPr>
            <w:tcW w:w="720" w:type="dxa"/>
            <w:gridSpan w:val="3"/>
            <w:tcBorders>
              <w:right w:val="single" w:color="auto" w:sz="4" w:space="0"/>
            </w:tcBorders>
            <w:vAlign w:val="center"/>
          </w:tcPr>
          <w:p w14:paraId="0BC849FC">
            <w:pPr>
              <w:autoSpaceDN w:val="0"/>
              <w:spacing w:line="320" w:lineRule="exact"/>
              <w:jc w:val="center"/>
              <w:textAlignment w:val="center"/>
              <w:rPr>
                <w:rFonts w:ascii="仿宋_GB2312" w:hAnsi="仿宋_GB2312" w:eastAsia="仿宋_GB2312" w:cs="仿宋_GB2312"/>
                <w:color w:val="000000"/>
                <w:sz w:val="24"/>
              </w:rPr>
            </w:pPr>
          </w:p>
        </w:tc>
        <w:tc>
          <w:tcPr>
            <w:tcW w:w="625" w:type="dxa"/>
            <w:tcBorders>
              <w:left w:val="single" w:color="auto" w:sz="4" w:space="0"/>
            </w:tcBorders>
            <w:vAlign w:val="center"/>
          </w:tcPr>
          <w:p w14:paraId="1ED4F48D">
            <w:pPr>
              <w:autoSpaceDN w:val="0"/>
              <w:spacing w:line="320" w:lineRule="exact"/>
              <w:jc w:val="center"/>
              <w:textAlignment w:val="center"/>
              <w:rPr>
                <w:rFonts w:ascii="仿宋_GB2312" w:hAnsi="仿宋_GB2312" w:eastAsia="仿宋_GB2312" w:cs="仿宋_GB2312"/>
                <w:color w:val="000000"/>
                <w:sz w:val="24"/>
              </w:rPr>
            </w:pPr>
          </w:p>
        </w:tc>
      </w:tr>
      <w:tr w14:paraId="607B38D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667" w:type="dxa"/>
            <w:gridSpan w:val="3"/>
            <w:vAlign w:val="center"/>
          </w:tcPr>
          <w:p w14:paraId="5E88EEA8">
            <w:pPr>
              <w:spacing w:line="320" w:lineRule="exact"/>
              <w:jc w:val="left"/>
              <w:rPr>
                <w:rFonts w:ascii="仿宋_GB2312" w:hAnsi="仿宋_GB2312" w:eastAsia="仿宋_GB2312" w:cs="仿宋_GB2312"/>
                <w:color w:val="000000"/>
                <w:sz w:val="24"/>
              </w:rPr>
            </w:pPr>
            <w:r>
              <w:rPr>
                <w:rFonts w:hint="eastAsia" w:ascii="仿宋_GB2312" w:hAnsi="仿宋_GB2312" w:eastAsia="仿宋_GB2312" w:cs="仿宋_GB2312"/>
                <w:sz w:val="24"/>
              </w:rPr>
              <w:t>2、二级机构1</w:t>
            </w:r>
          </w:p>
        </w:tc>
        <w:tc>
          <w:tcPr>
            <w:tcW w:w="1080" w:type="dxa"/>
            <w:tcBorders>
              <w:right w:val="single" w:color="auto" w:sz="4" w:space="0"/>
            </w:tcBorders>
            <w:vAlign w:val="center"/>
          </w:tcPr>
          <w:p w14:paraId="04031B21">
            <w:pPr>
              <w:autoSpaceDN w:val="0"/>
              <w:spacing w:line="320" w:lineRule="exact"/>
              <w:jc w:val="center"/>
              <w:textAlignment w:val="center"/>
              <w:rPr>
                <w:rFonts w:ascii="仿宋_GB2312" w:hAnsi="仿宋_GB2312" w:eastAsia="仿宋_GB2312" w:cs="仿宋_GB2312"/>
                <w:color w:val="000000"/>
                <w:sz w:val="24"/>
              </w:rPr>
            </w:pPr>
          </w:p>
        </w:tc>
        <w:tc>
          <w:tcPr>
            <w:tcW w:w="1355" w:type="dxa"/>
            <w:gridSpan w:val="2"/>
            <w:tcBorders>
              <w:left w:val="single" w:color="auto" w:sz="4" w:space="0"/>
            </w:tcBorders>
            <w:vAlign w:val="center"/>
          </w:tcPr>
          <w:p w14:paraId="56C0B1B1">
            <w:pPr>
              <w:autoSpaceDN w:val="0"/>
              <w:spacing w:line="320" w:lineRule="exact"/>
              <w:jc w:val="center"/>
              <w:textAlignment w:val="center"/>
              <w:rPr>
                <w:rFonts w:ascii="仿宋_GB2312" w:hAnsi="仿宋_GB2312" w:eastAsia="仿宋_GB2312" w:cs="仿宋_GB2312"/>
                <w:color w:val="000000"/>
                <w:sz w:val="24"/>
              </w:rPr>
            </w:pPr>
          </w:p>
        </w:tc>
        <w:tc>
          <w:tcPr>
            <w:tcW w:w="1080" w:type="dxa"/>
            <w:gridSpan w:val="2"/>
            <w:vAlign w:val="center"/>
          </w:tcPr>
          <w:p w14:paraId="1C9466A1">
            <w:pPr>
              <w:autoSpaceDN w:val="0"/>
              <w:spacing w:line="320" w:lineRule="exact"/>
              <w:jc w:val="center"/>
              <w:textAlignment w:val="center"/>
              <w:rPr>
                <w:rFonts w:ascii="仿宋_GB2312" w:hAnsi="仿宋_GB2312" w:eastAsia="仿宋_GB2312" w:cs="仿宋_GB2312"/>
                <w:color w:val="000000"/>
                <w:sz w:val="24"/>
              </w:rPr>
            </w:pPr>
          </w:p>
        </w:tc>
        <w:tc>
          <w:tcPr>
            <w:tcW w:w="2160" w:type="dxa"/>
            <w:gridSpan w:val="4"/>
            <w:vAlign w:val="center"/>
          </w:tcPr>
          <w:p w14:paraId="7B7752B9">
            <w:pPr>
              <w:autoSpaceDN w:val="0"/>
              <w:spacing w:line="320" w:lineRule="exact"/>
              <w:jc w:val="center"/>
              <w:textAlignment w:val="center"/>
              <w:rPr>
                <w:rFonts w:ascii="仿宋_GB2312" w:hAnsi="仿宋_GB2312" w:eastAsia="仿宋_GB2312" w:cs="仿宋_GB2312"/>
                <w:color w:val="000000"/>
                <w:sz w:val="24"/>
              </w:rPr>
            </w:pPr>
          </w:p>
        </w:tc>
        <w:tc>
          <w:tcPr>
            <w:tcW w:w="1080" w:type="dxa"/>
            <w:vAlign w:val="center"/>
          </w:tcPr>
          <w:p w14:paraId="77953B3E">
            <w:pPr>
              <w:autoSpaceDN w:val="0"/>
              <w:spacing w:line="320" w:lineRule="exact"/>
              <w:jc w:val="center"/>
              <w:textAlignment w:val="center"/>
              <w:rPr>
                <w:rFonts w:ascii="仿宋_GB2312" w:hAnsi="仿宋_GB2312" w:eastAsia="仿宋_GB2312" w:cs="仿宋_GB2312"/>
                <w:color w:val="000000"/>
                <w:sz w:val="24"/>
              </w:rPr>
            </w:pPr>
          </w:p>
        </w:tc>
        <w:tc>
          <w:tcPr>
            <w:tcW w:w="720" w:type="dxa"/>
            <w:gridSpan w:val="3"/>
            <w:tcBorders>
              <w:right w:val="single" w:color="auto" w:sz="4" w:space="0"/>
            </w:tcBorders>
            <w:vAlign w:val="center"/>
          </w:tcPr>
          <w:p w14:paraId="1D22419B">
            <w:pPr>
              <w:autoSpaceDN w:val="0"/>
              <w:spacing w:line="320" w:lineRule="exact"/>
              <w:jc w:val="center"/>
              <w:textAlignment w:val="center"/>
              <w:rPr>
                <w:rFonts w:ascii="仿宋_GB2312" w:hAnsi="仿宋_GB2312" w:eastAsia="仿宋_GB2312" w:cs="仿宋_GB2312"/>
                <w:color w:val="000000"/>
                <w:sz w:val="24"/>
              </w:rPr>
            </w:pPr>
          </w:p>
        </w:tc>
        <w:tc>
          <w:tcPr>
            <w:tcW w:w="625" w:type="dxa"/>
            <w:tcBorders>
              <w:left w:val="single" w:color="auto" w:sz="4" w:space="0"/>
            </w:tcBorders>
            <w:vAlign w:val="center"/>
          </w:tcPr>
          <w:p w14:paraId="27EB9353">
            <w:pPr>
              <w:autoSpaceDN w:val="0"/>
              <w:spacing w:line="320" w:lineRule="exact"/>
              <w:jc w:val="center"/>
              <w:textAlignment w:val="center"/>
              <w:rPr>
                <w:rFonts w:ascii="仿宋_GB2312" w:hAnsi="仿宋_GB2312" w:eastAsia="仿宋_GB2312" w:cs="仿宋_GB2312"/>
                <w:color w:val="000000"/>
                <w:sz w:val="24"/>
              </w:rPr>
            </w:pPr>
          </w:p>
        </w:tc>
      </w:tr>
      <w:tr w14:paraId="32C37AB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667" w:type="dxa"/>
            <w:gridSpan w:val="3"/>
            <w:vAlign w:val="center"/>
          </w:tcPr>
          <w:p w14:paraId="341EF908">
            <w:pPr>
              <w:spacing w:line="320" w:lineRule="exact"/>
              <w:jc w:val="left"/>
              <w:rPr>
                <w:rFonts w:ascii="仿宋_GB2312" w:hAnsi="仿宋_GB2312" w:eastAsia="仿宋_GB2312" w:cs="仿宋_GB2312"/>
                <w:color w:val="000000"/>
                <w:sz w:val="24"/>
              </w:rPr>
            </w:pPr>
            <w:r>
              <w:rPr>
                <w:rFonts w:hint="eastAsia" w:ascii="仿宋_GB2312" w:hAnsi="仿宋_GB2312" w:eastAsia="仿宋_GB2312" w:cs="仿宋_GB2312"/>
                <w:sz w:val="24"/>
              </w:rPr>
              <w:t>3、二级机构2</w:t>
            </w:r>
          </w:p>
        </w:tc>
        <w:tc>
          <w:tcPr>
            <w:tcW w:w="1080" w:type="dxa"/>
            <w:tcBorders>
              <w:right w:val="single" w:color="auto" w:sz="4" w:space="0"/>
            </w:tcBorders>
            <w:vAlign w:val="center"/>
          </w:tcPr>
          <w:p w14:paraId="00F9302A">
            <w:pPr>
              <w:autoSpaceDN w:val="0"/>
              <w:spacing w:line="320" w:lineRule="exact"/>
              <w:jc w:val="center"/>
              <w:textAlignment w:val="center"/>
              <w:rPr>
                <w:rFonts w:ascii="仿宋_GB2312" w:hAnsi="仿宋_GB2312" w:eastAsia="仿宋_GB2312" w:cs="仿宋_GB2312"/>
                <w:color w:val="000000"/>
                <w:sz w:val="24"/>
              </w:rPr>
            </w:pPr>
          </w:p>
        </w:tc>
        <w:tc>
          <w:tcPr>
            <w:tcW w:w="1355" w:type="dxa"/>
            <w:gridSpan w:val="2"/>
            <w:tcBorders>
              <w:left w:val="single" w:color="auto" w:sz="4" w:space="0"/>
            </w:tcBorders>
            <w:vAlign w:val="center"/>
          </w:tcPr>
          <w:p w14:paraId="55C23B87">
            <w:pPr>
              <w:autoSpaceDN w:val="0"/>
              <w:spacing w:line="320" w:lineRule="exact"/>
              <w:jc w:val="center"/>
              <w:textAlignment w:val="center"/>
              <w:rPr>
                <w:rFonts w:ascii="仿宋_GB2312" w:hAnsi="仿宋_GB2312" w:eastAsia="仿宋_GB2312" w:cs="仿宋_GB2312"/>
                <w:color w:val="000000"/>
                <w:sz w:val="24"/>
              </w:rPr>
            </w:pPr>
          </w:p>
        </w:tc>
        <w:tc>
          <w:tcPr>
            <w:tcW w:w="1080" w:type="dxa"/>
            <w:gridSpan w:val="2"/>
            <w:vAlign w:val="center"/>
          </w:tcPr>
          <w:p w14:paraId="7D4F74B3">
            <w:pPr>
              <w:autoSpaceDN w:val="0"/>
              <w:spacing w:line="320" w:lineRule="exact"/>
              <w:jc w:val="center"/>
              <w:textAlignment w:val="center"/>
              <w:rPr>
                <w:rFonts w:ascii="仿宋_GB2312" w:hAnsi="仿宋_GB2312" w:eastAsia="仿宋_GB2312" w:cs="仿宋_GB2312"/>
                <w:color w:val="000000"/>
                <w:sz w:val="24"/>
              </w:rPr>
            </w:pPr>
          </w:p>
        </w:tc>
        <w:tc>
          <w:tcPr>
            <w:tcW w:w="2160" w:type="dxa"/>
            <w:gridSpan w:val="4"/>
            <w:vAlign w:val="center"/>
          </w:tcPr>
          <w:p w14:paraId="5D340814">
            <w:pPr>
              <w:autoSpaceDN w:val="0"/>
              <w:spacing w:line="320" w:lineRule="exact"/>
              <w:jc w:val="center"/>
              <w:textAlignment w:val="center"/>
              <w:rPr>
                <w:rFonts w:ascii="仿宋_GB2312" w:hAnsi="仿宋_GB2312" w:eastAsia="仿宋_GB2312" w:cs="仿宋_GB2312"/>
                <w:color w:val="000000"/>
                <w:sz w:val="24"/>
              </w:rPr>
            </w:pPr>
          </w:p>
        </w:tc>
        <w:tc>
          <w:tcPr>
            <w:tcW w:w="1080" w:type="dxa"/>
            <w:vAlign w:val="center"/>
          </w:tcPr>
          <w:p w14:paraId="10A71010">
            <w:pPr>
              <w:autoSpaceDN w:val="0"/>
              <w:spacing w:line="320" w:lineRule="exact"/>
              <w:jc w:val="center"/>
              <w:textAlignment w:val="center"/>
              <w:rPr>
                <w:rFonts w:ascii="仿宋_GB2312" w:hAnsi="仿宋_GB2312" w:eastAsia="仿宋_GB2312" w:cs="仿宋_GB2312"/>
                <w:color w:val="000000"/>
                <w:sz w:val="24"/>
              </w:rPr>
            </w:pPr>
          </w:p>
        </w:tc>
        <w:tc>
          <w:tcPr>
            <w:tcW w:w="720" w:type="dxa"/>
            <w:gridSpan w:val="3"/>
            <w:tcBorders>
              <w:right w:val="single" w:color="auto" w:sz="4" w:space="0"/>
            </w:tcBorders>
            <w:vAlign w:val="center"/>
          </w:tcPr>
          <w:p w14:paraId="194429DC">
            <w:pPr>
              <w:autoSpaceDN w:val="0"/>
              <w:spacing w:line="320" w:lineRule="exact"/>
              <w:jc w:val="center"/>
              <w:textAlignment w:val="center"/>
              <w:rPr>
                <w:rFonts w:ascii="仿宋_GB2312" w:hAnsi="仿宋_GB2312" w:eastAsia="仿宋_GB2312" w:cs="仿宋_GB2312"/>
                <w:color w:val="000000"/>
                <w:sz w:val="24"/>
              </w:rPr>
            </w:pPr>
          </w:p>
        </w:tc>
        <w:tc>
          <w:tcPr>
            <w:tcW w:w="625" w:type="dxa"/>
            <w:tcBorders>
              <w:left w:val="single" w:color="auto" w:sz="4" w:space="0"/>
            </w:tcBorders>
            <w:vAlign w:val="center"/>
          </w:tcPr>
          <w:p w14:paraId="4067C5B9">
            <w:pPr>
              <w:autoSpaceDN w:val="0"/>
              <w:spacing w:line="320" w:lineRule="exact"/>
              <w:jc w:val="center"/>
              <w:textAlignment w:val="center"/>
              <w:rPr>
                <w:rFonts w:ascii="仿宋_GB2312" w:hAnsi="仿宋_GB2312" w:eastAsia="仿宋_GB2312" w:cs="仿宋_GB2312"/>
                <w:color w:val="000000"/>
                <w:sz w:val="24"/>
              </w:rPr>
            </w:pPr>
          </w:p>
        </w:tc>
      </w:tr>
      <w:tr w14:paraId="4A61138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667" w:type="dxa"/>
            <w:gridSpan w:val="3"/>
            <w:vMerge w:val="restart"/>
            <w:vAlign w:val="center"/>
          </w:tcPr>
          <w:p w14:paraId="49D781E1">
            <w:pPr>
              <w:spacing w:line="320" w:lineRule="exact"/>
              <w:jc w:val="center"/>
              <w:rPr>
                <w:rFonts w:ascii="仿宋_GB2312" w:hAnsi="仿宋_GB2312" w:eastAsia="仿宋_GB2312" w:cs="仿宋_GB2312"/>
                <w:sz w:val="24"/>
              </w:rPr>
            </w:pPr>
            <w:r>
              <w:rPr>
                <w:rFonts w:hint="eastAsia" w:ascii="仿宋_GB2312" w:hAnsi="仿宋_GB2312" w:eastAsia="仿宋_GB2312" w:cs="仿宋_GB2312"/>
                <w:sz w:val="24"/>
              </w:rPr>
              <w:t>机构名称</w:t>
            </w:r>
          </w:p>
        </w:tc>
        <w:tc>
          <w:tcPr>
            <w:tcW w:w="1080" w:type="dxa"/>
            <w:vMerge w:val="restart"/>
            <w:tcBorders>
              <w:right w:val="single" w:color="auto" w:sz="4" w:space="0"/>
            </w:tcBorders>
            <w:vAlign w:val="center"/>
          </w:tcPr>
          <w:p w14:paraId="341F0C86">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三公经费</w:t>
            </w:r>
          </w:p>
          <w:p w14:paraId="203FAB63">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合计</w:t>
            </w:r>
          </w:p>
        </w:tc>
        <w:tc>
          <w:tcPr>
            <w:tcW w:w="7020" w:type="dxa"/>
            <w:gridSpan w:val="13"/>
            <w:tcBorders>
              <w:left w:val="single" w:color="auto" w:sz="4" w:space="0"/>
            </w:tcBorders>
            <w:vAlign w:val="center"/>
          </w:tcPr>
          <w:p w14:paraId="3F7D15A5">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r>
      <w:tr w14:paraId="5E29812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667" w:type="dxa"/>
            <w:gridSpan w:val="3"/>
            <w:vMerge w:val="continue"/>
            <w:vAlign w:val="center"/>
          </w:tcPr>
          <w:p w14:paraId="10867C2E">
            <w:pPr>
              <w:spacing w:line="320" w:lineRule="exact"/>
              <w:jc w:val="center"/>
              <w:rPr>
                <w:rFonts w:ascii="仿宋_GB2312" w:hAnsi="仿宋_GB2312" w:eastAsia="仿宋_GB2312" w:cs="仿宋_GB2312"/>
                <w:sz w:val="24"/>
              </w:rPr>
            </w:pPr>
          </w:p>
        </w:tc>
        <w:tc>
          <w:tcPr>
            <w:tcW w:w="1080" w:type="dxa"/>
            <w:vMerge w:val="continue"/>
            <w:tcBorders>
              <w:right w:val="single" w:color="auto" w:sz="4" w:space="0"/>
            </w:tcBorders>
            <w:vAlign w:val="center"/>
          </w:tcPr>
          <w:p w14:paraId="4A1C2064">
            <w:pPr>
              <w:autoSpaceDN w:val="0"/>
              <w:spacing w:line="320" w:lineRule="exact"/>
              <w:jc w:val="center"/>
              <w:textAlignment w:val="center"/>
              <w:rPr>
                <w:rFonts w:ascii="仿宋_GB2312" w:hAnsi="仿宋_GB2312" w:eastAsia="仿宋_GB2312" w:cs="仿宋_GB2312"/>
                <w:color w:val="000000"/>
                <w:sz w:val="24"/>
              </w:rPr>
            </w:pPr>
          </w:p>
        </w:tc>
        <w:tc>
          <w:tcPr>
            <w:tcW w:w="1355" w:type="dxa"/>
            <w:gridSpan w:val="2"/>
            <w:tcBorders>
              <w:left w:val="single" w:color="auto" w:sz="4" w:space="0"/>
            </w:tcBorders>
            <w:vAlign w:val="center"/>
          </w:tcPr>
          <w:p w14:paraId="5296447A">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公务接待费</w:t>
            </w:r>
          </w:p>
        </w:tc>
        <w:tc>
          <w:tcPr>
            <w:tcW w:w="1080" w:type="dxa"/>
            <w:gridSpan w:val="2"/>
            <w:vAlign w:val="center"/>
          </w:tcPr>
          <w:p w14:paraId="52DC8FF6">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公务用车运维费</w:t>
            </w:r>
          </w:p>
        </w:tc>
        <w:tc>
          <w:tcPr>
            <w:tcW w:w="2160" w:type="dxa"/>
            <w:gridSpan w:val="4"/>
            <w:vAlign w:val="center"/>
          </w:tcPr>
          <w:p w14:paraId="0D0A264B">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公务用车购置费</w:t>
            </w:r>
          </w:p>
        </w:tc>
        <w:tc>
          <w:tcPr>
            <w:tcW w:w="2425" w:type="dxa"/>
            <w:gridSpan w:val="5"/>
            <w:vAlign w:val="center"/>
          </w:tcPr>
          <w:p w14:paraId="124DACB6">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因公出国费</w:t>
            </w:r>
          </w:p>
        </w:tc>
      </w:tr>
      <w:tr w14:paraId="5C97B73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858" w:hRule="atLeast"/>
          <w:jc w:val="center"/>
        </w:trPr>
        <w:tc>
          <w:tcPr>
            <w:tcW w:w="1667" w:type="dxa"/>
            <w:gridSpan w:val="3"/>
            <w:vAlign w:val="center"/>
          </w:tcPr>
          <w:p w14:paraId="50C79404">
            <w:pPr>
              <w:spacing w:line="320" w:lineRule="exact"/>
              <w:jc w:val="left"/>
              <w:rPr>
                <w:rFonts w:ascii="仿宋_GB2312" w:hAnsi="仿宋_GB2312" w:eastAsia="仿宋_GB2312" w:cs="仿宋_GB2312"/>
                <w:sz w:val="24"/>
              </w:rPr>
            </w:pPr>
            <w:r>
              <w:rPr>
                <w:rFonts w:hint="eastAsia" w:ascii="仿宋_GB2312" w:hAnsi="仿宋_GB2312" w:eastAsia="仿宋_GB2312" w:cs="仿宋_GB2312"/>
                <w:color w:val="000000"/>
                <w:sz w:val="24"/>
              </w:rPr>
              <w:t>局机关及二级机构汇总</w:t>
            </w:r>
          </w:p>
        </w:tc>
        <w:tc>
          <w:tcPr>
            <w:tcW w:w="1080" w:type="dxa"/>
            <w:tcBorders>
              <w:right w:val="single" w:color="auto" w:sz="4" w:space="0"/>
            </w:tcBorders>
            <w:vAlign w:val="center"/>
          </w:tcPr>
          <w:p w14:paraId="19E35330">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5.37</w:t>
            </w:r>
          </w:p>
        </w:tc>
        <w:tc>
          <w:tcPr>
            <w:tcW w:w="1355" w:type="dxa"/>
            <w:gridSpan w:val="2"/>
            <w:tcBorders>
              <w:left w:val="single" w:color="auto" w:sz="4" w:space="0"/>
            </w:tcBorders>
            <w:vAlign w:val="center"/>
          </w:tcPr>
          <w:p w14:paraId="7962293C">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5.37</w:t>
            </w:r>
          </w:p>
        </w:tc>
        <w:tc>
          <w:tcPr>
            <w:tcW w:w="1080" w:type="dxa"/>
            <w:gridSpan w:val="2"/>
            <w:vAlign w:val="center"/>
          </w:tcPr>
          <w:p w14:paraId="4FAC6562">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0</w:t>
            </w:r>
          </w:p>
        </w:tc>
        <w:tc>
          <w:tcPr>
            <w:tcW w:w="2160" w:type="dxa"/>
            <w:gridSpan w:val="4"/>
            <w:vAlign w:val="center"/>
          </w:tcPr>
          <w:p w14:paraId="0FDCEBDD">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0</w:t>
            </w:r>
          </w:p>
        </w:tc>
        <w:tc>
          <w:tcPr>
            <w:tcW w:w="2425" w:type="dxa"/>
            <w:gridSpan w:val="5"/>
            <w:vAlign w:val="center"/>
          </w:tcPr>
          <w:p w14:paraId="6E83EDCB">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0</w:t>
            </w:r>
          </w:p>
        </w:tc>
      </w:tr>
      <w:tr w14:paraId="34EED43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667" w:type="dxa"/>
            <w:gridSpan w:val="3"/>
            <w:vAlign w:val="center"/>
          </w:tcPr>
          <w:p w14:paraId="64C232AE">
            <w:pPr>
              <w:spacing w:line="320" w:lineRule="exact"/>
              <w:jc w:val="left"/>
              <w:rPr>
                <w:rFonts w:ascii="仿宋_GB2312" w:hAnsi="仿宋_GB2312" w:eastAsia="仿宋_GB2312" w:cs="仿宋_GB2312"/>
                <w:sz w:val="24"/>
              </w:rPr>
            </w:pPr>
            <w:r>
              <w:rPr>
                <w:rFonts w:hint="eastAsia" w:ascii="仿宋_GB2312" w:hAnsi="仿宋_GB2312" w:eastAsia="仿宋_GB2312" w:cs="仿宋_GB2312"/>
                <w:sz w:val="24"/>
              </w:rPr>
              <w:t>1、局机关</w:t>
            </w:r>
          </w:p>
        </w:tc>
        <w:tc>
          <w:tcPr>
            <w:tcW w:w="1080" w:type="dxa"/>
            <w:tcBorders>
              <w:right w:val="single" w:color="auto" w:sz="4" w:space="0"/>
            </w:tcBorders>
            <w:vAlign w:val="center"/>
          </w:tcPr>
          <w:p w14:paraId="30B1618A">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5.37</w:t>
            </w:r>
          </w:p>
        </w:tc>
        <w:tc>
          <w:tcPr>
            <w:tcW w:w="1355" w:type="dxa"/>
            <w:gridSpan w:val="2"/>
            <w:tcBorders>
              <w:left w:val="single" w:color="auto" w:sz="4" w:space="0"/>
            </w:tcBorders>
            <w:vAlign w:val="center"/>
          </w:tcPr>
          <w:p w14:paraId="37090C4A">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5.37</w:t>
            </w:r>
          </w:p>
        </w:tc>
        <w:tc>
          <w:tcPr>
            <w:tcW w:w="1080" w:type="dxa"/>
            <w:gridSpan w:val="2"/>
            <w:vAlign w:val="center"/>
          </w:tcPr>
          <w:p w14:paraId="793C34E7">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0</w:t>
            </w:r>
          </w:p>
        </w:tc>
        <w:tc>
          <w:tcPr>
            <w:tcW w:w="2160" w:type="dxa"/>
            <w:gridSpan w:val="4"/>
            <w:vAlign w:val="center"/>
          </w:tcPr>
          <w:p w14:paraId="6D0AFE66">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0</w:t>
            </w:r>
          </w:p>
        </w:tc>
        <w:tc>
          <w:tcPr>
            <w:tcW w:w="2425" w:type="dxa"/>
            <w:gridSpan w:val="5"/>
            <w:vAlign w:val="center"/>
          </w:tcPr>
          <w:p w14:paraId="1C69E095">
            <w:pPr>
              <w:autoSpaceDN w:val="0"/>
              <w:spacing w:line="320" w:lineRule="exact"/>
              <w:jc w:val="center"/>
              <w:textAlignment w:val="center"/>
              <w:rPr>
                <w:rFonts w:ascii="仿宋_GB2312" w:hAnsi="仿宋_GB2312" w:eastAsia="仿宋_GB2312" w:cs="仿宋_GB2312"/>
                <w:color w:val="000000"/>
                <w:sz w:val="24"/>
              </w:rPr>
            </w:pPr>
          </w:p>
        </w:tc>
      </w:tr>
      <w:tr w14:paraId="2F3F7BA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667" w:type="dxa"/>
            <w:gridSpan w:val="3"/>
            <w:vAlign w:val="center"/>
          </w:tcPr>
          <w:p w14:paraId="60C73212">
            <w:pPr>
              <w:spacing w:line="320" w:lineRule="exact"/>
              <w:jc w:val="left"/>
              <w:rPr>
                <w:rFonts w:ascii="仿宋_GB2312" w:hAnsi="仿宋_GB2312" w:eastAsia="仿宋_GB2312" w:cs="仿宋_GB2312"/>
                <w:sz w:val="24"/>
              </w:rPr>
            </w:pPr>
            <w:r>
              <w:rPr>
                <w:rFonts w:hint="eastAsia" w:ascii="仿宋_GB2312" w:hAnsi="仿宋_GB2312" w:eastAsia="仿宋_GB2312" w:cs="仿宋_GB2312"/>
                <w:sz w:val="24"/>
              </w:rPr>
              <w:t>2、二级机构1</w:t>
            </w:r>
          </w:p>
        </w:tc>
        <w:tc>
          <w:tcPr>
            <w:tcW w:w="1080" w:type="dxa"/>
            <w:tcBorders>
              <w:right w:val="single" w:color="auto" w:sz="4" w:space="0"/>
            </w:tcBorders>
            <w:vAlign w:val="center"/>
          </w:tcPr>
          <w:p w14:paraId="3ED274AB">
            <w:pPr>
              <w:autoSpaceDN w:val="0"/>
              <w:spacing w:line="320" w:lineRule="exact"/>
              <w:jc w:val="center"/>
              <w:textAlignment w:val="center"/>
              <w:rPr>
                <w:rFonts w:ascii="仿宋_GB2312" w:hAnsi="仿宋_GB2312" w:eastAsia="仿宋_GB2312" w:cs="仿宋_GB2312"/>
                <w:color w:val="000000"/>
                <w:sz w:val="24"/>
              </w:rPr>
            </w:pPr>
          </w:p>
        </w:tc>
        <w:tc>
          <w:tcPr>
            <w:tcW w:w="1355" w:type="dxa"/>
            <w:gridSpan w:val="2"/>
            <w:tcBorders>
              <w:left w:val="single" w:color="auto" w:sz="4" w:space="0"/>
            </w:tcBorders>
            <w:vAlign w:val="center"/>
          </w:tcPr>
          <w:p w14:paraId="77105F04">
            <w:pPr>
              <w:autoSpaceDN w:val="0"/>
              <w:spacing w:line="320" w:lineRule="exact"/>
              <w:jc w:val="center"/>
              <w:textAlignment w:val="center"/>
              <w:rPr>
                <w:rFonts w:ascii="仿宋_GB2312" w:hAnsi="仿宋_GB2312" w:eastAsia="仿宋_GB2312" w:cs="仿宋_GB2312"/>
                <w:color w:val="000000"/>
                <w:sz w:val="24"/>
              </w:rPr>
            </w:pPr>
          </w:p>
        </w:tc>
        <w:tc>
          <w:tcPr>
            <w:tcW w:w="1080" w:type="dxa"/>
            <w:gridSpan w:val="2"/>
            <w:vAlign w:val="center"/>
          </w:tcPr>
          <w:p w14:paraId="1B815161">
            <w:pPr>
              <w:autoSpaceDN w:val="0"/>
              <w:spacing w:line="320" w:lineRule="exact"/>
              <w:jc w:val="center"/>
              <w:textAlignment w:val="center"/>
              <w:rPr>
                <w:rFonts w:ascii="仿宋_GB2312" w:hAnsi="仿宋_GB2312" w:eastAsia="仿宋_GB2312" w:cs="仿宋_GB2312"/>
                <w:color w:val="000000"/>
                <w:sz w:val="24"/>
              </w:rPr>
            </w:pPr>
          </w:p>
        </w:tc>
        <w:tc>
          <w:tcPr>
            <w:tcW w:w="2160" w:type="dxa"/>
            <w:gridSpan w:val="4"/>
            <w:vAlign w:val="center"/>
          </w:tcPr>
          <w:p w14:paraId="2F4F4468">
            <w:pPr>
              <w:autoSpaceDN w:val="0"/>
              <w:spacing w:line="320" w:lineRule="exact"/>
              <w:jc w:val="center"/>
              <w:textAlignment w:val="center"/>
              <w:rPr>
                <w:rFonts w:ascii="仿宋_GB2312" w:hAnsi="仿宋_GB2312" w:eastAsia="仿宋_GB2312" w:cs="仿宋_GB2312"/>
                <w:color w:val="000000"/>
                <w:sz w:val="24"/>
              </w:rPr>
            </w:pPr>
          </w:p>
        </w:tc>
        <w:tc>
          <w:tcPr>
            <w:tcW w:w="2425" w:type="dxa"/>
            <w:gridSpan w:val="5"/>
            <w:vAlign w:val="center"/>
          </w:tcPr>
          <w:p w14:paraId="7587D9A5">
            <w:pPr>
              <w:autoSpaceDN w:val="0"/>
              <w:spacing w:line="320" w:lineRule="exact"/>
              <w:jc w:val="center"/>
              <w:textAlignment w:val="center"/>
              <w:rPr>
                <w:rFonts w:ascii="仿宋_GB2312" w:hAnsi="仿宋_GB2312" w:eastAsia="仿宋_GB2312" w:cs="仿宋_GB2312"/>
                <w:color w:val="000000"/>
                <w:sz w:val="24"/>
              </w:rPr>
            </w:pPr>
          </w:p>
        </w:tc>
      </w:tr>
      <w:tr w14:paraId="515DC62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667" w:type="dxa"/>
            <w:gridSpan w:val="3"/>
            <w:vAlign w:val="center"/>
          </w:tcPr>
          <w:p w14:paraId="283E2A03">
            <w:pPr>
              <w:spacing w:line="320" w:lineRule="exact"/>
              <w:jc w:val="left"/>
              <w:rPr>
                <w:rFonts w:ascii="仿宋_GB2312" w:hAnsi="仿宋_GB2312" w:eastAsia="仿宋_GB2312" w:cs="仿宋_GB2312"/>
                <w:sz w:val="24"/>
              </w:rPr>
            </w:pPr>
            <w:r>
              <w:rPr>
                <w:rFonts w:hint="eastAsia" w:ascii="仿宋_GB2312" w:hAnsi="仿宋_GB2312" w:eastAsia="仿宋_GB2312" w:cs="仿宋_GB2312"/>
                <w:sz w:val="24"/>
              </w:rPr>
              <w:t>3、二级机构2</w:t>
            </w:r>
          </w:p>
        </w:tc>
        <w:tc>
          <w:tcPr>
            <w:tcW w:w="1080" w:type="dxa"/>
            <w:tcBorders>
              <w:right w:val="single" w:color="auto" w:sz="4" w:space="0"/>
            </w:tcBorders>
            <w:vAlign w:val="center"/>
          </w:tcPr>
          <w:p w14:paraId="3C5B775A">
            <w:pPr>
              <w:autoSpaceDN w:val="0"/>
              <w:spacing w:line="320" w:lineRule="exact"/>
              <w:jc w:val="center"/>
              <w:textAlignment w:val="center"/>
              <w:rPr>
                <w:rFonts w:ascii="仿宋_GB2312" w:hAnsi="仿宋_GB2312" w:eastAsia="仿宋_GB2312" w:cs="仿宋_GB2312"/>
                <w:color w:val="000000"/>
                <w:sz w:val="24"/>
              </w:rPr>
            </w:pPr>
          </w:p>
        </w:tc>
        <w:tc>
          <w:tcPr>
            <w:tcW w:w="1355" w:type="dxa"/>
            <w:gridSpan w:val="2"/>
            <w:tcBorders>
              <w:left w:val="single" w:color="auto" w:sz="4" w:space="0"/>
            </w:tcBorders>
            <w:vAlign w:val="center"/>
          </w:tcPr>
          <w:p w14:paraId="1F014927">
            <w:pPr>
              <w:autoSpaceDN w:val="0"/>
              <w:spacing w:line="320" w:lineRule="exact"/>
              <w:jc w:val="center"/>
              <w:textAlignment w:val="center"/>
              <w:rPr>
                <w:rFonts w:ascii="仿宋_GB2312" w:hAnsi="仿宋_GB2312" w:eastAsia="仿宋_GB2312" w:cs="仿宋_GB2312"/>
                <w:color w:val="000000"/>
                <w:sz w:val="24"/>
              </w:rPr>
            </w:pPr>
          </w:p>
        </w:tc>
        <w:tc>
          <w:tcPr>
            <w:tcW w:w="1080" w:type="dxa"/>
            <w:gridSpan w:val="2"/>
            <w:vAlign w:val="center"/>
          </w:tcPr>
          <w:p w14:paraId="132BFDF9">
            <w:pPr>
              <w:autoSpaceDN w:val="0"/>
              <w:spacing w:line="320" w:lineRule="exact"/>
              <w:jc w:val="center"/>
              <w:textAlignment w:val="center"/>
              <w:rPr>
                <w:rFonts w:ascii="仿宋_GB2312" w:hAnsi="仿宋_GB2312" w:eastAsia="仿宋_GB2312" w:cs="仿宋_GB2312"/>
                <w:color w:val="000000"/>
                <w:sz w:val="24"/>
              </w:rPr>
            </w:pPr>
          </w:p>
        </w:tc>
        <w:tc>
          <w:tcPr>
            <w:tcW w:w="2160" w:type="dxa"/>
            <w:gridSpan w:val="4"/>
            <w:vAlign w:val="center"/>
          </w:tcPr>
          <w:p w14:paraId="6E010AC4">
            <w:pPr>
              <w:autoSpaceDN w:val="0"/>
              <w:spacing w:line="320" w:lineRule="exact"/>
              <w:jc w:val="center"/>
              <w:textAlignment w:val="center"/>
              <w:rPr>
                <w:rFonts w:ascii="仿宋_GB2312" w:hAnsi="仿宋_GB2312" w:eastAsia="仿宋_GB2312" w:cs="仿宋_GB2312"/>
                <w:color w:val="000000"/>
                <w:sz w:val="24"/>
              </w:rPr>
            </w:pPr>
          </w:p>
        </w:tc>
        <w:tc>
          <w:tcPr>
            <w:tcW w:w="2425" w:type="dxa"/>
            <w:gridSpan w:val="5"/>
            <w:vAlign w:val="center"/>
          </w:tcPr>
          <w:p w14:paraId="40D80868">
            <w:pPr>
              <w:autoSpaceDN w:val="0"/>
              <w:spacing w:line="320" w:lineRule="exact"/>
              <w:jc w:val="center"/>
              <w:textAlignment w:val="center"/>
              <w:rPr>
                <w:rFonts w:ascii="仿宋_GB2312" w:hAnsi="仿宋_GB2312" w:eastAsia="仿宋_GB2312" w:cs="仿宋_GB2312"/>
                <w:color w:val="000000"/>
                <w:sz w:val="24"/>
              </w:rPr>
            </w:pPr>
          </w:p>
        </w:tc>
      </w:tr>
      <w:tr w14:paraId="0D4B2D7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667" w:type="dxa"/>
            <w:gridSpan w:val="3"/>
            <w:vMerge w:val="restart"/>
            <w:vAlign w:val="center"/>
          </w:tcPr>
          <w:p w14:paraId="4B6F6557">
            <w:pPr>
              <w:spacing w:line="320" w:lineRule="exact"/>
              <w:jc w:val="center"/>
              <w:rPr>
                <w:rFonts w:ascii="仿宋_GB2312" w:hAnsi="仿宋_GB2312" w:eastAsia="仿宋_GB2312" w:cs="仿宋_GB2312"/>
                <w:sz w:val="24"/>
              </w:rPr>
            </w:pPr>
            <w:r>
              <w:rPr>
                <w:rFonts w:hint="eastAsia" w:ascii="仿宋_GB2312" w:hAnsi="仿宋_GB2312" w:eastAsia="仿宋_GB2312" w:cs="仿宋_GB2312"/>
                <w:sz w:val="24"/>
              </w:rPr>
              <w:t>机构名称</w:t>
            </w:r>
          </w:p>
        </w:tc>
        <w:tc>
          <w:tcPr>
            <w:tcW w:w="1080" w:type="dxa"/>
            <w:vMerge w:val="restart"/>
            <w:tcBorders>
              <w:right w:val="single" w:color="auto" w:sz="4" w:space="0"/>
            </w:tcBorders>
            <w:vAlign w:val="center"/>
          </w:tcPr>
          <w:p w14:paraId="38A5FCCE">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固定资产</w:t>
            </w:r>
          </w:p>
          <w:p w14:paraId="464BD7EA">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合计</w:t>
            </w:r>
          </w:p>
        </w:tc>
        <w:tc>
          <w:tcPr>
            <w:tcW w:w="6079" w:type="dxa"/>
            <w:gridSpan w:val="11"/>
            <w:tcBorders>
              <w:left w:val="single" w:color="auto" w:sz="4" w:space="0"/>
              <w:right w:val="single" w:color="auto" w:sz="4" w:space="0"/>
            </w:tcBorders>
            <w:vAlign w:val="center"/>
          </w:tcPr>
          <w:p w14:paraId="43152BC3">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c>
          <w:tcPr>
            <w:tcW w:w="941" w:type="dxa"/>
            <w:gridSpan w:val="2"/>
            <w:vMerge w:val="restart"/>
            <w:tcBorders>
              <w:left w:val="single" w:color="auto" w:sz="4" w:space="0"/>
            </w:tcBorders>
            <w:vAlign w:val="center"/>
          </w:tcPr>
          <w:p w14:paraId="7545F020">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其他</w:t>
            </w:r>
          </w:p>
        </w:tc>
      </w:tr>
      <w:tr w14:paraId="63335A4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667" w:type="dxa"/>
            <w:gridSpan w:val="3"/>
            <w:vMerge w:val="continue"/>
            <w:vAlign w:val="center"/>
          </w:tcPr>
          <w:p w14:paraId="2B8FD3B3">
            <w:pPr>
              <w:spacing w:line="320" w:lineRule="exact"/>
              <w:jc w:val="center"/>
              <w:rPr>
                <w:rFonts w:ascii="仿宋_GB2312" w:hAnsi="仿宋_GB2312" w:eastAsia="仿宋_GB2312" w:cs="仿宋_GB2312"/>
                <w:sz w:val="24"/>
              </w:rPr>
            </w:pPr>
          </w:p>
        </w:tc>
        <w:tc>
          <w:tcPr>
            <w:tcW w:w="1080" w:type="dxa"/>
            <w:vMerge w:val="continue"/>
            <w:tcBorders>
              <w:right w:val="single" w:color="auto" w:sz="4" w:space="0"/>
            </w:tcBorders>
            <w:vAlign w:val="center"/>
          </w:tcPr>
          <w:p w14:paraId="11743B2A">
            <w:pPr>
              <w:autoSpaceDN w:val="0"/>
              <w:spacing w:line="320" w:lineRule="exact"/>
              <w:jc w:val="center"/>
              <w:textAlignment w:val="center"/>
              <w:rPr>
                <w:rFonts w:ascii="仿宋_GB2312" w:hAnsi="仿宋_GB2312" w:eastAsia="仿宋_GB2312" w:cs="仿宋_GB2312"/>
                <w:color w:val="000000"/>
                <w:sz w:val="24"/>
              </w:rPr>
            </w:pPr>
          </w:p>
        </w:tc>
        <w:tc>
          <w:tcPr>
            <w:tcW w:w="2435" w:type="dxa"/>
            <w:gridSpan w:val="4"/>
            <w:tcBorders>
              <w:left w:val="single" w:color="auto" w:sz="4" w:space="0"/>
            </w:tcBorders>
            <w:vAlign w:val="center"/>
          </w:tcPr>
          <w:p w14:paraId="1B2D0A58">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在用固定资产</w:t>
            </w:r>
          </w:p>
        </w:tc>
        <w:tc>
          <w:tcPr>
            <w:tcW w:w="3644" w:type="dxa"/>
            <w:gridSpan w:val="7"/>
            <w:tcBorders>
              <w:right w:val="single" w:color="auto" w:sz="4" w:space="0"/>
            </w:tcBorders>
            <w:vAlign w:val="center"/>
          </w:tcPr>
          <w:p w14:paraId="64040E77">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出租固定资产</w:t>
            </w:r>
          </w:p>
        </w:tc>
        <w:tc>
          <w:tcPr>
            <w:tcW w:w="941" w:type="dxa"/>
            <w:gridSpan w:val="2"/>
            <w:vMerge w:val="continue"/>
            <w:tcBorders>
              <w:left w:val="single" w:color="auto" w:sz="4" w:space="0"/>
            </w:tcBorders>
            <w:vAlign w:val="center"/>
          </w:tcPr>
          <w:p w14:paraId="2D4BA494">
            <w:pPr>
              <w:autoSpaceDN w:val="0"/>
              <w:spacing w:line="320" w:lineRule="exact"/>
              <w:jc w:val="center"/>
              <w:textAlignment w:val="center"/>
              <w:rPr>
                <w:rFonts w:ascii="仿宋_GB2312" w:hAnsi="仿宋_GB2312" w:eastAsia="仿宋_GB2312" w:cs="仿宋_GB2312"/>
                <w:color w:val="000000"/>
                <w:sz w:val="24"/>
              </w:rPr>
            </w:pPr>
          </w:p>
        </w:tc>
      </w:tr>
      <w:tr w14:paraId="43D0F92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855" w:hRule="atLeast"/>
          <w:jc w:val="center"/>
        </w:trPr>
        <w:tc>
          <w:tcPr>
            <w:tcW w:w="1667" w:type="dxa"/>
            <w:gridSpan w:val="3"/>
            <w:vAlign w:val="center"/>
          </w:tcPr>
          <w:p w14:paraId="51F8BBC2">
            <w:pPr>
              <w:spacing w:line="320" w:lineRule="exact"/>
              <w:jc w:val="left"/>
              <w:rPr>
                <w:rFonts w:ascii="仿宋_GB2312" w:hAnsi="仿宋_GB2312" w:eastAsia="仿宋_GB2312" w:cs="仿宋_GB2312"/>
                <w:sz w:val="24"/>
              </w:rPr>
            </w:pPr>
            <w:r>
              <w:rPr>
                <w:rFonts w:hint="eastAsia" w:ascii="仿宋_GB2312" w:hAnsi="仿宋_GB2312" w:eastAsia="仿宋_GB2312" w:cs="仿宋_GB2312"/>
                <w:color w:val="000000"/>
                <w:sz w:val="24"/>
              </w:rPr>
              <w:t>局机关及二级机构汇总</w:t>
            </w:r>
          </w:p>
        </w:tc>
        <w:tc>
          <w:tcPr>
            <w:tcW w:w="1080" w:type="dxa"/>
            <w:tcBorders>
              <w:right w:val="single" w:color="auto" w:sz="4" w:space="0"/>
            </w:tcBorders>
            <w:vAlign w:val="center"/>
          </w:tcPr>
          <w:p w14:paraId="5C4847DA">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102.68</w:t>
            </w:r>
          </w:p>
        </w:tc>
        <w:tc>
          <w:tcPr>
            <w:tcW w:w="2435" w:type="dxa"/>
            <w:gridSpan w:val="4"/>
            <w:tcBorders>
              <w:left w:val="single" w:color="auto" w:sz="4" w:space="0"/>
            </w:tcBorders>
            <w:vAlign w:val="center"/>
          </w:tcPr>
          <w:p w14:paraId="0241264A">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102.68</w:t>
            </w:r>
          </w:p>
        </w:tc>
        <w:tc>
          <w:tcPr>
            <w:tcW w:w="3644" w:type="dxa"/>
            <w:gridSpan w:val="7"/>
            <w:vAlign w:val="center"/>
          </w:tcPr>
          <w:p w14:paraId="60E6F6D4">
            <w:pPr>
              <w:autoSpaceDN w:val="0"/>
              <w:spacing w:line="320" w:lineRule="exact"/>
              <w:jc w:val="center"/>
              <w:textAlignment w:val="center"/>
              <w:rPr>
                <w:rFonts w:ascii="仿宋_GB2312" w:hAnsi="仿宋_GB2312" w:eastAsia="仿宋_GB2312" w:cs="仿宋_GB2312"/>
                <w:color w:val="000000"/>
                <w:sz w:val="24"/>
              </w:rPr>
            </w:pPr>
          </w:p>
        </w:tc>
        <w:tc>
          <w:tcPr>
            <w:tcW w:w="941" w:type="dxa"/>
            <w:gridSpan w:val="2"/>
            <w:vAlign w:val="center"/>
          </w:tcPr>
          <w:p w14:paraId="0008CBF7">
            <w:pPr>
              <w:autoSpaceDN w:val="0"/>
              <w:spacing w:line="320" w:lineRule="exact"/>
              <w:jc w:val="center"/>
              <w:textAlignment w:val="center"/>
              <w:rPr>
                <w:rFonts w:ascii="仿宋_GB2312" w:hAnsi="仿宋_GB2312" w:eastAsia="仿宋_GB2312" w:cs="仿宋_GB2312"/>
                <w:color w:val="000000"/>
                <w:sz w:val="24"/>
              </w:rPr>
            </w:pPr>
          </w:p>
        </w:tc>
      </w:tr>
      <w:tr w14:paraId="2CD4F8C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667" w:type="dxa"/>
            <w:gridSpan w:val="3"/>
            <w:vAlign w:val="center"/>
          </w:tcPr>
          <w:p w14:paraId="152ADD27">
            <w:pPr>
              <w:spacing w:line="320" w:lineRule="exact"/>
              <w:jc w:val="left"/>
              <w:rPr>
                <w:rFonts w:ascii="仿宋_GB2312" w:hAnsi="仿宋_GB2312" w:eastAsia="仿宋_GB2312" w:cs="仿宋_GB2312"/>
                <w:sz w:val="24"/>
              </w:rPr>
            </w:pPr>
            <w:r>
              <w:rPr>
                <w:rFonts w:hint="eastAsia" w:ascii="仿宋_GB2312" w:hAnsi="仿宋_GB2312" w:eastAsia="仿宋_GB2312" w:cs="仿宋_GB2312"/>
                <w:sz w:val="24"/>
              </w:rPr>
              <w:t>1、局机关</w:t>
            </w:r>
          </w:p>
        </w:tc>
        <w:tc>
          <w:tcPr>
            <w:tcW w:w="1080" w:type="dxa"/>
            <w:tcBorders>
              <w:right w:val="single" w:color="auto" w:sz="4" w:space="0"/>
            </w:tcBorders>
            <w:vAlign w:val="center"/>
          </w:tcPr>
          <w:p w14:paraId="6CE02A80">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102.68</w:t>
            </w:r>
          </w:p>
        </w:tc>
        <w:tc>
          <w:tcPr>
            <w:tcW w:w="2435" w:type="dxa"/>
            <w:gridSpan w:val="4"/>
            <w:tcBorders>
              <w:left w:val="single" w:color="auto" w:sz="4" w:space="0"/>
            </w:tcBorders>
            <w:vAlign w:val="center"/>
          </w:tcPr>
          <w:p w14:paraId="7FFFD8E4">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102.68</w:t>
            </w:r>
          </w:p>
        </w:tc>
        <w:tc>
          <w:tcPr>
            <w:tcW w:w="3644" w:type="dxa"/>
            <w:gridSpan w:val="7"/>
            <w:vAlign w:val="center"/>
          </w:tcPr>
          <w:p w14:paraId="26FBD6D8">
            <w:pPr>
              <w:autoSpaceDN w:val="0"/>
              <w:spacing w:line="320" w:lineRule="exact"/>
              <w:jc w:val="center"/>
              <w:textAlignment w:val="center"/>
              <w:rPr>
                <w:rFonts w:ascii="仿宋_GB2312" w:hAnsi="仿宋_GB2312" w:eastAsia="仿宋_GB2312" w:cs="仿宋_GB2312"/>
                <w:color w:val="000000"/>
                <w:sz w:val="24"/>
              </w:rPr>
            </w:pPr>
          </w:p>
        </w:tc>
        <w:tc>
          <w:tcPr>
            <w:tcW w:w="941" w:type="dxa"/>
            <w:gridSpan w:val="2"/>
            <w:vAlign w:val="center"/>
          </w:tcPr>
          <w:p w14:paraId="59FDBD27">
            <w:pPr>
              <w:autoSpaceDN w:val="0"/>
              <w:spacing w:line="320" w:lineRule="exact"/>
              <w:jc w:val="center"/>
              <w:textAlignment w:val="center"/>
              <w:rPr>
                <w:rFonts w:ascii="仿宋_GB2312" w:hAnsi="仿宋_GB2312" w:eastAsia="仿宋_GB2312" w:cs="仿宋_GB2312"/>
                <w:color w:val="000000"/>
                <w:sz w:val="24"/>
              </w:rPr>
            </w:pPr>
          </w:p>
        </w:tc>
      </w:tr>
      <w:tr w14:paraId="4136A31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667" w:type="dxa"/>
            <w:gridSpan w:val="3"/>
            <w:vAlign w:val="center"/>
          </w:tcPr>
          <w:p w14:paraId="49DA4CAE">
            <w:pPr>
              <w:spacing w:line="320" w:lineRule="exact"/>
              <w:jc w:val="left"/>
              <w:rPr>
                <w:rFonts w:ascii="仿宋_GB2312" w:hAnsi="仿宋_GB2312" w:eastAsia="仿宋_GB2312" w:cs="仿宋_GB2312"/>
                <w:sz w:val="24"/>
              </w:rPr>
            </w:pPr>
            <w:r>
              <w:rPr>
                <w:rFonts w:hint="eastAsia" w:ascii="仿宋_GB2312" w:hAnsi="仿宋_GB2312" w:eastAsia="仿宋_GB2312" w:cs="仿宋_GB2312"/>
                <w:sz w:val="24"/>
              </w:rPr>
              <w:t>2、二级机构1</w:t>
            </w:r>
          </w:p>
        </w:tc>
        <w:tc>
          <w:tcPr>
            <w:tcW w:w="1080" w:type="dxa"/>
            <w:tcBorders>
              <w:right w:val="single" w:color="auto" w:sz="4" w:space="0"/>
            </w:tcBorders>
            <w:vAlign w:val="center"/>
          </w:tcPr>
          <w:p w14:paraId="03319216">
            <w:pPr>
              <w:autoSpaceDN w:val="0"/>
              <w:spacing w:line="320" w:lineRule="exact"/>
              <w:jc w:val="center"/>
              <w:textAlignment w:val="center"/>
              <w:rPr>
                <w:rFonts w:ascii="仿宋_GB2312" w:hAnsi="仿宋_GB2312" w:eastAsia="仿宋_GB2312" w:cs="仿宋_GB2312"/>
                <w:color w:val="000000"/>
                <w:sz w:val="24"/>
              </w:rPr>
            </w:pPr>
          </w:p>
        </w:tc>
        <w:tc>
          <w:tcPr>
            <w:tcW w:w="2435" w:type="dxa"/>
            <w:gridSpan w:val="4"/>
            <w:tcBorders>
              <w:left w:val="single" w:color="auto" w:sz="4" w:space="0"/>
            </w:tcBorders>
            <w:vAlign w:val="center"/>
          </w:tcPr>
          <w:p w14:paraId="6124CD2F">
            <w:pPr>
              <w:autoSpaceDN w:val="0"/>
              <w:spacing w:line="320" w:lineRule="exact"/>
              <w:jc w:val="center"/>
              <w:textAlignment w:val="center"/>
              <w:rPr>
                <w:rFonts w:ascii="仿宋_GB2312" w:hAnsi="仿宋_GB2312" w:eastAsia="仿宋_GB2312" w:cs="仿宋_GB2312"/>
                <w:color w:val="000000"/>
                <w:sz w:val="24"/>
              </w:rPr>
            </w:pPr>
          </w:p>
        </w:tc>
        <w:tc>
          <w:tcPr>
            <w:tcW w:w="3644" w:type="dxa"/>
            <w:gridSpan w:val="7"/>
            <w:vAlign w:val="center"/>
          </w:tcPr>
          <w:p w14:paraId="5A8A9AB7">
            <w:pPr>
              <w:autoSpaceDN w:val="0"/>
              <w:spacing w:line="320" w:lineRule="exact"/>
              <w:jc w:val="center"/>
              <w:textAlignment w:val="center"/>
              <w:rPr>
                <w:rFonts w:ascii="仿宋_GB2312" w:hAnsi="仿宋_GB2312" w:eastAsia="仿宋_GB2312" w:cs="仿宋_GB2312"/>
                <w:color w:val="000000"/>
                <w:sz w:val="24"/>
              </w:rPr>
            </w:pPr>
          </w:p>
        </w:tc>
        <w:tc>
          <w:tcPr>
            <w:tcW w:w="941" w:type="dxa"/>
            <w:gridSpan w:val="2"/>
            <w:vAlign w:val="center"/>
          </w:tcPr>
          <w:p w14:paraId="7560FBF5">
            <w:pPr>
              <w:autoSpaceDN w:val="0"/>
              <w:spacing w:line="320" w:lineRule="exact"/>
              <w:jc w:val="center"/>
              <w:textAlignment w:val="center"/>
              <w:rPr>
                <w:rFonts w:ascii="仿宋_GB2312" w:hAnsi="仿宋_GB2312" w:eastAsia="仿宋_GB2312" w:cs="仿宋_GB2312"/>
                <w:color w:val="000000"/>
                <w:sz w:val="24"/>
              </w:rPr>
            </w:pPr>
          </w:p>
        </w:tc>
      </w:tr>
      <w:tr w14:paraId="7663283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667" w:type="dxa"/>
            <w:gridSpan w:val="3"/>
            <w:vAlign w:val="center"/>
          </w:tcPr>
          <w:p w14:paraId="26C0CEB9">
            <w:pPr>
              <w:spacing w:line="320" w:lineRule="exact"/>
              <w:jc w:val="left"/>
              <w:rPr>
                <w:rFonts w:ascii="仿宋_GB2312" w:hAnsi="仿宋_GB2312" w:eastAsia="仿宋_GB2312" w:cs="仿宋_GB2312"/>
                <w:sz w:val="24"/>
              </w:rPr>
            </w:pPr>
            <w:r>
              <w:rPr>
                <w:rFonts w:hint="eastAsia" w:ascii="仿宋_GB2312" w:hAnsi="仿宋_GB2312" w:eastAsia="仿宋_GB2312" w:cs="仿宋_GB2312"/>
                <w:sz w:val="24"/>
              </w:rPr>
              <w:t>3、二级机构2</w:t>
            </w:r>
          </w:p>
        </w:tc>
        <w:tc>
          <w:tcPr>
            <w:tcW w:w="1080" w:type="dxa"/>
            <w:tcBorders>
              <w:right w:val="single" w:color="auto" w:sz="4" w:space="0"/>
            </w:tcBorders>
            <w:vAlign w:val="center"/>
          </w:tcPr>
          <w:p w14:paraId="086ADEDC">
            <w:pPr>
              <w:autoSpaceDN w:val="0"/>
              <w:spacing w:line="320" w:lineRule="exact"/>
              <w:jc w:val="center"/>
              <w:textAlignment w:val="center"/>
              <w:rPr>
                <w:rFonts w:ascii="仿宋_GB2312" w:hAnsi="仿宋_GB2312" w:eastAsia="仿宋_GB2312" w:cs="仿宋_GB2312"/>
                <w:color w:val="000000"/>
                <w:sz w:val="24"/>
              </w:rPr>
            </w:pPr>
          </w:p>
        </w:tc>
        <w:tc>
          <w:tcPr>
            <w:tcW w:w="2435" w:type="dxa"/>
            <w:gridSpan w:val="4"/>
            <w:tcBorders>
              <w:left w:val="single" w:color="auto" w:sz="4" w:space="0"/>
            </w:tcBorders>
            <w:vAlign w:val="center"/>
          </w:tcPr>
          <w:p w14:paraId="4F8CC5E4">
            <w:pPr>
              <w:autoSpaceDN w:val="0"/>
              <w:spacing w:line="320" w:lineRule="exact"/>
              <w:jc w:val="center"/>
              <w:textAlignment w:val="center"/>
              <w:rPr>
                <w:rFonts w:ascii="仿宋_GB2312" w:hAnsi="仿宋_GB2312" w:eastAsia="仿宋_GB2312" w:cs="仿宋_GB2312"/>
                <w:color w:val="000000"/>
                <w:sz w:val="24"/>
              </w:rPr>
            </w:pPr>
          </w:p>
        </w:tc>
        <w:tc>
          <w:tcPr>
            <w:tcW w:w="3644" w:type="dxa"/>
            <w:gridSpan w:val="7"/>
            <w:vAlign w:val="center"/>
          </w:tcPr>
          <w:p w14:paraId="4296C02D">
            <w:pPr>
              <w:autoSpaceDN w:val="0"/>
              <w:spacing w:line="320" w:lineRule="exact"/>
              <w:jc w:val="center"/>
              <w:textAlignment w:val="center"/>
              <w:rPr>
                <w:rFonts w:ascii="仿宋_GB2312" w:hAnsi="仿宋_GB2312" w:eastAsia="仿宋_GB2312" w:cs="仿宋_GB2312"/>
                <w:color w:val="000000"/>
                <w:sz w:val="24"/>
              </w:rPr>
            </w:pPr>
          </w:p>
        </w:tc>
        <w:tc>
          <w:tcPr>
            <w:tcW w:w="941" w:type="dxa"/>
            <w:gridSpan w:val="2"/>
            <w:vAlign w:val="center"/>
          </w:tcPr>
          <w:p w14:paraId="03D905C6">
            <w:pPr>
              <w:autoSpaceDN w:val="0"/>
              <w:spacing w:line="320" w:lineRule="exact"/>
              <w:jc w:val="center"/>
              <w:textAlignment w:val="center"/>
              <w:rPr>
                <w:rFonts w:ascii="仿宋_GB2312" w:hAnsi="仿宋_GB2312" w:eastAsia="仿宋_GB2312" w:cs="仿宋_GB2312"/>
                <w:color w:val="000000"/>
                <w:sz w:val="24"/>
              </w:rPr>
            </w:pPr>
          </w:p>
        </w:tc>
      </w:tr>
      <w:tr w14:paraId="2753C41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9767" w:type="dxa"/>
            <w:gridSpan w:val="17"/>
            <w:vAlign w:val="center"/>
          </w:tcPr>
          <w:p w14:paraId="69530693">
            <w:pPr>
              <w:autoSpaceDN w:val="0"/>
              <w:spacing w:line="320" w:lineRule="exact"/>
              <w:jc w:val="center"/>
              <w:textAlignment w:val="center"/>
              <w:rPr>
                <w:rFonts w:ascii="仿宋_GB2312" w:hAnsi="仿宋_GB2312" w:eastAsia="仿宋_GB2312" w:cs="仿宋_GB2312"/>
                <w:color w:val="000000"/>
                <w:sz w:val="24"/>
              </w:rPr>
            </w:pPr>
            <w:r>
              <w:rPr>
                <w:rFonts w:hint="eastAsia" w:ascii="黑体" w:hAnsi="黑体" w:eastAsia="黑体" w:cs="黑体"/>
                <w:color w:val="000000"/>
                <w:sz w:val="28"/>
                <w:szCs w:val="28"/>
              </w:rPr>
              <w:t>三、部门（单位）整体支出绩效自评情况</w:t>
            </w:r>
          </w:p>
        </w:tc>
      </w:tr>
      <w:tr w14:paraId="6707587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408" w:type="dxa"/>
            <w:vMerge w:val="restart"/>
            <w:vAlign w:val="center"/>
          </w:tcPr>
          <w:p w14:paraId="21CF5BF0">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整体支出绩效定性目标及实施计划完成情况</w:t>
            </w:r>
          </w:p>
        </w:tc>
        <w:tc>
          <w:tcPr>
            <w:tcW w:w="3774" w:type="dxa"/>
            <w:gridSpan w:val="7"/>
            <w:vAlign w:val="center"/>
          </w:tcPr>
          <w:p w14:paraId="21212B27">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预期目标</w:t>
            </w:r>
          </w:p>
        </w:tc>
        <w:tc>
          <w:tcPr>
            <w:tcW w:w="4585" w:type="dxa"/>
            <w:gridSpan w:val="9"/>
            <w:vAlign w:val="center"/>
          </w:tcPr>
          <w:p w14:paraId="6F2B17D0">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实际完成</w:t>
            </w:r>
          </w:p>
        </w:tc>
      </w:tr>
      <w:tr w14:paraId="6D229EE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1172" w:hRule="atLeast"/>
          <w:jc w:val="center"/>
        </w:trPr>
        <w:tc>
          <w:tcPr>
            <w:tcW w:w="1408" w:type="dxa"/>
            <w:vMerge w:val="continue"/>
            <w:vAlign w:val="center"/>
          </w:tcPr>
          <w:p w14:paraId="61A7EC20">
            <w:pPr>
              <w:spacing w:line="320" w:lineRule="exact"/>
              <w:rPr>
                <w:rFonts w:ascii="仿宋_GB2312" w:hAnsi="仿宋_GB2312" w:eastAsia="仿宋_GB2312" w:cs="仿宋_GB2312"/>
                <w:sz w:val="24"/>
              </w:rPr>
            </w:pPr>
          </w:p>
        </w:tc>
        <w:tc>
          <w:tcPr>
            <w:tcW w:w="3774" w:type="dxa"/>
            <w:gridSpan w:val="7"/>
            <w:vAlign w:val="center"/>
          </w:tcPr>
          <w:p w14:paraId="5DF40170">
            <w:pPr>
              <w:autoSpaceDN w:val="0"/>
              <w:spacing w:line="320" w:lineRule="exact"/>
              <w:textAlignment w:val="center"/>
              <w:rPr>
                <w:rFonts w:ascii="仿宋_GB2312" w:hAnsi="仿宋_GB2312" w:eastAsia="仿宋_GB2312" w:cs="仿宋_GB2312"/>
                <w:color w:val="000000"/>
                <w:spacing w:val="-20"/>
                <w:sz w:val="24"/>
              </w:rPr>
            </w:pPr>
            <w:r>
              <w:rPr>
                <w:rFonts w:hint="eastAsia" w:ascii="仿宋_GB2312" w:hAnsi="仿宋_GB2312" w:eastAsia="仿宋_GB2312" w:cs="仿宋_GB2312"/>
                <w:color w:val="000000"/>
                <w:spacing w:val="-20"/>
                <w:sz w:val="24"/>
              </w:rPr>
              <w:t>任务1:完成“十四五”规划编制年度任务</w:t>
            </w:r>
          </w:p>
          <w:p w14:paraId="4477A1AB">
            <w:pPr>
              <w:autoSpaceDN w:val="0"/>
              <w:spacing w:line="320" w:lineRule="exac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任务2:完成争项争资年度任务</w:t>
            </w:r>
          </w:p>
          <w:p w14:paraId="48EB5668">
            <w:pPr>
              <w:autoSpaceDN w:val="0"/>
              <w:spacing w:line="320" w:lineRule="exact"/>
              <w:textAlignment w:val="center"/>
              <w:rPr>
                <w:rFonts w:ascii="仿宋_GB2312" w:hAnsi="仿宋_GB2312" w:eastAsia="仿宋_GB2312" w:cs="仿宋_GB2312"/>
                <w:color w:val="000000"/>
                <w:spacing w:val="-28"/>
                <w:sz w:val="24"/>
              </w:rPr>
            </w:pPr>
            <w:r>
              <w:rPr>
                <w:rFonts w:hint="eastAsia" w:ascii="仿宋_GB2312" w:hAnsi="仿宋_GB2312" w:eastAsia="仿宋_GB2312" w:cs="仿宋_GB2312"/>
                <w:color w:val="000000"/>
                <w:spacing w:val="-28"/>
                <w:sz w:val="24"/>
              </w:rPr>
              <w:t>任务3:完成华容长江大保护项目年度建设任务</w:t>
            </w:r>
          </w:p>
          <w:p w14:paraId="43595EEB">
            <w:pPr>
              <w:autoSpaceDN w:val="0"/>
              <w:spacing w:line="320" w:lineRule="exac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任务4:完成固定资产投资年度目标</w:t>
            </w:r>
          </w:p>
          <w:p w14:paraId="359E8D55">
            <w:pPr>
              <w:autoSpaceDN w:val="0"/>
              <w:spacing w:line="320" w:lineRule="exact"/>
              <w:textAlignment w:val="center"/>
              <w:rPr>
                <w:rFonts w:ascii="仿宋_GB2312" w:hAnsi="仿宋_GB2312" w:eastAsia="仿宋_GB2312" w:cs="仿宋_GB2312"/>
                <w:color w:val="000000"/>
                <w:spacing w:val="-22"/>
                <w:sz w:val="24"/>
              </w:rPr>
            </w:pPr>
            <w:r>
              <w:rPr>
                <w:rFonts w:hint="eastAsia" w:ascii="仿宋_GB2312" w:hAnsi="仿宋_GB2312" w:eastAsia="仿宋_GB2312" w:cs="仿宋_GB2312"/>
                <w:color w:val="000000"/>
                <w:spacing w:val="-22"/>
                <w:sz w:val="24"/>
              </w:rPr>
              <w:t>任务5:完成智慧华容PPP项目年度建设任务</w:t>
            </w:r>
          </w:p>
          <w:p w14:paraId="51F930F9">
            <w:pPr>
              <w:autoSpaceDN w:val="0"/>
              <w:spacing w:line="320" w:lineRule="exac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任务6:完成易地扶贫搬迁年度任务</w:t>
            </w:r>
          </w:p>
          <w:p w14:paraId="30522BF1">
            <w:pPr>
              <w:autoSpaceDN w:val="0"/>
              <w:spacing w:line="320" w:lineRule="exact"/>
              <w:textAlignment w:val="center"/>
              <w:rPr>
                <w:rFonts w:ascii="仿宋_GB2312" w:hAnsi="仿宋_GB2312" w:eastAsia="仿宋_GB2312" w:cs="仿宋_GB2312"/>
                <w:color w:val="000000"/>
                <w:spacing w:val="-46"/>
                <w:sz w:val="24"/>
              </w:rPr>
            </w:pPr>
            <w:r>
              <w:rPr>
                <w:rFonts w:hint="eastAsia" w:ascii="仿宋_GB2312" w:hAnsi="仿宋_GB2312" w:eastAsia="仿宋_GB2312" w:cs="仿宋_GB2312"/>
                <w:color w:val="000000"/>
                <w:spacing w:val="-46"/>
                <w:sz w:val="24"/>
              </w:rPr>
              <w:t>任务7:完成经济和社会体制和事业单位公车年度改革任务</w:t>
            </w:r>
          </w:p>
          <w:p w14:paraId="54328C7C">
            <w:pPr>
              <w:autoSpaceDN w:val="0"/>
              <w:spacing w:line="320" w:lineRule="exact"/>
              <w:textAlignment w:val="center"/>
              <w:rPr>
                <w:rFonts w:ascii="仿宋_GB2312" w:hAnsi="仿宋_GB2312" w:eastAsia="仿宋_GB2312" w:cs="仿宋_GB2312"/>
                <w:color w:val="000000"/>
                <w:spacing w:val="-12"/>
                <w:sz w:val="24"/>
              </w:rPr>
            </w:pPr>
            <w:r>
              <w:rPr>
                <w:rFonts w:hint="eastAsia" w:ascii="仿宋_GB2312" w:hAnsi="仿宋_GB2312" w:eastAsia="仿宋_GB2312" w:cs="仿宋_GB2312"/>
                <w:color w:val="000000"/>
                <w:spacing w:val="-12"/>
                <w:sz w:val="24"/>
              </w:rPr>
              <w:t>任务8:完成年度成本调查和监测任务</w:t>
            </w:r>
          </w:p>
          <w:p w14:paraId="02AB36A9">
            <w:pPr>
              <w:autoSpaceDN w:val="0"/>
              <w:spacing w:line="320" w:lineRule="exact"/>
              <w:textAlignment w:val="center"/>
              <w:rPr>
                <w:rFonts w:ascii="仿宋_GB2312" w:hAnsi="仿宋_GB2312" w:eastAsia="仿宋_GB2312" w:cs="仿宋_GB2312"/>
                <w:color w:val="000000"/>
                <w:spacing w:val="-4"/>
                <w:sz w:val="24"/>
              </w:rPr>
            </w:pPr>
            <w:r>
              <w:rPr>
                <w:rFonts w:hint="eastAsia" w:ascii="仿宋_GB2312" w:hAnsi="仿宋_GB2312" w:eastAsia="仿宋_GB2312" w:cs="仿宋_GB2312"/>
                <w:color w:val="000000"/>
                <w:spacing w:val="-4"/>
                <w:sz w:val="24"/>
              </w:rPr>
              <w:t>任务9:按要求做好涉案物的鉴定工作</w:t>
            </w:r>
          </w:p>
          <w:p w14:paraId="1EF11225">
            <w:pPr>
              <w:autoSpaceDN w:val="0"/>
              <w:spacing w:line="320" w:lineRule="exac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任务10:完成上级交办的其他任务</w:t>
            </w:r>
          </w:p>
        </w:tc>
        <w:tc>
          <w:tcPr>
            <w:tcW w:w="4585" w:type="dxa"/>
            <w:gridSpan w:val="9"/>
            <w:vAlign w:val="center"/>
          </w:tcPr>
          <w:p w14:paraId="1B32D9C4">
            <w:pPr>
              <w:autoSpaceDN w:val="0"/>
              <w:spacing w:line="320" w:lineRule="exact"/>
              <w:textAlignment w:val="center"/>
              <w:rPr>
                <w:rFonts w:hint="eastAsia" w:ascii="仿宋_GB2312" w:hAnsi="仿宋_GB2312" w:eastAsia="仿宋_GB2312" w:cs="仿宋_GB2312"/>
                <w:color w:val="000000"/>
                <w:spacing w:val="-20"/>
                <w:sz w:val="24"/>
                <w:lang w:val="en-US" w:eastAsia="zh-CN"/>
              </w:rPr>
            </w:pPr>
            <w:r>
              <w:rPr>
                <w:rFonts w:hint="eastAsia" w:ascii="仿宋_GB2312" w:hAnsi="仿宋_GB2312" w:eastAsia="仿宋_GB2312" w:cs="仿宋_GB2312"/>
                <w:color w:val="000000"/>
                <w:sz w:val="24"/>
                <w:lang w:eastAsia="zh-CN"/>
              </w:rPr>
              <w:t>圆满完成“十四五”规划编制任务</w:t>
            </w:r>
          </w:p>
          <w:p w14:paraId="1271A83A">
            <w:pPr>
              <w:autoSpaceDN w:val="0"/>
              <w:spacing w:line="320" w:lineRule="exact"/>
              <w:textAlignment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lang w:eastAsia="zh-CN"/>
              </w:rPr>
              <w:t>超额完成年度争项争资任务</w:t>
            </w:r>
          </w:p>
          <w:p w14:paraId="217D0E7D">
            <w:pPr>
              <w:autoSpaceDN w:val="0"/>
              <w:spacing w:line="320" w:lineRule="exact"/>
              <w:textAlignment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lang w:eastAsia="zh-CN"/>
              </w:rPr>
              <w:t>完成华容长江大保护年度项目任务</w:t>
            </w:r>
          </w:p>
          <w:p w14:paraId="03217586">
            <w:pPr>
              <w:autoSpaceDN w:val="0"/>
              <w:spacing w:line="320" w:lineRule="exact"/>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eastAsia="zh-CN"/>
              </w:rPr>
              <w:t>超额完成固定资产投资年度任务</w:t>
            </w:r>
          </w:p>
          <w:p w14:paraId="4A28B848">
            <w:pPr>
              <w:autoSpaceDN w:val="0"/>
              <w:spacing w:line="320" w:lineRule="exact"/>
              <w:textAlignment w:val="center"/>
              <w:rPr>
                <w:rFonts w:hint="eastAsia" w:ascii="仿宋_GB2312" w:hAnsi="仿宋_GB2312" w:eastAsia="仿宋_GB2312" w:cs="仿宋_GB2312"/>
                <w:color w:val="000000"/>
                <w:spacing w:val="-22"/>
                <w:sz w:val="24"/>
                <w:lang w:eastAsia="zh-CN"/>
              </w:rPr>
            </w:pPr>
            <w:r>
              <w:rPr>
                <w:rFonts w:hint="eastAsia" w:ascii="仿宋_GB2312" w:hAnsi="仿宋_GB2312" w:eastAsia="仿宋_GB2312" w:cs="仿宋_GB2312"/>
                <w:color w:val="000000"/>
                <w:spacing w:val="-22"/>
                <w:sz w:val="24"/>
                <w:lang w:eastAsia="zh-CN"/>
              </w:rPr>
              <w:t>完成智慧华容项目年度目标任务</w:t>
            </w:r>
          </w:p>
          <w:p w14:paraId="4132A488">
            <w:pPr>
              <w:autoSpaceDN w:val="0"/>
              <w:spacing w:line="320" w:lineRule="exact"/>
              <w:textAlignment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lang w:eastAsia="zh-CN"/>
              </w:rPr>
              <w:t>完成易地扶贫搬迁年度目标任务</w:t>
            </w:r>
          </w:p>
          <w:p w14:paraId="666ACECE">
            <w:pPr>
              <w:autoSpaceDN w:val="0"/>
              <w:spacing w:line="320" w:lineRule="exact"/>
              <w:textAlignment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lang w:eastAsia="zh-CN"/>
              </w:rPr>
              <w:t>完成年度经济和社会体制改革任务</w:t>
            </w:r>
          </w:p>
          <w:p w14:paraId="05BC9E6B">
            <w:pPr>
              <w:autoSpaceDN w:val="0"/>
              <w:spacing w:line="320" w:lineRule="exact"/>
              <w:textAlignment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rPr>
              <w:t>任</w:t>
            </w:r>
            <w:r>
              <w:rPr>
                <w:rFonts w:hint="eastAsia" w:ascii="仿宋_GB2312" w:hAnsi="仿宋_GB2312" w:eastAsia="仿宋_GB2312" w:cs="仿宋_GB2312"/>
                <w:color w:val="000000"/>
                <w:sz w:val="24"/>
                <w:lang w:eastAsia="zh-CN"/>
              </w:rPr>
              <w:t>完成年度成本调查和监测任务</w:t>
            </w:r>
          </w:p>
          <w:p w14:paraId="159F7128">
            <w:pPr>
              <w:autoSpaceDN w:val="0"/>
              <w:spacing w:line="320" w:lineRule="exact"/>
              <w:textAlignment w:val="center"/>
              <w:rPr>
                <w:rFonts w:hint="eastAsia" w:ascii="仿宋_GB2312" w:hAnsi="仿宋_GB2312" w:eastAsia="仿宋_GB2312" w:cs="仿宋_GB2312"/>
                <w:color w:val="000000"/>
                <w:spacing w:val="-4"/>
                <w:sz w:val="24"/>
                <w:lang w:eastAsia="zh-CN"/>
              </w:rPr>
            </w:pPr>
            <w:r>
              <w:rPr>
                <w:rFonts w:hint="eastAsia" w:ascii="仿宋_GB2312" w:hAnsi="仿宋_GB2312" w:eastAsia="仿宋_GB2312" w:cs="仿宋_GB2312"/>
                <w:color w:val="000000"/>
                <w:spacing w:val="-4"/>
                <w:sz w:val="24"/>
                <w:lang w:eastAsia="zh-CN"/>
              </w:rPr>
              <w:t>完成年度涉案物认证工作</w:t>
            </w:r>
          </w:p>
          <w:p w14:paraId="7705E39D">
            <w:pPr>
              <w:autoSpaceDN w:val="0"/>
              <w:spacing w:line="320" w:lineRule="exact"/>
              <w:textAlignment w:val="center"/>
              <w:rPr>
                <w:rFonts w:hint="eastAsia" w:ascii="仿宋_GB2312" w:hAnsi="仿宋_GB2312" w:eastAsia="仿宋_GB2312" w:cs="仿宋_GB2312"/>
                <w:color w:val="000000"/>
                <w:spacing w:val="-4"/>
                <w:sz w:val="24"/>
                <w:lang w:eastAsia="zh-CN"/>
              </w:rPr>
            </w:pPr>
            <w:r>
              <w:rPr>
                <w:rFonts w:hint="eastAsia" w:ascii="仿宋_GB2312" w:hAnsi="仿宋_GB2312" w:eastAsia="仿宋_GB2312" w:cs="仿宋_GB2312"/>
                <w:color w:val="000000"/>
                <w:sz w:val="24"/>
                <w:lang w:eastAsia="zh-CN"/>
              </w:rPr>
              <w:t>完成县委、县政府交办的其他任务</w:t>
            </w:r>
          </w:p>
        </w:tc>
      </w:tr>
      <w:tr w14:paraId="380C804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408" w:type="dxa"/>
            <w:vMerge w:val="restart"/>
            <w:vAlign w:val="center"/>
          </w:tcPr>
          <w:p w14:paraId="39959838">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整体支出</w:t>
            </w:r>
          </w:p>
          <w:p w14:paraId="11629AEE">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绩效定量目标及实施计划完成情况</w:t>
            </w:r>
          </w:p>
        </w:tc>
        <w:tc>
          <w:tcPr>
            <w:tcW w:w="2966" w:type="dxa"/>
            <w:gridSpan w:val="6"/>
            <w:vAlign w:val="center"/>
          </w:tcPr>
          <w:p w14:paraId="61C2E1F6">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评价内容</w:t>
            </w:r>
          </w:p>
        </w:tc>
        <w:tc>
          <w:tcPr>
            <w:tcW w:w="2709" w:type="dxa"/>
            <w:gridSpan w:val="4"/>
            <w:vAlign w:val="center"/>
          </w:tcPr>
          <w:p w14:paraId="4718F60B">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绩效目标</w:t>
            </w:r>
          </w:p>
        </w:tc>
        <w:tc>
          <w:tcPr>
            <w:tcW w:w="2684" w:type="dxa"/>
            <w:gridSpan w:val="6"/>
            <w:vAlign w:val="center"/>
          </w:tcPr>
          <w:p w14:paraId="282D67AF">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完成情况</w:t>
            </w:r>
          </w:p>
        </w:tc>
      </w:tr>
      <w:tr w14:paraId="5A41DFF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08" w:type="dxa"/>
            <w:vMerge w:val="continue"/>
            <w:vAlign w:val="center"/>
          </w:tcPr>
          <w:p w14:paraId="66957B7F">
            <w:pPr>
              <w:spacing w:line="320" w:lineRule="exact"/>
              <w:rPr>
                <w:rFonts w:ascii="仿宋_GB2312" w:hAnsi="仿宋_GB2312" w:eastAsia="仿宋_GB2312" w:cs="仿宋_GB2312"/>
                <w:sz w:val="24"/>
              </w:rPr>
            </w:pPr>
          </w:p>
        </w:tc>
        <w:tc>
          <w:tcPr>
            <w:tcW w:w="1549" w:type="dxa"/>
            <w:gridSpan w:val="4"/>
            <w:vMerge w:val="restart"/>
            <w:vAlign w:val="center"/>
          </w:tcPr>
          <w:p w14:paraId="2DA9514A">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产出目标</w:t>
            </w:r>
          </w:p>
          <w:p w14:paraId="66CA33B1">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（部门工作实绩，包含上级部门和县委县政府布置的重点工作、实事任务等，根据部门实际进行调整细化）</w:t>
            </w:r>
          </w:p>
        </w:tc>
        <w:tc>
          <w:tcPr>
            <w:tcW w:w="1417" w:type="dxa"/>
            <w:gridSpan w:val="2"/>
            <w:vMerge w:val="restart"/>
            <w:vAlign w:val="center"/>
          </w:tcPr>
          <w:p w14:paraId="74102A94">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质量指标</w:t>
            </w:r>
          </w:p>
        </w:tc>
        <w:tc>
          <w:tcPr>
            <w:tcW w:w="2709" w:type="dxa"/>
            <w:gridSpan w:val="4"/>
            <w:vAlign w:val="center"/>
          </w:tcPr>
          <w:p w14:paraId="4C8E9D5A">
            <w:pPr>
              <w:autoSpaceDN w:val="0"/>
              <w:spacing w:line="320" w:lineRule="exact"/>
              <w:ind w:left="960" w:hanging="960" w:hangingChars="400"/>
              <w:jc w:val="left"/>
              <w:textAlignment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rPr>
              <w:t>指标1：</w:t>
            </w:r>
            <w:r>
              <w:rPr>
                <w:rFonts w:hint="eastAsia" w:ascii="仿宋_GB2312" w:hAnsi="仿宋_GB2312" w:eastAsia="仿宋_GB2312" w:cs="仿宋_GB2312"/>
                <w:color w:val="000000"/>
                <w:sz w:val="24"/>
                <w:lang w:eastAsia="zh-CN"/>
              </w:rPr>
              <w:t>全县争项争资全市第二</w:t>
            </w:r>
          </w:p>
        </w:tc>
        <w:tc>
          <w:tcPr>
            <w:tcW w:w="2684" w:type="dxa"/>
            <w:gridSpan w:val="6"/>
            <w:vAlign w:val="center"/>
          </w:tcPr>
          <w:p w14:paraId="465AEC81">
            <w:pPr>
              <w:autoSpaceDN w:val="0"/>
              <w:spacing w:line="320" w:lineRule="exact"/>
              <w:jc w:val="center"/>
              <w:textAlignment w:val="center"/>
              <w:rPr>
                <w:rFonts w:hint="eastAsia" w:ascii="仿宋_GB2312" w:hAnsi="仿宋_GB2312" w:eastAsia="仿宋_GB2312" w:cs="仿宋_GB2312"/>
                <w:b w:val="0"/>
                <w:bCs/>
                <w:color w:val="000000"/>
                <w:sz w:val="24"/>
                <w:lang w:eastAsia="zh-CN"/>
              </w:rPr>
            </w:pPr>
            <w:r>
              <w:rPr>
                <w:rFonts w:hint="eastAsia" w:ascii="仿宋_GB2312" w:hAnsi="仿宋_GB2312" w:eastAsia="仿宋_GB2312" w:cs="仿宋_GB2312"/>
                <w:b w:val="0"/>
                <w:bCs/>
                <w:color w:val="000000"/>
                <w:sz w:val="24"/>
                <w:lang w:eastAsia="zh-CN"/>
              </w:rPr>
              <w:t>超额完成</w:t>
            </w:r>
          </w:p>
        </w:tc>
      </w:tr>
      <w:tr w14:paraId="12E73DC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08" w:type="dxa"/>
            <w:vMerge w:val="continue"/>
            <w:vAlign w:val="center"/>
          </w:tcPr>
          <w:p w14:paraId="3BDABCF0">
            <w:pPr>
              <w:spacing w:line="320" w:lineRule="exact"/>
              <w:rPr>
                <w:rFonts w:ascii="仿宋_GB2312" w:hAnsi="仿宋_GB2312" w:eastAsia="仿宋_GB2312" w:cs="仿宋_GB2312"/>
                <w:sz w:val="24"/>
              </w:rPr>
            </w:pPr>
          </w:p>
        </w:tc>
        <w:tc>
          <w:tcPr>
            <w:tcW w:w="1549" w:type="dxa"/>
            <w:gridSpan w:val="4"/>
            <w:vMerge w:val="continue"/>
            <w:vAlign w:val="center"/>
          </w:tcPr>
          <w:p w14:paraId="494355E3">
            <w:pPr>
              <w:autoSpaceDN w:val="0"/>
              <w:spacing w:line="320" w:lineRule="exact"/>
              <w:rPr>
                <w:rFonts w:ascii="仿宋_GB2312" w:hAnsi="仿宋_GB2312" w:eastAsia="仿宋_GB2312" w:cs="仿宋_GB2312"/>
                <w:sz w:val="24"/>
              </w:rPr>
            </w:pPr>
          </w:p>
        </w:tc>
        <w:tc>
          <w:tcPr>
            <w:tcW w:w="1417" w:type="dxa"/>
            <w:gridSpan w:val="2"/>
            <w:vMerge w:val="continue"/>
            <w:vAlign w:val="center"/>
          </w:tcPr>
          <w:p w14:paraId="4B63F154">
            <w:pPr>
              <w:spacing w:line="320" w:lineRule="exact"/>
              <w:rPr>
                <w:rFonts w:ascii="仿宋_GB2312" w:hAnsi="仿宋_GB2312" w:eastAsia="仿宋_GB2312" w:cs="仿宋_GB2312"/>
                <w:sz w:val="24"/>
              </w:rPr>
            </w:pPr>
          </w:p>
        </w:tc>
        <w:tc>
          <w:tcPr>
            <w:tcW w:w="2709" w:type="dxa"/>
            <w:gridSpan w:val="4"/>
            <w:vAlign w:val="center"/>
          </w:tcPr>
          <w:p w14:paraId="1932900B">
            <w:pPr>
              <w:autoSpaceDN w:val="0"/>
              <w:spacing w:line="320" w:lineRule="exact"/>
              <w:ind w:left="960" w:hanging="960" w:hangingChars="400"/>
              <w:jc w:val="left"/>
              <w:textAlignment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rPr>
              <w:t>指标2：</w:t>
            </w:r>
            <w:r>
              <w:rPr>
                <w:rFonts w:hint="eastAsia" w:ascii="仿宋_GB2312" w:hAnsi="仿宋_GB2312" w:eastAsia="仿宋_GB2312" w:cs="仿宋_GB2312"/>
                <w:color w:val="000000"/>
                <w:sz w:val="24"/>
                <w:lang w:eastAsia="zh-CN"/>
              </w:rPr>
              <w:t>发改系统争项争资全市第二</w:t>
            </w:r>
          </w:p>
        </w:tc>
        <w:tc>
          <w:tcPr>
            <w:tcW w:w="2684" w:type="dxa"/>
            <w:gridSpan w:val="6"/>
            <w:vAlign w:val="center"/>
          </w:tcPr>
          <w:p w14:paraId="2987D6E7">
            <w:pPr>
              <w:autoSpaceDN w:val="0"/>
              <w:spacing w:line="320" w:lineRule="exact"/>
              <w:jc w:val="center"/>
              <w:textAlignment w:val="center"/>
              <w:rPr>
                <w:rFonts w:hint="eastAsia" w:ascii="仿宋_GB2312" w:hAnsi="仿宋_GB2312" w:eastAsia="仿宋_GB2312" w:cs="仿宋_GB2312"/>
                <w:b w:val="0"/>
                <w:bCs/>
                <w:color w:val="000000"/>
                <w:sz w:val="24"/>
                <w:lang w:eastAsia="zh-CN"/>
              </w:rPr>
            </w:pPr>
            <w:r>
              <w:rPr>
                <w:rFonts w:hint="eastAsia" w:ascii="仿宋_GB2312" w:hAnsi="仿宋_GB2312" w:eastAsia="仿宋_GB2312" w:cs="仿宋_GB2312"/>
                <w:b w:val="0"/>
                <w:bCs/>
                <w:color w:val="000000"/>
                <w:sz w:val="24"/>
                <w:lang w:eastAsia="zh-CN"/>
              </w:rPr>
              <w:t>超额完成目标任务</w:t>
            </w:r>
          </w:p>
        </w:tc>
      </w:tr>
      <w:tr w14:paraId="22BB0C7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08" w:type="dxa"/>
            <w:vMerge w:val="continue"/>
            <w:vAlign w:val="center"/>
          </w:tcPr>
          <w:p w14:paraId="44483880">
            <w:pPr>
              <w:spacing w:line="320" w:lineRule="exact"/>
              <w:rPr>
                <w:rFonts w:ascii="仿宋_GB2312" w:hAnsi="仿宋_GB2312" w:eastAsia="仿宋_GB2312" w:cs="仿宋_GB2312"/>
                <w:sz w:val="24"/>
              </w:rPr>
            </w:pPr>
          </w:p>
        </w:tc>
        <w:tc>
          <w:tcPr>
            <w:tcW w:w="1549" w:type="dxa"/>
            <w:gridSpan w:val="4"/>
            <w:vMerge w:val="continue"/>
            <w:vAlign w:val="center"/>
          </w:tcPr>
          <w:p w14:paraId="51784F63">
            <w:pPr>
              <w:autoSpaceDN w:val="0"/>
              <w:spacing w:line="320" w:lineRule="exact"/>
              <w:rPr>
                <w:rFonts w:ascii="仿宋_GB2312" w:hAnsi="仿宋_GB2312" w:eastAsia="仿宋_GB2312" w:cs="仿宋_GB2312"/>
                <w:sz w:val="24"/>
              </w:rPr>
            </w:pPr>
          </w:p>
        </w:tc>
        <w:tc>
          <w:tcPr>
            <w:tcW w:w="1417" w:type="dxa"/>
            <w:gridSpan w:val="2"/>
            <w:vMerge w:val="restart"/>
            <w:vAlign w:val="center"/>
          </w:tcPr>
          <w:p w14:paraId="38B054C0">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数量指标</w:t>
            </w:r>
          </w:p>
        </w:tc>
        <w:tc>
          <w:tcPr>
            <w:tcW w:w="2709" w:type="dxa"/>
            <w:gridSpan w:val="4"/>
            <w:vAlign w:val="center"/>
          </w:tcPr>
          <w:p w14:paraId="1F2CE240">
            <w:pPr>
              <w:autoSpaceDN w:val="0"/>
              <w:spacing w:line="320" w:lineRule="exact"/>
              <w:jc w:val="left"/>
              <w:textAlignment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rPr>
              <w:t>指标1：</w:t>
            </w:r>
            <w:r>
              <w:rPr>
                <w:rFonts w:hint="eastAsia" w:ascii="仿宋_GB2312" w:hAnsi="仿宋_GB2312" w:eastAsia="仿宋_GB2312" w:cs="仿宋_GB2312"/>
                <w:color w:val="000000"/>
                <w:sz w:val="24"/>
                <w:lang w:eastAsia="zh-CN"/>
              </w:rPr>
              <w:t>地区生产总值增幅</w:t>
            </w:r>
          </w:p>
        </w:tc>
        <w:tc>
          <w:tcPr>
            <w:tcW w:w="2684" w:type="dxa"/>
            <w:gridSpan w:val="6"/>
            <w:vAlign w:val="center"/>
          </w:tcPr>
          <w:p w14:paraId="58240C94">
            <w:pPr>
              <w:autoSpaceDN w:val="0"/>
              <w:spacing w:line="320" w:lineRule="exact"/>
              <w:jc w:val="center"/>
              <w:textAlignment w:val="center"/>
              <w:rPr>
                <w:rFonts w:hint="eastAsia" w:ascii="仿宋_GB2312" w:hAnsi="仿宋_GB2312" w:eastAsia="仿宋_GB2312" w:cs="仿宋_GB2312"/>
                <w:b w:val="0"/>
                <w:bCs/>
                <w:color w:val="000000"/>
                <w:sz w:val="24"/>
                <w:lang w:eastAsia="zh-CN"/>
              </w:rPr>
            </w:pPr>
            <w:r>
              <w:rPr>
                <w:rFonts w:hint="eastAsia" w:ascii="仿宋_GB2312" w:hAnsi="仿宋_GB2312" w:eastAsia="仿宋_GB2312" w:cs="仿宋_GB2312"/>
                <w:b w:val="0"/>
                <w:bCs/>
                <w:color w:val="000000"/>
                <w:sz w:val="24"/>
                <w:lang w:eastAsia="zh-CN"/>
              </w:rPr>
              <w:t>完成预期目标任务</w:t>
            </w:r>
          </w:p>
        </w:tc>
      </w:tr>
      <w:tr w14:paraId="2331BBE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61" w:hRule="atLeast"/>
          <w:jc w:val="center"/>
        </w:trPr>
        <w:tc>
          <w:tcPr>
            <w:tcW w:w="1408" w:type="dxa"/>
            <w:vMerge w:val="continue"/>
            <w:vAlign w:val="center"/>
          </w:tcPr>
          <w:p w14:paraId="10C117EF">
            <w:pPr>
              <w:spacing w:line="320" w:lineRule="exact"/>
              <w:rPr>
                <w:rFonts w:ascii="仿宋_GB2312" w:hAnsi="仿宋_GB2312" w:eastAsia="仿宋_GB2312" w:cs="仿宋_GB2312"/>
                <w:sz w:val="24"/>
              </w:rPr>
            </w:pPr>
          </w:p>
        </w:tc>
        <w:tc>
          <w:tcPr>
            <w:tcW w:w="1549" w:type="dxa"/>
            <w:gridSpan w:val="4"/>
            <w:vMerge w:val="continue"/>
            <w:vAlign w:val="center"/>
          </w:tcPr>
          <w:p w14:paraId="21CCEFB4">
            <w:pPr>
              <w:autoSpaceDN w:val="0"/>
              <w:spacing w:line="320" w:lineRule="exact"/>
              <w:rPr>
                <w:rFonts w:ascii="仿宋_GB2312" w:hAnsi="仿宋_GB2312" w:eastAsia="仿宋_GB2312" w:cs="仿宋_GB2312"/>
                <w:sz w:val="24"/>
              </w:rPr>
            </w:pPr>
          </w:p>
        </w:tc>
        <w:tc>
          <w:tcPr>
            <w:tcW w:w="1417" w:type="dxa"/>
            <w:gridSpan w:val="2"/>
            <w:vMerge w:val="continue"/>
            <w:vAlign w:val="center"/>
          </w:tcPr>
          <w:p w14:paraId="0BEE1630">
            <w:pPr>
              <w:autoSpaceDN w:val="0"/>
              <w:spacing w:line="320" w:lineRule="exact"/>
              <w:jc w:val="center"/>
              <w:textAlignment w:val="center"/>
              <w:rPr>
                <w:rFonts w:ascii="仿宋_GB2312" w:hAnsi="仿宋_GB2312" w:eastAsia="仿宋_GB2312" w:cs="仿宋_GB2312"/>
                <w:sz w:val="24"/>
              </w:rPr>
            </w:pPr>
          </w:p>
        </w:tc>
        <w:tc>
          <w:tcPr>
            <w:tcW w:w="2709" w:type="dxa"/>
            <w:gridSpan w:val="4"/>
            <w:vAlign w:val="center"/>
          </w:tcPr>
          <w:p w14:paraId="496AF526">
            <w:pPr>
              <w:autoSpaceDN w:val="0"/>
              <w:spacing w:line="320" w:lineRule="exact"/>
              <w:jc w:val="left"/>
              <w:textAlignment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rPr>
              <w:t>指标2：</w:t>
            </w:r>
            <w:r>
              <w:rPr>
                <w:rFonts w:hint="eastAsia" w:ascii="仿宋_GB2312" w:hAnsi="仿宋_GB2312" w:eastAsia="仿宋_GB2312" w:cs="仿宋_GB2312"/>
                <w:color w:val="000000"/>
                <w:sz w:val="24"/>
                <w:lang w:eastAsia="zh-CN"/>
              </w:rPr>
              <w:t>固定资产投资增幅</w:t>
            </w:r>
          </w:p>
        </w:tc>
        <w:tc>
          <w:tcPr>
            <w:tcW w:w="2684" w:type="dxa"/>
            <w:gridSpan w:val="6"/>
            <w:vAlign w:val="center"/>
          </w:tcPr>
          <w:p w14:paraId="6EA0086F">
            <w:pPr>
              <w:autoSpaceDN w:val="0"/>
              <w:spacing w:line="320" w:lineRule="exact"/>
              <w:jc w:val="center"/>
              <w:textAlignment w:val="center"/>
              <w:rPr>
                <w:rFonts w:ascii="仿宋_GB2312" w:hAnsi="仿宋_GB2312" w:eastAsia="仿宋_GB2312" w:cs="仿宋_GB2312"/>
                <w:b w:val="0"/>
                <w:bCs/>
                <w:color w:val="000000"/>
                <w:sz w:val="24"/>
              </w:rPr>
            </w:pPr>
            <w:r>
              <w:rPr>
                <w:rFonts w:hint="eastAsia" w:ascii="仿宋_GB2312" w:hAnsi="仿宋_GB2312" w:eastAsia="仿宋_GB2312" w:cs="仿宋_GB2312"/>
                <w:b w:val="0"/>
                <w:bCs/>
                <w:color w:val="000000"/>
                <w:sz w:val="24"/>
                <w:lang w:eastAsia="zh-CN"/>
              </w:rPr>
              <w:t>超额完成预期目标任务</w:t>
            </w:r>
          </w:p>
        </w:tc>
      </w:tr>
      <w:tr w14:paraId="0B9C2DF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61" w:hRule="atLeast"/>
          <w:jc w:val="center"/>
        </w:trPr>
        <w:tc>
          <w:tcPr>
            <w:tcW w:w="1408" w:type="dxa"/>
            <w:vMerge w:val="continue"/>
            <w:vAlign w:val="center"/>
          </w:tcPr>
          <w:p w14:paraId="5D29DCC9">
            <w:pPr>
              <w:spacing w:line="320" w:lineRule="exact"/>
              <w:rPr>
                <w:rFonts w:ascii="仿宋_GB2312" w:hAnsi="仿宋_GB2312" w:eastAsia="仿宋_GB2312" w:cs="仿宋_GB2312"/>
                <w:sz w:val="24"/>
              </w:rPr>
            </w:pPr>
          </w:p>
        </w:tc>
        <w:tc>
          <w:tcPr>
            <w:tcW w:w="1549" w:type="dxa"/>
            <w:gridSpan w:val="4"/>
            <w:vMerge w:val="continue"/>
            <w:vAlign w:val="center"/>
          </w:tcPr>
          <w:p w14:paraId="7F4CBB52">
            <w:pPr>
              <w:autoSpaceDN w:val="0"/>
              <w:spacing w:line="320" w:lineRule="exact"/>
              <w:rPr>
                <w:rFonts w:ascii="仿宋_GB2312" w:hAnsi="仿宋_GB2312" w:eastAsia="仿宋_GB2312" w:cs="仿宋_GB2312"/>
                <w:sz w:val="24"/>
              </w:rPr>
            </w:pPr>
          </w:p>
        </w:tc>
        <w:tc>
          <w:tcPr>
            <w:tcW w:w="1417" w:type="dxa"/>
            <w:gridSpan w:val="2"/>
            <w:vMerge w:val="continue"/>
            <w:vAlign w:val="center"/>
          </w:tcPr>
          <w:p w14:paraId="70764D68">
            <w:pPr>
              <w:autoSpaceDN w:val="0"/>
              <w:spacing w:line="320" w:lineRule="exact"/>
              <w:jc w:val="center"/>
              <w:textAlignment w:val="center"/>
              <w:rPr>
                <w:rFonts w:ascii="仿宋_GB2312" w:hAnsi="仿宋_GB2312" w:eastAsia="仿宋_GB2312" w:cs="仿宋_GB2312"/>
                <w:sz w:val="24"/>
              </w:rPr>
            </w:pPr>
          </w:p>
        </w:tc>
        <w:tc>
          <w:tcPr>
            <w:tcW w:w="2709" w:type="dxa"/>
            <w:gridSpan w:val="4"/>
            <w:vAlign w:val="center"/>
          </w:tcPr>
          <w:p w14:paraId="03E43923">
            <w:pPr>
              <w:autoSpaceDN w:val="0"/>
              <w:spacing w:line="320" w:lineRule="exact"/>
              <w:jc w:val="left"/>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eastAsia="zh-CN"/>
              </w:rPr>
              <w:t>指标</w:t>
            </w:r>
            <w:r>
              <w:rPr>
                <w:rFonts w:hint="eastAsia" w:ascii="仿宋_GB2312" w:hAnsi="仿宋_GB2312" w:eastAsia="仿宋_GB2312" w:cs="仿宋_GB2312"/>
                <w:color w:val="000000"/>
                <w:sz w:val="24"/>
                <w:lang w:val="en-US" w:eastAsia="zh-CN"/>
              </w:rPr>
              <w:t>3：城镇居民收入增幅</w:t>
            </w:r>
          </w:p>
        </w:tc>
        <w:tc>
          <w:tcPr>
            <w:tcW w:w="2684" w:type="dxa"/>
            <w:gridSpan w:val="6"/>
            <w:vAlign w:val="center"/>
          </w:tcPr>
          <w:p w14:paraId="39B03EAE">
            <w:pPr>
              <w:autoSpaceDN w:val="0"/>
              <w:spacing w:line="320" w:lineRule="exact"/>
              <w:jc w:val="center"/>
              <w:textAlignment w:val="center"/>
              <w:rPr>
                <w:rFonts w:ascii="仿宋_GB2312" w:hAnsi="仿宋_GB2312" w:eastAsia="仿宋_GB2312" w:cs="仿宋_GB2312"/>
                <w:b w:val="0"/>
                <w:bCs/>
                <w:color w:val="000000"/>
                <w:sz w:val="24"/>
              </w:rPr>
            </w:pPr>
            <w:r>
              <w:rPr>
                <w:rFonts w:hint="eastAsia" w:ascii="仿宋_GB2312" w:hAnsi="仿宋_GB2312" w:eastAsia="仿宋_GB2312" w:cs="仿宋_GB2312"/>
                <w:b w:val="0"/>
                <w:bCs/>
                <w:color w:val="000000"/>
                <w:sz w:val="24"/>
                <w:lang w:eastAsia="zh-CN"/>
              </w:rPr>
              <w:t>超额完成预期目标任务</w:t>
            </w:r>
          </w:p>
        </w:tc>
      </w:tr>
      <w:tr w14:paraId="3409B83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08" w:type="dxa"/>
            <w:vMerge w:val="continue"/>
            <w:vAlign w:val="center"/>
          </w:tcPr>
          <w:p w14:paraId="0E26C843">
            <w:pPr>
              <w:spacing w:line="320" w:lineRule="exact"/>
              <w:rPr>
                <w:rFonts w:ascii="仿宋_GB2312" w:hAnsi="仿宋_GB2312" w:eastAsia="仿宋_GB2312" w:cs="仿宋_GB2312"/>
                <w:sz w:val="24"/>
              </w:rPr>
            </w:pPr>
          </w:p>
        </w:tc>
        <w:tc>
          <w:tcPr>
            <w:tcW w:w="1549" w:type="dxa"/>
            <w:gridSpan w:val="4"/>
            <w:vMerge w:val="continue"/>
            <w:vAlign w:val="center"/>
          </w:tcPr>
          <w:p w14:paraId="3F4DB065">
            <w:pPr>
              <w:autoSpaceDN w:val="0"/>
              <w:spacing w:line="320" w:lineRule="exact"/>
              <w:rPr>
                <w:rFonts w:ascii="仿宋_GB2312" w:hAnsi="仿宋_GB2312" w:eastAsia="仿宋_GB2312" w:cs="仿宋_GB2312"/>
                <w:sz w:val="24"/>
              </w:rPr>
            </w:pPr>
          </w:p>
        </w:tc>
        <w:tc>
          <w:tcPr>
            <w:tcW w:w="1417" w:type="dxa"/>
            <w:gridSpan w:val="2"/>
            <w:vMerge w:val="restart"/>
            <w:vAlign w:val="center"/>
          </w:tcPr>
          <w:p w14:paraId="46B612CF">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时效指标</w:t>
            </w:r>
          </w:p>
        </w:tc>
        <w:tc>
          <w:tcPr>
            <w:tcW w:w="2709" w:type="dxa"/>
            <w:gridSpan w:val="4"/>
            <w:vAlign w:val="center"/>
          </w:tcPr>
          <w:p w14:paraId="2C7968BA">
            <w:pPr>
              <w:autoSpaceDN w:val="0"/>
              <w:spacing w:line="320" w:lineRule="exact"/>
              <w:ind w:left="720" w:hanging="720" w:hangingChars="300"/>
              <w:jc w:val="left"/>
              <w:textAlignment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rPr>
              <w:t>指标1：</w:t>
            </w:r>
            <w:r>
              <w:rPr>
                <w:rFonts w:hint="eastAsia" w:ascii="仿宋_GB2312" w:hAnsi="仿宋_GB2312" w:eastAsia="仿宋_GB2312" w:cs="仿宋_GB2312"/>
                <w:color w:val="000000"/>
                <w:sz w:val="24"/>
                <w:lang w:eastAsia="zh-CN"/>
              </w:rPr>
              <w:t>按时完成“十四五”规划编制</w:t>
            </w:r>
          </w:p>
        </w:tc>
        <w:tc>
          <w:tcPr>
            <w:tcW w:w="2684" w:type="dxa"/>
            <w:gridSpan w:val="6"/>
            <w:vAlign w:val="center"/>
          </w:tcPr>
          <w:p w14:paraId="37486080">
            <w:pPr>
              <w:autoSpaceDN w:val="0"/>
              <w:spacing w:line="320" w:lineRule="exact"/>
              <w:jc w:val="center"/>
              <w:textAlignment w:val="center"/>
              <w:rPr>
                <w:rFonts w:ascii="仿宋_GB2312" w:hAnsi="仿宋_GB2312" w:eastAsia="仿宋_GB2312" w:cs="仿宋_GB2312"/>
                <w:b w:val="0"/>
                <w:bCs/>
                <w:color w:val="000000"/>
                <w:sz w:val="24"/>
              </w:rPr>
            </w:pPr>
            <w:r>
              <w:rPr>
                <w:rFonts w:hint="eastAsia" w:ascii="仿宋_GB2312" w:hAnsi="仿宋_GB2312" w:eastAsia="仿宋_GB2312" w:cs="仿宋_GB2312"/>
                <w:b w:val="0"/>
                <w:bCs/>
                <w:color w:val="000000"/>
                <w:sz w:val="24"/>
                <w:lang w:eastAsia="zh-CN"/>
              </w:rPr>
              <w:t>完成预期目标任务</w:t>
            </w:r>
          </w:p>
        </w:tc>
      </w:tr>
      <w:tr w14:paraId="5EEDA2D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08" w:type="dxa"/>
            <w:vMerge w:val="continue"/>
            <w:vAlign w:val="center"/>
          </w:tcPr>
          <w:p w14:paraId="64FBC4A1">
            <w:pPr>
              <w:spacing w:line="320" w:lineRule="exact"/>
              <w:rPr>
                <w:rFonts w:ascii="仿宋_GB2312" w:hAnsi="仿宋_GB2312" w:eastAsia="仿宋_GB2312" w:cs="仿宋_GB2312"/>
                <w:sz w:val="24"/>
              </w:rPr>
            </w:pPr>
          </w:p>
        </w:tc>
        <w:tc>
          <w:tcPr>
            <w:tcW w:w="1549" w:type="dxa"/>
            <w:gridSpan w:val="4"/>
            <w:vMerge w:val="continue"/>
            <w:vAlign w:val="center"/>
          </w:tcPr>
          <w:p w14:paraId="1F3F853A">
            <w:pPr>
              <w:autoSpaceDN w:val="0"/>
              <w:spacing w:line="320" w:lineRule="exact"/>
              <w:rPr>
                <w:rFonts w:ascii="仿宋_GB2312" w:hAnsi="仿宋_GB2312" w:eastAsia="仿宋_GB2312" w:cs="仿宋_GB2312"/>
                <w:sz w:val="24"/>
              </w:rPr>
            </w:pPr>
          </w:p>
        </w:tc>
        <w:tc>
          <w:tcPr>
            <w:tcW w:w="1417" w:type="dxa"/>
            <w:gridSpan w:val="2"/>
            <w:vMerge w:val="continue"/>
            <w:vAlign w:val="center"/>
          </w:tcPr>
          <w:p w14:paraId="6117D118">
            <w:pPr>
              <w:autoSpaceDN w:val="0"/>
              <w:spacing w:line="320" w:lineRule="exact"/>
              <w:jc w:val="center"/>
              <w:textAlignment w:val="center"/>
              <w:rPr>
                <w:rFonts w:ascii="仿宋_GB2312" w:hAnsi="仿宋_GB2312" w:eastAsia="仿宋_GB2312" w:cs="仿宋_GB2312"/>
                <w:color w:val="000000"/>
                <w:sz w:val="24"/>
              </w:rPr>
            </w:pPr>
          </w:p>
        </w:tc>
        <w:tc>
          <w:tcPr>
            <w:tcW w:w="2709" w:type="dxa"/>
            <w:gridSpan w:val="4"/>
            <w:vAlign w:val="center"/>
          </w:tcPr>
          <w:p w14:paraId="0F6F607C">
            <w:pPr>
              <w:autoSpaceDN w:val="0"/>
              <w:spacing w:line="320" w:lineRule="exact"/>
              <w:jc w:val="left"/>
              <w:textAlignment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rPr>
              <w:t>指标2</w:t>
            </w:r>
            <w:r>
              <w:rPr>
                <w:rFonts w:hint="eastAsia" w:ascii="仿宋_GB2312" w:hAnsi="仿宋_GB2312" w:eastAsia="仿宋_GB2312" w:cs="仿宋_GB2312"/>
                <w:color w:val="000000"/>
                <w:sz w:val="24"/>
                <w:lang w:eastAsia="zh-CN"/>
              </w:rPr>
              <w:t>：智慧华容项目建设</w:t>
            </w:r>
          </w:p>
        </w:tc>
        <w:tc>
          <w:tcPr>
            <w:tcW w:w="2684" w:type="dxa"/>
            <w:gridSpan w:val="6"/>
            <w:vAlign w:val="center"/>
          </w:tcPr>
          <w:p w14:paraId="0A821B63">
            <w:pPr>
              <w:autoSpaceDN w:val="0"/>
              <w:spacing w:line="320" w:lineRule="exact"/>
              <w:jc w:val="center"/>
              <w:textAlignment w:val="center"/>
              <w:rPr>
                <w:rFonts w:hint="eastAsia" w:ascii="仿宋_GB2312" w:hAnsi="仿宋_GB2312" w:eastAsia="仿宋_GB2312" w:cs="仿宋_GB2312"/>
                <w:b w:val="0"/>
                <w:bCs/>
                <w:color w:val="000000"/>
                <w:sz w:val="24"/>
                <w:lang w:eastAsia="zh-CN"/>
              </w:rPr>
            </w:pPr>
            <w:r>
              <w:rPr>
                <w:rFonts w:hint="eastAsia" w:ascii="仿宋_GB2312" w:hAnsi="仿宋_GB2312" w:eastAsia="仿宋_GB2312" w:cs="仿宋_GB2312"/>
                <w:b w:val="0"/>
                <w:bCs/>
                <w:color w:val="000000"/>
                <w:sz w:val="24"/>
                <w:lang w:eastAsia="zh-CN"/>
              </w:rPr>
              <w:t>按时间节点顺利推进</w:t>
            </w:r>
          </w:p>
        </w:tc>
      </w:tr>
      <w:tr w14:paraId="48351B8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08" w:type="dxa"/>
            <w:vMerge w:val="continue"/>
            <w:vAlign w:val="center"/>
          </w:tcPr>
          <w:p w14:paraId="713024A6">
            <w:pPr>
              <w:spacing w:line="320" w:lineRule="exact"/>
              <w:rPr>
                <w:rFonts w:ascii="仿宋_GB2312" w:hAnsi="仿宋_GB2312" w:eastAsia="仿宋_GB2312" w:cs="仿宋_GB2312"/>
                <w:sz w:val="24"/>
              </w:rPr>
            </w:pPr>
          </w:p>
        </w:tc>
        <w:tc>
          <w:tcPr>
            <w:tcW w:w="1549" w:type="dxa"/>
            <w:gridSpan w:val="4"/>
            <w:vMerge w:val="continue"/>
            <w:vAlign w:val="center"/>
          </w:tcPr>
          <w:p w14:paraId="304D015B">
            <w:pPr>
              <w:autoSpaceDN w:val="0"/>
              <w:spacing w:line="320" w:lineRule="exact"/>
              <w:rPr>
                <w:rFonts w:ascii="仿宋_GB2312" w:hAnsi="仿宋_GB2312" w:eastAsia="仿宋_GB2312" w:cs="仿宋_GB2312"/>
                <w:sz w:val="24"/>
              </w:rPr>
            </w:pPr>
          </w:p>
        </w:tc>
        <w:tc>
          <w:tcPr>
            <w:tcW w:w="1417" w:type="dxa"/>
            <w:gridSpan w:val="2"/>
            <w:vMerge w:val="restart"/>
            <w:vAlign w:val="center"/>
          </w:tcPr>
          <w:p w14:paraId="34103CBC">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成本指标</w:t>
            </w:r>
          </w:p>
        </w:tc>
        <w:tc>
          <w:tcPr>
            <w:tcW w:w="2709" w:type="dxa"/>
            <w:gridSpan w:val="4"/>
            <w:vAlign w:val="center"/>
          </w:tcPr>
          <w:p w14:paraId="19582D11">
            <w:pPr>
              <w:autoSpaceDN w:val="0"/>
              <w:spacing w:line="320" w:lineRule="exact"/>
              <w:jc w:val="left"/>
              <w:textAlignment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rPr>
              <w:t>指标1：</w:t>
            </w:r>
            <w:r>
              <w:rPr>
                <w:rFonts w:hint="eastAsia" w:ascii="仿宋_GB2312" w:hAnsi="仿宋_GB2312" w:eastAsia="仿宋_GB2312" w:cs="仿宋_GB2312"/>
                <w:color w:val="000000"/>
                <w:sz w:val="24"/>
                <w:lang w:eastAsia="zh-CN"/>
              </w:rPr>
              <w:t>三公经费控制严格</w:t>
            </w:r>
          </w:p>
        </w:tc>
        <w:tc>
          <w:tcPr>
            <w:tcW w:w="2684" w:type="dxa"/>
            <w:gridSpan w:val="6"/>
            <w:vAlign w:val="center"/>
          </w:tcPr>
          <w:p w14:paraId="253BDD5A">
            <w:pPr>
              <w:autoSpaceDN w:val="0"/>
              <w:spacing w:line="320" w:lineRule="exact"/>
              <w:jc w:val="center"/>
              <w:textAlignment w:val="center"/>
              <w:rPr>
                <w:rFonts w:hint="eastAsia" w:ascii="仿宋_GB2312" w:hAnsi="仿宋_GB2312" w:eastAsia="仿宋_GB2312" w:cs="仿宋_GB2312"/>
                <w:b w:val="0"/>
                <w:bCs/>
                <w:color w:val="000000"/>
                <w:sz w:val="24"/>
                <w:lang w:eastAsia="zh-CN"/>
              </w:rPr>
            </w:pPr>
            <w:r>
              <w:rPr>
                <w:rFonts w:hint="eastAsia" w:ascii="仿宋_GB2312" w:hAnsi="仿宋_GB2312" w:eastAsia="仿宋_GB2312" w:cs="仿宋_GB2312"/>
                <w:b w:val="0"/>
                <w:bCs/>
                <w:color w:val="000000"/>
                <w:sz w:val="24"/>
                <w:lang w:eastAsia="zh-CN"/>
              </w:rPr>
              <w:t>未超预期目标</w:t>
            </w:r>
          </w:p>
        </w:tc>
      </w:tr>
      <w:tr w14:paraId="0B1E419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08" w:type="dxa"/>
            <w:vMerge w:val="continue"/>
            <w:vAlign w:val="center"/>
          </w:tcPr>
          <w:p w14:paraId="5F985C18">
            <w:pPr>
              <w:spacing w:line="320" w:lineRule="exact"/>
              <w:rPr>
                <w:rFonts w:ascii="仿宋_GB2312" w:hAnsi="仿宋_GB2312" w:eastAsia="仿宋_GB2312" w:cs="仿宋_GB2312"/>
                <w:sz w:val="24"/>
              </w:rPr>
            </w:pPr>
          </w:p>
        </w:tc>
        <w:tc>
          <w:tcPr>
            <w:tcW w:w="1549" w:type="dxa"/>
            <w:gridSpan w:val="4"/>
            <w:vMerge w:val="continue"/>
            <w:vAlign w:val="center"/>
          </w:tcPr>
          <w:p w14:paraId="17F5CD8E">
            <w:pPr>
              <w:autoSpaceDN w:val="0"/>
              <w:spacing w:line="320" w:lineRule="exact"/>
              <w:rPr>
                <w:rFonts w:ascii="仿宋_GB2312" w:hAnsi="仿宋_GB2312" w:eastAsia="仿宋_GB2312" w:cs="仿宋_GB2312"/>
                <w:sz w:val="24"/>
              </w:rPr>
            </w:pPr>
          </w:p>
        </w:tc>
        <w:tc>
          <w:tcPr>
            <w:tcW w:w="1417" w:type="dxa"/>
            <w:gridSpan w:val="2"/>
            <w:vMerge w:val="continue"/>
            <w:vAlign w:val="center"/>
          </w:tcPr>
          <w:p w14:paraId="60E4E082">
            <w:pPr>
              <w:autoSpaceDN w:val="0"/>
              <w:spacing w:line="320" w:lineRule="exact"/>
              <w:jc w:val="center"/>
              <w:textAlignment w:val="center"/>
              <w:rPr>
                <w:rFonts w:ascii="仿宋_GB2312" w:hAnsi="仿宋_GB2312" w:eastAsia="仿宋_GB2312" w:cs="仿宋_GB2312"/>
                <w:color w:val="000000"/>
                <w:sz w:val="24"/>
              </w:rPr>
            </w:pPr>
          </w:p>
        </w:tc>
        <w:tc>
          <w:tcPr>
            <w:tcW w:w="2709" w:type="dxa"/>
            <w:gridSpan w:val="4"/>
            <w:vAlign w:val="center"/>
          </w:tcPr>
          <w:p w14:paraId="7B634F1F">
            <w:pPr>
              <w:autoSpaceDN w:val="0"/>
              <w:spacing w:line="320" w:lineRule="exact"/>
              <w:jc w:val="left"/>
              <w:textAlignment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rPr>
              <w:t>指标2：</w:t>
            </w:r>
            <w:r>
              <w:rPr>
                <w:rFonts w:hint="eastAsia" w:ascii="仿宋_GB2312" w:hAnsi="仿宋_GB2312" w:eastAsia="仿宋_GB2312" w:cs="仿宋_GB2312"/>
                <w:color w:val="000000"/>
                <w:sz w:val="24"/>
                <w:lang w:eastAsia="zh-CN"/>
              </w:rPr>
              <w:t>项目经费控制严格</w:t>
            </w:r>
          </w:p>
        </w:tc>
        <w:tc>
          <w:tcPr>
            <w:tcW w:w="2684" w:type="dxa"/>
            <w:gridSpan w:val="6"/>
            <w:vAlign w:val="center"/>
          </w:tcPr>
          <w:p w14:paraId="2E93ACD4">
            <w:pPr>
              <w:autoSpaceDN w:val="0"/>
              <w:spacing w:line="320" w:lineRule="exact"/>
              <w:jc w:val="center"/>
              <w:textAlignment w:val="center"/>
              <w:rPr>
                <w:rFonts w:ascii="仿宋_GB2312" w:hAnsi="仿宋_GB2312" w:eastAsia="仿宋_GB2312" w:cs="仿宋_GB2312"/>
                <w:b w:val="0"/>
                <w:bCs/>
                <w:color w:val="000000"/>
                <w:sz w:val="24"/>
              </w:rPr>
            </w:pPr>
            <w:r>
              <w:rPr>
                <w:rFonts w:hint="eastAsia" w:ascii="仿宋_GB2312" w:hAnsi="仿宋_GB2312" w:eastAsia="仿宋_GB2312" w:cs="仿宋_GB2312"/>
                <w:b w:val="0"/>
                <w:bCs/>
                <w:color w:val="000000"/>
                <w:sz w:val="24"/>
                <w:lang w:eastAsia="zh-CN"/>
              </w:rPr>
              <w:t>未超预期目标</w:t>
            </w:r>
          </w:p>
        </w:tc>
      </w:tr>
      <w:tr w14:paraId="2B865AA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08" w:type="dxa"/>
            <w:vMerge w:val="continue"/>
            <w:vAlign w:val="center"/>
          </w:tcPr>
          <w:p w14:paraId="220548DD">
            <w:pPr>
              <w:spacing w:line="320" w:lineRule="exact"/>
              <w:rPr>
                <w:rFonts w:ascii="仿宋_GB2312" w:hAnsi="仿宋_GB2312" w:eastAsia="仿宋_GB2312" w:cs="仿宋_GB2312"/>
                <w:sz w:val="24"/>
              </w:rPr>
            </w:pPr>
          </w:p>
        </w:tc>
        <w:tc>
          <w:tcPr>
            <w:tcW w:w="1549" w:type="dxa"/>
            <w:gridSpan w:val="4"/>
            <w:vMerge w:val="restart"/>
            <w:vAlign w:val="center"/>
          </w:tcPr>
          <w:p w14:paraId="4B09B34C">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效益目标</w:t>
            </w:r>
          </w:p>
          <w:p w14:paraId="3F7E1DE6">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（预期实现的效益）</w:t>
            </w:r>
          </w:p>
        </w:tc>
        <w:tc>
          <w:tcPr>
            <w:tcW w:w="1417" w:type="dxa"/>
            <w:gridSpan w:val="2"/>
            <w:vMerge w:val="restart"/>
            <w:vAlign w:val="center"/>
          </w:tcPr>
          <w:p w14:paraId="4DEF1026">
            <w:pPr>
              <w:autoSpaceDN w:val="0"/>
              <w:spacing w:line="320" w:lineRule="exact"/>
              <w:jc w:val="center"/>
              <w:textAlignment w:val="center"/>
              <w:rPr>
                <w:rFonts w:hint="eastAsia" w:ascii="仿宋_GB2312" w:hAnsi="仿宋_GB2312" w:eastAsia="仿宋_GB2312" w:cs="仿宋_GB2312"/>
                <w:color w:val="000000"/>
                <w:sz w:val="24"/>
              </w:rPr>
            </w:pPr>
          </w:p>
          <w:p w14:paraId="53289947">
            <w:pPr>
              <w:autoSpaceDN w:val="0"/>
              <w:spacing w:line="320" w:lineRule="exact"/>
              <w:jc w:val="center"/>
              <w:textAlignment w:val="center"/>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rPr>
              <w:t>社会效益</w:t>
            </w:r>
            <w:r>
              <w:rPr>
                <w:rFonts w:hint="eastAsia" w:ascii="仿宋_GB2312" w:hAnsi="仿宋_GB2312" w:eastAsia="仿宋_GB2312" w:cs="仿宋_GB2312"/>
                <w:color w:val="000000"/>
                <w:sz w:val="24"/>
                <w:lang w:val="en-US" w:eastAsia="zh-CN"/>
              </w:rPr>
              <w:t xml:space="preserve"> </w:t>
            </w:r>
          </w:p>
          <w:p w14:paraId="2DDD8A14">
            <w:pPr>
              <w:autoSpaceDN w:val="0"/>
              <w:spacing w:line="320" w:lineRule="exact"/>
              <w:jc w:val="both"/>
              <w:textAlignment w:val="center"/>
              <w:rPr>
                <w:rFonts w:ascii="仿宋_GB2312" w:hAnsi="仿宋_GB2312" w:eastAsia="仿宋_GB2312" w:cs="仿宋_GB2312"/>
                <w:color w:val="000000"/>
                <w:sz w:val="24"/>
              </w:rPr>
            </w:pPr>
          </w:p>
        </w:tc>
        <w:tc>
          <w:tcPr>
            <w:tcW w:w="2709" w:type="dxa"/>
            <w:gridSpan w:val="4"/>
            <w:vAlign w:val="center"/>
          </w:tcPr>
          <w:p w14:paraId="3B89C2FC">
            <w:pPr>
              <w:autoSpaceDN w:val="0"/>
              <w:spacing w:line="320" w:lineRule="exact"/>
              <w:ind w:left="720" w:hanging="720" w:hangingChars="300"/>
              <w:jc w:val="left"/>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rPr>
              <w:t>指标1：</w:t>
            </w:r>
            <w:r>
              <w:rPr>
                <w:rFonts w:hint="eastAsia" w:ascii="仿宋_GB2312" w:hAnsi="仿宋_GB2312" w:eastAsia="仿宋_GB2312" w:cs="仿宋_GB2312"/>
                <w:color w:val="000000"/>
                <w:sz w:val="24"/>
                <w:lang w:eastAsia="zh-CN"/>
              </w:rPr>
              <w:t>经济体制和社会体制改革</w:t>
            </w:r>
          </w:p>
        </w:tc>
        <w:tc>
          <w:tcPr>
            <w:tcW w:w="2684" w:type="dxa"/>
            <w:gridSpan w:val="6"/>
            <w:vAlign w:val="center"/>
          </w:tcPr>
          <w:p w14:paraId="389F62F4">
            <w:pPr>
              <w:autoSpaceDN w:val="0"/>
              <w:spacing w:line="320" w:lineRule="exact"/>
              <w:jc w:val="center"/>
              <w:textAlignment w:val="center"/>
              <w:rPr>
                <w:rFonts w:hint="eastAsia" w:ascii="仿宋_GB2312" w:hAnsi="仿宋_GB2312" w:eastAsia="仿宋_GB2312" w:cs="仿宋_GB2312"/>
                <w:b w:val="0"/>
                <w:bCs/>
                <w:color w:val="000000"/>
                <w:kern w:val="2"/>
                <w:sz w:val="24"/>
                <w:szCs w:val="24"/>
                <w:lang w:val="en-US" w:eastAsia="zh-CN" w:bidi="ar-SA"/>
              </w:rPr>
            </w:pPr>
            <w:r>
              <w:rPr>
                <w:rFonts w:hint="eastAsia" w:ascii="仿宋_GB2312" w:hAnsi="仿宋_GB2312" w:eastAsia="仿宋_GB2312" w:cs="仿宋_GB2312"/>
                <w:b w:val="0"/>
                <w:bCs/>
                <w:color w:val="000000"/>
                <w:sz w:val="24"/>
                <w:lang w:eastAsia="zh-CN"/>
              </w:rPr>
              <w:t>完成年度目标任务</w:t>
            </w:r>
          </w:p>
        </w:tc>
      </w:tr>
      <w:tr w14:paraId="528094B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08" w:type="dxa"/>
            <w:vMerge w:val="continue"/>
            <w:vAlign w:val="center"/>
          </w:tcPr>
          <w:p w14:paraId="45AC515F">
            <w:pPr>
              <w:spacing w:line="320" w:lineRule="exact"/>
              <w:rPr>
                <w:rFonts w:ascii="仿宋_GB2312" w:hAnsi="仿宋_GB2312" w:eastAsia="仿宋_GB2312" w:cs="仿宋_GB2312"/>
                <w:sz w:val="24"/>
              </w:rPr>
            </w:pPr>
          </w:p>
        </w:tc>
        <w:tc>
          <w:tcPr>
            <w:tcW w:w="1549" w:type="dxa"/>
            <w:gridSpan w:val="4"/>
            <w:vMerge w:val="continue"/>
            <w:vAlign w:val="center"/>
          </w:tcPr>
          <w:p w14:paraId="520C7B41">
            <w:pPr>
              <w:autoSpaceDN w:val="0"/>
              <w:spacing w:line="320" w:lineRule="exact"/>
              <w:rPr>
                <w:rFonts w:ascii="仿宋_GB2312" w:hAnsi="仿宋_GB2312" w:eastAsia="仿宋_GB2312" w:cs="仿宋_GB2312"/>
                <w:sz w:val="24"/>
              </w:rPr>
            </w:pPr>
          </w:p>
        </w:tc>
        <w:tc>
          <w:tcPr>
            <w:tcW w:w="1417" w:type="dxa"/>
            <w:gridSpan w:val="2"/>
            <w:vMerge w:val="continue"/>
            <w:vAlign w:val="center"/>
          </w:tcPr>
          <w:p w14:paraId="52CC8F04">
            <w:pPr>
              <w:autoSpaceDN w:val="0"/>
              <w:spacing w:line="320" w:lineRule="exact"/>
              <w:jc w:val="center"/>
              <w:textAlignment w:val="center"/>
              <w:rPr>
                <w:rFonts w:ascii="仿宋_GB2312" w:hAnsi="仿宋_GB2312" w:eastAsia="仿宋_GB2312" w:cs="仿宋_GB2312"/>
                <w:color w:val="000000"/>
                <w:sz w:val="24"/>
              </w:rPr>
            </w:pPr>
          </w:p>
        </w:tc>
        <w:tc>
          <w:tcPr>
            <w:tcW w:w="2709" w:type="dxa"/>
            <w:gridSpan w:val="4"/>
            <w:vAlign w:val="center"/>
          </w:tcPr>
          <w:p w14:paraId="60650770">
            <w:pPr>
              <w:autoSpaceDN w:val="0"/>
              <w:spacing w:line="320" w:lineRule="exact"/>
              <w:jc w:val="left"/>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rPr>
              <w:t>指标2：</w:t>
            </w:r>
            <w:r>
              <w:rPr>
                <w:rFonts w:hint="eastAsia" w:ascii="仿宋_GB2312" w:hAnsi="仿宋_GB2312" w:eastAsia="仿宋_GB2312" w:cs="仿宋_GB2312"/>
                <w:color w:val="000000"/>
                <w:sz w:val="24"/>
                <w:lang w:eastAsia="zh-CN"/>
              </w:rPr>
              <w:t>成本调查和市场监测</w:t>
            </w:r>
          </w:p>
        </w:tc>
        <w:tc>
          <w:tcPr>
            <w:tcW w:w="2684" w:type="dxa"/>
            <w:gridSpan w:val="6"/>
            <w:vAlign w:val="center"/>
          </w:tcPr>
          <w:p w14:paraId="461D0679">
            <w:pPr>
              <w:autoSpaceDN w:val="0"/>
              <w:spacing w:line="320" w:lineRule="exact"/>
              <w:jc w:val="both"/>
              <w:textAlignment w:val="center"/>
              <w:rPr>
                <w:rFonts w:ascii="仿宋_GB2312" w:hAnsi="仿宋_GB2312" w:eastAsia="仿宋_GB2312" w:cs="仿宋_GB2312"/>
                <w:b w:val="0"/>
                <w:bCs/>
                <w:color w:val="000000"/>
                <w:kern w:val="2"/>
                <w:sz w:val="24"/>
                <w:szCs w:val="24"/>
                <w:lang w:val="en-US" w:eastAsia="zh-CN" w:bidi="ar-SA"/>
              </w:rPr>
            </w:pPr>
            <w:r>
              <w:rPr>
                <w:rFonts w:hint="eastAsia" w:ascii="仿宋_GB2312" w:hAnsi="仿宋_GB2312" w:eastAsia="仿宋_GB2312" w:cs="仿宋_GB2312"/>
                <w:b w:val="0"/>
                <w:bCs/>
                <w:color w:val="000000"/>
                <w:sz w:val="24"/>
                <w:lang w:eastAsia="zh-CN"/>
              </w:rPr>
              <w:t>完成年度目标任务</w:t>
            </w:r>
          </w:p>
        </w:tc>
      </w:tr>
      <w:tr w14:paraId="33AD91F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08" w:type="dxa"/>
            <w:vMerge w:val="continue"/>
            <w:vAlign w:val="center"/>
          </w:tcPr>
          <w:p w14:paraId="25A7573F">
            <w:pPr>
              <w:spacing w:line="320" w:lineRule="exact"/>
              <w:rPr>
                <w:rFonts w:ascii="仿宋_GB2312" w:hAnsi="仿宋_GB2312" w:eastAsia="仿宋_GB2312" w:cs="仿宋_GB2312"/>
                <w:sz w:val="24"/>
              </w:rPr>
            </w:pPr>
          </w:p>
        </w:tc>
        <w:tc>
          <w:tcPr>
            <w:tcW w:w="1549" w:type="dxa"/>
            <w:gridSpan w:val="4"/>
            <w:vMerge w:val="continue"/>
            <w:vAlign w:val="center"/>
          </w:tcPr>
          <w:p w14:paraId="1148CAFA">
            <w:pPr>
              <w:autoSpaceDN w:val="0"/>
              <w:spacing w:line="320" w:lineRule="exact"/>
              <w:rPr>
                <w:rFonts w:ascii="仿宋_GB2312" w:hAnsi="仿宋_GB2312" w:eastAsia="仿宋_GB2312" w:cs="仿宋_GB2312"/>
                <w:sz w:val="24"/>
              </w:rPr>
            </w:pPr>
          </w:p>
        </w:tc>
        <w:tc>
          <w:tcPr>
            <w:tcW w:w="1417" w:type="dxa"/>
            <w:gridSpan w:val="2"/>
            <w:vMerge w:val="restart"/>
            <w:vAlign w:val="center"/>
          </w:tcPr>
          <w:p w14:paraId="0552E003">
            <w:pPr>
              <w:autoSpaceDN w:val="0"/>
              <w:spacing w:line="320" w:lineRule="exact"/>
              <w:jc w:val="center"/>
              <w:textAlignment w:val="center"/>
              <w:rPr>
                <w:rFonts w:hint="eastAsia" w:ascii="仿宋_GB2312" w:hAnsi="仿宋_GB2312" w:eastAsia="仿宋_GB2312" w:cs="仿宋_GB2312"/>
                <w:color w:val="000000"/>
                <w:sz w:val="24"/>
              </w:rPr>
            </w:pPr>
          </w:p>
          <w:p w14:paraId="06C6A848">
            <w:pPr>
              <w:autoSpaceDN w:val="0"/>
              <w:spacing w:line="320" w:lineRule="exact"/>
              <w:jc w:val="center"/>
              <w:textAlignment w:val="center"/>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eastAsia="zh-CN"/>
              </w:rPr>
              <w:t>经济</w:t>
            </w:r>
            <w:r>
              <w:rPr>
                <w:rFonts w:hint="eastAsia" w:ascii="仿宋_GB2312" w:hAnsi="仿宋_GB2312" w:eastAsia="仿宋_GB2312" w:cs="仿宋_GB2312"/>
                <w:color w:val="000000"/>
                <w:sz w:val="24"/>
              </w:rPr>
              <w:t>效益</w:t>
            </w:r>
            <w:r>
              <w:rPr>
                <w:rFonts w:hint="eastAsia" w:ascii="仿宋_GB2312" w:hAnsi="仿宋_GB2312" w:eastAsia="仿宋_GB2312" w:cs="仿宋_GB2312"/>
                <w:color w:val="000000"/>
                <w:sz w:val="24"/>
                <w:lang w:val="en-US" w:eastAsia="zh-CN"/>
              </w:rPr>
              <w:t xml:space="preserve"> </w:t>
            </w:r>
          </w:p>
          <w:p w14:paraId="3E3C5676">
            <w:pPr>
              <w:autoSpaceDN w:val="0"/>
              <w:spacing w:line="320" w:lineRule="exact"/>
              <w:jc w:val="both"/>
              <w:textAlignment w:val="center"/>
              <w:rPr>
                <w:rFonts w:hint="eastAsia" w:ascii="仿宋_GB2312" w:hAnsi="仿宋_GB2312" w:eastAsia="仿宋_GB2312" w:cs="仿宋_GB2312"/>
                <w:color w:val="000000"/>
                <w:kern w:val="2"/>
                <w:sz w:val="24"/>
                <w:szCs w:val="24"/>
                <w:lang w:val="en-US" w:eastAsia="zh-CN" w:bidi="ar-SA"/>
              </w:rPr>
            </w:pPr>
          </w:p>
          <w:p w14:paraId="55F6FBB9">
            <w:pPr>
              <w:autoSpaceDN w:val="0"/>
              <w:spacing w:line="320" w:lineRule="exact"/>
              <w:jc w:val="center"/>
              <w:textAlignment w:val="center"/>
              <w:rPr>
                <w:rFonts w:ascii="仿宋_GB2312" w:hAnsi="仿宋_GB2312" w:eastAsia="仿宋_GB2312" w:cs="仿宋_GB2312"/>
                <w:color w:val="000000"/>
                <w:sz w:val="24"/>
              </w:rPr>
            </w:pPr>
          </w:p>
        </w:tc>
        <w:tc>
          <w:tcPr>
            <w:tcW w:w="2709" w:type="dxa"/>
            <w:gridSpan w:val="4"/>
            <w:vAlign w:val="center"/>
          </w:tcPr>
          <w:p w14:paraId="3F890888">
            <w:pPr>
              <w:autoSpaceDN w:val="0"/>
              <w:spacing w:line="320" w:lineRule="exact"/>
              <w:ind w:left="960" w:leftChars="0" w:hanging="960" w:hangingChars="400"/>
              <w:jc w:val="left"/>
              <w:textAlignment w:val="center"/>
              <w:rPr>
                <w:rFonts w:hint="default"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rPr>
              <w:t>指标1：</w:t>
            </w:r>
            <w:r>
              <w:rPr>
                <w:rFonts w:hint="eastAsia" w:ascii="仿宋_GB2312" w:hAnsi="仿宋_GB2312" w:eastAsia="仿宋_GB2312" w:cs="仿宋_GB2312"/>
                <w:color w:val="000000"/>
                <w:sz w:val="24"/>
                <w:lang w:eastAsia="zh-CN"/>
              </w:rPr>
              <w:t>全县争项争资</w:t>
            </w:r>
            <w:r>
              <w:rPr>
                <w:rFonts w:hint="eastAsia" w:ascii="仿宋_GB2312" w:hAnsi="仿宋_GB2312" w:eastAsia="仿宋_GB2312" w:cs="仿宋_GB2312"/>
                <w:color w:val="000000"/>
                <w:sz w:val="24"/>
                <w:lang w:val="en-US" w:eastAsia="zh-CN"/>
              </w:rPr>
              <w:t>32.37亿元</w:t>
            </w:r>
          </w:p>
        </w:tc>
        <w:tc>
          <w:tcPr>
            <w:tcW w:w="2684" w:type="dxa"/>
            <w:gridSpan w:val="6"/>
            <w:vAlign w:val="center"/>
          </w:tcPr>
          <w:p w14:paraId="68F00212">
            <w:pPr>
              <w:autoSpaceDN w:val="0"/>
              <w:spacing w:line="320" w:lineRule="exact"/>
              <w:jc w:val="center"/>
              <w:textAlignment w:val="center"/>
              <w:rPr>
                <w:rFonts w:hint="eastAsia" w:ascii="仿宋_GB2312" w:hAnsi="仿宋_GB2312" w:eastAsia="仿宋_GB2312" w:cs="仿宋_GB2312"/>
                <w:b w:val="0"/>
                <w:bCs/>
                <w:color w:val="000000"/>
                <w:kern w:val="2"/>
                <w:sz w:val="24"/>
                <w:szCs w:val="24"/>
                <w:lang w:val="en-US" w:eastAsia="zh-CN" w:bidi="ar-SA"/>
              </w:rPr>
            </w:pPr>
            <w:r>
              <w:rPr>
                <w:rFonts w:hint="eastAsia" w:ascii="仿宋_GB2312" w:hAnsi="仿宋_GB2312" w:eastAsia="仿宋_GB2312" w:cs="仿宋_GB2312"/>
                <w:b w:val="0"/>
                <w:bCs/>
                <w:color w:val="000000"/>
                <w:sz w:val="24"/>
                <w:lang w:eastAsia="zh-CN"/>
              </w:rPr>
              <w:t>有效缓解县财政经济压力</w:t>
            </w:r>
          </w:p>
        </w:tc>
      </w:tr>
      <w:tr w14:paraId="3B36B88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755" w:hRule="atLeast"/>
          <w:jc w:val="center"/>
        </w:trPr>
        <w:tc>
          <w:tcPr>
            <w:tcW w:w="1408" w:type="dxa"/>
            <w:vMerge w:val="continue"/>
            <w:vAlign w:val="center"/>
          </w:tcPr>
          <w:p w14:paraId="1A708A2E">
            <w:pPr>
              <w:spacing w:line="320" w:lineRule="exact"/>
              <w:rPr>
                <w:rFonts w:ascii="仿宋_GB2312" w:hAnsi="仿宋_GB2312" w:eastAsia="仿宋_GB2312" w:cs="仿宋_GB2312"/>
                <w:sz w:val="24"/>
              </w:rPr>
            </w:pPr>
          </w:p>
        </w:tc>
        <w:tc>
          <w:tcPr>
            <w:tcW w:w="1549" w:type="dxa"/>
            <w:gridSpan w:val="4"/>
            <w:vMerge w:val="continue"/>
            <w:vAlign w:val="center"/>
          </w:tcPr>
          <w:p w14:paraId="6FBA6EB1">
            <w:pPr>
              <w:autoSpaceDN w:val="0"/>
              <w:spacing w:line="320" w:lineRule="exact"/>
              <w:rPr>
                <w:rFonts w:ascii="仿宋_GB2312" w:hAnsi="仿宋_GB2312" w:eastAsia="仿宋_GB2312" w:cs="仿宋_GB2312"/>
                <w:sz w:val="24"/>
              </w:rPr>
            </w:pPr>
          </w:p>
        </w:tc>
        <w:tc>
          <w:tcPr>
            <w:tcW w:w="1417" w:type="dxa"/>
            <w:gridSpan w:val="2"/>
            <w:vMerge w:val="continue"/>
            <w:vAlign w:val="center"/>
          </w:tcPr>
          <w:p w14:paraId="39367569">
            <w:pPr>
              <w:autoSpaceDN w:val="0"/>
              <w:spacing w:line="320" w:lineRule="exact"/>
              <w:jc w:val="center"/>
              <w:textAlignment w:val="center"/>
              <w:rPr>
                <w:rFonts w:ascii="仿宋_GB2312" w:hAnsi="仿宋_GB2312" w:eastAsia="仿宋_GB2312" w:cs="仿宋_GB2312"/>
                <w:color w:val="000000"/>
                <w:sz w:val="24"/>
              </w:rPr>
            </w:pPr>
          </w:p>
        </w:tc>
        <w:tc>
          <w:tcPr>
            <w:tcW w:w="2709" w:type="dxa"/>
            <w:gridSpan w:val="4"/>
            <w:vAlign w:val="center"/>
          </w:tcPr>
          <w:p w14:paraId="614A33E7">
            <w:pPr>
              <w:autoSpaceDN w:val="0"/>
              <w:spacing w:line="320" w:lineRule="exact"/>
              <w:ind w:left="720" w:hanging="720" w:hangingChars="300"/>
              <w:jc w:val="left"/>
              <w:textAlignment w:val="center"/>
              <w:rPr>
                <w:rFonts w:hint="default"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rPr>
              <w:t>指标2：</w:t>
            </w:r>
            <w:r>
              <w:rPr>
                <w:rFonts w:hint="eastAsia" w:ascii="仿宋_GB2312" w:hAnsi="仿宋_GB2312" w:eastAsia="仿宋_GB2312" w:cs="仿宋_GB2312"/>
                <w:color w:val="000000"/>
                <w:sz w:val="24"/>
                <w:lang w:eastAsia="zh-CN"/>
              </w:rPr>
              <w:t>发改系统争项争资</w:t>
            </w:r>
            <w:r>
              <w:rPr>
                <w:rFonts w:hint="eastAsia" w:ascii="仿宋_GB2312" w:hAnsi="仿宋_GB2312" w:eastAsia="仿宋_GB2312" w:cs="仿宋_GB2312"/>
                <w:color w:val="000000"/>
                <w:sz w:val="24"/>
                <w:lang w:val="en-US" w:eastAsia="zh-CN"/>
              </w:rPr>
              <w:t>3.52亿元</w:t>
            </w:r>
          </w:p>
        </w:tc>
        <w:tc>
          <w:tcPr>
            <w:tcW w:w="2684" w:type="dxa"/>
            <w:gridSpan w:val="6"/>
            <w:vAlign w:val="center"/>
          </w:tcPr>
          <w:p w14:paraId="11A7D2B5">
            <w:pPr>
              <w:autoSpaceDN w:val="0"/>
              <w:spacing w:line="320" w:lineRule="exact"/>
              <w:jc w:val="both"/>
              <w:textAlignment w:val="center"/>
              <w:rPr>
                <w:rFonts w:ascii="仿宋_GB2312" w:hAnsi="仿宋_GB2312" w:eastAsia="仿宋_GB2312" w:cs="仿宋_GB2312"/>
                <w:b w:val="0"/>
                <w:bCs/>
                <w:color w:val="000000"/>
                <w:kern w:val="2"/>
                <w:sz w:val="24"/>
                <w:szCs w:val="24"/>
                <w:lang w:val="en-US" w:eastAsia="zh-CN" w:bidi="ar-SA"/>
              </w:rPr>
            </w:pPr>
            <w:r>
              <w:rPr>
                <w:rFonts w:hint="eastAsia" w:ascii="仿宋_GB2312" w:hAnsi="仿宋_GB2312" w:eastAsia="仿宋_GB2312" w:cs="仿宋_GB2312"/>
                <w:b w:val="0"/>
                <w:bCs/>
                <w:color w:val="000000"/>
                <w:kern w:val="2"/>
                <w:sz w:val="24"/>
                <w:szCs w:val="24"/>
                <w:lang w:val="en-US" w:eastAsia="zh-CN" w:bidi="ar-SA"/>
              </w:rPr>
              <w:t>达到改善民生设施和基础设施</w:t>
            </w:r>
          </w:p>
        </w:tc>
      </w:tr>
      <w:tr w14:paraId="7559EF8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83" w:hRule="atLeast"/>
          <w:jc w:val="center"/>
        </w:trPr>
        <w:tc>
          <w:tcPr>
            <w:tcW w:w="1408" w:type="dxa"/>
            <w:vMerge w:val="continue"/>
            <w:vAlign w:val="center"/>
          </w:tcPr>
          <w:p w14:paraId="7533C1C3">
            <w:pPr>
              <w:spacing w:line="320" w:lineRule="exact"/>
              <w:rPr>
                <w:rFonts w:ascii="仿宋_GB2312" w:hAnsi="仿宋_GB2312" w:eastAsia="仿宋_GB2312" w:cs="仿宋_GB2312"/>
                <w:sz w:val="24"/>
              </w:rPr>
            </w:pPr>
          </w:p>
        </w:tc>
        <w:tc>
          <w:tcPr>
            <w:tcW w:w="1549" w:type="dxa"/>
            <w:gridSpan w:val="4"/>
            <w:vMerge w:val="continue"/>
            <w:vAlign w:val="center"/>
          </w:tcPr>
          <w:p w14:paraId="61CD1E98">
            <w:pPr>
              <w:autoSpaceDN w:val="0"/>
              <w:spacing w:line="320" w:lineRule="exact"/>
              <w:rPr>
                <w:rFonts w:ascii="仿宋_GB2312" w:hAnsi="仿宋_GB2312" w:eastAsia="仿宋_GB2312" w:cs="仿宋_GB2312"/>
                <w:sz w:val="24"/>
              </w:rPr>
            </w:pPr>
          </w:p>
        </w:tc>
        <w:tc>
          <w:tcPr>
            <w:tcW w:w="1417" w:type="dxa"/>
            <w:gridSpan w:val="2"/>
            <w:vMerge w:val="restart"/>
            <w:vAlign w:val="center"/>
          </w:tcPr>
          <w:p w14:paraId="48F94044">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生态效益</w:t>
            </w:r>
          </w:p>
        </w:tc>
        <w:tc>
          <w:tcPr>
            <w:tcW w:w="2709" w:type="dxa"/>
            <w:gridSpan w:val="4"/>
            <w:tcBorders>
              <w:bottom w:val="single" w:color="auto" w:sz="4" w:space="0"/>
            </w:tcBorders>
            <w:vAlign w:val="center"/>
          </w:tcPr>
          <w:p w14:paraId="1A6B0327">
            <w:pPr>
              <w:autoSpaceDN w:val="0"/>
              <w:spacing w:line="320" w:lineRule="exact"/>
              <w:ind w:left="720" w:hanging="720" w:hangingChars="300"/>
              <w:jc w:val="left"/>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rPr>
              <w:t>指标1：</w:t>
            </w:r>
            <w:r>
              <w:rPr>
                <w:rFonts w:hint="eastAsia" w:ascii="仿宋_GB2312" w:hAnsi="仿宋_GB2312" w:eastAsia="仿宋_GB2312" w:cs="仿宋_GB2312"/>
                <w:color w:val="000000"/>
                <w:sz w:val="24"/>
                <w:lang w:eastAsia="zh-CN"/>
              </w:rPr>
              <w:t>完成了长江大保护项目建设</w:t>
            </w:r>
          </w:p>
        </w:tc>
        <w:tc>
          <w:tcPr>
            <w:tcW w:w="2684" w:type="dxa"/>
            <w:gridSpan w:val="6"/>
            <w:tcBorders>
              <w:bottom w:val="single" w:color="auto" w:sz="4" w:space="0"/>
            </w:tcBorders>
            <w:vAlign w:val="center"/>
          </w:tcPr>
          <w:p w14:paraId="3E8DF401">
            <w:pPr>
              <w:autoSpaceDN w:val="0"/>
              <w:spacing w:line="320" w:lineRule="exact"/>
              <w:jc w:val="center"/>
              <w:textAlignment w:val="center"/>
              <w:rPr>
                <w:rFonts w:hint="eastAsia" w:ascii="仿宋_GB2312" w:hAnsi="仿宋_GB2312" w:eastAsia="仿宋_GB2312" w:cs="仿宋_GB2312"/>
                <w:b w:val="0"/>
                <w:bCs/>
                <w:color w:val="000000"/>
                <w:kern w:val="2"/>
                <w:sz w:val="24"/>
                <w:szCs w:val="24"/>
                <w:lang w:val="en-US" w:eastAsia="zh-CN" w:bidi="ar-SA"/>
              </w:rPr>
            </w:pPr>
            <w:r>
              <w:rPr>
                <w:rFonts w:hint="eastAsia" w:ascii="仿宋_GB2312" w:hAnsi="仿宋_GB2312" w:eastAsia="仿宋_GB2312" w:cs="仿宋_GB2312"/>
                <w:b w:val="0"/>
                <w:bCs/>
                <w:color w:val="000000"/>
                <w:kern w:val="2"/>
                <w:sz w:val="24"/>
                <w:szCs w:val="24"/>
                <w:lang w:val="en-US" w:eastAsia="zh-CN" w:bidi="ar-SA"/>
              </w:rPr>
              <w:t>改善生态环境预期目标</w:t>
            </w:r>
          </w:p>
        </w:tc>
      </w:tr>
      <w:tr w14:paraId="58E9FD4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367" w:hRule="atLeast"/>
          <w:jc w:val="center"/>
        </w:trPr>
        <w:tc>
          <w:tcPr>
            <w:tcW w:w="1408" w:type="dxa"/>
            <w:vMerge w:val="continue"/>
            <w:vAlign w:val="center"/>
          </w:tcPr>
          <w:p w14:paraId="13A152DB">
            <w:pPr>
              <w:spacing w:line="320" w:lineRule="exact"/>
              <w:rPr>
                <w:rFonts w:ascii="仿宋_GB2312" w:hAnsi="仿宋_GB2312" w:eastAsia="仿宋_GB2312" w:cs="仿宋_GB2312"/>
                <w:sz w:val="24"/>
              </w:rPr>
            </w:pPr>
          </w:p>
        </w:tc>
        <w:tc>
          <w:tcPr>
            <w:tcW w:w="1549" w:type="dxa"/>
            <w:gridSpan w:val="4"/>
            <w:vMerge w:val="continue"/>
            <w:vAlign w:val="center"/>
          </w:tcPr>
          <w:p w14:paraId="0B9D868B">
            <w:pPr>
              <w:autoSpaceDN w:val="0"/>
              <w:spacing w:line="320" w:lineRule="exact"/>
              <w:rPr>
                <w:rFonts w:ascii="仿宋_GB2312" w:hAnsi="仿宋_GB2312" w:eastAsia="仿宋_GB2312" w:cs="仿宋_GB2312"/>
                <w:sz w:val="24"/>
              </w:rPr>
            </w:pPr>
          </w:p>
        </w:tc>
        <w:tc>
          <w:tcPr>
            <w:tcW w:w="1417" w:type="dxa"/>
            <w:gridSpan w:val="2"/>
            <w:vMerge w:val="continue"/>
            <w:vAlign w:val="center"/>
          </w:tcPr>
          <w:p w14:paraId="4B609348">
            <w:pPr>
              <w:autoSpaceDN w:val="0"/>
              <w:spacing w:line="320" w:lineRule="exact"/>
              <w:jc w:val="center"/>
              <w:textAlignment w:val="center"/>
              <w:rPr>
                <w:rFonts w:hint="eastAsia" w:ascii="仿宋_GB2312" w:hAnsi="仿宋_GB2312" w:eastAsia="仿宋_GB2312" w:cs="仿宋_GB2312"/>
                <w:color w:val="000000"/>
                <w:sz w:val="24"/>
                <w:lang w:val="en-US" w:eastAsia="zh-CN"/>
              </w:rPr>
            </w:pPr>
          </w:p>
        </w:tc>
        <w:tc>
          <w:tcPr>
            <w:tcW w:w="2709" w:type="dxa"/>
            <w:gridSpan w:val="4"/>
            <w:tcBorders>
              <w:top w:val="single" w:color="auto" w:sz="4" w:space="0"/>
            </w:tcBorders>
            <w:vAlign w:val="center"/>
          </w:tcPr>
          <w:p w14:paraId="323CD1B0">
            <w:pPr>
              <w:autoSpaceDN w:val="0"/>
              <w:spacing w:line="320" w:lineRule="exact"/>
              <w:jc w:val="left"/>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eastAsia="zh-CN"/>
              </w:rPr>
              <w:t>指标</w:t>
            </w:r>
            <w:r>
              <w:rPr>
                <w:rFonts w:hint="eastAsia" w:ascii="仿宋_GB2312" w:hAnsi="仿宋_GB2312" w:eastAsia="仿宋_GB2312" w:cs="仿宋_GB2312"/>
                <w:color w:val="000000"/>
                <w:sz w:val="24"/>
                <w:lang w:val="en-US" w:eastAsia="zh-CN"/>
              </w:rPr>
              <w:t>2：易地扶贫搬迁</w:t>
            </w:r>
          </w:p>
        </w:tc>
        <w:tc>
          <w:tcPr>
            <w:tcW w:w="2684" w:type="dxa"/>
            <w:gridSpan w:val="6"/>
            <w:tcBorders>
              <w:top w:val="single" w:color="auto" w:sz="4" w:space="0"/>
              <w:bottom w:val="single" w:color="auto" w:sz="4" w:space="0"/>
            </w:tcBorders>
            <w:vAlign w:val="center"/>
          </w:tcPr>
          <w:p w14:paraId="0D8EA1C2">
            <w:pPr>
              <w:autoSpaceDN w:val="0"/>
              <w:spacing w:line="320" w:lineRule="exact"/>
              <w:jc w:val="center"/>
              <w:textAlignment w:val="center"/>
              <w:rPr>
                <w:rFonts w:hint="eastAsia" w:ascii="仿宋_GB2312" w:hAnsi="仿宋_GB2312" w:eastAsia="仿宋_GB2312" w:cs="仿宋_GB2312"/>
                <w:b w:val="0"/>
                <w:bCs/>
                <w:color w:val="000000"/>
                <w:kern w:val="2"/>
                <w:sz w:val="24"/>
                <w:szCs w:val="24"/>
                <w:lang w:val="en-US" w:eastAsia="zh-CN" w:bidi="ar-SA"/>
              </w:rPr>
            </w:pPr>
            <w:r>
              <w:rPr>
                <w:rFonts w:hint="eastAsia" w:ascii="仿宋_GB2312" w:hAnsi="仿宋_GB2312" w:eastAsia="仿宋_GB2312" w:cs="仿宋_GB2312"/>
                <w:b w:val="0"/>
                <w:bCs/>
                <w:color w:val="000000"/>
                <w:kern w:val="2"/>
                <w:sz w:val="24"/>
                <w:szCs w:val="24"/>
                <w:lang w:val="en-US" w:eastAsia="zh-CN" w:bidi="ar-SA"/>
              </w:rPr>
              <w:t>改善人居环境预期目标</w:t>
            </w:r>
          </w:p>
        </w:tc>
      </w:tr>
      <w:tr w14:paraId="319C60A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08" w:type="dxa"/>
            <w:vMerge w:val="continue"/>
            <w:vAlign w:val="center"/>
          </w:tcPr>
          <w:p w14:paraId="1164B69F">
            <w:pPr>
              <w:spacing w:line="320" w:lineRule="exact"/>
              <w:rPr>
                <w:rFonts w:ascii="仿宋_GB2312" w:hAnsi="仿宋_GB2312" w:eastAsia="仿宋_GB2312" w:cs="仿宋_GB2312"/>
                <w:sz w:val="24"/>
              </w:rPr>
            </w:pPr>
          </w:p>
        </w:tc>
        <w:tc>
          <w:tcPr>
            <w:tcW w:w="1549" w:type="dxa"/>
            <w:gridSpan w:val="4"/>
            <w:vMerge w:val="continue"/>
            <w:vAlign w:val="center"/>
          </w:tcPr>
          <w:p w14:paraId="300CAA3A">
            <w:pPr>
              <w:autoSpaceDN w:val="0"/>
              <w:spacing w:line="320" w:lineRule="exact"/>
              <w:rPr>
                <w:rFonts w:ascii="仿宋_GB2312" w:hAnsi="仿宋_GB2312" w:eastAsia="仿宋_GB2312" w:cs="仿宋_GB2312"/>
                <w:sz w:val="24"/>
              </w:rPr>
            </w:pPr>
          </w:p>
        </w:tc>
        <w:tc>
          <w:tcPr>
            <w:tcW w:w="1417" w:type="dxa"/>
            <w:gridSpan w:val="2"/>
            <w:vMerge w:val="restart"/>
            <w:vAlign w:val="center"/>
          </w:tcPr>
          <w:p w14:paraId="5187D193">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社会公众或服务对象满意度</w:t>
            </w:r>
          </w:p>
        </w:tc>
        <w:tc>
          <w:tcPr>
            <w:tcW w:w="2709" w:type="dxa"/>
            <w:gridSpan w:val="4"/>
            <w:vAlign w:val="center"/>
          </w:tcPr>
          <w:p w14:paraId="607870BE">
            <w:pPr>
              <w:autoSpaceDN w:val="0"/>
              <w:spacing w:line="320" w:lineRule="exact"/>
              <w:ind w:left="720" w:hanging="720" w:hangingChars="300"/>
              <w:jc w:val="left"/>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rPr>
              <w:t>指标</w:t>
            </w:r>
            <w:r>
              <w:rPr>
                <w:rFonts w:hint="eastAsia" w:ascii="仿宋_GB2312" w:hAnsi="仿宋_GB2312" w:eastAsia="仿宋_GB2312" w:cs="仿宋_GB2312"/>
                <w:color w:val="000000"/>
                <w:sz w:val="24"/>
                <w:lang w:val="en-US" w:eastAsia="zh-CN"/>
              </w:rPr>
              <w:t>1</w:t>
            </w:r>
            <w:r>
              <w:rPr>
                <w:rFonts w:hint="eastAsia" w:ascii="仿宋_GB2312" w:hAnsi="仿宋_GB2312" w:eastAsia="仿宋_GB2312" w:cs="仿宋_GB2312"/>
                <w:color w:val="000000"/>
                <w:sz w:val="24"/>
              </w:rPr>
              <w:t>：</w:t>
            </w:r>
            <w:r>
              <w:rPr>
                <w:rFonts w:hint="eastAsia" w:ascii="仿宋_GB2312" w:hAnsi="仿宋_GB2312" w:eastAsia="仿宋_GB2312" w:cs="仿宋_GB2312"/>
                <w:color w:val="000000"/>
                <w:sz w:val="24"/>
                <w:lang w:eastAsia="zh-CN"/>
              </w:rPr>
              <w:t>放管服改革、工程领域改革</w:t>
            </w:r>
          </w:p>
        </w:tc>
        <w:tc>
          <w:tcPr>
            <w:tcW w:w="2684" w:type="dxa"/>
            <w:gridSpan w:val="6"/>
            <w:tcBorders>
              <w:top w:val="single" w:color="auto" w:sz="4" w:space="0"/>
            </w:tcBorders>
            <w:vAlign w:val="center"/>
          </w:tcPr>
          <w:p w14:paraId="01FE45D6">
            <w:pPr>
              <w:autoSpaceDN w:val="0"/>
              <w:spacing w:line="320" w:lineRule="exact"/>
              <w:jc w:val="both"/>
              <w:textAlignment w:val="center"/>
              <w:rPr>
                <w:rFonts w:hint="default" w:ascii="仿宋_GB2312" w:hAnsi="仿宋_GB2312" w:eastAsia="仿宋_GB2312" w:cs="仿宋_GB2312"/>
                <w:b w:val="0"/>
                <w:bCs/>
                <w:color w:val="000000"/>
                <w:kern w:val="2"/>
                <w:sz w:val="24"/>
                <w:szCs w:val="24"/>
                <w:lang w:val="en-US" w:eastAsia="zh-CN" w:bidi="ar-SA"/>
              </w:rPr>
            </w:pPr>
            <w:r>
              <w:rPr>
                <w:rFonts w:hint="eastAsia" w:ascii="仿宋_GB2312" w:hAnsi="仿宋_GB2312" w:eastAsia="仿宋_GB2312" w:cs="仿宋_GB2312"/>
                <w:b w:val="0"/>
                <w:bCs/>
                <w:color w:val="000000"/>
                <w:kern w:val="2"/>
                <w:sz w:val="24"/>
                <w:szCs w:val="24"/>
                <w:lang w:val="en-US" w:eastAsia="zh-CN" w:bidi="ar-SA"/>
              </w:rPr>
              <w:t>社会公众满意度97%以上</w:t>
            </w:r>
          </w:p>
        </w:tc>
      </w:tr>
      <w:tr w14:paraId="101C998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08" w:type="dxa"/>
            <w:vMerge w:val="continue"/>
            <w:vAlign w:val="center"/>
          </w:tcPr>
          <w:p w14:paraId="186A3DD9">
            <w:pPr>
              <w:spacing w:line="320" w:lineRule="exact"/>
              <w:rPr>
                <w:rFonts w:ascii="仿宋_GB2312" w:hAnsi="仿宋_GB2312" w:eastAsia="仿宋_GB2312" w:cs="仿宋_GB2312"/>
                <w:sz w:val="24"/>
              </w:rPr>
            </w:pPr>
          </w:p>
        </w:tc>
        <w:tc>
          <w:tcPr>
            <w:tcW w:w="1549" w:type="dxa"/>
            <w:gridSpan w:val="4"/>
            <w:vMerge w:val="continue"/>
            <w:vAlign w:val="center"/>
          </w:tcPr>
          <w:p w14:paraId="19C76D55">
            <w:pPr>
              <w:autoSpaceDN w:val="0"/>
              <w:spacing w:line="320" w:lineRule="exact"/>
              <w:rPr>
                <w:rFonts w:ascii="仿宋_GB2312" w:hAnsi="仿宋_GB2312" w:eastAsia="仿宋_GB2312" w:cs="仿宋_GB2312"/>
                <w:sz w:val="24"/>
              </w:rPr>
            </w:pPr>
          </w:p>
        </w:tc>
        <w:tc>
          <w:tcPr>
            <w:tcW w:w="1417" w:type="dxa"/>
            <w:gridSpan w:val="2"/>
            <w:vMerge w:val="continue"/>
            <w:vAlign w:val="center"/>
          </w:tcPr>
          <w:p w14:paraId="5D3B6EAF">
            <w:pPr>
              <w:autoSpaceDN w:val="0"/>
              <w:spacing w:line="320" w:lineRule="exact"/>
              <w:jc w:val="center"/>
              <w:textAlignment w:val="center"/>
              <w:rPr>
                <w:rFonts w:ascii="仿宋_GB2312" w:hAnsi="仿宋_GB2312" w:eastAsia="仿宋_GB2312" w:cs="仿宋_GB2312"/>
                <w:color w:val="000000"/>
                <w:sz w:val="24"/>
              </w:rPr>
            </w:pPr>
          </w:p>
        </w:tc>
        <w:tc>
          <w:tcPr>
            <w:tcW w:w="2709" w:type="dxa"/>
            <w:gridSpan w:val="4"/>
            <w:vAlign w:val="center"/>
          </w:tcPr>
          <w:p w14:paraId="4A2301D2">
            <w:pPr>
              <w:autoSpaceDN w:val="0"/>
              <w:spacing w:line="320" w:lineRule="exact"/>
              <w:ind w:left="720" w:hanging="720" w:hangingChars="300"/>
              <w:jc w:val="left"/>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rPr>
              <w:t>指标2：</w:t>
            </w:r>
            <w:r>
              <w:rPr>
                <w:rFonts w:hint="eastAsia" w:ascii="仿宋_GB2312" w:hAnsi="仿宋_GB2312" w:eastAsia="仿宋_GB2312" w:cs="仿宋_GB2312"/>
                <w:color w:val="000000"/>
                <w:sz w:val="24"/>
                <w:lang w:eastAsia="zh-CN"/>
              </w:rPr>
              <w:t>价格收费管理涉案物认证工作</w:t>
            </w:r>
          </w:p>
        </w:tc>
        <w:tc>
          <w:tcPr>
            <w:tcW w:w="2684" w:type="dxa"/>
            <w:gridSpan w:val="6"/>
            <w:vAlign w:val="center"/>
          </w:tcPr>
          <w:p w14:paraId="7C937D1D">
            <w:pPr>
              <w:autoSpaceDN w:val="0"/>
              <w:spacing w:line="320" w:lineRule="exact"/>
              <w:jc w:val="both"/>
              <w:textAlignment w:val="center"/>
              <w:rPr>
                <w:rFonts w:ascii="仿宋_GB2312" w:hAnsi="仿宋_GB2312" w:eastAsia="仿宋_GB2312" w:cs="仿宋_GB2312"/>
                <w:b w:val="0"/>
                <w:bCs/>
                <w:color w:val="000000"/>
                <w:kern w:val="2"/>
                <w:sz w:val="24"/>
                <w:szCs w:val="24"/>
                <w:lang w:val="en-US" w:eastAsia="zh-CN" w:bidi="ar-SA"/>
              </w:rPr>
            </w:pPr>
            <w:r>
              <w:rPr>
                <w:rFonts w:hint="eastAsia" w:ascii="仿宋_GB2312" w:hAnsi="仿宋_GB2312" w:eastAsia="仿宋_GB2312" w:cs="仿宋_GB2312"/>
                <w:b w:val="0"/>
                <w:bCs/>
                <w:color w:val="000000"/>
                <w:kern w:val="2"/>
                <w:sz w:val="24"/>
                <w:szCs w:val="24"/>
                <w:lang w:val="en-US" w:eastAsia="zh-CN" w:bidi="ar-SA"/>
              </w:rPr>
              <w:t>服务对象满意度97%以上</w:t>
            </w:r>
          </w:p>
        </w:tc>
      </w:tr>
      <w:tr w14:paraId="23A9AE1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2957" w:type="dxa"/>
            <w:gridSpan w:val="5"/>
            <w:vAlign w:val="center"/>
          </w:tcPr>
          <w:p w14:paraId="33B6ABB2">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绩效自评综合得分</w:t>
            </w:r>
          </w:p>
        </w:tc>
        <w:tc>
          <w:tcPr>
            <w:tcW w:w="6810" w:type="dxa"/>
            <w:gridSpan w:val="12"/>
            <w:vAlign w:val="center"/>
          </w:tcPr>
          <w:p w14:paraId="495027BF">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97</w:t>
            </w:r>
          </w:p>
        </w:tc>
      </w:tr>
      <w:tr w14:paraId="217665D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2957" w:type="dxa"/>
            <w:gridSpan w:val="5"/>
            <w:vAlign w:val="center"/>
          </w:tcPr>
          <w:p w14:paraId="3721ABCC">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评价等次</w:t>
            </w:r>
          </w:p>
        </w:tc>
        <w:tc>
          <w:tcPr>
            <w:tcW w:w="6810" w:type="dxa"/>
            <w:gridSpan w:val="12"/>
            <w:vAlign w:val="center"/>
          </w:tcPr>
          <w:p w14:paraId="235405A5">
            <w:pPr>
              <w:autoSpaceDN w:val="0"/>
              <w:spacing w:line="320" w:lineRule="exact"/>
              <w:jc w:val="center"/>
              <w:textAlignment w:val="center"/>
              <w:rPr>
                <w:rFonts w:ascii="仿宋_GB2312" w:hAnsi="仿宋_GB2312" w:eastAsia="仿宋_GB2312" w:cs="仿宋_GB2312"/>
                <w:color w:val="000000"/>
                <w:sz w:val="24"/>
              </w:rPr>
            </w:pPr>
          </w:p>
        </w:tc>
      </w:tr>
      <w:tr w14:paraId="33C8298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80" w:hRule="atLeast"/>
          <w:jc w:val="center"/>
        </w:trPr>
        <w:tc>
          <w:tcPr>
            <w:tcW w:w="9767" w:type="dxa"/>
            <w:gridSpan w:val="17"/>
            <w:vAlign w:val="center"/>
          </w:tcPr>
          <w:p w14:paraId="4C5B7748">
            <w:pPr>
              <w:autoSpaceDN w:val="0"/>
              <w:spacing w:line="320" w:lineRule="exact"/>
              <w:jc w:val="center"/>
              <w:textAlignment w:val="center"/>
              <w:rPr>
                <w:rFonts w:ascii="仿宋_GB2312" w:hAnsi="仿宋_GB2312" w:eastAsia="仿宋_GB2312" w:cs="仿宋_GB2312"/>
                <w:color w:val="000000"/>
                <w:sz w:val="24"/>
              </w:rPr>
            </w:pPr>
            <w:r>
              <w:rPr>
                <w:rFonts w:hint="eastAsia" w:ascii="黑体" w:hAnsi="黑体" w:eastAsia="黑体" w:cs="黑体"/>
                <w:color w:val="000000"/>
                <w:sz w:val="28"/>
                <w:szCs w:val="28"/>
              </w:rPr>
              <w:t>四、评价人员</w:t>
            </w:r>
          </w:p>
        </w:tc>
      </w:tr>
      <w:tr w14:paraId="455A44C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621" w:type="dxa"/>
            <w:gridSpan w:val="2"/>
            <w:vAlign w:val="center"/>
          </w:tcPr>
          <w:p w14:paraId="037E2694">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姓  名</w:t>
            </w:r>
          </w:p>
        </w:tc>
        <w:tc>
          <w:tcPr>
            <w:tcW w:w="3561" w:type="dxa"/>
            <w:gridSpan w:val="6"/>
            <w:vAlign w:val="center"/>
          </w:tcPr>
          <w:p w14:paraId="690A76B6">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职务/职称</w:t>
            </w:r>
          </w:p>
        </w:tc>
        <w:tc>
          <w:tcPr>
            <w:tcW w:w="1479" w:type="dxa"/>
            <w:vAlign w:val="center"/>
          </w:tcPr>
          <w:p w14:paraId="5061DBF3">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单  位</w:t>
            </w:r>
          </w:p>
        </w:tc>
        <w:tc>
          <w:tcPr>
            <w:tcW w:w="3106" w:type="dxa"/>
            <w:gridSpan w:val="8"/>
            <w:vAlign w:val="center"/>
          </w:tcPr>
          <w:p w14:paraId="20BF5982">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签  字</w:t>
            </w:r>
          </w:p>
        </w:tc>
      </w:tr>
      <w:tr w14:paraId="1561CE7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80" w:hRule="atLeast"/>
          <w:jc w:val="center"/>
        </w:trPr>
        <w:tc>
          <w:tcPr>
            <w:tcW w:w="1621" w:type="dxa"/>
            <w:gridSpan w:val="2"/>
            <w:vAlign w:val="center"/>
          </w:tcPr>
          <w:p w14:paraId="5651B604">
            <w:pPr>
              <w:autoSpaceDN w:val="0"/>
              <w:spacing w:line="320" w:lineRule="exact"/>
              <w:jc w:val="center"/>
              <w:textAlignment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lang w:eastAsia="zh-CN"/>
              </w:rPr>
              <w:t>方志宏</w:t>
            </w:r>
          </w:p>
        </w:tc>
        <w:tc>
          <w:tcPr>
            <w:tcW w:w="3561" w:type="dxa"/>
            <w:gridSpan w:val="6"/>
            <w:vAlign w:val="center"/>
          </w:tcPr>
          <w:p w14:paraId="694C6FD5">
            <w:pPr>
              <w:autoSpaceDN w:val="0"/>
              <w:spacing w:line="320" w:lineRule="exact"/>
              <w:jc w:val="center"/>
              <w:textAlignment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lang w:eastAsia="zh-CN"/>
              </w:rPr>
              <w:t>副局长</w:t>
            </w:r>
          </w:p>
        </w:tc>
        <w:tc>
          <w:tcPr>
            <w:tcW w:w="1479" w:type="dxa"/>
            <w:vAlign w:val="center"/>
          </w:tcPr>
          <w:p w14:paraId="1CE4DD8C">
            <w:pPr>
              <w:autoSpaceDN w:val="0"/>
              <w:spacing w:line="320" w:lineRule="exact"/>
              <w:jc w:val="center"/>
              <w:textAlignment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lang w:eastAsia="zh-CN"/>
              </w:rPr>
              <w:t>发改局</w:t>
            </w:r>
          </w:p>
        </w:tc>
        <w:tc>
          <w:tcPr>
            <w:tcW w:w="3106" w:type="dxa"/>
            <w:gridSpan w:val="8"/>
            <w:vAlign w:val="center"/>
          </w:tcPr>
          <w:p w14:paraId="31E182B8">
            <w:pPr>
              <w:autoSpaceDN w:val="0"/>
              <w:spacing w:line="320" w:lineRule="exact"/>
              <w:jc w:val="center"/>
              <w:textAlignment w:val="center"/>
              <w:rPr>
                <w:rFonts w:ascii="仿宋_GB2312" w:hAnsi="仿宋_GB2312" w:eastAsia="仿宋_GB2312" w:cs="仿宋_GB2312"/>
                <w:color w:val="000000"/>
                <w:sz w:val="24"/>
              </w:rPr>
            </w:pPr>
          </w:p>
        </w:tc>
      </w:tr>
      <w:tr w14:paraId="68B518AB">
        <w:tblPrEx>
          <w:tblCellMar>
            <w:top w:w="0" w:type="dxa"/>
            <w:left w:w="15" w:type="dxa"/>
            <w:bottom w:w="0" w:type="dxa"/>
            <w:right w:w="15" w:type="dxa"/>
          </w:tblCellMar>
        </w:tblPrEx>
        <w:trPr>
          <w:trHeight w:val="680" w:hRule="atLeast"/>
          <w:jc w:val="center"/>
        </w:trPr>
        <w:tc>
          <w:tcPr>
            <w:tcW w:w="1621" w:type="dxa"/>
            <w:gridSpan w:val="2"/>
            <w:vAlign w:val="center"/>
          </w:tcPr>
          <w:p w14:paraId="66ECA8F8">
            <w:pPr>
              <w:autoSpaceDN w:val="0"/>
              <w:spacing w:line="320" w:lineRule="exact"/>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lang w:eastAsia="zh-CN"/>
              </w:rPr>
              <w:t>吴晓</w:t>
            </w:r>
          </w:p>
        </w:tc>
        <w:tc>
          <w:tcPr>
            <w:tcW w:w="3561" w:type="dxa"/>
            <w:gridSpan w:val="6"/>
            <w:vAlign w:val="center"/>
          </w:tcPr>
          <w:p w14:paraId="6299420A">
            <w:pPr>
              <w:autoSpaceDN w:val="0"/>
              <w:spacing w:line="320" w:lineRule="exact"/>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lang w:eastAsia="zh-CN"/>
              </w:rPr>
              <w:t>办公室主任</w:t>
            </w:r>
          </w:p>
        </w:tc>
        <w:tc>
          <w:tcPr>
            <w:tcW w:w="1479" w:type="dxa"/>
            <w:vAlign w:val="center"/>
          </w:tcPr>
          <w:p w14:paraId="2F6EA873">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lang w:eastAsia="zh-CN"/>
              </w:rPr>
              <w:t>发改局</w:t>
            </w:r>
          </w:p>
        </w:tc>
        <w:tc>
          <w:tcPr>
            <w:tcW w:w="3106" w:type="dxa"/>
            <w:gridSpan w:val="8"/>
            <w:vAlign w:val="center"/>
          </w:tcPr>
          <w:p w14:paraId="659650D9">
            <w:pPr>
              <w:autoSpaceDN w:val="0"/>
              <w:spacing w:line="320" w:lineRule="exact"/>
              <w:jc w:val="center"/>
              <w:textAlignment w:val="center"/>
              <w:rPr>
                <w:rFonts w:ascii="仿宋_GB2312" w:hAnsi="仿宋_GB2312" w:eastAsia="仿宋_GB2312" w:cs="仿宋_GB2312"/>
                <w:color w:val="000000"/>
                <w:sz w:val="24"/>
              </w:rPr>
            </w:pPr>
          </w:p>
        </w:tc>
      </w:tr>
      <w:tr w14:paraId="26BD28F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80" w:hRule="atLeast"/>
          <w:jc w:val="center"/>
        </w:trPr>
        <w:tc>
          <w:tcPr>
            <w:tcW w:w="1621" w:type="dxa"/>
            <w:gridSpan w:val="2"/>
            <w:vAlign w:val="center"/>
          </w:tcPr>
          <w:p w14:paraId="67DA10E7">
            <w:pPr>
              <w:autoSpaceDN w:val="0"/>
              <w:spacing w:line="320" w:lineRule="exact"/>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lang w:eastAsia="zh-CN"/>
              </w:rPr>
              <w:t>钟孝</w:t>
            </w:r>
          </w:p>
        </w:tc>
        <w:tc>
          <w:tcPr>
            <w:tcW w:w="3561" w:type="dxa"/>
            <w:gridSpan w:val="6"/>
            <w:vAlign w:val="center"/>
          </w:tcPr>
          <w:p w14:paraId="392EB0D7">
            <w:pPr>
              <w:autoSpaceDN w:val="0"/>
              <w:spacing w:line="320" w:lineRule="exact"/>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lang w:eastAsia="zh-CN"/>
              </w:rPr>
              <w:t>投资股股长</w:t>
            </w:r>
          </w:p>
        </w:tc>
        <w:tc>
          <w:tcPr>
            <w:tcW w:w="1479" w:type="dxa"/>
            <w:vAlign w:val="center"/>
          </w:tcPr>
          <w:p w14:paraId="21CBB519">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lang w:eastAsia="zh-CN"/>
              </w:rPr>
              <w:t>发改局</w:t>
            </w:r>
          </w:p>
        </w:tc>
        <w:tc>
          <w:tcPr>
            <w:tcW w:w="3106" w:type="dxa"/>
            <w:gridSpan w:val="8"/>
            <w:vAlign w:val="center"/>
          </w:tcPr>
          <w:p w14:paraId="7BDB3EF4">
            <w:pPr>
              <w:autoSpaceDN w:val="0"/>
              <w:spacing w:line="320" w:lineRule="exact"/>
              <w:jc w:val="center"/>
              <w:textAlignment w:val="center"/>
              <w:rPr>
                <w:rFonts w:ascii="仿宋_GB2312" w:hAnsi="仿宋_GB2312" w:eastAsia="仿宋_GB2312" w:cs="仿宋_GB2312"/>
                <w:color w:val="000000"/>
                <w:sz w:val="24"/>
              </w:rPr>
            </w:pPr>
          </w:p>
        </w:tc>
      </w:tr>
      <w:tr w14:paraId="6159992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80" w:hRule="atLeast"/>
          <w:jc w:val="center"/>
        </w:trPr>
        <w:tc>
          <w:tcPr>
            <w:tcW w:w="1621" w:type="dxa"/>
            <w:gridSpan w:val="2"/>
            <w:vAlign w:val="center"/>
          </w:tcPr>
          <w:p w14:paraId="5F7CC510">
            <w:pPr>
              <w:autoSpaceDN w:val="0"/>
              <w:spacing w:line="320" w:lineRule="exact"/>
              <w:jc w:val="center"/>
              <w:textAlignment w:val="center"/>
              <w:rPr>
                <w:rFonts w:hint="default"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lang w:eastAsia="zh-CN"/>
              </w:rPr>
              <w:t>黎丽萍</w:t>
            </w:r>
          </w:p>
        </w:tc>
        <w:tc>
          <w:tcPr>
            <w:tcW w:w="3561" w:type="dxa"/>
            <w:gridSpan w:val="6"/>
            <w:vAlign w:val="center"/>
          </w:tcPr>
          <w:p w14:paraId="4A6C40CF">
            <w:pPr>
              <w:autoSpaceDN w:val="0"/>
              <w:spacing w:line="320" w:lineRule="exact"/>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kern w:val="2"/>
                <w:sz w:val="24"/>
                <w:szCs w:val="24"/>
                <w:lang w:val="en-US" w:eastAsia="zh-CN" w:bidi="ar-SA"/>
              </w:rPr>
              <w:t>会计</w:t>
            </w:r>
          </w:p>
        </w:tc>
        <w:tc>
          <w:tcPr>
            <w:tcW w:w="1479" w:type="dxa"/>
            <w:vAlign w:val="center"/>
          </w:tcPr>
          <w:p w14:paraId="7A0EBDD5">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lang w:eastAsia="zh-CN"/>
              </w:rPr>
              <w:t>发改局</w:t>
            </w:r>
          </w:p>
        </w:tc>
        <w:tc>
          <w:tcPr>
            <w:tcW w:w="3106" w:type="dxa"/>
            <w:gridSpan w:val="8"/>
            <w:vAlign w:val="center"/>
          </w:tcPr>
          <w:p w14:paraId="34C63DA1">
            <w:pPr>
              <w:autoSpaceDN w:val="0"/>
              <w:spacing w:line="320" w:lineRule="exact"/>
              <w:jc w:val="center"/>
              <w:textAlignment w:val="center"/>
              <w:rPr>
                <w:rFonts w:ascii="仿宋_GB2312" w:hAnsi="仿宋_GB2312" w:eastAsia="仿宋_GB2312" w:cs="仿宋_GB2312"/>
                <w:color w:val="000000"/>
                <w:sz w:val="24"/>
              </w:rPr>
            </w:pPr>
          </w:p>
        </w:tc>
      </w:tr>
      <w:tr w14:paraId="36A7382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442" w:hRule="atLeast"/>
          <w:jc w:val="center"/>
        </w:trPr>
        <w:tc>
          <w:tcPr>
            <w:tcW w:w="9767" w:type="dxa"/>
            <w:gridSpan w:val="17"/>
            <w:vAlign w:val="center"/>
          </w:tcPr>
          <w:p w14:paraId="7C7F9919">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评价组组长（签字）：</w:t>
            </w:r>
          </w:p>
          <w:p w14:paraId="6E7143B4">
            <w:pPr>
              <w:autoSpaceDN w:val="0"/>
              <w:spacing w:line="320" w:lineRule="exact"/>
              <w:jc w:val="left"/>
              <w:textAlignment w:val="center"/>
              <w:rPr>
                <w:rFonts w:ascii="仿宋_GB2312" w:hAnsi="仿宋_GB2312" w:eastAsia="仿宋_GB2312" w:cs="仿宋_GB2312"/>
                <w:color w:val="000000"/>
                <w:sz w:val="24"/>
              </w:rPr>
            </w:pPr>
          </w:p>
          <w:p w14:paraId="2C8F74E9">
            <w:pPr>
              <w:autoSpaceDN w:val="0"/>
              <w:spacing w:line="320" w:lineRule="exact"/>
              <w:jc w:val="left"/>
              <w:textAlignment w:val="center"/>
              <w:rPr>
                <w:rFonts w:ascii="仿宋_GB2312" w:hAnsi="仿宋_GB2312" w:eastAsia="仿宋_GB2312" w:cs="仿宋_GB2312"/>
                <w:color w:val="000000"/>
                <w:sz w:val="24"/>
              </w:rPr>
            </w:pPr>
          </w:p>
          <w:p w14:paraId="62F7B810">
            <w:pPr>
              <w:autoSpaceDN w:val="0"/>
              <w:spacing w:line="320" w:lineRule="exact"/>
              <w:jc w:val="left"/>
              <w:textAlignment w:val="center"/>
              <w:rPr>
                <w:rFonts w:ascii="仿宋_GB2312" w:hAnsi="仿宋_GB2312" w:eastAsia="仿宋_GB2312" w:cs="仿宋_GB2312"/>
                <w:color w:val="000000"/>
                <w:sz w:val="24"/>
              </w:rPr>
            </w:pPr>
          </w:p>
          <w:p w14:paraId="55112A7D">
            <w:pPr>
              <w:autoSpaceDN w:val="0"/>
              <w:spacing w:line="320" w:lineRule="exact"/>
              <w:jc w:val="left"/>
              <w:textAlignment w:val="center"/>
              <w:rPr>
                <w:rFonts w:ascii="仿宋_GB2312" w:hAnsi="仿宋_GB2312" w:eastAsia="仿宋_GB2312" w:cs="仿宋_GB2312"/>
                <w:color w:val="000000"/>
                <w:sz w:val="24"/>
              </w:rPr>
            </w:pPr>
          </w:p>
          <w:p w14:paraId="1367F136">
            <w:pPr>
              <w:autoSpaceDN w:val="0"/>
              <w:spacing w:line="320" w:lineRule="exact"/>
              <w:jc w:val="left"/>
              <w:textAlignment w:val="center"/>
              <w:rPr>
                <w:rFonts w:ascii="仿宋_GB2312" w:hAnsi="仿宋_GB2312" w:eastAsia="仿宋_GB2312" w:cs="仿宋_GB2312"/>
                <w:color w:val="000000"/>
                <w:sz w:val="24"/>
              </w:rPr>
            </w:pPr>
          </w:p>
          <w:p w14:paraId="65E2D3CA">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 xml:space="preserve">                                                               年    月    日</w:t>
            </w:r>
          </w:p>
        </w:tc>
      </w:tr>
      <w:tr w14:paraId="097CD2D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140" w:hRule="atLeast"/>
          <w:jc w:val="center"/>
        </w:trPr>
        <w:tc>
          <w:tcPr>
            <w:tcW w:w="9767" w:type="dxa"/>
            <w:gridSpan w:val="17"/>
            <w:vAlign w:val="center"/>
          </w:tcPr>
          <w:p w14:paraId="282B2761">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部门（单位）意见：</w:t>
            </w:r>
          </w:p>
          <w:p w14:paraId="5A6CAD7D">
            <w:pPr>
              <w:autoSpaceDN w:val="0"/>
              <w:spacing w:line="320" w:lineRule="exact"/>
              <w:jc w:val="left"/>
              <w:textAlignment w:val="center"/>
              <w:rPr>
                <w:rFonts w:ascii="仿宋_GB2312" w:hAnsi="仿宋_GB2312" w:eastAsia="仿宋_GB2312" w:cs="仿宋_GB2312"/>
                <w:color w:val="000000"/>
                <w:sz w:val="24"/>
              </w:rPr>
            </w:pPr>
          </w:p>
          <w:p w14:paraId="66ACF61E">
            <w:pPr>
              <w:autoSpaceDN w:val="0"/>
              <w:spacing w:line="320" w:lineRule="exact"/>
              <w:jc w:val="left"/>
              <w:textAlignment w:val="center"/>
              <w:rPr>
                <w:rFonts w:ascii="仿宋_GB2312" w:hAnsi="仿宋_GB2312" w:eastAsia="仿宋_GB2312" w:cs="仿宋_GB2312"/>
                <w:color w:val="000000"/>
                <w:sz w:val="24"/>
              </w:rPr>
            </w:pPr>
          </w:p>
          <w:p w14:paraId="30929F68">
            <w:pPr>
              <w:autoSpaceDN w:val="0"/>
              <w:spacing w:line="320" w:lineRule="exact"/>
              <w:jc w:val="left"/>
              <w:textAlignment w:val="center"/>
              <w:rPr>
                <w:rFonts w:ascii="仿宋_GB2312" w:hAnsi="仿宋_GB2312" w:eastAsia="仿宋_GB2312" w:cs="仿宋_GB2312"/>
                <w:color w:val="000000"/>
                <w:sz w:val="24"/>
              </w:rPr>
            </w:pPr>
          </w:p>
          <w:p w14:paraId="0380FADF">
            <w:pPr>
              <w:autoSpaceDN w:val="0"/>
              <w:spacing w:line="320" w:lineRule="exact"/>
              <w:jc w:val="left"/>
              <w:textAlignment w:val="center"/>
              <w:rPr>
                <w:rFonts w:ascii="仿宋_GB2312" w:hAnsi="仿宋_GB2312" w:eastAsia="仿宋_GB2312" w:cs="仿宋_GB2312"/>
                <w:color w:val="000000"/>
                <w:sz w:val="24"/>
              </w:rPr>
            </w:pPr>
          </w:p>
          <w:p w14:paraId="3447915C">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 xml:space="preserve">                                         部门（单位）负责人（签章）：</w:t>
            </w:r>
          </w:p>
          <w:p w14:paraId="5A21B66B">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 xml:space="preserve">                                                             年    月    日</w:t>
            </w:r>
          </w:p>
        </w:tc>
      </w:tr>
      <w:tr w14:paraId="4EB7429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90" w:hRule="atLeast"/>
          <w:jc w:val="center"/>
        </w:trPr>
        <w:tc>
          <w:tcPr>
            <w:tcW w:w="9767" w:type="dxa"/>
            <w:gridSpan w:val="17"/>
            <w:vAlign w:val="center"/>
          </w:tcPr>
          <w:p w14:paraId="21B6D0FA">
            <w:pPr>
              <w:spacing w:line="320" w:lineRule="exact"/>
              <w:rPr>
                <w:rFonts w:eastAsia="仿宋_GB2312"/>
                <w:sz w:val="24"/>
              </w:rPr>
            </w:pPr>
            <w:r>
              <w:rPr>
                <w:rFonts w:hint="eastAsia" w:eastAsia="仿宋_GB2312"/>
                <w:sz w:val="24"/>
              </w:rPr>
              <w:t>财政部门归口业务科室意见：</w:t>
            </w:r>
          </w:p>
          <w:p w14:paraId="09EB31DC">
            <w:pPr>
              <w:spacing w:line="320" w:lineRule="exact"/>
              <w:rPr>
                <w:rFonts w:eastAsia="仿宋_GB2312"/>
                <w:sz w:val="24"/>
              </w:rPr>
            </w:pPr>
          </w:p>
          <w:p w14:paraId="49725E29">
            <w:pPr>
              <w:spacing w:line="320" w:lineRule="exact"/>
              <w:rPr>
                <w:rFonts w:eastAsia="仿宋_GB2312"/>
                <w:sz w:val="24"/>
              </w:rPr>
            </w:pPr>
          </w:p>
          <w:p w14:paraId="6B64B41B">
            <w:pPr>
              <w:spacing w:line="320" w:lineRule="exact"/>
              <w:rPr>
                <w:rFonts w:eastAsia="仿宋_GB2312"/>
                <w:sz w:val="24"/>
              </w:rPr>
            </w:pPr>
          </w:p>
          <w:p w14:paraId="676F710D">
            <w:pPr>
              <w:spacing w:line="320" w:lineRule="exact"/>
              <w:rPr>
                <w:rFonts w:eastAsia="仿宋_GB2312"/>
                <w:sz w:val="24"/>
              </w:rPr>
            </w:pPr>
            <w:r>
              <w:rPr>
                <w:rFonts w:hint="eastAsia" w:eastAsia="仿宋_GB2312"/>
                <w:sz w:val="24"/>
              </w:rPr>
              <w:t xml:space="preserve">                                  财政部门归口业务科室负责人（签章）：</w:t>
            </w:r>
          </w:p>
          <w:p w14:paraId="4C4D16DC">
            <w:pPr>
              <w:autoSpaceDN w:val="0"/>
              <w:spacing w:line="320" w:lineRule="exact"/>
              <w:jc w:val="left"/>
              <w:textAlignment w:val="center"/>
              <w:rPr>
                <w:rFonts w:ascii="仿宋_GB2312" w:hAnsi="仿宋_GB2312" w:eastAsia="仿宋_GB2312" w:cs="仿宋_GB2312"/>
                <w:color w:val="000000"/>
                <w:sz w:val="24"/>
              </w:rPr>
            </w:pPr>
            <w:r>
              <w:rPr>
                <w:rFonts w:hint="eastAsia" w:eastAsia="仿宋_GB2312"/>
                <w:sz w:val="24"/>
              </w:rPr>
              <w:t xml:space="preserve">                                                                 年    月   日</w:t>
            </w:r>
          </w:p>
        </w:tc>
      </w:tr>
    </w:tbl>
    <w:p w14:paraId="27F5ACF4">
      <w:pPr>
        <w:rPr>
          <w:rFonts w:eastAsia="仿宋_GB2312" w:cs="仿宋_GB2312"/>
          <w:bCs/>
          <w:sz w:val="28"/>
          <w:szCs w:val="28"/>
        </w:rPr>
      </w:pPr>
      <w:r>
        <w:rPr>
          <w:rFonts w:hint="eastAsia" w:eastAsia="仿宋_GB2312" w:cs="仿宋_GB2312"/>
          <w:bCs/>
          <w:sz w:val="28"/>
          <w:szCs w:val="28"/>
        </w:rPr>
        <w:t>填报人（签名）：                          联系电话：</w:t>
      </w:r>
    </w:p>
    <w:tbl>
      <w:tblPr>
        <w:tblStyle w:val="4"/>
        <w:tblW w:w="955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58"/>
      </w:tblGrid>
      <w:tr w14:paraId="7F9FDA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98" w:hRule="atLeast"/>
          <w:jc w:val="center"/>
        </w:trPr>
        <w:tc>
          <w:tcPr>
            <w:tcW w:w="9558" w:type="dxa"/>
          </w:tcPr>
          <w:p w14:paraId="0D3B105B">
            <w:pPr>
              <w:jc w:val="center"/>
              <w:rPr>
                <w:rFonts w:ascii="黑体" w:hAnsi="黑体" w:eastAsia="黑体" w:cs="黑体"/>
                <w:bCs/>
                <w:sz w:val="28"/>
                <w:szCs w:val="28"/>
              </w:rPr>
            </w:pPr>
            <w:r>
              <w:rPr>
                <w:rFonts w:hint="eastAsia" w:ascii="黑体" w:hAnsi="黑体" w:eastAsia="黑体" w:cs="黑体"/>
                <w:bCs/>
                <w:sz w:val="28"/>
                <w:szCs w:val="28"/>
              </w:rPr>
              <w:t>五、评价报告综述（文字部分）</w:t>
            </w:r>
          </w:p>
          <w:p w14:paraId="29CD1413">
            <w:pPr>
              <w:spacing w:line="440" w:lineRule="exact"/>
              <w:ind w:firstLine="640" w:firstLineChars="200"/>
              <w:rPr>
                <w:rFonts w:eastAsia="仿宋_GB2312"/>
                <w:sz w:val="32"/>
                <w:szCs w:val="32"/>
              </w:rPr>
            </w:pPr>
          </w:p>
          <w:p w14:paraId="73B6E3A0">
            <w:pPr>
              <w:spacing w:line="560" w:lineRule="exact"/>
              <w:ind w:firstLine="843" w:firstLineChars="300"/>
              <w:rPr>
                <w:rFonts w:hint="eastAsia" w:ascii="仿宋" w:hAnsi="仿宋" w:eastAsia="仿宋" w:cs="仿宋"/>
                <w:b/>
                <w:bCs w:val="0"/>
                <w:sz w:val="28"/>
                <w:szCs w:val="28"/>
              </w:rPr>
            </w:pPr>
            <w:r>
              <w:rPr>
                <w:rFonts w:hint="eastAsia" w:ascii="仿宋" w:hAnsi="仿宋" w:eastAsia="仿宋" w:cs="仿宋"/>
                <w:b/>
                <w:bCs w:val="0"/>
                <w:sz w:val="28"/>
                <w:szCs w:val="28"/>
              </w:rPr>
              <w:t>一、部门（单位）概况</w:t>
            </w:r>
          </w:p>
          <w:p w14:paraId="4FF7F931">
            <w:pPr>
              <w:spacing w:line="560" w:lineRule="exact"/>
              <w:ind w:firstLine="562" w:firstLineChars="200"/>
              <w:rPr>
                <w:rFonts w:hint="eastAsia" w:ascii="仿宋" w:hAnsi="仿宋" w:eastAsia="仿宋" w:cs="仿宋"/>
                <w:b/>
                <w:bCs w:val="0"/>
                <w:sz w:val="28"/>
                <w:szCs w:val="28"/>
              </w:rPr>
            </w:pPr>
            <w:r>
              <w:rPr>
                <w:rFonts w:hint="eastAsia" w:ascii="仿宋" w:hAnsi="仿宋" w:eastAsia="仿宋" w:cs="仿宋"/>
                <w:b/>
                <w:bCs w:val="0"/>
                <w:sz w:val="28"/>
                <w:szCs w:val="28"/>
              </w:rPr>
              <w:t>（一）部门（单位）基本情况</w:t>
            </w:r>
          </w:p>
          <w:p w14:paraId="7DDEE057">
            <w:pPr>
              <w:keepNext w:val="0"/>
              <w:keepLines w:val="0"/>
              <w:pageBreakBefore w:val="0"/>
              <w:kinsoku/>
              <w:wordWrap/>
              <w:overflowPunct/>
              <w:topLinePunct w:val="0"/>
              <w:bidi w:val="0"/>
              <w:snapToGrid/>
              <w:spacing w:line="520" w:lineRule="exact"/>
              <w:ind w:firstLine="562" w:firstLineChars="200"/>
              <w:textAlignment w:val="auto"/>
              <w:rPr>
                <w:rFonts w:hint="eastAsia" w:ascii="仿宋" w:hAnsi="仿宋" w:eastAsia="仿宋" w:cs="仿宋"/>
                <w:b/>
                <w:bCs w:val="0"/>
                <w:sz w:val="28"/>
                <w:szCs w:val="28"/>
              </w:rPr>
            </w:pPr>
            <w:r>
              <w:rPr>
                <w:rFonts w:hint="eastAsia" w:ascii="仿宋" w:hAnsi="仿宋" w:eastAsia="仿宋" w:cs="仿宋"/>
                <w:b/>
                <w:bCs w:val="0"/>
                <w:sz w:val="28"/>
                <w:szCs w:val="28"/>
              </w:rPr>
              <w:t>1、职能职责</w:t>
            </w:r>
          </w:p>
          <w:p w14:paraId="3A1AF4E6">
            <w:pPr>
              <w:keepNext w:val="0"/>
              <w:keepLines w:val="0"/>
              <w:pageBreakBefore w:val="0"/>
              <w:kinsoku/>
              <w:wordWrap/>
              <w:overflowPunct/>
              <w:topLinePunct w:val="0"/>
              <w:bidi w:val="0"/>
              <w:snapToGrid/>
              <w:spacing w:line="520" w:lineRule="exact"/>
              <w:ind w:firstLine="560" w:firstLineChars="200"/>
              <w:textAlignment w:val="auto"/>
              <w:rPr>
                <w:rFonts w:hint="eastAsia" w:ascii="仿宋" w:hAnsi="仿宋" w:eastAsia="仿宋" w:cs="仿宋"/>
                <w:bCs/>
                <w:sz w:val="28"/>
                <w:szCs w:val="28"/>
              </w:rPr>
            </w:pPr>
            <w:r>
              <w:rPr>
                <w:rFonts w:hint="eastAsia" w:ascii="仿宋" w:hAnsi="仿宋" w:eastAsia="仿宋" w:cs="仿宋"/>
                <w:bCs/>
                <w:sz w:val="28"/>
                <w:szCs w:val="28"/>
              </w:rPr>
              <w:t xml:space="preserve">拟订全县国民经济和社会发展战略、中长期规划和年度计划并组织实施；组织编制国民经济动员、国防交通保障规划、计划；统筹规划和综合协调产业发展，推动全县经济结构战略性调整；协调平衡卫生健康、科技教育、文化旅游、体育民政等发展政策；推进可持续发展战略，负责节能减排的综合协调工作；负责全县固定资产投资管理；负责全县价格工作的宏观管理和综合平衡；完成上级交办的其他任务。       </w:t>
            </w:r>
          </w:p>
          <w:p w14:paraId="32D8C0DA">
            <w:pPr>
              <w:keepNext w:val="0"/>
              <w:keepLines w:val="0"/>
              <w:pageBreakBefore w:val="0"/>
              <w:kinsoku/>
              <w:wordWrap/>
              <w:overflowPunct/>
              <w:topLinePunct w:val="0"/>
              <w:bidi w:val="0"/>
              <w:snapToGrid/>
              <w:spacing w:line="520" w:lineRule="exact"/>
              <w:ind w:firstLine="562" w:firstLineChars="200"/>
              <w:textAlignment w:val="auto"/>
              <w:rPr>
                <w:rFonts w:hint="eastAsia" w:ascii="仿宋" w:hAnsi="仿宋" w:eastAsia="仿宋" w:cs="仿宋"/>
                <w:b/>
                <w:bCs w:val="0"/>
                <w:sz w:val="28"/>
                <w:szCs w:val="28"/>
              </w:rPr>
            </w:pPr>
            <w:r>
              <w:rPr>
                <w:rFonts w:hint="eastAsia" w:ascii="仿宋" w:hAnsi="仿宋" w:eastAsia="仿宋" w:cs="仿宋"/>
                <w:b/>
                <w:bCs w:val="0"/>
                <w:sz w:val="28"/>
                <w:szCs w:val="28"/>
              </w:rPr>
              <w:t>2、机构设置</w:t>
            </w:r>
          </w:p>
          <w:p w14:paraId="69D891A3">
            <w:pPr>
              <w:keepNext w:val="0"/>
              <w:keepLines w:val="0"/>
              <w:pageBreakBefore w:val="0"/>
              <w:kinsoku/>
              <w:wordWrap/>
              <w:overflowPunct/>
              <w:topLinePunct w:val="0"/>
              <w:bidi w:val="0"/>
              <w:snapToGrid/>
              <w:spacing w:line="520" w:lineRule="exact"/>
              <w:ind w:firstLine="560" w:firstLineChars="200"/>
              <w:textAlignment w:val="auto"/>
              <w:rPr>
                <w:rFonts w:hint="eastAsia" w:ascii="仿宋" w:hAnsi="仿宋" w:eastAsia="仿宋" w:cs="仿宋"/>
                <w:sz w:val="28"/>
                <w:szCs w:val="28"/>
              </w:rPr>
            </w:pPr>
            <w:r>
              <w:rPr>
                <w:rFonts w:hint="eastAsia" w:ascii="仿宋" w:hAnsi="仿宋" w:eastAsia="仿宋" w:cs="仿宋"/>
                <w:bCs/>
                <w:sz w:val="28"/>
                <w:szCs w:val="28"/>
              </w:rPr>
              <w:t>县发展和改革局设12个内设机构：办公室、政策法规股（承担县招标投标监督管理委员会办公室日常工作）、固定资产投资股、农村经济股、工业外经股（加挂园区办和综合办牌子）、基础能源股（承担国民经济动员办公室、县国防动员委员会装备动员办公室日常工作）、社会发展和财贸服务业股、资源环境和节能监察股（长江经济带和洞庭湖发展办公室）、信用信息股（加挂县争项争资领导小组办公室和县经济体制改革领导小组办公室牌子）、行政审批股、收费价管股、成本调查监审股（对外称华容县成本监审股）</w:t>
            </w:r>
            <w:r>
              <w:rPr>
                <w:rFonts w:hint="eastAsia" w:ascii="仿宋" w:hAnsi="仿宋" w:eastAsia="仿宋" w:cs="仿宋"/>
                <w:sz w:val="28"/>
                <w:szCs w:val="28"/>
              </w:rPr>
              <w:t>。</w:t>
            </w:r>
          </w:p>
          <w:p w14:paraId="7EA3F276">
            <w:pPr>
              <w:keepNext w:val="0"/>
              <w:keepLines w:val="0"/>
              <w:pageBreakBefore w:val="0"/>
              <w:kinsoku/>
              <w:wordWrap/>
              <w:overflowPunct/>
              <w:topLinePunct w:val="0"/>
              <w:bidi w:val="0"/>
              <w:snapToGrid/>
              <w:spacing w:line="520" w:lineRule="exact"/>
              <w:ind w:firstLine="562" w:firstLineChars="200"/>
              <w:textAlignment w:val="auto"/>
              <w:rPr>
                <w:rFonts w:hint="eastAsia" w:ascii="仿宋" w:hAnsi="仿宋" w:eastAsia="仿宋" w:cs="仿宋"/>
                <w:b/>
                <w:bCs w:val="0"/>
                <w:sz w:val="28"/>
                <w:szCs w:val="28"/>
              </w:rPr>
            </w:pPr>
            <w:r>
              <w:rPr>
                <w:rFonts w:hint="eastAsia" w:ascii="仿宋" w:hAnsi="仿宋" w:eastAsia="仿宋" w:cs="仿宋"/>
                <w:b/>
                <w:bCs w:val="0"/>
                <w:sz w:val="28"/>
                <w:szCs w:val="28"/>
              </w:rPr>
              <w:t>二、20</w:t>
            </w:r>
            <w:r>
              <w:rPr>
                <w:rFonts w:hint="eastAsia" w:ascii="仿宋" w:hAnsi="仿宋" w:eastAsia="仿宋" w:cs="仿宋"/>
                <w:b/>
                <w:bCs w:val="0"/>
                <w:sz w:val="28"/>
                <w:szCs w:val="28"/>
                <w:lang w:val="en-US" w:eastAsia="zh-CN"/>
              </w:rPr>
              <w:t>20</w:t>
            </w:r>
            <w:r>
              <w:rPr>
                <w:rFonts w:hint="eastAsia" w:ascii="仿宋" w:hAnsi="仿宋" w:eastAsia="仿宋" w:cs="仿宋"/>
                <w:b/>
                <w:bCs w:val="0"/>
                <w:sz w:val="28"/>
                <w:szCs w:val="28"/>
              </w:rPr>
              <w:t>年部门预算整体支出绩效目标完成情况</w:t>
            </w:r>
          </w:p>
          <w:p w14:paraId="04D0F70E">
            <w:pPr>
              <w:keepNext w:val="0"/>
              <w:keepLines w:val="0"/>
              <w:pageBreakBefore w:val="0"/>
              <w:kinsoku/>
              <w:wordWrap/>
              <w:overflowPunct/>
              <w:topLinePunct w:val="0"/>
              <w:bidi w:val="0"/>
              <w:snapToGrid/>
              <w:spacing w:line="520" w:lineRule="exact"/>
              <w:ind w:firstLine="562" w:firstLineChars="200"/>
              <w:textAlignment w:val="auto"/>
              <w:rPr>
                <w:rFonts w:hint="eastAsia" w:ascii="仿宋" w:hAnsi="仿宋" w:eastAsia="仿宋" w:cs="仿宋"/>
                <w:b/>
                <w:bCs w:val="0"/>
                <w:sz w:val="28"/>
                <w:szCs w:val="28"/>
              </w:rPr>
            </w:pPr>
            <w:r>
              <w:rPr>
                <w:rFonts w:hint="eastAsia" w:ascii="仿宋" w:hAnsi="仿宋" w:eastAsia="仿宋" w:cs="仿宋"/>
                <w:b/>
                <w:bCs w:val="0"/>
                <w:sz w:val="28"/>
                <w:szCs w:val="28"/>
                <w:lang w:eastAsia="zh-CN"/>
              </w:rPr>
              <w:t>（一）</w:t>
            </w:r>
            <w:r>
              <w:rPr>
                <w:rFonts w:hint="eastAsia" w:ascii="仿宋" w:hAnsi="仿宋" w:eastAsia="仿宋" w:cs="仿宋"/>
                <w:b/>
                <w:bCs w:val="0"/>
                <w:sz w:val="28"/>
                <w:szCs w:val="28"/>
              </w:rPr>
              <w:t>重大项目（工作）扎实推进</w:t>
            </w:r>
          </w:p>
          <w:p w14:paraId="3369CE83">
            <w:pPr>
              <w:keepNext w:val="0"/>
              <w:keepLines w:val="0"/>
              <w:pageBreakBefore w:val="0"/>
              <w:kinsoku/>
              <w:wordWrap/>
              <w:overflowPunct/>
              <w:topLinePunct w:val="0"/>
              <w:bidi w:val="0"/>
              <w:snapToGrid/>
              <w:spacing w:line="520" w:lineRule="exact"/>
              <w:ind w:firstLine="562" w:firstLineChars="200"/>
              <w:textAlignment w:val="auto"/>
              <w:rPr>
                <w:rFonts w:hint="eastAsia" w:ascii="仿宋" w:hAnsi="仿宋" w:eastAsia="仿宋" w:cs="仿宋"/>
                <w:sz w:val="28"/>
                <w:szCs w:val="28"/>
              </w:rPr>
            </w:pPr>
            <w:r>
              <w:rPr>
                <w:rFonts w:hint="eastAsia" w:ascii="仿宋" w:hAnsi="仿宋" w:eastAsia="仿宋" w:cs="仿宋"/>
                <w:b/>
                <w:sz w:val="28"/>
                <w:szCs w:val="28"/>
              </w:rPr>
              <w:t>1.易地扶贫搬迁工作。</w:t>
            </w:r>
            <w:r>
              <w:rPr>
                <w:rFonts w:hint="eastAsia" w:ascii="仿宋" w:hAnsi="仿宋" w:eastAsia="仿宋" w:cs="仿宋"/>
                <w:sz w:val="28"/>
                <w:szCs w:val="28"/>
              </w:rPr>
              <w:t>全面完成15个乡镇（区）易地扶贫搬迁1432户4163人，三年共拨付资金2497.8万元，对易地扶贫搬迁对象实施产业后扶，后扶率达100%。易地扶贫搬迁省级考核获2016-2019年一类单位，《华容县采取“335”措施，纵深推进易地扶贫搬迁》被国家发改委《政策指引》刊登向全国推广。</w:t>
            </w:r>
          </w:p>
          <w:p w14:paraId="03CD7ECF">
            <w:pPr>
              <w:keepNext w:val="0"/>
              <w:keepLines w:val="0"/>
              <w:pageBreakBefore w:val="0"/>
              <w:kinsoku/>
              <w:wordWrap/>
              <w:overflowPunct/>
              <w:topLinePunct w:val="0"/>
              <w:bidi w:val="0"/>
              <w:snapToGrid/>
              <w:spacing w:line="520" w:lineRule="exact"/>
              <w:ind w:firstLine="562" w:firstLineChars="200"/>
              <w:textAlignment w:val="auto"/>
              <w:rPr>
                <w:rFonts w:hint="eastAsia" w:ascii="仿宋" w:hAnsi="仿宋" w:eastAsia="仿宋" w:cs="仿宋"/>
                <w:sz w:val="28"/>
                <w:szCs w:val="28"/>
              </w:rPr>
            </w:pPr>
            <w:r>
              <w:rPr>
                <w:rFonts w:hint="eastAsia" w:ascii="仿宋" w:hAnsi="仿宋" w:eastAsia="仿宋" w:cs="仿宋"/>
                <w:b/>
                <w:sz w:val="28"/>
                <w:szCs w:val="28"/>
              </w:rPr>
              <w:t>2.驻村结对帮扶工作。</w:t>
            </w:r>
            <w:r>
              <w:rPr>
                <w:rFonts w:hint="eastAsia" w:ascii="仿宋" w:hAnsi="仿宋" w:eastAsia="仿宋" w:cs="仿宋"/>
                <w:sz w:val="28"/>
                <w:szCs w:val="28"/>
              </w:rPr>
              <w:t>狠抓“三保障”、“三落实”、“三精准”，实现了全面如期脱贫的目标。</w:t>
            </w:r>
            <w:r>
              <w:rPr>
                <w:rFonts w:hint="eastAsia" w:ascii="仿宋" w:hAnsi="仿宋" w:eastAsia="仿宋" w:cs="仿宋"/>
                <w:b/>
                <w:sz w:val="28"/>
                <w:szCs w:val="28"/>
              </w:rPr>
              <w:t>一是坚持因户施策，以实现贫困户“两不愁三保障”为核心促政策落实。</w:t>
            </w:r>
            <w:r>
              <w:rPr>
                <w:rFonts w:hint="eastAsia" w:ascii="仿宋" w:hAnsi="仿宋" w:eastAsia="仿宋" w:cs="仿宋"/>
                <w:sz w:val="28"/>
                <w:szCs w:val="28"/>
              </w:rPr>
              <w:t>组织开展“收官清零行动”，切实做好结对帮扶“五查五确保”工作，对排查核查中发现的问题以及上级督查、检查中反馈的问题，坚持因户施策，精准帮扶，所有问题在规定时限内实现了见底清零。</w:t>
            </w:r>
            <w:r>
              <w:rPr>
                <w:rFonts w:hint="eastAsia" w:ascii="仿宋" w:hAnsi="仿宋" w:eastAsia="仿宋" w:cs="仿宋"/>
                <w:b/>
                <w:sz w:val="28"/>
                <w:szCs w:val="28"/>
              </w:rPr>
              <w:t>二是坚持因地制宜，以优化产业结构为重点促稳定脱贫。</w:t>
            </w:r>
            <w:r>
              <w:rPr>
                <w:rFonts w:hint="eastAsia" w:ascii="仿宋" w:hAnsi="仿宋" w:eastAsia="仿宋" w:cs="仿宋"/>
                <w:sz w:val="28"/>
                <w:szCs w:val="28"/>
              </w:rPr>
              <w:t>根据砂山村的自然条件，着力发展生态、立体、休闲农业，优化了产业布局，促进了农业增产、农民增收，壮大了集体经济。</w:t>
            </w:r>
            <w:r>
              <w:rPr>
                <w:rFonts w:hint="eastAsia" w:ascii="仿宋" w:hAnsi="仿宋" w:eastAsia="仿宋" w:cs="仿宋"/>
                <w:b/>
                <w:sz w:val="28"/>
                <w:szCs w:val="28"/>
              </w:rPr>
              <w:t>三是坚持因势而为，以实行党建引领为导向促脱贫攻坚。</w:t>
            </w:r>
            <w:r>
              <w:rPr>
                <w:rFonts w:hint="eastAsia" w:ascii="仿宋" w:hAnsi="仿宋" w:eastAsia="仿宋" w:cs="仿宋"/>
                <w:sz w:val="28"/>
                <w:szCs w:val="28"/>
              </w:rPr>
              <w:t>注重发挥村党总支在脱贫攻坚中“领头雁”作用、党员干部的结对帮扶作用、农村致富带头人的示范作用和农村无职党员的监督作用，打造了一支永不走的工作队。</w:t>
            </w:r>
          </w:p>
          <w:p w14:paraId="7A681EC7">
            <w:pPr>
              <w:keepNext w:val="0"/>
              <w:keepLines w:val="0"/>
              <w:pageBreakBefore w:val="0"/>
              <w:kinsoku/>
              <w:wordWrap/>
              <w:overflowPunct/>
              <w:topLinePunct w:val="0"/>
              <w:bidi w:val="0"/>
              <w:snapToGrid/>
              <w:spacing w:line="520" w:lineRule="exact"/>
              <w:ind w:firstLine="562" w:firstLineChars="200"/>
              <w:textAlignment w:val="auto"/>
              <w:rPr>
                <w:rFonts w:hint="eastAsia" w:ascii="仿宋" w:hAnsi="仿宋" w:eastAsia="仿宋" w:cs="仿宋"/>
                <w:sz w:val="28"/>
                <w:szCs w:val="28"/>
              </w:rPr>
            </w:pPr>
            <w:r>
              <w:rPr>
                <w:rFonts w:hint="eastAsia" w:ascii="仿宋" w:hAnsi="仿宋" w:eastAsia="仿宋" w:cs="仿宋"/>
                <w:b/>
                <w:sz w:val="28"/>
                <w:szCs w:val="28"/>
              </w:rPr>
              <w:t>3.重大前期项目工作。智慧华容PPP项目。一是</w:t>
            </w:r>
            <w:r>
              <w:rPr>
                <w:rFonts w:hint="eastAsia" w:ascii="仿宋" w:hAnsi="仿宋" w:eastAsia="仿宋" w:cs="仿宋"/>
                <w:sz w:val="28"/>
                <w:szCs w:val="28"/>
              </w:rPr>
              <w:t>完成了项目公开招投标，开展了采购结果确认谈判，签订了《采购确认谈判备忘录》，并向中标社会资本方北斗集团发出了中标通知书；</w:t>
            </w:r>
            <w:r>
              <w:rPr>
                <w:rFonts w:hint="eastAsia" w:ascii="仿宋" w:hAnsi="仿宋" w:eastAsia="仿宋" w:cs="仿宋"/>
                <w:b/>
                <w:sz w:val="28"/>
                <w:szCs w:val="28"/>
              </w:rPr>
              <w:t>二是</w:t>
            </w:r>
            <w:r>
              <w:rPr>
                <w:rFonts w:hint="eastAsia" w:ascii="仿宋" w:hAnsi="仿宋" w:eastAsia="仿宋" w:cs="仿宋"/>
                <w:sz w:val="28"/>
                <w:szCs w:val="28"/>
              </w:rPr>
              <w:t>签订了项目股东合同，注册成立了岳阳北晟慧华信息技术有限公司；</w:t>
            </w:r>
            <w:r>
              <w:rPr>
                <w:rFonts w:hint="eastAsia" w:ascii="仿宋" w:hAnsi="仿宋" w:eastAsia="仿宋" w:cs="仿宋"/>
                <w:b/>
                <w:sz w:val="28"/>
                <w:szCs w:val="28"/>
              </w:rPr>
              <w:t>三是</w:t>
            </w:r>
            <w:r>
              <w:rPr>
                <w:rFonts w:hint="eastAsia" w:ascii="仿宋" w:hAnsi="仿宋" w:eastAsia="仿宋" w:cs="仿宋"/>
                <w:sz w:val="28"/>
                <w:szCs w:val="28"/>
              </w:rPr>
              <w:t>签订了PPP项目合同，完成了智慧磐石工程建设；</w:t>
            </w:r>
            <w:r>
              <w:rPr>
                <w:rFonts w:hint="eastAsia" w:ascii="仿宋" w:hAnsi="仿宋" w:eastAsia="仿宋" w:cs="仿宋"/>
                <w:b/>
                <w:sz w:val="28"/>
                <w:szCs w:val="28"/>
              </w:rPr>
              <w:t>四是</w:t>
            </w:r>
            <w:r>
              <w:rPr>
                <w:rFonts w:hint="eastAsia" w:ascii="仿宋" w:hAnsi="仿宋" w:eastAsia="仿宋" w:cs="仿宋"/>
                <w:sz w:val="28"/>
                <w:szCs w:val="28"/>
              </w:rPr>
              <w:t>完成了雪亮工程、天网地网工程、大数据中心、中心机房和纪检监察平台设计方案。</w:t>
            </w:r>
            <w:r>
              <w:rPr>
                <w:rFonts w:hint="eastAsia" w:ascii="仿宋" w:hAnsi="仿宋" w:eastAsia="仿宋" w:cs="仿宋"/>
                <w:b/>
                <w:sz w:val="28"/>
                <w:szCs w:val="28"/>
              </w:rPr>
              <w:t>监利至华容公铁两用桥及公路铁路接线项目。</w:t>
            </w:r>
            <w:r>
              <w:rPr>
                <w:rFonts w:hint="eastAsia" w:ascii="仿宋" w:hAnsi="仿宋" w:eastAsia="仿宋" w:cs="仿宋"/>
                <w:sz w:val="28"/>
                <w:szCs w:val="28"/>
              </w:rPr>
              <w:t>项目已进入国家规划，并启动规划研究；进行了桥位比选，开展了实地勘测；促进了华容、监利两地党政领导会商，签订了《关于共同推进监利至华容长江公铁两用大桥及铁路和高速公路接线工程前期工作协议》，完成了省市项目对接，参加了大桥专题评审，启动了大桥可行性研究报告编制。</w:t>
            </w:r>
          </w:p>
          <w:p w14:paraId="3761BECA">
            <w:pPr>
              <w:keepNext w:val="0"/>
              <w:keepLines w:val="0"/>
              <w:pageBreakBefore w:val="0"/>
              <w:kinsoku/>
              <w:wordWrap/>
              <w:overflowPunct/>
              <w:topLinePunct w:val="0"/>
              <w:bidi w:val="0"/>
              <w:snapToGrid/>
              <w:spacing w:line="520" w:lineRule="exact"/>
              <w:ind w:firstLine="562" w:firstLineChars="200"/>
              <w:textAlignment w:val="auto"/>
              <w:rPr>
                <w:rFonts w:hint="eastAsia" w:ascii="仿宋" w:hAnsi="仿宋" w:eastAsia="仿宋" w:cs="仿宋"/>
                <w:sz w:val="28"/>
                <w:szCs w:val="28"/>
              </w:rPr>
            </w:pPr>
            <w:r>
              <w:rPr>
                <w:rFonts w:hint="eastAsia" w:ascii="仿宋" w:hAnsi="仿宋" w:eastAsia="仿宋" w:cs="仿宋"/>
                <w:b/>
                <w:sz w:val="28"/>
                <w:szCs w:val="28"/>
              </w:rPr>
              <w:t>4.“十四五”规划编制工作。一是</w:t>
            </w:r>
            <w:r>
              <w:rPr>
                <w:rFonts w:hint="eastAsia" w:ascii="仿宋" w:hAnsi="仿宋" w:eastAsia="仿宋" w:cs="仿宋"/>
                <w:sz w:val="28"/>
                <w:szCs w:val="28"/>
              </w:rPr>
              <w:t>召开了“十四五”规划编制动员会，学习传达了国家和省市会议精神，并对全县“十四五”规划编制工作进行了安排部署。</w:t>
            </w:r>
            <w:r>
              <w:rPr>
                <w:rFonts w:hint="eastAsia" w:ascii="仿宋" w:hAnsi="仿宋" w:eastAsia="仿宋" w:cs="仿宋"/>
                <w:b/>
                <w:sz w:val="28"/>
                <w:szCs w:val="28"/>
              </w:rPr>
              <w:t>二是</w:t>
            </w:r>
            <w:r>
              <w:rPr>
                <w:rFonts w:hint="eastAsia" w:ascii="仿宋" w:hAnsi="仿宋" w:eastAsia="仿宋" w:cs="仿宋"/>
                <w:sz w:val="28"/>
                <w:szCs w:val="28"/>
              </w:rPr>
              <w:t>编制了“十四五”规划编制工作方案，明确了我县“十四五”规划编制的指导思想、编制原则、规划构成、阶段步骤、编制要求、保障措施。</w:t>
            </w:r>
            <w:r>
              <w:rPr>
                <w:rFonts w:hint="eastAsia" w:ascii="仿宋" w:hAnsi="仿宋" w:eastAsia="仿宋" w:cs="仿宋"/>
                <w:b/>
                <w:sz w:val="28"/>
                <w:szCs w:val="28"/>
              </w:rPr>
              <w:t>三是</w:t>
            </w:r>
            <w:r>
              <w:rPr>
                <w:rFonts w:hint="eastAsia" w:ascii="仿宋" w:hAnsi="仿宋" w:eastAsia="仿宋" w:cs="仿宋"/>
                <w:sz w:val="28"/>
                <w:szCs w:val="28"/>
              </w:rPr>
              <w:t>开展了调查研究，省社会科院专家团队作为第三方编制机构，于4月、5月、7月、9月先后来华容乡镇、部门单位、政研中心、经研中心进行了多次调研，掌握了翔实的第一手资料。7月份以来，县委、县政府主要领导先后6次调度“十四五”规划编制工作，特别是由陶书记亲自主持3次调度会，对规划编制提出了明确指导意见。</w:t>
            </w:r>
            <w:r>
              <w:rPr>
                <w:rFonts w:hint="eastAsia" w:ascii="仿宋" w:hAnsi="仿宋" w:eastAsia="仿宋" w:cs="仿宋"/>
                <w:b/>
                <w:sz w:val="28"/>
                <w:szCs w:val="28"/>
              </w:rPr>
              <w:t>四是</w:t>
            </w:r>
            <w:r>
              <w:rPr>
                <w:rFonts w:hint="eastAsia" w:ascii="仿宋" w:hAnsi="仿宋" w:eastAsia="仿宋" w:cs="仿宋"/>
                <w:sz w:val="28"/>
                <w:szCs w:val="28"/>
              </w:rPr>
              <w:t>建立了我县“十四五”重大项目库。截止11月底，共入库“十四五”重大项目320个，总投资1500多亿元。</w:t>
            </w:r>
            <w:r>
              <w:rPr>
                <w:rFonts w:hint="eastAsia" w:ascii="仿宋" w:hAnsi="仿宋" w:eastAsia="仿宋" w:cs="仿宋"/>
                <w:b/>
                <w:sz w:val="28"/>
                <w:szCs w:val="28"/>
              </w:rPr>
              <w:t>五是</w:t>
            </w:r>
            <w:r>
              <w:rPr>
                <w:rFonts w:hint="eastAsia" w:ascii="仿宋" w:hAnsi="仿宋" w:eastAsia="仿宋" w:cs="仿宋"/>
                <w:sz w:val="28"/>
                <w:szCs w:val="28"/>
              </w:rPr>
              <w:t>完成了规划文本征求意见稿。目前，全县“十四五”规划纲要、乡镇规划、部门专项规划均已完成征求意见稿。</w:t>
            </w:r>
          </w:p>
          <w:p w14:paraId="13CA99C9">
            <w:pPr>
              <w:keepNext w:val="0"/>
              <w:keepLines w:val="0"/>
              <w:pageBreakBefore w:val="0"/>
              <w:kinsoku/>
              <w:wordWrap/>
              <w:overflowPunct/>
              <w:topLinePunct w:val="0"/>
              <w:bidi w:val="0"/>
              <w:snapToGrid/>
              <w:spacing w:line="520" w:lineRule="exact"/>
              <w:ind w:firstLine="562" w:firstLineChars="200"/>
              <w:textAlignment w:val="auto"/>
              <w:rPr>
                <w:rFonts w:hint="eastAsia" w:ascii="仿宋" w:hAnsi="仿宋" w:eastAsia="仿宋" w:cs="仿宋"/>
                <w:b/>
                <w:bCs/>
                <w:sz w:val="28"/>
                <w:szCs w:val="28"/>
              </w:rPr>
            </w:pPr>
            <w:r>
              <w:rPr>
                <w:rFonts w:hint="eastAsia" w:ascii="仿宋" w:hAnsi="仿宋" w:eastAsia="仿宋" w:cs="仿宋"/>
                <w:b/>
                <w:bCs/>
                <w:sz w:val="28"/>
                <w:szCs w:val="28"/>
                <w:lang w:eastAsia="zh-CN"/>
              </w:rPr>
              <w:t>（二）</w:t>
            </w:r>
            <w:r>
              <w:rPr>
                <w:rFonts w:hint="eastAsia" w:ascii="仿宋" w:hAnsi="仿宋" w:eastAsia="仿宋" w:cs="仿宋"/>
                <w:b/>
                <w:bCs/>
                <w:sz w:val="28"/>
                <w:szCs w:val="28"/>
              </w:rPr>
              <w:t>主要业务扎实提升</w:t>
            </w:r>
          </w:p>
          <w:p w14:paraId="1BC1DFE1">
            <w:pPr>
              <w:keepNext w:val="0"/>
              <w:keepLines w:val="0"/>
              <w:pageBreakBefore w:val="0"/>
              <w:kinsoku/>
              <w:wordWrap/>
              <w:overflowPunct/>
              <w:topLinePunct w:val="0"/>
              <w:bidi w:val="0"/>
              <w:snapToGrid/>
              <w:spacing w:line="520" w:lineRule="exact"/>
              <w:ind w:firstLine="562" w:firstLineChars="200"/>
              <w:textAlignment w:val="auto"/>
              <w:rPr>
                <w:rFonts w:hint="eastAsia" w:ascii="仿宋" w:hAnsi="仿宋" w:eastAsia="仿宋" w:cs="仿宋"/>
                <w:sz w:val="28"/>
                <w:szCs w:val="28"/>
              </w:rPr>
            </w:pPr>
            <w:r>
              <w:rPr>
                <w:rFonts w:hint="eastAsia" w:ascii="仿宋" w:hAnsi="仿宋" w:eastAsia="仿宋" w:cs="仿宋"/>
                <w:b/>
                <w:sz w:val="28"/>
                <w:szCs w:val="28"/>
              </w:rPr>
              <w:t>1.项目争取工作。</w:t>
            </w:r>
            <w:r>
              <w:rPr>
                <w:rFonts w:hint="eastAsia" w:ascii="仿宋" w:hAnsi="仿宋" w:eastAsia="仿宋" w:cs="仿宋"/>
                <w:sz w:val="28"/>
                <w:szCs w:val="28"/>
              </w:rPr>
              <w:t>围绕县委、县政府确定的年度目标任务，发改局第一时间收集项目信息、解读项目政策、指导项目申报，全力配合各乡镇、县直有关单位争取项目落地。1-1２月，全县共申报项目261个，申报资金38.21亿元；批复项目257个，争取资金32.31亿元，占年度任务的141%。发改系统共申报项目41个，争取资金3.52亿元，六县市排名第二。</w:t>
            </w:r>
            <w:r>
              <w:rPr>
                <w:rFonts w:hint="eastAsia" w:ascii="仿宋" w:hAnsi="仿宋" w:eastAsia="仿宋" w:cs="仿宋"/>
                <w:b/>
                <w:sz w:val="28"/>
                <w:szCs w:val="28"/>
              </w:rPr>
              <w:t>资环线：</w:t>
            </w:r>
            <w:r>
              <w:rPr>
                <w:rFonts w:hint="eastAsia" w:ascii="仿宋" w:hAnsi="仿宋" w:eastAsia="仿宋" w:cs="仿宋"/>
                <w:sz w:val="28"/>
                <w:szCs w:val="28"/>
              </w:rPr>
              <w:t>争取插旗镇垃圾资源化处理项目480万元，洞庭湖生态环境整治“五结合”工程360万元，长江大保护三峡公益基金3483万元。为了争取华夏文化遗产基金会捐建六门闸项目，我多次邀请县政府主要领导到长沙登门拜访，多次对接汇报，终于促成项目落地华容，并将六门闸排涝工程列为华夏文化遗产基金会首批捐建试点项目，总投资3.15亿元，项目已于11月月份动工建设，目前已完成投资1亿多元。</w:t>
            </w:r>
            <w:r>
              <w:rPr>
                <w:rFonts w:hint="eastAsia" w:ascii="仿宋" w:hAnsi="仿宋" w:eastAsia="仿宋" w:cs="仿宋"/>
                <w:b/>
                <w:sz w:val="28"/>
                <w:szCs w:val="28"/>
              </w:rPr>
              <w:t>农经线：</w:t>
            </w:r>
            <w:r>
              <w:rPr>
                <w:rFonts w:hint="eastAsia" w:ascii="仿宋" w:hAnsi="仿宋" w:eastAsia="仿宋" w:cs="仿宋"/>
                <w:sz w:val="28"/>
                <w:szCs w:val="28"/>
              </w:rPr>
              <w:t>争取梅田湖以工代赈资金210万元。</w:t>
            </w:r>
            <w:r>
              <w:rPr>
                <w:rFonts w:hint="eastAsia" w:ascii="仿宋" w:hAnsi="仿宋" w:eastAsia="仿宋" w:cs="仿宋"/>
                <w:b/>
                <w:sz w:val="28"/>
                <w:szCs w:val="28"/>
              </w:rPr>
              <w:t>社财线：</w:t>
            </w:r>
            <w:r>
              <w:rPr>
                <w:rFonts w:hint="eastAsia" w:ascii="仿宋" w:hAnsi="仿宋" w:eastAsia="仿宋" w:cs="仿宋"/>
                <w:sz w:val="28"/>
                <w:szCs w:val="28"/>
              </w:rPr>
              <w:t>争取殡仪馆迁建项目840万元，胜峰敬老院建设项目351万元，中医院发热门诊及传染病区改扩建工程900万元，华誉食品县乡村三级物流配送体系建设项目200万元，社会足球场地设施建设项目120万元，章华镇石伏社区两型创建项目20万元。</w:t>
            </w:r>
            <w:r>
              <w:rPr>
                <w:rFonts w:hint="eastAsia" w:ascii="仿宋" w:hAnsi="仿宋" w:eastAsia="仿宋" w:cs="仿宋"/>
                <w:b/>
                <w:sz w:val="28"/>
                <w:szCs w:val="28"/>
              </w:rPr>
              <w:t>工业外经线：</w:t>
            </w:r>
            <w:r>
              <w:rPr>
                <w:rFonts w:hint="eastAsia" w:ascii="仿宋" w:hAnsi="仿宋" w:eastAsia="仿宋" w:cs="仿宋"/>
                <w:sz w:val="28"/>
                <w:szCs w:val="28"/>
              </w:rPr>
              <w:t>争取儿童口罩专项福尔康55万元、康沃58万元，芦苇补助204.4万元，医用口罩扩能项目福尔康384万元、康沃290万元。</w:t>
            </w:r>
            <w:r>
              <w:rPr>
                <w:rFonts w:hint="eastAsia" w:ascii="仿宋" w:hAnsi="仿宋" w:eastAsia="仿宋" w:cs="仿宋"/>
                <w:b/>
                <w:sz w:val="28"/>
                <w:szCs w:val="28"/>
              </w:rPr>
              <w:t>投资线：</w:t>
            </w:r>
            <w:r>
              <w:rPr>
                <w:rFonts w:hint="eastAsia" w:ascii="仿宋" w:hAnsi="仿宋" w:eastAsia="仿宋" w:cs="仿宋"/>
                <w:sz w:val="28"/>
                <w:szCs w:val="28"/>
              </w:rPr>
              <w:t>争取城镇老旧小区改造配套设施建设项目7个4898万元，棚户区配套设施建设项目702万元，农村综合服务平台建设360万元，重大项目前期奖补资金50万元，万庾派出所建设130万元，救灾应急补助195万元。同时，协调推进了神华国华电厂、煤炭铁水联运储配基地项目建设；协调推进了重大社会项目、产业项目、农业项目、林业项目、水利项目、环保项目建设，协调推进了中小企业复工复产。</w:t>
            </w:r>
          </w:p>
          <w:p w14:paraId="2826F7D3">
            <w:pPr>
              <w:keepNext w:val="0"/>
              <w:keepLines w:val="0"/>
              <w:pageBreakBefore w:val="0"/>
              <w:kinsoku/>
              <w:wordWrap/>
              <w:overflowPunct/>
              <w:topLinePunct w:val="0"/>
              <w:bidi w:val="0"/>
              <w:snapToGrid/>
              <w:spacing w:line="520" w:lineRule="exact"/>
              <w:ind w:firstLine="562" w:firstLineChars="200"/>
              <w:textAlignment w:val="auto"/>
              <w:rPr>
                <w:rFonts w:hint="eastAsia" w:ascii="仿宋" w:hAnsi="仿宋" w:eastAsia="仿宋" w:cs="仿宋"/>
                <w:sz w:val="28"/>
                <w:szCs w:val="28"/>
              </w:rPr>
            </w:pPr>
            <w:r>
              <w:rPr>
                <w:rFonts w:hint="eastAsia" w:ascii="仿宋" w:hAnsi="仿宋" w:eastAsia="仿宋" w:cs="仿宋"/>
                <w:b/>
                <w:sz w:val="28"/>
                <w:szCs w:val="28"/>
              </w:rPr>
              <w:t>2.审批服务工作。</w:t>
            </w:r>
            <w:r>
              <w:rPr>
                <w:rFonts w:hint="eastAsia" w:ascii="仿宋" w:hAnsi="仿宋" w:eastAsia="仿宋" w:cs="仿宋"/>
                <w:sz w:val="28"/>
                <w:szCs w:val="28"/>
              </w:rPr>
              <w:t>截止11月底，完成政府投资审批项目159个，投资额38.94亿元；完成政府投资概算审批10个，投资额8.46亿元；完成企业投资备案项目53个，投资额62.9亿元；企业投资核准项目2个，投资额2.39亿元。同时，指导县工业集中区完成节能评估、地质灾害危险性评估、水土保持区域评估报告编制工作；完成清理行政审批中介服务事项，并发布事项清单，做好了优化营商环境评估工作。</w:t>
            </w:r>
          </w:p>
          <w:p w14:paraId="32EF234B">
            <w:pPr>
              <w:keepNext w:val="0"/>
              <w:keepLines w:val="0"/>
              <w:pageBreakBefore w:val="0"/>
              <w:kinsoku/>
              <w:wordWrap/>
              <w:overflowPunct/>
              <w:topLinePunct w:val="0"/>
              <w:bidi w:val="0"/>
              <w:snapToGrid/>
              <w:spacing w:line="520" w:lineRule="exact"/>
              <w:ind w:firstLine="562" w:firstLineChars="200"/>
              <w:textAlignment w:val="auto"/>
              <w:rPr>
                <w:rFonts w:hint="eastAsia" w:ascii="仿宋" w:hAnsi="仿宋" w:eastAsia="仿宋" w:cs="仿宋"/>
                <w:sz w:val="28"/>
                <w:szCs w:val="28"/>
              </w:rPr>
            </w:pPr>
            <w:r>
              <w:rPr>
                <w:rFonts w:hint="eastAsia" w:ascii="仿宋" w:hAnsi="仿宋" w:eastAsia="仿宋" w:cs="仿宋"/>
                <w:b/>
                <w:sz w:val="28"/>
                <w:szCs w:val="28"/>
              </w:rPr>
              <w:t>3.招投标监管工作。</w:t>
            </w:r>
            <w:r>
              <w:rPr>
                <w:rFonts w:hint="eastAsia" w:ascii="仿宋" w:hAnsi="仿宋" w:eastAsia="仿宋" w:cs="仿宋"/>
                <w:sz w:val="28"/>
                <w:szCs w:val="28"/>
              </w:rPr>
              <w:t>严格执行《招投标法》和上级招投标条例管理规定；全县招标市场继续保持规范、平稳、有序运行。全年共审核项目招标文件21份，现场监管开标项目18个，对9个开工项目进行了标后检查，调查处理招标问题线索7条，开展2次招投标领域问题专项整治工作。</w:t>
            </w:r>
          </w:p>
          <w:p w14:paraId="5BC3C260">
            <w:pPr>
              <w:keepNext w:val="0"/>
              <w:keepLines w:val="0"/>
              <w:pageBreakBefore w:val="0"/>
              <w:kinsoku/>
              <w:wordWrap/>
              <w:overflowPunct/>
              <w:topLinePunct w:val="0"/>
              <w:bidi w:val="0"/>
              <w:snapToGrid/>
              <w:spacing w:line="520" w:lineRule="exact"/>
              <w:ind w:firstLine="562" w:firstLineChars="200"/>
              <w:textAlignment w:val="auto"/>
              <w:rPr>
                <w:rFonts w:hint="eastAsia" w:ascii="仿宋" w:hAnsi="仿宋" w:eastAsia="仿宋" w:cs="仿宋"/>
                <w:sz w:val="28"/>
                <w:szCs w:val="28"/>
              </w:rPr>
            </w:pPr>
            <w:r>
              <w:rPr>
                <w:rFonts w:hint="eastAsia" w:ascii="仿宋" w:hAnsi="仿宋" w:eastAsia="仿宋" w:cs="仿宋"/>
                <w:b/>
                <w:sz w:val="28"/>
                <w:szCs w:val="28"/>
              </w:rPr>
              <w:t>4.收费价管工作。一是做好疫情防控期间的价格管理。</w:t>
            </w:r>
            <w:r>
              <w:rPr>
                <w:rFonts w:hint="eastAsia" w:ascii="仿宋" w:hAnsi="仿宋" w:eastAsia="仿宋" w:cs="仿宋"/>
                <w:sz w:val="28"/>
                <w:szCs w:val="28"/>
              </w:rPr>
              <w:t>下发了《关于新冠病毒感染的肺炎疫情防控期间哄抬价格违法行为认定有关问题的通知》，对经营者在疫情防控期间价格管控提出明确要求，有效维护了市场价格稳定。</w:t>
            </w:r>
            <w:r>
              <w:rPr>
                <w:rFonts w:hint="eastAsia" w:ascii="仿宋" w:hAnsi="仿宋" w:eastAsia="仿宋" w:cs="仿宋"/>
                <w:b/>
                <w:sz w:val="28"/>
                <w:szCs w:val="28"/>
              </w:rPr>
              <w:t>二是阶段降低企业用能成本。</w:t>
            </w:r>
            <w:r>
              <w:rPr>
                <w:rFonts w:hint="eastAsia" w:ascii="仿宋" w:hAnsi="仿宋" w:eastAsia="仿宋" w:cs="仿宋"/>
                <w:sz w:val="28"/>
                <w:szCs w:val="28"/>
              </w:rPr>
              <w:t>目前为止，全县共降低企业用电成本740万元，降低非居民用气成本23.25万元。</w:t>
            </w:r>
            <w:r>
              <w:rPr>
                <w:rFonts w:hint="eastAsia" w:ascii="仿宋" w:hAnsi="仿宋" w:eastAsia="仿宋" w:cs="仿宋"/>
                <w:b/>
                <w:sz w:val="28"/>
                <w:szCs w:val="28"/>
              </w:rPr>
              <w:t>三是落实价格临时补贴发放工作。</w:t>
            </w:r>
            <w:r>
              <w:rPr>
                <w:rFonts w:hint="eastAsia" w:ascii="仿宋" w:hAnsi="仿宋" w:eastAsia="仿宋" w:cs="仿宋"/>
                <w:sz w:val="28"/>
                <w:szCs w:val="28"/>
              </w:rPr>
              <w:t>全县3.74万人纳入联动保障范围，发放价格临时补贴</w:t>
            </w:r>
            <w:r>
              <w:rPr>
                <w:rFonts w:hint="eastAsia" w:ascii="仿宋" w:hAnsi="仿宋" w:eastAsia="仿宋" w:cs="仿宋"/>
                <w:spacing w:val="-4"/>
                <w:sz w:val="28"/>
                <w:szCs w:val="28"/>
              </w:rPr>
              <w:t>1312.81万元。同时，加强了教育收费管理，调整了2020年采暖季非居民用天然气价格，开展了商品住宅明码标价备案工作。</w:t>
            </w:r>
          </w:p>
          <w:p w14:paraId="22BDAA11">
            <w:pPr>
              <w:keepNext w:val="0"/>
              <w:keepLines w:val="0"/>
              <w:pageBreakBefore w:val="0"/>
              <w:kinsoku/>
              <w:wordWrap/>
              <w:overflowPunct/>
              <w:topLinePunct w:val="0"/>
              <w:bidi w:val="0"/>
              <w:snapToGrid/>
              <w:spacing w:line="520" w:lineRule="exact"/>
              <w:ind w:firstLine="562" w:firstLineChars="200"/>
              <w:textAlignment w:val="auto"/>
              <w:rPr>
                <w:rFonts w:hint="eastAsia" w:ascii="仿宋" w:hAnsi="仿宋" w:eastAsia="仿宋" w:cs="仿宋"/>
                <w:sz w:val="28"/>
                <w:szCs w:val="28"/>
              </w:rPr>
            </w:pPr>
            <w:r>
              <w:rPr>
                <w:rFonts w:hint="eastAsia" w:ascii="仿宋" w:hAnsi="仿宋" w:eastAsia="仿宋" w:cs="仿宋"/>
                <w:b/>
                <w:sz w:val="28"/>
                <w:szCs w:val="28"/>
              </w:rPr>
              <w:t>5.价格认证监测工作。</w:t>
            </w:r>
            <w:r>
              <w:rPr>
                <w:rFonts w:hint="eastAsia" w:ascii="仿宋" w:hAnsi="仿宋" w:eastAsia="仿宋" w:cs="仿宋"/>
                <w:sz w:val="28"/>
                <w:szCs w:val="28"/>
              </w:rPr>
              <w:t>对新出台的《价格认定规定》进行了再学习、再研究、再提高，停止了所有价格认定事项的收费，主动退出了民事案件价格认定、交通事故车损评估等市场性业务。截止11月底，共完成各类认定案件284家，涉案金额142万元。做到认定范围精确、认定工作精准、认定案卷精细。</w:t>
            </w:r>
          </w:p>
          <w:p w14:paraId="62012F0A">
            <w:pPr>
              <w:keepNext w:val="0"/>
              <w:keepLines w:val="0"/>
              <w:pageBreakBefore w:val="0"/>
              <w:kinsoku/>
              <w:wordWrap/>
              <w:overflowPunct/>
              <w:topLinePunct w:val="0"/>
              <w:bidi w:val="0"/>
              <w:snapToGrid/>
              <w:spacing w:line="520" w:lineRule="exact"/>
              <w:ind w:firstLine="562" w:firstLineChars="200"/>
              <w:textAlignment w:val="auto"/>
              <w:rPr>
                <w:rFonts w:hint="eastAsia" w:ascii="仿宋" w:hAnsi="仿宋" w:eastAsia="仿宋" w:cs="仿宋"/>
                <w:sz w:val="28"/>
                <w:szCs w:val="28"/>
              </w:rPr>
            </w:pPr>
            <w:r>
              <w:rPr>
                <w:rFonts w:hint="eastAsia" w:ascii="仿宋" w:hAnsi="仿宋" w:eastAsia="仿宋" w:cs="仿宋"/>
                <w:b/>
                <w:sz w:val="28"/>
                <w:szCs w:val="28"/>
              </w:rPr>
              <w:t>6.价格成本调查和信息监测工作。一是开展成本监审。</w:t>
            </w:r>
            <w:r>
              <w:rPr>
                <w:rFonts w:hint="eastAsia" w:ascii="仿宋" w:hAnsi="仿宋" w:eastAsia="仿宋" w:cs="仿宋"/>
                <w:sz w:val="28"/>
                <w:szCs w:val="28"/>
              </w:rPr>
              <w:t>全年共受理《关于华容县普通高中学业水平考试收费成本》《关于华容县第二、三、五、怀乡中学学生公寓空调安装的收费成本》《关于华容县乡镇自来水供水价格的定价成本》《关于华容县长燃燃气延伸服务收费标准的成本》等项目调查和审核，共核减不合理费用560多万元。</w:t>
            </w:r>
            <w:r>
              <w:rPr>
                <w:rFonts w:hint="eastAsia" w:ascii="仿宋" w:hAnsi="仿宋" w:eastAsia="仿宋" w:cs="仿宋"/>
                <w:b/>
                <w:sz w:val="28"/>
                <w:szCs w:val="28"/>
              </w:rPr>
              <w:t>二是开展农本调查。</w:t>
            </w:r>
            <w:r>
              <w:rPr>
                <w:rFonts w:hint="eastAsia" w:ascii="仿宋" w:hAnsi="仿宋" w:eastAsia="仿宋" w:cs="仿宋"/>
                <w:sz w:val="28"/>
                <w:szCs w:val="28"/>
              </w:rPr>
              <w:t>对农民的种植意向、生猪的生产成本、粮食生产及市场情况、农资市场情况、油菜籽生产成本、棉花生产成本等进行了深入细致地调查，撰写有价值有份量的上传报告。</w:t>
            </w:r>
            <w:r>
              <w:rPr>
                <w:rFonts w:hint="eastAsia" w:ascii="仿宋" w:hAnsi="仿宋" w:eastAsia="仿宋" w:cs="仿宋"/>
                <w:b/>
                <w:sz w:val="28"/>
                <w:szCs w:val="28"/>
              </w:rPr>
              <w:t>三是开展价格监测。</w:t>
            </w:r>
            <w:r>
              <w:rPr>
                <w:rFonts w:hint="eastAsia" w:ascii="仿宋" w:hAnsi="仿宋" w:eastAsia="仿宋" w:cs="仿宋"/>
                <w:sz w:val="28"/>
                <w:szCs w:val="28"/>
              </w:rPr>
              <w:t>积极深入农村、农户、城区集贸市场、超市、个体工商户和相关加工企业进行价格监测和调查研究，全年上报国家、省、市、县价格监测数据1万余条，价格监测表800余份，信息材料50余篇。</w:t>
            </w:r>
          </w:p>
          <w:p w14:paraId="39341BB7">
            <w:pPr>
              <w:keepNext w:val="0"/>
              <w:keepLines w:val="0"/>
              <w:pageBreakBefore w:val="0"/>
              <w:widowControl/>
              <w:shd w:val="clear" w:color="auto" w:fill="FFFFFF"/>
              <w:kinsoku/>
              <w:wordWrap/>
              <w:overflowPunct/>
              <w:topLinePunct w:val="0"/>
              <w:bidi w:val="0"/>
              <w:adjustRightInd w:val="0"/>
              <w:snapToGrid/>
              <w:spacing w:line="520" w:lineRule="exact"/>
              <w:ind w:firstLine="551" w:firstLineChars="196"/>
              <w:jc w:val="left"/>
              <w:textAlignment w:val="auto"/>
              <w:rPr>
                <w:rFonts w:hint="eastAsia" w:ascii="仿宋" w:hAnsi="仿宋" w:eastAsia="仿宋" w:cs="仿宋"/>
                <w:b/>
                <w:color w:val="333333"/>
                <w:kern w:val="0"/>
                <w:sz w:val="28"/>
                <w:szCs w:val="28"/>
              </w:rPr>
            </w:pPr>
            <w:r>
              <w:rPr>
                <w:rFonts w:hint="eastAsia" w:ascii="仿宋" w:hAnsi="仿宋" w:eastAsia="仿宋" w:cs="仿宋"/>
                <w:b/>
                <w:color w:val="333333"/>
                <w:kern w:val="0"/>
                <w:sz w:val="28"/>
                <w:szCs w:val="28"/>
              </w:rPr>
              <w:t>三、20</w:t>
            </w:r>
            <w:r>
              <w:rPr>
                <w:rFonts w:hint="eastAsia" w:ascii="仿宋" w:hAnsi="仿宋" w:eastAsia="仿宋" w:cs="仿宋"/>
                <w:b/>
                <w:color w:val="333333"/>
                <w:kern w:val="0"/>
                <w:sz w:val="28"/>
                <w:szCs w:val="28"/>
                <w:lang w:val="en-US" w:eastAsia="zh-CN"/>
              </w:rPr>
              <w:t>20</w:t>
            </w:r>
            <w:r>
              <w:rPr>
                <w:rFonts w:hint="eastAsia" w:ascii="仿宋" w:hAnsi="仿宋" w:eastAsia="仿宋" w:cs="仿宋"/>
                <w:b/>
                <w:color w:val="333333"/>
                <w:kern w:val="0"/>
                <w:sz w:val="28"/>
                <w:szCs w:val="28"/>
              </w:rPr>
              <w:t>年度整体支出执行情况</w:t>
            </w:r>
          </w:p>
          <w:p w14:paraId="5D705D2F">
            <w:pPr>
              <w:keepNext w:val="0"/>
              <w:keepLines w:val="0"/>
              <w:pageBreakBefore w:val="0"/>
              <w:shd w:val="clear" w:color="auto" w:fill="FFFFFF"/>
              <w:kinsoku/>
              <w:wordWrap/>
              <w:overflowPunct/>
              <w:topLinePunct w:val="0"/>
              <w:bidi w:val="0"/>
              <w:adjustRightInd w:val="0"/>
              <w:snapToGrid/>
              <w:spacing w:line="520" w:lineRule="exact"/>
              <w:ind w:firstLine="700" w:firstLineChars="250"/>
              <w:textAlignment w:val="auto"/>
              <w:rPr>
                <w:rFonts w:hint="eastAsia" w:ascii="仿宋" w:hAnsi="仿宋" w:eastAsia="仿宋" w:cs="仿宋"/>
                <w:color w:val="333333"/>
                <w:sz w:val="28"/>
                <w:szCs w:val="28"/>
                <w:shd w:val="clear" w:color="auto" w:fill="FFFFFF"/>
              </w:rPr>
            </w:pPr>
            <w:r>
              <w:rPr>
                <w:rFonts w:hint="eastAsia" w:ascii="仿宋" w:hAnsi="仿宋" w:eastAsia="仿宋" w:cs="仿宋"/>
                <w:color w:val="333333"/>
                <w:kern w:val="0"/>
                <w:sz w:val="28"/>
                <w:szCs w:val="28"/>
                <w:shd w:val="clear" w:color="auto" w:fill="FFFFFF"/>
              </w:rPr>
              <w:t>发改局20</w:t>
            </w:r>
            <w:r>
              <w:rPr>
                <w:rFonts w:hint="eastAsia" w:ascii="仿宋" w:hAnsi="仿宋" w:eastAsia="仿宋" w:cs="仿宋"/>
                <w:color w:val="333333"/>
                <w:kern w:val="0"/>
                <w:sz w:val="28"/>
                <w:szCs w:val="28"/>
                <w:shd w:val="clear" w:color="auto" w:fill="FFFFFF"/>
                <w:lang w:val="en-US" w:eastAsia="zh-CN"/>
              </w:rPr>
              <w:t>20</w:t>
            </w:r>
            <w:r>
              <w:rPr>
                <w:rFonts w:hint="eastAsia" w:ascii="仿宋" w:hAnsi="仿宋" w:eastAsia="仿宋" w:cs="仿宋"/>
                <w:color w:val="333333"/>
                <w:kern w:val="0"/>
                <w:sz w:val="28"/>
                <w:szCs w:val="28"/>
                <w:shd w:val="clear" w:color="auto" w:fill="FFFFFF"/>
              </w:rPr>
              <w:t>年度整体支出为</w:t>
            </w:r>
            <w:r>
              <w:rPr>
                <w:rFonts w:hint="eastAsia" w:ascii="仿宋" w:hAnsi="仿宋" w:eastAsia="仿宋" w:cs="仿宋"/>
                <w:sz w:val="28"/>
                <w:szCs w:val="28"/>
                <w:highlight w:val="white"/>
                <w:lang w:val="en-US" w:eastAsia="zh-CN"/>
              </w:rPr>
              <w:t>2836.56</w:t>
            </w:r>
            <w:r>
              <w:rPr>
                <w:rFonts w:hint="eastAsia" w:ascii="仿宋" w:hAnsi="仿宋" w:eastAsia="仿宋" w:cs="仿宋"/>
                <w:color w:val="333333"/>
                <w:kern w:val="0"/>
                <w:sz w:val="28"/>
                <w:szCs w:val="28"/>
                <w:shd w:val="clear" w:color="auto" w:fill="FFFFFF"/>
              </w:rPr>
              <w:t>万元</w:t>
            </w:r>
            <w:r>
              <w:rPr>
                <w:rFonts w:hint="eastAsia" w:ascii="仿宋" w:hAnsi="仿宋" w:eastAsia="仿宋" w:cs="仿宋"/>
                <w:color w:val="686868"/>
                <w:sz w:val="28"/>
                <w:szCs w:val="28"/>
              </w:rPr>
              <w:t>,</w:t>
            </w:r>
            <w:r>
              <w:rPr>
                <w:rFonts w:hint="eastAsia" w:ascii="仿宋" w:hAnsi="仿宋" w:eastAsia="仿宋" w:cs="仿宋"/>
                <w:color w:val="333333"/>
                <w:sz w:val="28"/>
                <w:szCs w:val="28"/>
                <w:shd w:val="clear" w:color="auto" w:fill="FFFFFF"/>
              </w:rPr>
              <w:t xml:space="preserve"> 其中：基本支出</w:t>
            </w:r>
            <w:r>
              <w:rPr>
                <w:rFonts w:hint="eastAsia" w:ascii="仿宋" w:hAnsi="仿宋" w:eastAsia="仿宋" w:cs="仿宋"/>
                <w:color w:val="333333"/>
                <w:sz w:val="28"/>
                <w:szCs w:val="28"/>
                <w:shd w:val="clear" w:color="auto" w:fill="FFFFFF"/>
                <w:lang w:val="en-US" w:eastAsia="zh-CN"/>
              </w:rPr>
              <w:t>903.93</w:t>
            </w:r>
            <w:r>
              <w:rPr>
                <w:rFonts w:hint="eastAsia" w:ascii="仿宋" w:hAnsi="仿宋" w:eastAsia="仿宋" w:cs="仿宋"/>
                <w:color w:val="333333"/>
                <w:sz w:val="28"/>
                <w:szCs w:val="28"/>
                <w:shd w:val="clear" w:color="auto" w:fill="FFFFFF"/>
              </w:rPr>
              <w:t>万元，项目支出</w:t>
            </w:r>
            <w:r>
              <w:rPr>
                <w:rFonts w:hint="eastAsia" w:ascii="仿宋" w:hAnsi="仿宋" w:eastAsia="仿宋" w:cs="仿宋"/>
                <w:sz w:val="28"/>
                <w:szCs w:val="28"/>
                <w:highlight w:val="white"/>
                <w:lang w:val="en-US" w:eastAsia="zh-CN"/>
              </w:rPr>
              <w:t>1932.63</w:t>
            </w:r>
            <w:r>
              <w:rPr>
                <w:rFonts w:hint="eastAsia" w:ascii="仿宋" w:hAnsi="仿宋" w:eastAsia="仿宋" w:cs="仿宋"/>
                <w:color w:val="333333"/>
                <w:sz w:val="28"/>
                <w:szCs w:val="28"/>
                <w:shd w:val="clear" w:color="auto" w:fill="FFFFFF"/>
              </w:rPr>
              <w:t>万元。</w:t>
            </w:r>
          </w:p>
          <w:p w14:paraId="1F60AD75">
            <w:pPr>
              <w:keepNext w:val="0"/>
              <w:keepLines w:val="0"/>
              <w:pageBreakBefore w:val="0"/>
              <w:numPr>
                <w:ilvl w:val="0"/>
                <w:numId w:val="1"/>
              </w:numPr>
              <w:kinsoku/>
              <w:wordWrap/>
              <w:overflowPunct/>
              <w:topLinePunct w:val="0"/>
              <w:autoSpaceDE w:val="0"/>
              <w:autoSpaceDN w:val="0"/>
              <w:bidi w:val="0"/>
              <w:adjustRightInd w:val="0"/>
              <w:snapToGrid/>
              <w:spacing w:line="520" w:lineRule="exact"/>
              <w:ind w:firstLine="562" w:firstLineChars="200"/>
              <w:jc w:val="left"/>
              <w:textAlignment w:val="auto"/>
              <w:rPr>
                <w:rFonts w:hint="eastAsia" w:ascii="仿宋" w:hAnsi="仿宋" w:eastAsia="仿宋" w:cs="仿宋"/>
                <w:kern w:val="0"/>
                <w:sz w:val="28"/>
                <w:szCs w:val="28"/>
                <w:highlight w:val="white"/>
                <w:lang w:eastAsia="zh-CN"/>
              </w:rPr>
            </w:pPr>
            <w:r>
              <w:rPr>
                <w:rFonts w:hint="eastAsia" w:ascii="仿宋" w:hAnsi="仿宋" w:eastAsia="仿宋" w:cs="仿宋"/>
                <w:b/>
                <w:bCs/>
                <w:color w:val="333333"/>
                <w:sz w:val="28"/>
                <w:szCs w:val="28"/>
                <w:shd w:val="clear" w:color="auto" w:fill="FFFFFF"/>
              </w:rPr>
              <w:t>基本支出</w:t>
            </w:r>
            <w:r>
              <w:rPr>
                <w:rFonts w:hint="eastAsia" w:ascii="仿宋" w:hAnsi="仿宋" w:eastAsia="仿宋" w:cs="仿宋"/>
                <w:color w:val="333333"/>
                <w:sz w:val="28"/>
                <w:szCs w:val="28"/>
                <w:shd w:val="clear" w:color="auto" w:fill="FFFFFF"/>
              </w:rPr>
              <w:t>：</w:t>
            </w:r>
            <w:r>
              <w:rPr>
                <w:rFonts w:hint="eastAsia" w:ascii="仿宋" w:hAnsi="仿宋" w:eastAsia="仿宋" w:cs="仿宋"/>
                <w:sz w:val="28"/>
                <w:szCs w:val="28"/>
                <w:highlight w:val="white"/>
                <w:lang w:val="zh-CN"/>
              </w:rPr>
              <w:t>20</w:t>
            </w:r>
            <w:r>
              <w:rPr>
                <w:rFonts w:hint="eastAsia" w:ascii="仿宋" w:hAnsi="仿宋" w:eastAsia="仿宋" w:cs="仿宋"/>
                <w:sz w:val="28"/>
                <w:szCs w:val="28"/>
                <w:highlight w:val="white"/>
                <w:lang w:val="en-US" w:eastAsia="zh-CN"/>
              </w:rPr>
              <w:t>20</w:t>
            </w:r>
            <w:r>
              <w:rPr>
                <w:rFonts w:hint="eastAsia" w:ascii="仿宋" w:hAnsi="仿宋" w:eastAsia="仿宋" w:cs="仿宋"/>
                <w:sz w:val="28"/>
                <w:szCs w:val="28"/>
                <w:highlight w:val="white"/>
                <w:lang w:val="zh-CN"/>
              </w:rPr>
              <w:t>年度</w:t>
            </w:r>
            <w:r>
              <w:rPr>
                <w:rFonts w:hint="eastAsia" w:ascii="仿宋" w:hAnsi="仿宋" w:eastAsia="仿宋" w:cs="仿宋"/>
                <w:kern w:val="0"/>
                <w:sz w:val="28"/>
                <w:szCs w:val="28"/>
                <w:highlight w:val="white"/>
              </w:rPr>
              <w:t>财政拨款基本支出</w:t>
            </w:r>
            <w:r>
              <w:rPr>
                <w:rFonts w:hint="eastAsia" w:ascii="仿宋" w:hAnsi="仿宋" w:eastAsia="仿宋" w:cs="仿宋"/>
                <w:kern w:val="0"/>
                <w:sz w:val="28"/>
                <w:szCs w:val="28"/>
                <w:highlight w:val="white"/>
                <w:lang w:val="en-US" w:eastAsia="zh-CN"/>
              </w:rPr>
              <w:t>903.93</w:t>
            </w:r>
            <w:r>
              <w:rPr>
                <w:rFonts w:hint="eastAsia" w:ascii="仿宋" w:hAnsi="仿宋" w:eastAsia="仿宋" w:cs="仿宋"/>
                <w:kern w:val="0"/>
                <w:sz w:val="28"/>
                <w:szCs w:val="28"/>
                <w:highlight w:val="white"/>
              </w:rPr>
              <w:t>万元，其中:人员经费67</w:t>
            </w:r>
            <w:r>
              <w:rPr>
                <w:rFonts w:hint="eastAsia" w:ascii="仿宋" w:hAnsi="仿宋" w:eastAsia="仿宋" w:cs="仿宋"/>
                <w:kern w:val="0"/>
                <w:sz w:val="28"/>
                <w:szCs w:val="28"/>
                <w:highlight w:val="white"/>
                <w:lang w:val="en-US" w:eastAsia="zh-CN"/>
              </w:rPr>
              <w:t>6.52</w:t>
            </w:r>
            <w:r>
              <w:rPr>
                <w:rFonts w:hint="eastAsia" w:ascii="仿宋" w:hAnsi="仿宋" w:eastAsia="仿宋" w:cs="仿宋"/>
                <w:kern w:val="0"/>
                <w:sz w:val="28"/>
                <w:szCs w:val="28"/>
                <w:highlight w:val="white"/>
              </w:rPr>
              <w:t>万元，主要包括基本工资、津贴补贴、</w:t>
            </w:r>
            <w:r>
              <w:rPr>
                <w:rFonts w:hint="eastAsia" w:ascii="仿宋" w:hAnsi="仿宋" w:eastAsia="仿宋" w:cs="仿宋"/>
                <w:kern w:val="0"/>
                <w:sz w:val="28"/>
                <w:szCs w:val="28"/>
                <w:highlight w:val="white"/>
                <w:lang w:val="zh-CN"/>
              </w:rPr>
              <w:t>奖金、绩效工资、机关事业单位基本养老保险缴费、职工基本医疗保险缴费、其他社会保障缴费、住房公积金、其他工资福利支出、抚恤金、其他对个人和家庭的补助等，公用支出</w:t>
            </w:r>
            <w:r>
              <w:rPr>
                <w:rFonts w:hint="eastAsia" w:ascii="仿宋" w:hAnsi="仿宋" w:eastAsia="仿宋" w:cs="仿宋"/>
                <w:kern w:val="0"/>
                <w:sz w:val="28"/>
                <w:szCs w:val="28"/>
                <w:highlight w:val="white"/>
                <w:lang w:val="en-US" w:eastAsia="zh-CN"/>
              </w:rPr>
              <w:t>227.41万元，</w:t>
            </w:r>
            <w:r>
              <w:rPr>
                <w:rFonts w:hint="eastAsia" w:ascii="仿宋" w:hAnsi="仿宋" w:eastAsia="仿宋" w:cs="仿宋"/>
                <w:kern w:val="0"/>
                <w:sz w:val="28"/>
                <w:szCs w:val="28"/>
                <w:highlight w:val="white"/>
              </w:rPr>
              <w:t>主要包括办公费、印刷费、咨询费、水费、电费、邮电费、差旅费、维修（护）费、会议费、培训费、公务接待费、劳务费、工会经费、福利费、其他交通费用、其他商品和服务支出、办公设备购置</w:t>
            </w:r>
            <w:r>
              <w:rPr>
                <w:rFonts w:hint="eastAsia" w:ascii="仿宋" w:hAnsi="仿宋" w:eastAsia="仿宋" w:cs="仿宋"/>
                <w:kern w:val="0"/>
                <w:sz w:val="28"/>
                <w:szCs w:val="28"/>
                <w:highlight w:val="white"/>
                <w:lang w:eastAsia="zh-CN"/>
              </w:rPr>
              <w:t>等</w:t>
            </w:r>
          </w:p>
          <w:p w14:paraId="5AF3FF48">
            <w:pPr>
              <w:keepNext w:val="0"/>
              <w:keepLines w:val="0"/>
              <w:pageBreakBefore w:val="0"/>
              <w:numPr>
                <w:ilvl w:val="0"/>
                <w:numId w:val="1"/>
              </w:numPr>
              <w:kinsoku/>
              <w:wordWrap/>
              <w:overflowPunct/>
              <w:topLinePunct w:val="0"/>
              <w:autoSpaceDE w:val="0"/>
              <w:autoSpaceDN w:val="0"/>
              <w:bidi w:val="0"/>
              <w:adjustRightInd w:val="0"/>
              <w:snapToGrid/>
              <w:spacing w:line="520" w:lineRule="exact"/>
              <w:ind w:firstLine="562" w:firstLineChars="200"/>
              <w:jc w:val="left"/>
              <w:textAlignment w:val="auto"/>
              <w:rPr>
                <w:rFonts w:hint="eastAsia" w:ascii="仿宋" w:hAnsi="仿宋" w:eastAsia="仿宋" w:cs="仿宋"/>
                <w:kern w:val="0"/>
                <w:sz w:val="28"/>
                <w:szCs w:val="28"/>
                <w:highlight w:val="white"/>
                <w:lang w:val="zh-CN" w:eastAsia="zh-CN"/>
              </w:rPr>
            </w:pPr>
            <w:r>
              <w:rPr>
                <w:rFonts w:hint="eastAsia" w:ascii="仿宋" w:hAnsi="仿宋" w:eastAsia="仿宋" w:cs="仿宋"/>
                <w:b/>
                <w:bCs/>
                <w:kern w:val="0"/>
                <w:sz w:val="28"/>
                <w:szCs w:val="28"/>
                <w:highlight w:val="white"/>
                <w:lang w:val="zh-CN" w:eastAsia="zh-CN"/>
              </w:rPr>
              <w:t>项目支出：</w:t>
            </w:r>
            <w:r>
              <w:rPr>
                <w:rFonts w:hint="eastAsia" w:ascii="仿宋" w:hAnsi="仿宋" w:eastAsia="仿宋" w:cs="仿宋"/>
                <w:kern w:val="0"/>
                <w:sz w:val="28"/>
                <w:szCs w:val="28"/>
                <w:highlight w:val="white"/>
                <w:lang w:val="en-US" w:eastAsia="zh-CN"/>
              </w:rPr>
              <w:t>1932.63万元，主要用于：驻村扶贫帮扶支出2万元、疫情防控专项支出12.4万元、突发公共卫生事件应急处理3.25万元、智慧华容建设专项支出1914.98万元</w:t>
            </w:r>
          </w:p>
          <w:p w14:paraId="34B64615">
            <w:pPr>
              <w:keepNext w:val="0"/>
              <w:keepLines w:val="0"/>
              <w:pageBreakBefore w:val="0"/>
              <w:shd w:val="clear" w:color="auto" w:fill="FFFFFF"/>
              <w:kinsoku/>
              <w:wordWrap/>
              <w:overflowPunct/>
              <w:topLinePunct w:val="0"/>
              <w:bidi w:val="0"/>
              <w:adjustRightInd w:val="0"/>
              <w:snapToGrid/>
              <w:spacing w:line="520" w:lineRule="exact"/>
              <w:ind w:firstLine="640"/>
              <w:textAlignment w:val="auto"/>
              <w:rPr>
                <w:rFonts w:hint="eastAsia" w:ascii="仿宋" w:hAnsi="仿宋" w:eastAsia="仿宋" w:cs="仿宋"/>
                <w:color w:val="686868"/>
                <w:sz w:val="28"/>
                <w:szCs w:val="28"/>
              </w:rPr>
            </w:pPr>
            <w:r>
              <w:rPr>
                <w:rFonts w:hint="eastAsia" w:ascii="仿宋" w:hAnsi="仿宋" w:eastAsia="仿宋" w:cs="仿宋"/>
                <w:b/>
                <w:bCs/>
                <w:color w:val="333333"/>
                <w:kern w:val="0"/>
                <w:sz w:val="28"/>
                <w:szCs w:val="28"/>
                <w:shd w:val="clear" w:color="auto" w:fill="FFFFFF"/>
              </w:rPr>
              <w:t>（三）三公”经费支出</w:t>
            </w:r>
            <w:r>
              <w:rPr>
                <w:rFonts w:hint="eastAsia" w:ascii="仿宋" w:hAnsi="仿宋" w:eastAsia="仿宋" w:cs="仿宋"/>
                <w:color w:val="333333"/>
                <w:kern w:val="0"/>
                <w:sz w:val="28"/>
                <w:szCs w:val="28"/>
                <w:shd w:val="clear" w:color="auto" w:fill="FFFFFF"/>
              </w:rPr>
              <w:t>：</w:t>
            </w:r>
            <w:r>
              <w:rPr>
                <w:rFonts w:hint="eastAsia" w:ascii="仿宋" w:hAnsi="仿宋" w:eastAsia="仿宋" w:cs="仿宋"/>
                <w:color w:val="333333"/>
                <w:kern w:val="0"/>
                <w:sz w:val="28"/>
                <w:szCs w:val="28"/>
                <w:shd w:val="clear" w:color="auto" w:fill="FFFFFF"/>
                <w:lang w:val="en-US" w:eastAsia="zh-CN"/>
              </w:rPr>
              <w:t>5.37</w:t>
            </w:r>
            <w:r>
              <w:rPr>
                <w:rFonts w:hint="eastAsia" w:ascii="仿宋" w:hAnsi="仿宋" w:eastAsia="仿宋" w:cs="仿宋"/>
                <w:color w:val="333333"/>
                <w:kern w:val="0"/>
                <w:sz w:val="28"/>
                <w:szCs w:val="28"/>
                <w:shd w:val="clear" w:color="auto" w:fill="FFFFFF"/>
              </w:rPr>
              <w:t>万元，</w:t>
            </w:r>
            <w:r>
              <w:rPr>
                <w:rFonts w:hint="eastAsia" w:ascii="仿宋" w:hAnsi="仿宋" w:eastAsia="仿宋" w:cs="仿宋"/>
                <w:color w:val="222222"/>
                <w:sz w:val="28"/>
                <w:szCs w:val="28"/>
                <w:shd w:val="clear" w:color="auto" w:fill="FFFFFF"/>
              </w:rPr>
              <w:t>全部为财政拨款资金，用于</w:t>
            </w:r>
            <w:r>
              <w:rPr>
                <w:rFonts w:hint="eastAsia" w:ascii="仿宋" w:hAnsi="仿宋" w:eastAsia="仿宋" w:cs="仿宋"/>
                <w:color w:val="333333"/>
                <w:kern w:val="0"/>
                <w:sz w:val="28"/>
                <w:szCs w:val="28"/>
                <w:shd w:val="clear" w:color="auto" w:fill="FFFFFF"/>
              </w:rPr>
              <w:t>公务接待</w:t>
            </w:r>
            <w:r>
              <w:rPr>
                <w:rFonts w:hint="eastAsia" w:ascii="仿宋" w:hAnsi="仿宋" w:eastAsia="仿宋" w:cs="仿宋"/>
                <w:color w:val="333333"/>
                <w:kern w:val="0"/>
                <w:sz w:val="28"/>
                <w:szCs w:val="28"/>
                <w:shd w:val="clear" w:color="auto" w:fill="FFFFFF"/>
                <w:lang w:val="en-US" w:eastAsia="zh-CN"/>
              </w:rPr>
              <w:t>5.37</w:t>
            </w:r>
            <w:r>
              <w:rPr>
                <w:rFonts w:hint="eastAsia" w:ascii="仿宋" w:hAnsi="仿宋" w:eastAsia="仿宋" w:cs="仿宋"/>
                <w:color w:val="333333"/>
                <w:kern w:val="0"/>
                <w:sz w:val="28"/>
                <w:szCs w:val="28"/>
                <w:shd w:val="clear" w:color="auto" w:fill="FFFFFF"/>
              </w:rPr>
              <w:t>万元，因公出国费、公务用车均为</w:t>
            </w:r>
            <w:r>
              <w:rPr>
                <w:rFonts w:hint="eastAsia" w:ascii="仿宋" w:hAnsi="仿宋" w:eastAsia="仿宋" w:cs="仿宋"/>
                <w:color w:val="333333"/>
                <w:kern w:val="0"/>
                <w:sz w:val="28"/>
                <w:szCs w:val="28"/>
                <w:shd w:val="clear" w:color="auto" w:fill="FFFFFF"/>
                <w:lang w:val="en-US" w:eastAsia="zh-CN"/>
              </w:rPr>
              <w:t>0，</w:t>
            </w:r>
            <w:r>
              <w:rPr>
                <w:rFonts w:hint="eastAsia" w:ascii="仿宋" w:hAnsi="仿宋" w:eastAsia="仿宋" w:cs="仿宋"/>
                <w:color w:val="333333"/>
                <w:kern w:val="0"/>
                <w:sz w:val="28"/>
                <w:szCs w:val="28"/>
                <w:shd w:val="clear" w:color="auto" w:fill="FFFFFF"/>
              </w:rPr>
              <w:t>与上年</w:t>
            </w:r>
            <w:r>
              <w:rPr>
                <w:rFonts w:hint="eastAsia" w:ascii="仿宋" w:hAnsi="仿宋" w:eastAsia="仿宋" w:cs="仿宋"/>
                <w:color w:val="333333"/>
                <w:kern w:val="0"/>
                <w:sz w:val="28"/>
                <w:szCs w:val="28"/>
                <w:shd w:val="clear" w:color="auto" w:fill="FFFFFF"/>
                <w:lang w:eastAsia="zh-CN"/>
              </w:rPr>
              <w:t>度</w:t>
            </w:r>
            <w:r>
              <w:rPr>
                <w:rFonts w:hint="eastAsia" w:ascii="仿宋" w:hAnsi="仿宋" w:eastAsia="仿宋" w:cs="仿宋"/>
                <w:color w:val="333333"/>
                <w:kern w:val="0"/>
                <w:sz w:val="28"/>
                <w:szCs w:val="28"/>
                <w:shd w:val="clear" w:color="auto" w:fill="FFFFFF"/>
                <w:lang w:val="en-US" w:eastAsia="zh-CN"/>
              </w:rPr>
              <w:t>6.29万元</w:t>
            </w:r>
            <w:r>
              <w:rPr>
                <w:rFonts w:hint="eastAsia" w:ascii="仿宋" w:hAnsi="仿宋" w:eastAsia="仿宋" w:cs="仿宋"/>
                <w:color w:val="333333"/>
                <w:kern w:val="0"/>
                <w:sz w:val="28"/>
                <w:szCs w:val="28"/>
                <w:shd w:val="clear" w:color="auto" w:fill="FFFFFF"/>
              </w:rPr>
              <w:t>相比，“三公”经费</w:t>
            </w:r>
            <w:r>
              <w:rPr>
                <w:rFonts w:hint="eastAsia" w:ascii="仿宋" w:hAnsi="仿宋" w:eastAsia="仿宋" w:cs="仿宋"/>
                <w:color w:val="333333"/>
                <w:kern w:val="0"/>
                <w:sz w:val="28"/>
                <w:szCs w:val="28"/>
                <w:shd w:val="clear" w:color="auto" w:fill="FFFFFF"/>
                <w:lang w:eastAsia="zh-CN"/>
              </w:rPr>
              <w:t>下降</w:t>
            </w:r>
            <w:r>
              <w:rPr>
                <w:rFonts w:hint="eastAsia" w:ascii="仿宋" w:hAnsi="仿宋" w:eastAsia="仿宋" w:cs="仿宋"/>
                <w:color w:val="333333"/>
                <w:kern w:val="0"/>
                <w:sz w:val="28"/>
                <w:szCs w:val="28"/>
                <w:shd w:val="clear" w:color="auto" w:fill="FFFFFF"/>
                <w:lang w:val="en-US" w:eastAsia="zh-CN"/>
              </w:rPr>
              <w:t>14.62%</w:t>
            </w:r>
            <w:r>
              <w:rPr>
                <w:rFonts w:hint="eastAsia" w:ascii="仿宋" w:hAnsi="仿宋" w:eastAsia="仿宋" w:cs="仿宋"/>
                <w:color w:val="333333"/>
                <w:kern w:val="0"/>
                <w:sz w:val="28"/>
                <w:szCs w:val="28"/>
                <w:shd w:val="clear" w:color="auto" w:fill="FFFFFF"/>
              </w:rPr>
              <w:t>，</w:t>
            </w:r>
            <w:r>
              <w:rPr>
                <w:rFonts w:hint="eastAsia" w:ascii="仿宋" w:hAnsi="仿宋" w:eastAsia="仿宋" w:cs="仿宋"/>
                <w:sz w:val="28"/>
                <w:szCs w:val="28"/>
              </w:rPr>
              <w:t>总体控制较好。</w:t>
            </w:r>
          </w:p>
          <w:p w14:paraId="2ADFF27E">
            <w:pPr>
              <w:keepNext w:val="0"/>
              <w:keepLines w:val="0"/>
              <w:pageBreakBefore w:val="0"/>
              <w:widowControl/>
              <w:shd w:val="clear" w:color="auto" w:fill="FFFFFF"/>
              <w:kinsoku/>
              <w:wordWrap/>
              <w:overflowPunct/>
              <w:topLinePunct w:val="0"/>
              <w:bidi w:val="0"/>
              <w:adjustRightInd w:val="0"/>
              <w:snapToGrid/>
              <w:spacing w:line="520" w:lineRule="exact"/>
              <w:ind w:firstLine="640"/>
              <w:textAlignment w:val="auto"/>
              <w:rPr>
                <w:rFonts w:hint="eastAsia" w:ascii="仿宋" w:hAnsi="仿宋" w:eastAsia="仿宋" w:cs="仿宋"/>
                <w:b/>
                <w:color w:val="333333"/>
                <w:kern w:val="0"/>
                <w:sz w:val="28"/>
                <w:szCs w:val="28"/>
              </w:rPr>
            </w:pPr>
            <w:r>
              <w:rPr>
                <w:rFonts w:hint="eastAsia" w:ascii="仿宋" w:hAnsi="仿宋" w:eastAsia="仿宋" w:cs="仿宋"/>
                <w:b/>
                <w:color w:val="333333"/>
                <w:kern w:val="0"/>
                <w:sz w:val="28"/>
                <w:szCs w:val="28"/>
              </w:rPr>
              <w:t>四、20</w:t>
            </w:r>
            <w:r>
              <w:rPr>
                <w:rFonts w:hint="eastAsia" w:ascii="仿宋" w:hAnsi="仿宋" w:eastAsia="仿宋" w:cs="仿宋"/>
                <w:b/>
                <w:color w:val="333333"/>
                <w:kern w:val="0"/>
                <w:sz w:val="28"/>
                <w:szCs w:val="28"/>
                <w:lang w:val="en-US" w:eastAsia="zh-CN"/>
              </w:rPr>
              <w:t>20</w:t>
            </w:r>
            <w:r>
              <w:rPr>
                <w:rFonts w:hint="eastAsia" w:ascii="仿宋" w:hAnsi="仿宋" w:eastAsia="仿宋" w:cs="仿宋"/>
                <w:b/>
                <w:color w:val="333333"/>
                <w:kern w:val="0"/>
                <w:sz w:val="28"/>
                <w:szCs w:val="28"/>
              </w:rPr>
              <w:t>年度预算整体绩效评价情况</w:t>
            </w:r>
          </w:p>
          <w:p w14:paraId="5C8C3964">
            <w:pPr>
              <w:keepNext w:val="0"/>
              <w:keepLines w:val="0"/>
              <w:pageBreakBefore w:val="0"/>
              <w:kinsoku/>
              <w:wordWrap/>
              <w:overflowPunct/>
              <w:topLinePunct w:val="0"/>
              <w:bidi w:val="0"/>
              <w:snapToGrid/>
              <w:spacing w:line="520" w:lineRule="exact"/>
              <w:ind w:firstLine="560" w:firstLineChars="200"/>
              <w:textAlignment w:val="auto"/>
              <w:rPr>
                <w:rFonts w:hint="eastAsia" w:ascii="仿宋" w:hAnsi="仿宋" w:eastAsia="仿宋" w:cs="仿宋"/>
                <w:b/>
                <w:bCs w:val="0"/>
                <w:sz w:val="28"/>
                <w:szCs w:val="28"/>
                <w:lang w:eastAsia="zh-CN"/>
              </w:rPr>
            </w:pPr>
            <w:r>
              <w:rPr>
                <w:rFonts w:hint="eastAsia" w:ascii="仿宋" w:hAnsi="仿宋" w:eastAsia="仿宋" w:cs="仿宋"/>
                <w:color w:val="333333"/>
                <w:kern w:val="0"/>
                <w:sz w:val="28"/>
                <w:szCs w:val="28"/>
                <w:shd w:val="clear" w:color="auto" w:fill="FFFFFF"/>
              </w:rPr>
              <w:t>20</w:t>
            </w:r>
            <w:r>
              <w:rPr>
                <w:rFonts w:hint="eastAsia" w:ascii="仿宋" w:hAnsi="仿宋" w:eastAsia="仿宋" w:cs="仿宋"/>
                <w:color w:val="333333"/>
                <w:kern w:val="0"/>
                <w:sz w:val="28"/>
                <w:szCs w:val="28"/>
                <w:shd w:val="clear" w:color="auto" w:fill="FFFFFF"/>
                <w:lang w:val="en-US" w:eastAsia="zh-CN"/>
              </w:rPr>
              <w:t>20</w:t>
            </w:r>
            <w:r>
              <w:rPr>
                <w:rFonts w:hint="eastAsia" w:ascii="仿宋" w:hAnsi="仿宋" w:eastAsia="仿宋" w:cs="仿宋"/>
                <w:color w:val="333333"/>
                <w:kern w:val="0"/>
                <w:sz w:val="28"/>
                <w:szCs w:val="28"/>
                <w:shd w:val="clear" w:color="auto" w:fill="FFFFFF"/>
              </w:rPr>
              <w:t>年，根据年初工作规划和重点工作，围绕县委、县政府的工作部署，积极履行职责，强化管理，较好地完成了年度工作目标，同时加强预算收支的管理，建立健全内部管理制度，严格内部管理流程，部门整体支出管理得到了提升</w:t>
            </w:r>
            <w:r>
              <w:rPr>
                <w:rFonts w:hint="eastAsia" w:ascii="仿宋" w:hAnsi="仿宋" w:eastAsia="仿宋" w:cs="仿宋"/>
                <w:color w:val="333333"/>
                <w:kern w:val="0"/>
                <w:sz w:val="28"/>
                <w:szCs w:val="28"/>
                <w:shd w:val="clear" w:color="auto" w:fill="FFFFFF"/>
                <w:lang w:eastAsia="zh-CN"/>
              </w:rPr>
              <w:t>。</w:t>
            </w:r>
          </w:p>
          <w:p w14:paraId="5041A55F">
            <w:pPr>
              <w:keepNext w:val="0"/>
              <w:keepLines w:val="0"/>
              <w:pageBreakBefore w:val="0"/>
              <w:widowControl/>
              <w:shd w:val="clear" w:color="auto" w:fill="FFFFFF"/>
              <w:kinsoku/>
              <w:wordWrap/>
              <w:overflowPunct/>
              <w:topLinePunct w:val="0"/>
              <w:bidi w:val="0"/>
              <w:adjustRightInd w:val="0"/>
              <w:snapToGrid/>
              <w:spacing w:line="520" w:lineRule="exact"/>
              <w:ind w:firstLine="562" w:firstLineChars="200"/>
              <w:jc w:val="left"/>
              <w:textAlignment w:val="auto"/>
              <w:rPr>
                <w:rFonts w:hint="eastAsia" w:ascii="仿宋" w:hAnsi="仿宋" w:eastAsia="仿宋" w:cs="仿宋"/>
                <w:b/>
                <w:color w:val="333333"/>
                <w:sz w:val="28"/>
                <w:szCs w:val="28"/>
                <w:shd w:val="clear" w:color="auto" w:fill="FFFFFF"/>
                <w:lang w:eastAsia="zh-CN"/>
              </w:rPr>
            </w:pPr>
            <w:r>
              <w:rPr>
                <w:rFonts w:hint="eastAsia" w:ascii="仿宋" w:hAnsi="仿宋" w:eastAsia="仿宋" w:cs="仿宋"/>
                <w:b/>
                <w:color w:val="333333"/>
                <w:sz w:val="28"/>
                <w:szCs w:val="28"/>
                <w:shd w:val="clear" w:color="auto" w:fill="FFFFFF"/>
                <w:lang w:eastAsia="zh-CN"/>
              </w:rPr>
              <w:t>五、存在的问题</w:t>
            </w:r>
          </w:p>
          <w:p w14:paraId="7C7F8C60">
            <w:pPr>
              <w:keepNext w:val="0"/>
              <w:keepLines w:val="0"/>
              <w:pageBreakBefore w:val="0"/>
              <w:kinsoku/>
              <w:wordWrap/>
              <w:overflowPunct/>
              <w:topLinePunct w:val="0"/>
              <w:bidi w:val="0"/>
              <w:snapToGrid/>
              <w:spacing w:line="520" w:lineRule="exact"/>
              <w:ind w:firstLine="560" w:firstLineChars="200"/>
              <w:textAlignment w:val="auto"/>
              <w:rPr>
                <w:rFonts w:hint="eastAsia" w:ascii="仿宋" w:hAnsi="仿宋" w:eastAsia="仿宋" w:cs="仿宋"/>
                <w:color w:val="333333"/>
                <w:kern w:val="0"/>
                <w:sz w:val="28"/>
                <w:szCs w:val="28"/>
                <w:lang w:val="en-US" w:eastAsia="zh-CN" w:bidi="ar"/>
              </w:rPr>
            </w:pPr>
            <w:r>
              <w:rPr>
                <w:rFonts w:hint="eastAsia" w:ascii="仿宋" w:hAnsi="仿宋" w:eastAsia="仿宋" w:cs="仿宋"/>
                <w:color w:val="333333"/>
                <w:kern w:val="0"/>
                <w:sz w:val="28"/>
                <w:szCs w:val="28"/>
              </w:rPr>
              <w:t>由于不确定因素较多，年初预算方案编制不够精准，不够全面</w:t>
            </w:r>
            <w:r>
              <w:rPr>
                <w:rFonts w:hint="eastAsia" w:ascii="仿宋" w:hAnsi="仿宋" w:eastAsia="仿宋" w:cs="仿宋"/>
                <w:color w:val="333333"/>
                <w:kern w:val="0"/>
                <w:sz w:val="28"/>
                <w:szCs w:val="28"/>
                <w:lang w:eastAsia="zh-CN"/>
              </w:rPr>
              <w:t>导致</w:t>
            </w:r>
            <w:r>
              <w:rPr>
                <w:rFonts w:hint="eastAsia" w:ascii="仿宋" w:hAnsi="仿宋" w:eastAsia="仿宋" w:cs="仿宋"/>
                <w:color w:val="333333"/>
                <w:kern w:val="0"/>
                <w:sz w:val="28"/>
                <w:szCs w:val="28"/>
                <w:lang w:val="en-US" w:eastAsia="zh-CN" w:bidi="ar"/>
              </w:rPr>
              <w:t>项目支出预算调整率较高。主要原因是智慧华容建设项目资本金通过我局预算内拨款直接转拨付至项目单位，而导致年中项目支出调整较大。</w:t>
            </w:r>
          </w:p>
          <w:p w14:paraId="2286B2BE">
            <w:pPr>
              <w:keepNext w:val="0"/>
              <w:keepLines w:val="0"/>
              <w:pageBreakBefore w:val="0"/>
              <w:kinsoku/>
              <w:wordWrap/>
              <w:overflowPunct/>
              <w:topLinePunct w:val="0"/>
              <w:bidi w:val="0"/>
              <w:snapToGrid/>
              <w:spacing w:line="520" w:lineRule="exact"/>
              <w:ind w:firstLine="560" w:firstLineChars="200"/>
              <w:textAlignment w:val="auto"/>
              <w:rPr>
                <w:rFonts w:hint="eastAsia" w:ascii="仿宋" w:hAnsi="仿宋" w:eastAsia="仿宋" w:cs="仿宋"/>
                <w:color w:val="333333"/>
                <w:kern w:val="0"/>
                <w:sz w:val="28"/>
                <w:szCs w:val="28"/>
                <w:lang w:val="en-US" w:eastAsia="zh-CN" w:bidi="ar"/>
              </w:rPr>
            </w:pPr>
            <w:r>
              <w:rPr>
                <w:rFonts w:hint="eastAsia" w:ascii="仿宋" w:hAnsi="仿宋" w:eastAsia="仿宋" w:cs="仿宋"/>
                <w:color w:val="333333"/>
                <w:kern w:val="0"/>
                <w:sz w:val="28"/>
                <w:szCs w:val="28"/>
                <w:lang w:val="en-US" w:eastAsia="zh-CN" w:bidi="ar"/>
              </w:rPr>
              <w:t>对部门整体支出绩效管理工作的认识不够深入，业务知识存在盲区。</w:t>
            </w:r>
          </w:p>
          <w:p w14:paraId="2E6A4A4E">
            <w:pPr>
              <w:keepNext w:val="0"/>
              <w:keepLines w:val="0"/>
              <w:pageBreakBefore w:val="0"/>
              <w:kinsoku/>
              <w:wordWrap/>
              <w:overflowPunct/>
              <w:topLinePunct w:val="0"/>
              <w:bidi w:val="0"/>
              <w:snapToGrid/>
              <w:spacing w:line="520" w:lineRule="exact"/>
              <w:ind w:firstLine="562" w:firstLineChars="200"/>
              <w:textAlignment w:val="auto"/>
              <w:rPr>
                <w:rFonts w:hint="eastAsia" w:ascii="仿宋" w:hAnsi="仿宋" w:eastAsia="仿宋" w:cs="仿宋"/>
                <w:b/>
                <w:bCs/>
                <w:color w:val="333333"/>
                <w:kern w:val="0"/>
                <w:sz w:val="28"/>
                <w:szCs w:val="28"/>
                <w:lang w:val="en-US" w:eastAsia="zh-CN" w:bidi="ar"/>
              </w:rPr>
            </w:pPr>
            <w:r>
              <w:rPr>
                <w:rFonts w:hint="eastAsia" w:ascii="仿宋" w:hAnsi="仿宋" w:eastAsia="仿宋" w:cs="仿宋"/>
                <w:b/>
                <w:bCs/>
                <w:color w:val="333333"/>
                <w:kern w:val="0"/>
                <w:sz w:val="28"/>
                <w:szCs w:val="28"/>
                <w:lang w:val="en-US" w:eastAsia="zh-CN" w:bidi="ar"/>
              </w:rPr>
              <w:t>六、改进措施和有关建议</w:t>
            </w:r>
          </w:p>
          <w:p w14:paraId="27AC87AF">
            <w:pPr>
              <w:keepNext w:val="0"/>
              <w:keepLines w:val="0"/>
              <w:pageBreakBefore w:val="0"/>
              <w:kinsoku/>
              <w:wordWrap/>
              <w:overflowPunct/>
              <w:topLinePunct w:val="0"/>
              <w:bidi w:val="0"/>
              <w:snapToGrid/>
              <w:spacing w:line="520" w:lineRule="exact"/>
              <w:ind w:firstLine="560" w:firstLineChars="200"/>
              <w:textAlignment w:val="auto"/>
              <w:rPr>
                <w:rFonts w:hint="eastAsia" w:ascii="仿宋" w:hAnsi="仿宋" w:eastAsia="仿宋" w:cs="仿宋"/>
                <w:color w:val="333333"/>
                <w:kern w:val="0"/>
                <w:sz w:val="28"/>
                <w:szCs w:val="28"/>
                <w:lang w:val="en-US" w:eastAsia="zh-CN" w:bidi="ar"/>
              </w:rPr>
            </w:pPr>
            <w:r>
              <w:rPr>
                <w:rFonts w:hint="eastAsia" w:ascii="仿宋" w:hAnsi="仿宋" w:eastAsia="仿宋" w:cs="仿宋"/>
                <w:color w:val="333333"/>
                <w:kern w:val="0"/>
                <w:sz w:val="28"/>
                <w:szCs w:val="28"/>
                <w:lang w:val="en-US" w:eastAsia="zh-CN" w:bidi="ar"/>
              </w:rPr>
              <w:t>加强预算管理培训，做到科学合理编制部门预算，推进预算编制科学化、精准化、规范;加强业务知识学习，提升认识，突出重点，兼顾全面，做好目标绩效管理工作; 牢固树立过紧日子的大局意识，继续做好厉行节约，积极争取项目资金，缓解财政资金压力。</w:t>
            </w:r>
          </w:p>
          <w:p w14:paraId="2FA5B81D">
            <w:pPr>
              <w:spacing w:line="560" w:lineRule="exact"/>
              <w:ind w:firstLine="560" w:firstLineChars="200"/>
              <w:rPr>
                <w:rFonts w:hint="eastAsia" w:ascii="仿宋_GB2312" w:hAnsi="仿宋_GB2312" w:eastAsia="仿宋_GB2312" w:cs="仿宋_GB2312"/>
                <w:bCs/>
                <w:sz w:val="28"/>
                <w:szCs w:val="28"/>
              </w:rPr>
            </w:pPr>
          </w:p>
          <w:p w14:paraId="2C43102A">
            <w:pPr>
              <w:rPr>
                <w:rFonts w:eastAsia="楷体_GB2312"/>
                <w:bCs/>
                <w:sz w:val="28"/>
                <w:szCs w:val="28"/>
              </w:rPr>
            </w:pPr>
          </w:p>
        </w:tc>
      </w:tr>
    </w:tbl>
    <w:p w14:paraId="1CF36C6A">
      <w:pPr>
        <w:spacing w:line="348" w:lineRule="auto"/>
        <w:rPr>
          <w:rFonts w:eastAsia="楷体_GB2312"/>
          <w:bCs/>
          <w:sz w:val="28"/>
          <w:szCs w:val="28"/>
        </w:rPr>
      </w:pPr>
    </w:p>
    <w:p w14:paraId="40E79B87">
      <w:pPr>
        <w:tabs>
          <w:tab w:val="left" w:pos="4973"/>
        </w:tabs>
        <w:bidi w:val="0"/>
        <w:jc w:val="left"/>
        <w:rPr>
          <w:rFonts w:hint="eastAsia"/>
          <w:lang w:val="en-US" w:eastAsia="zh-CN"/>
        </w:rPr>
      </w:pPr>
      <w:r>
        <w:rPr>
          <w:rFonts w:eastAsia="楷体_GB2312"/>
          <w:bCs/>
          <w:sz w:val="28"/>
          <w:szCs w:val="28"/>
        </w:rPr>
        <w:br w:type="page"/>
      </w:r>
    </w:p>
    <w:p w14:paraId="365761AA">
      <w:pPr>
        <w:tabs>
          <w:tab w:val="left" w:pos="4973"/>
        </w:tabs>
        <w:bidi w:val="0"/>
        <w:jc w:val="left"/>
        <w:rPr>
          <w:rFonts w:hint="eastAsia"/>
          <w:lang w:val="en-US" w:eastAsia="zh-CN"/>
        </w:rPr>
      </w:pPr>
    </w:p>
    <w:p w14:paraId="12A541F6">
      <w:pPr>
        <w:rPr>
          <w:rFonts w:ascii="黑体" w:hAnsi="黑体" w:eastAsia="黑体"/>
          <w:sz w:val="32"/>
          <w:szCs w:val="32"/>
        </w:rPr>
      </w:pPr>
      <w:r>
        <w:rPr>
          <w:rFonts w:hint="eastAsia" w:ascii="黑体" w:hAnsi="黑体" w:eastAsia="黑体"/>
          <w:sz w:val="32"/>
          <w:szCs w:val="32"/>
        </w:rPr>
        <w:t>附件3-1</w:t>
      </w:r>
    </w:p>
    <w:p w14:paraId="197A8F07">
      <w:pPr>
        <w:jc w:val="center"/>
        <w:rPr>
          <w:rFonts w:ascii="方正小标宋简体" w:eastAsia="方正小标宋简体"/>
          <w:sz w:val="38"/>
          <w:szCs w:val="38"/>
        </w:rPr>
      </w:pPr>
      <w:r>
        <w:rPr>
          <w:rFonts w:hint="eastAsia" w:ascii="方正小标宋简体" w:eastAsia="方正小标宋简体"/>
          <w:sz w:val="38"/>
          <w:szCs w:val="38"/>
        </w:rPr>
        <w:t>部门整体支出绩效评价评分表</w:t>
      </w:r>
    </w:p>
    <w:tbl>
      <w:tblPr>
        <w:tblStyle w:val="4"/>
        <w:tblW w:w="9894" w:type="dxa"/>
        <w:jc w:val="center"/>
        <w:tblLayout w:type="fixed"/>
        <w:tblCellMar>
          <w:top w:w="0" w:type="dxa"/>
          <w:left w:w="108" w:type="dxa"/>
          <w:bottom w:w="0" w:type="dxa"/>
          <w:right w:w="108" w:type="dxa"/>
        </w:tblCellMar>
      </w:tblPr>
      <w:tblGrid>
        <w:gridCol w:w="976"/>
        <w:gridCol w:w="939"/>
        <w:gridCol w:w="1389"/>
        <w:gridCol w:w="4171"/>
        <w:gridCol w:w="619"/>
        <w:gridCol w:w="720"/>
        <w:gridCol w:w="1080"/>
      </w:tblGrid>
      <w:tr w14:paraId="67851FAC">
        <w:tblPrEx>
          <w:tblCellMar>
            <w:top w:w="0" w:type="dxa"/>
            <w:left w:w="108" w:type="dxa"/>
            <w:bottom w:w="0" w:type="dxa"/>
            <w:right w:w="108" w:type="dxa"/>
          </w:tblCellMar>
        </w:tblPrEx>
        <w:trPr>
          <w:trHeight w:val="525" w:hRule="atLeast"/>
          <w:jc w:val="center"/>
        </w:trPr>
        <w:tc>
          <w:tcPr>
            <w:tcW w:w="97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1145711">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一级指标</w:t>
            </w:r>
          </w:p>
        </w:tc>
        <w:tc>
          <w:tcPr>
            <w:tcW w:w="939" w:type="dxa"/>
            <w:tcBorders>
              <w:top w:val="single" w:color="auto" w:sz="4" w:space="0"/>
              <w:left w:val="nil"/>
              <w:bottom w:val="single" w:color="auto" w:sz="4" w:space="0"/>
              <w:right w:val="single" w:color="auto" w:sz="4" w:space="0"/>
            </w:tcBorders>
            <w:shd w:val="clear" w:color="auto" w:fill="auto"/>
            <w:noWrap/>
            <w:vAlign w:val="center"/>
          </w:tcPr>
          <w:p w14:paraId="09D27074">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二级指标</w:t>
            </w:r>
          </w:p>
        </w:tc>
        <w:tc>
          <w:tcPr>
            <w:tcW w:w="1389" w:type="dxa"/>
            <w:tcBorders>
              <w:top w:val="single" w:color="auto" w:sz="4" w:space="0"/>
              <w:left w:val="nil"/>
              <w:bottom w:val="single" w:color="auto" w:sz="4" w:space="0"/>
              <w:right w:val="single" w:color="auto" w:sz="4" w:space="0"/>
            </w:tcBorders>
            <w:shd w:val="clear" w:color="auto" w:fill="auto"/>
            <w:noWrap/>
            <w:vAlign w:val="center"/>
          </w:tcPr>
          <w:p w14:paraId="4276027F">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三级指标</w:t>
            </w:r>
          </w:p>
        </w:tc>
        <w:tc>
          <w:tcPr>
            <w:tcW w:w="4171" w:type="dxa"/>
            <w:tcBorders>
              <w:top w:val="single" w:color="auto" w:sz="4" w:space="0"/>
              <w:left w:val="nil"/>
              <w:bottom w:val="single" w:color="auto" w:sz="4" w:space="0"/>
              <w:right w:val="single" w:color="auto" w:sz="4" w:space="0"/>
            </w:tcBorders>
            <w:shd w:val="clear" w:color="auto" w:fill="auto"/>
            <w:noWrap/>
            <w:vAlign w:val="center"/>
          </w:tcPr>
          <w:p w14:paraId="25E7ADF0">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评分标准</w:t>
            </w:r>
          </w:p>
        </w:tc>
        <w:tc>
          <w:tcPr>
            <w:tcW w:w="619" w:type="dxa"/>
            <w:tcBorders>
              <w:top w:val="single" w:color="auto" w:sz="4" w:space="0"/>
              <w:left w:val="nil"/>
              <w:bottom w:val="single" w:color="auto" w:sz="4" w:space="0"/>
              <w:right w:val="single" w:color="auto" w:sz="4" w:space="0"/>
            </w:tcBorders>
            <w:shd w:val="clear" w:color="auto" w:fill="auto"/>
            <w:noWrap/>
            <w:vAlign w:val="center"/>
          </w:tcPr>
          <w:p w14:paraId="5D8F6821">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720" w:type="dxa"/>
            <w:tcBorders>
              <w:top w:val="single" w:color="auto" w:sz="4" w:space="0"/>
              <w:left w:val="nil"/>
              <w:bottom w:val="single" w:color="auto" w:sz="4" w:space="0"/>
              <w:right w:val="single" w:color="auto" w:sz="4" w:space="0"/>
            </w:tcBorders>
            <w:shd w:val="clear" w:color="auto" w:fill="FFFFFF"/>
            <w:noWrap/>
            <w:vAlign w:val="center"/>
          </w:tcPr>
          <w:p w14:paraId="66DE932F">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自评得分</w:t>
            </w:r>
          </w:p>
        </w:tc>
        <w:tc>
          <w:tcPr>
            <w:tcW w:w="1080" w:type="dxa"/>
            <w:tcBorders>
              <w:top w:val="single" w:color="auto" w:sz="4" w:space="0"/>
              <w:left w:val="nil"/>
              <w:bottom w:val="single" w:color="auto" w:sz="4" w:space="0"/>
              <w:right w:val="single" w:color="auto" w:sz="4" w:space="0"/>
            </w:tcBorders>
            <w:shd w:val="clear" w:color="auto" w:fill="FFFFFF"/>
            <w:noWrap/>
            <w:vAlign w:val="center"/>
          </w:tcPr>
          <w:p w14:paraId="4F570616">
            <w:pPr>
              <w:widowControl/>
              <w:spacing w:line="240" w:lineRule="exact"/>
              <w:jc w:val="center"/>
              <w:rPr>
                <w:rFonts w:ascii="仿宋_GB2312" w:hAnsi="宋体" w:eastAsia="仿宋_GB2312" w:cs="宋体"/>
                <w:b/>
                <w:bCs/>
                <w:spacing w:val="-10"/>
                <w:kern w:val="0"/>
                <w:sz w:val="18"/>
                <w:szCs w:val="18"/>
              </w:rPr>
            </w:pPr>
            <w:r>
              <w:rPr>
                <w:rFonts w:hint="eastAsia" w:ascii="仿宋_GB2312" w:hAnsi="宋体" w:eastAsia="仿宋_GB2312" w:cs="宋体"/>
                <w:b/>
                <w:bCs/>
                <w:spacing w:val="-10"/>
                <w:kern w:val="0"/>
                <w:sz w:val="18"/>
                <w:szCs w:val="18"/>
              </w:rPr>
              <w:t>扣分原因和其他说明</w:t>
            </w:r>
          </w:p>
        </w:tc>
      </w:tr>
      <w:tr w14:paraId="4720DC71">
        <w:tblPrEx>
          <w:tblCellMar>
            <w:top w:w="0" w:type="dxa"/>
            <w:left w:w="108" w:type="dxa"/>
            <w:bottom w:w="0" w:type="dxa"/>
            <w:right w:w="108" w:type="dxa"/>
          </w:tblCellMar>
        </w:tblPrEx>
        <w:trPr>
          <w:trHeight w:val="559" w:hRule="atLeast"/>
          <w:jc w:val="center"/>
        </w:trPr>
        <w:tc>
          <w:tcPr>
            <w:tcW w:w="976" w:type="dxa"/>
            <w:vMerge w:val="restart"/>
            <w:tcBorders>
              <w:top w:val="nil"/>
              <w:left w:val="single" w:color="auto" w:sz="4" w:space="0"/>
              <w:bottom w:val="single" w:color="auto" w:sz="4" w:space="0"/>
              <w:right w:val="single" w:color="auto" w:sz="4" w:space="0"/>
            </w:tcBorders>
            <w:noWrap/>
            <w:vAlign w:val="center"/>
          </w:tcPr>
          <w:p w14:paraId="6BC95614">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投  入</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（15分）</w:t>
            </w:r>
          </w:p>
        </w:tc>
        <w:tc>
          <w:tcPr>
            <w:tcW w:w="939" w:type="dxa"/>
            <w:vMerge w:val="restart"/>
            <w:tcBorders>
              <w:top w:val="nil"/>
              <w:left w:val="single" w:color="auto" w:sz="4" w:space="0"/>
              <w:bottom w:val="single" w:color="auto" w:sz="4" w:space="0"/>
              <w:right w:val="single" w:color="auto" w:sz="4" w:space="0"/>
            </w:tcBorders>
            <w:noWrap/>
            <w:vAlign w:val="center"/>
          </w:tcPr>
          <w:p w14:paraId="187043E1">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预算配置</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（15分）</w:t>
            </w:r>
          </w:p>
        </w:tc>
        <w:tc>
          <w:tcPr>
            <w:tcW w:w="1389" w:type="dxa"/>
            <w:tcBorders>
              <w:top w:val="nil"/>
              <w:left w:val="nil"/>
              <w:bottom w:val="single" w:color="auto" w:sz="4" w:space="0"/>
              <w:right w:val="single" w:color="auto" w:sz="4" w:space="0"/>
            </w:tcBorders>
            <w:noWrap/>
            <w:vAlign w:val="center"/>
          </w:tcPr>
          <w:p w14:paraId="4733E3AF">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财政供养人员</w:t>
            </w:r>
          </w:p>
          <w:p w14:paraId="046C9488">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控制率</w:t>
            </w:r>
          </w:p>
        </w:tc>
        <w:tc>
          <w:tcPr>
            <w:tcW w:w="4171" w:type="dxa"/>
            <w:tcBorders>
              <w:top w:val="nil"/>
              <w:left w:val="nil"/>
              <w:bottom w:val="single" w:color="auto" w:sz="4" w:space="0"/>
              <w:right w:val="single" w:color="auto" w:sz="4" w:space="0"/>
            </w:tcBorders>
            <w:noWrap/>
            <w:vAlign w:val="center"/>
          </w:tcPr>
          <w:p w14:paraId="68F560A7">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以100%为标准。在职人员控制率</w:t>
            </w:r>
            <w:r>
              <w:rPr>
                <w:rFonts w:hint="eastAsia" w:ascii="宋体" w:hAnsi="宋体" w:cs="宋体"/>
                <w:kern w:val="0"/>
                <w:sz w:val="18"/>
                <w:szCs w:val="18"/>
              </w:rPr>
              <w:t>≦</w:t>
            </w:r>
            <w:r>
              <w:rPr>
                <w:rFonts w:hint="eastAsia" w:ascii="仿宋_GB2312" w:hAnsi="宋体" w:eastAsia="仿宋_GB2312" w:cs="宋体"/>
                <w:kern w:val="0"/>
                <w:sz w:val="18"/>
                <w:szCs w:val="18"/>
              </w:rPr>
              <w:t>100%，计5分；每超过一个百分点扣0.5分，扣完为止。</w:t>
            </w:r>
          </w:p>
        </w:tc>
        <w:tc>
          <w:tcPr>
            <w:tcW w:w="619" w:type="dxa"/>
            <w:tcBorders>
              <w:top w:val="nil"/>
              <w:left w:val="nil"/>
              <w:bottom w:val="single" w:color="auto" w:sz="4" w:space="0"/>
              <w:right w:val="single" w:color="auto" w:sz="4" w:space="0"/>
            </w:tcBorders>
            <w:noWrap/>
            <w:vAlign w:val="center"/>
          </w:tcPr>
          <w:p w14:paraId="1EAA26C0">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0" w:type="dxa"/>
            <w:tcBorders>
              <w:top w:val="nil"/>
              <w:left w:val="nil"/>
              <w:bottom w:val="single" w:color="auto" w:sz="4" w:space="0"/>
              <w:right w:val="single" w:color="auto" w:sz="4" w:space="0"/>
            </w:tcBorders>
            <w:noWrap/>
            <w:vAlign w:val="center"/>
          </w:tcPr>
          <w:p w14:paraId="25436308">
            <w:pPr>
              <w:widowControl/>
              <w:spacing w:line="240" w:lineRule="exact"/>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5</w:t>
            </w:r>
          </w:p>
        </w:tc>
        <w:tc>
          <w:tcPr>
            <w:tcW w:w="1080" w:type="dxa"/>
            <w:tcBorders>
              <w:top w:val="nil"/>
              <w:left w:val="nil"/>
              <w:bottom w:val="single" w:color="auto" w:sz="4" w:space="0"/>
              <w:right w:val="single" w:color="auto" w:sz="4" w:space="0"/>
            </w:tcBorders>
            <w:noWrap/>
            <w:vAlign w:val="center"/>
          </w:tcPr>
          <w:p w14:paraId="1EDBF8EF">
            <w:pPr>
              <w:widowControl/>
              <w:spacing w:line="240" w:lineRule="exact"/>
              <w:jc w:val="left"/>
              <w:rPr>
                <w:rFonts w:ascii="仿宋_GB2312" w:hAnsi="宋体" w:eastAsia="仿宋_GB2312" w:cs="宋体"/>
                <w:color w:val="000000"/>
                <w:kern w:val="0"/>
                <w:sz w:val="18"/>
                <w:szCs w:val="18"/>
              </w:rPr>
            </w:pPr>
          </w:p>
        </w:tc>
      </w:tr>
      <w:tr w14:paraId="21491FAD">
        <w:tblPrEx>
          <w:tblCellMar>
            <w:top w:w="0" w:type="dxa"/>
            <w:left w:w="108" w:type="dxa"/>
            <w:bottom w:w="0" w:type="dxa"/>
            <w:right w:w="108" w:type="dxa"/>
          </w:tblCellMar>
        </w:tblPrEx>
        <w:trPr>
          <w:trHeight w:val="780" w:hRule="atLeast"/>
          <w:jc w:val="center"/>
        </w:trPr>
        <w:tc>
          <w:tcPr>
            <w:tcW w:w="976" w:type="dxa"/>
            <w:vMerge w:val="continue"/>
            <w:tcBorders>
              <w:top w:val="nil"/>
              <w:left w:val="single" w:color="auto" w:sz="4" w:space="0"/>
              <w:bottom w:val="single" w:color="auto" w:sz="4" w:space="0"/>
              <w:right w:val="single" w:color="auto" w:sz="4" w:space="0"/>
            </w:tcBorders>
            <w:noWrap/>
            <w:vAlign w:val="center"/>
          </w:tcPr>
          <w:p w14:paraId="5FDBF4A4">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noWrap/>
            <w:vAlign w:val="center"/>
          </w:tcPr>
          <w:p w14:paraId="4733A230">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noWrap/>
            <w:vAlign w:val="center"/>
          </w:tcPr>
          <w:p w14:paraId="6454BE70">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“三公经费”</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变动率</w:t>
            </w:r>
          </w:p>
        </w:tc>
        <w:tc>
          <w:tcPr>
            <w:tcW w:w="4171" w:type="dxa"/>
            <w:tcBorders>
              <w:top w:val="nil"/>
              <w:left w:val="nil"/>
              <w:bottom w:val="single" w:color="auto" w:sz="4" w:space="0"/>
              <w:right w:val="single" w:color="auto" w:sz="4" w:space="0"/>
            </w:tcBorders>
            <w:noWrap/>
            <w:vAlign w:val="center"/>
          </w:tcPr>
          <w:p w14:paraId="16F30AC1">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“三公经费”变动率</w:t>
            </w:r>
            <w:r>
              <w:rPr>
                <w:rFonts w:hint="eastAsia" w:ascii="宋体" w:hAnsi="宋体" w:cs="宋体"/>
                <w:kern w:val="0"/>
                <w:sz w:val="18"/>
                <w:szCs w:val="18"/>
              </w:rPr>
              <w:t>≦</w:t>
            </w:r>
            <w:r>
              <w:rPr>
                <w:rFonts w:hint="eastAsia" w:ascii="仿宋_GB2312" w:hAnsi="宋体" w:eastAsia="仿宋_GB2312" w:cs="宋体"/>
                <w:kern w:val="0"/>
                <w:sz w:val="18"/>
                <w:szCs w:val="18"/>
              </w:rPr>
              <w:t>0,计5分；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“三公经费”＞0，每超过一个百分点扣0.5分，扣完为止。</w:t>
            </w:r>
          </w:p>
        </w:tc>
        <w:tc>
          <w:tcPr>
            <w:tcW w:w="619" w:type="dxa"/>
            <w:tcBorders>
              <w:top w:val="nil"/>
              <w:left w:val="nil"/>
              <w:bottom w:val="single" w:color="auto" w:sz="4" w:space="0"/>
              <w:right w:val="single" w:color="auto" w:sz="4" w:space="0"/>
            </w:tcBorders>
            <w:noWrap/>
            <w:vAlign w:val="center"/>
          </w:tcPr>
          <w:p w14:paraId="5D0EAEB6">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0" w:type="dxa"/>
            <w:tcBorders>
              <w:top w:val="nil"/>
              <w:left w:val="nil"/>
              <w:bottom w:val="single" w:color="auto" w:sz="4" w:space="0"/>
              <w:right w:val="single" w:color="auto" w:sz="4" w:space="0"/>
            </w:tcBorders>
            <w:noWrap/>
            <w:vAlign w:val="center"/>
          </w:tcPr>
          <w:p w14:paraId="635802F9">
            <w:pPr>
              <w:widowControl/>
              <w:spacing w:line="240" w:lineRule="exact"/>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5</w:t>
            </w:r>
          </w:p>
        </w:tc>
        <w:tc>
          <w:tcPr>
            <w:tcW w:w="1080" w:type="dxa"/>
            <w:tcBorders>
              <w:top w:val="nil"/>
              <w:left w:val="nil"/>
              <w:bottom w:val="single" w:color="auto" w:sz="4" w:space="0"/>
              <w:right w:val="single" w:color="auto" w:sz="4" w:space="0"/>
            </w:tcBorders>
            <w:noWrap/>
            <w:vAlign w:val="center"/>
          </w:tcPr>
          <w:p w14:paraId="7A3081B6">
            <w:pPr>
              <w:widowControl/>
              <w:spacing w:line="240" w:lineRule="exact"/>
              <w:jc w:val="left"/>
              <w:rPr>
                <w:rFonts w:ascii="仿宋_GB2312" w:hAnsi="宋体" w:eastAsia="仿宋_GB2312" w:cs="宋体"/>
                <w:color w:val="000000"/>
                <w:kern w:val="0"/>
                <w:sz w:val="18"/>
                <w:szCs w:val="18"/>
              </w:rPr>
            </w:pPr>
          </w:p>
        </w:tc>
      </w:tr>
      <w:tr w14:paraId="17241811">
        <w:tblPrEx>
          <w:tblCellMar>
            <w:top w:w="0" w:type="dxa"/>
            <w:left w:w="108" w:type="dxa"/>
            <w:bottom w:w="0" w:type="dxa"/>
            <w:right w:w="108" w:type="dxa"/>
          </w:tblCellMar>
        </w:tblPrEx>
        <w:trPr>
          <w:trHeight w:val="737" w:hRule="atLeast"/>
          <w:jc w:val="center"/>
        </w:trPr>
        <w:tc>
          <w:tcPr>
            <w:tcW w:w="976" w:type="dxa"/>
            <w:vMerge w:val="continue"/>
            <w:tcBorders>
              <w:top w:val="nil"/>
              <w:left w:val="single" w:color="auto" w:sz="4" w:space="0"/>
              <w:bottom w:val="single" w:color="auto" w:sz="4" w:space="0"/>
              <w:right w:val="single" w:color="auto" w:sz="4" w:space="0"/>
            </w:tcBorders>
            <w:noWrap/>
            <w:vAlign w:val="center"/>
          </w:tcPr>
          <w:p w14:paraId="5B6CE3F5">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noWrap/>
            <w:vAlign w:val="center"/>
          </w:tcPr>
          <w:p w14:paraId="5BC83CA1">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noWrap/>
            <w:vAlign w:val="center"/>
          </w:tcPr>
          <w:p w14:paraId="60E0CA3A">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重点支出</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安排率</w:t>
            </w:r>
          </w:p>
        </w:tc>
        <w:tc>
          <w:tcPr>
            <w:tcW w:w="4171" w:type="dxa"/>
            <w:tcBorders>
              <w:top w:val="nil"/>
              <w:left w:val="nil"/>
              <w:bottom w:val="single" w:color="auto" w:sz="4" w:space="0"/>
              <w:right w:val="single" w:color="auto" w:sz="4" w:space="0"/>
            </w:tcBorders>
            <w:noWrap/>
            <w:vAlign w:val="center"/>
          </w:tcPr>
          <w:p w14:paraId="0383F425">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重点支出安排率≥90%，计5分；80%（含）-90%，计4分；70%（含）-80%，计3分；60%（含）-70%，计2分；低于60%不得分。</w:t>
            </w:r>
          </w:p>
        </w:tc>
        <w:tc>
          <w:tcPr>
            <w:tcW w:w="619" w:type="dxa"/>
            <w:tcBorders>
              <w:top w:val="nil"/>
              <w:left w:val="nil"/>
              <w:bottom w:val="single" w:color="auto" w:sz="4" w:space="0"/>
              <w:right w:val="single" w:color="auto" w:sz="4" w:space="0"/>
            </w:tcBorders>
            <w:noWrap/>
            <w:vAlign w:val="center"/>
          </w:tcPr>
          <w:p w14:paraId="0FECD63E">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0" w:type="dxa"/>
            <w:tcBorders>
              <w:top w:val="nil"/>
              <w:left w:val="nil"/>
              <w:bottom w:val="single" w:color="auto" w:sz="4" w:space="0"/>
              <w:right w:val="single" w:color="auto" w:sz="4" w:space="0"/>
            </w:tcBorders>
            <w:noWrap/>
            <w:vAlign w:val="center"/>
          </w:tcPr>
          <w:p w14:paraId="71F348B8">
            <w:pPr>
              <w:widowControl/>
              <w:spacing w:line="240" w:lineRule="exact"/>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5</w:t>
            </w:r>
          </w:p>
        </w:tc>
        <w:tc>
          <w:tcPr>
            <w:tcW w:w="1080" w:type="dxa"/>
            <w:tcBorders>
              <w:top w:val="nil"/>
              <w:left w:val="nil"/>
              <w:bottom w:val="single" w:color="auto" w:sz="4" w:space="0"/>
              <w:right w:val="single" w:color="auto" w:sz="4" w:space="0"/>
            </w:tcBorders>
            <w:noWrap/>
            <w:vAlign w:val="center"/>
          </w:tcPr>
          <w:p w14:paraId="1A4F85F8">
            <w:pPr>
              <w:widowControl/>
              <w:spacing w:line="240" w:lineRule="exact"/>
              <w:jc w:val="left"/>
              <w:rPr>
                <w:rFonts w:ascii="仿宋_GB2312" w:hAnsi="宋体" w:eastAsia="仿宋_GB2312" w:cs="宋体"/>
                <w:color w:val="000000"/>
                <w:kern w:val="0"/>
                <w:sz w:val="18"/>
                <w:szCs w:val="18"/>
              </w:rPr>
            </w:pPr>
          </w:p>
        </w:tc>
      </w:tr>
      <w:tr w14:paraId="7B6CB697">
        <w:tblPrEx>
          <w:tblCellMar>
            <w:top w:w="0" w:type="dxa"/>
            <w:left w:w="108" w:type="dxa"/>
            <w:bottom w:w="0" w:type="dxa"/>
            <w:right w:w="108" w:type="dxa"/>
          </w:tblCellMar>
        </w:tblPrEx>
        <w:trPr>
          <w:trHeight w:val="776" w:hRule="atLeast"/>
          <w:jc w:val="center"/>
        </w:trPr>
        <w:tc>
          <w:tcPr>
            <w:tcW w:w="976" w:type="dxa"/>
            <w:vMerge w:val="restart"/>
            <w:tcBorders>
              <w:top w:val="nil"/>
              <w:left w:val="single" w:color="auto" w:sz="4" w:space="0"/>
              <w:bottom w:val="single" w:color="auto" w:sz="4" w:space="0"/>
              <w:right w:val="single" w:color="auto" w:sz="4" w:space="0"/>
            </w:tcBorders>
            <w:noWrap/>
            <w:vAlign w:val="center"/>
          </w:tcPr>
          <w:p w14:paraId="692ED8C6">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过  程</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（40分）</w:t>
            </w:r>
          </w:p>
        </w:tc>
        <w:tc>
          <w:tcPr>
            <w:tcW w:w="939" w:type="dxa"/>
            <w:vMerge w:val="restart"/>
            <w:tcBorders>
              <w:top w:val="nil"/>
              <w:left w:val="single" w:color="auto" w:sz="4" w:space="0"/>
              <w:bottom w:val="single" w:color="auto" w:sz="4" w:space="0"/>
              <w:right w:val="single" w:color="auto" w:sz="4" w:space="0"/>
            </w:tcBorders>
            <w:noWrap/>
            <w:vAlign w:val="center"/>
          </w:tcPr>
          <w:p w14:paraId="0B4D210C">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预算执行</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（15分）</w:t>
            </w:r>
          </w:p>
        </w:tc>
        <w:tc>
          <w:tcPr>
            <w:tcW w:w="1389" w:type="dxa"/>
            <w:tcBorders>
              <w:top w:val="nil"/>
              <w:left w:val="nil"/>
              <w:bottom w:val="single" w:color="auto" w:sz="4" w:space="0"/>
              <w:right w:val="single" w:color="auto" w:sz="4" w:space="0"/>
            </w:tcBorders>
            <w:noWrap/>
            <w:vAlign w:val="center"/>
          </w:tcPr>
          <w:p w14:paraId="145D70CB">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预算调整率</w:t>
            </w:r>
          </w:p>
        </w:tc>
        <w:tc>
          <w:tcPr>
            <w:tcW w:w="4171" w:type="dxa"/>
            <w:tcBorders>
              <w:top w:val="nil"/>
              <w:left w:val="nil"/>
              <w:bottom w:val="single" w:color="auto" w:sz="4" w:space="0"/>
              <w:right w:val="single" w:color="auto" w:sz="4" w:space="0"/>
            </w:tcBorders>
            <w:noWrap/>
            <w:vAlign w:val="center"/>
          </w:tcPr>
          <w:p w14:paraId="0EF96676">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预算调整率=0，计3分；0-10%（含），计2分；10-20%（含），计1分；20-30%（含），计0.5分；大于30%不得分。</w:t>
            </w:r>
          </w:p>
        </w:tc>
        <w:tc>
          <w:tcPr>
            <w:tcW w:w="619" w:type="dxa"/>
            <w:tcBorders>
              <w:top w:val="nil"/>
              <w:left w:val="nil"/>
              <w:bottom w:val="single" w:color="auto" w:sz="4" w:space="0"/>
              <w:right w:val="single" w:color="auto" w:sz="4" w:space="0"/>
            </w:tcBorders>
            <w:noWrap/>
            <w:vAlign w:val="center"/>
          </w:tcPr>
          <w:p w14:paraId="614C44C2">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noWrap/>
            <w:vAlign w:val="center"/>
          </w:tcPr>
          <w:p w14:paraId="0BCEF8BD">
            <w:pPr>
              <w:widowControl/>
              <w:spacing w:line="24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w:t>
            </w:r>
          </w:p>
        </w:tc>
        <w:tc>
          <w:tcPr>
            <w:tcW w:w="1080" w:type="dxa"/>
            <w:tcBorders>
              <w:top w:val="nil"/>
              <w:left w:val="nil"/>
              <w:bottom w:val="single" w:color="auto" w:sz="4" w:space="0"/>
              <w:right w:val="single" w:color="auto" w:sz="4" w:space="0"/>
            </w:tcBorders>
            <w:noWrap/>
            <w:vAlign w:val="center"/>
          </w:tcPr>
          <w:p w14:paraId="7CC5D4BC">
            <w:pPr>
              <w:widowControl/>
              <w:spacing w:line="240" w:lineRule="exact"/>
              <w:jc w:val="center"/>
              <w:rPr>
                <w:rFonts w:ascii="仿宋_GB2312" w:hAnsi="宋体" w:eastAsia="仿宋_GB2312" w:cs="宋体"/>
                <w:color w:val="000000"/>
                <w:kern w:val="0"/>
                <w:sz w:val="18"/>
                <w:szCs w:val="18"/>
              </w:rPr>
            </w:pPr>
          </w:p>
        </w:tc>
      </w:tr>
      <w:tr w14:paraId="6DAFBD16">
        <w:tblPrEx>
          <w:tblCellMar>
            <w:top w:w="0" w:type="dxa"/>
            <w:left w:w="108" w:type="dxa"/>
            <w:bottom w:w="0" w:type="dxa"/>
            <w:right w:w="108" w:type="dxa"/>
          </w:tblCellMar>
        </w:tblPrEx>
        <w:trPr>
          <w:trHeight w:val="1039" w:hRule="atLeast"/>
          <w:jc w:val="center"/>
        </w:trPr>
        <w:tc>
          <w:tcPr>
            <w:tcW w:w="976" w:type="dxa"/>
            <w:vMerge w:val="continue"/>
            <w:tcBorders>
              <w:top w:val="nil"/>
              <w:left w:val="single" w:color="auto" w:sz="4" w:space="0"/>
              <w:bottom w:val="single" w:color="auto" w:sz="4" w:space="0"/>
              <w:right w:val="single" w:color="auto" w:sz="4" w:space="0"/>
            </w:tcBorders>
            <w:noWrap/>
            <w:vAlign w:val="center"/>
          </w:tcPr>
          <w:p w14:paraId="65AFA9BE">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noWrap/>
            <w:vAlign w:val="center"/>
          </w:tcPr>
          <w:p w14:paraId="70319F1C">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noWrap/>
            <w:vAlign w:val="center"/>
          </w:tcPr>
          <w:p w14:paraId="4766AE28">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支付进度</w:t>
            </w:r>
          </w:p>
        </w:tc>
        <w:tc>
          <w:tcPr>
            <w:tcW w:w="4171" w:type="dxa"/>
            <w:tcBorders>
              <w:top w:val="nil"/>
              <w:left w:val="nil"/>
              <w:bottom w:val="single" w:color="auto" w:sz="4" w:space="0"/>
              <w:right w:val="single" w:color="auto" w:sz="4" w:space="0"/>
            </w:tcBorders>
            <w:noWrap/>
            <w:vAlign w:val="center"/>
          </w:tcPr>
          <w:p w14:paraId="27461F3B">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每出现一个专项未按进度完成资金下达扣0.5分，扣完为止。</w:t>
            </w:r>
          </w:p>
        </w:tc>
        <w:tc>
          <w:tcPr>
            <w:tcW w:w="619" w:type="dxa"/>
            <w:tcBorders>
              <w:top w:val="nil"/>
              <w:left w:val="nil"/>
              <w:bottom w:val="single" w:color="auto" w:sz="4" w:space="0"/>
              <w:right w:val="single" w:color="auto" w:sz="4" w:space="0"/>
            </w:tcBorders>
            <w:noWrap/>
            <w:vAlign w:val="center"/>
          </w:tcPr>
          <w:p w14:paraId="7AA5A396">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noWrap/>
            <w:vAlign w:val="center"/>
          </w:tcPr>
          <w:p w14:paraId="369CBE04">
            <w:pPr>
              <w:widowControl/>
              <w:spacing w:line="24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w:t>
            </w:r>
          </w:p>
        </w:tc>
        <w:tc>
          <w:tcPr>
            <w:tcW w:w="1080" w:type="dxa"/>
            <w:tcBorders>
              <w:top w:val="nil"/>
              <w:left w:val="nil"/>
              <w:bottom w:val="single" w:color="auto" w:sz="4" w:space="0"/>
              <w:right w:val="single" w:color="auto" w:sz="4" w:space="0"/>
            </w:tcBorders>
            <w:noWrap/>
            <w:vAlign w:val="center"/>
          </w:tcPr>
          <w:p w14:paraId="67DF3E62">
            <w:pPr>
              <w:widowControl/>
              <w:spacing w:line="240" w:lineRule="exact"/>
              <w:jc w:val="center"/>
              <w:rPr>
                <w:rFonts w:ascii="仿宋_GB2312" w:hAnsi="宋体" w:eastAsia="仿宋_GB2312" w:cs="宋体"/>
                <w:color w:val="000000"/>
                <w:kern w:val="0"/>
                <w:sz w:val="18"/>
                <w:szCs w:val="18"/>
              </w:rPr>
            </w:pPr>
          </w:p>
        </w:tc>
      </w:tr>
      <w:tr w14:paraId="78A9C782">
        <w:tblPrEx>
          <w:tblCellMar>
            <w:top w:w="0" w:type="dxa"/>
            <w:left w:w="108" w:type="dxa"/>
            <w:bottom w:w="0" w:type="dxa"/>
            <w:right w:w="108" w:type="dxa"/>
          </w:tblCellMar>
        </w:tblPrEx>
        <w:trPr>
          <w:trHeight w:val="619" w:hRule="atLeast"/>
          <w:jc w:val="center"/>
        </w:trPr>
        <w:tc>
          <w:tcPr>
            <w:tcW w:w="976" w:type="dxa"/>
            <w:vMerge w:val="continue"/>
            <w:tcBorders>
              <w:top w:val="nil"/>
              <w:left w:val="single" w:color="auto" w:sz="4" w:space="0"/>
              <w:bottom w:val="single" w:color="auto" w:sz="4" w:space="0"/>
              <w:right w:val="single" w:color="auto" w:sz="4" w:space="0"/>
            </w:tcBorders>
            <w:noWrap/>
            <w:vAlign w:val="center"/>
          </w:tcPr>
          <w:p w14:paraId="679FD5C2">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noWrap/>
            <w:vAlign w:val="center"/>
          </w:tcPr>
          <w:p w14:paraId="7B8AFB1E">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noWrap/>
            <w:vAlign w:val="center"/>
          </w:tcPr>
          <w:p w14:paraId="66BC52A7">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资金结余</w:t>
            </w:r>
          </w:p>
        </w:tc>
        <w:tc>
          <w:tcPr>
            <w:tcW w:w="4171" w:type="dxa"/>
            <w:tcBorders>
              <w:top w:val="nil"/>
              <w:left w:val="nil"/>
              <w:bottom w:val="single" w:color="auto" w:sz="4" w:space="0"/>
              <w:right w:val="single" w:color="auto" w:sz="4" w:space="0"/>
            </w:tcBorders>
            <w:noWrap/>
            <w:vAlign w:val="center"/>
          </w:tcPr>
          <w:p w14:paraId="019713A8">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无结余，3分；有结余，但不超过上年结转，2分；结余超过上年结转，不得分。</w:t>
            </w:r>
          </w:p>
        </w:tc>
        <w:tc>
          <w:tcPr>
            <w:tcW w:w="619" w:type="dxa"/>
            <w:tcBorders>
              <w:top w:val="nil"/>
              <w:left w:val="nil"/>
              <w:bottom w:val="single" w:color="auto" w:sz="4" w:space="0"/>
              <w:right w:val="single" w:color="auto" w:sz="4" w:space="0"/>
            </w:tcBorders>
            <w:noWrap/>
            <w:vAlign w:val="center"/>
          </w:tcPr>
          <w:p w14:paraId="41BD5A86">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noWrap/>
            <w:vAlign w:val="center"/>
          </w:tcPr>
          <w:p w14:paraId="61934292">
            <w:pPr>
              <w:widowControl/>
              <w:spacing w:line="24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w:t>
            </w:r>
          </w:p>
        </w:tc>
        <w:tc>
          <w:tcPr>
            <w:tcW w:w="1080" w:type="dxa"/>
            <w:tcBorders>
              <w:top w:val="nil"/>
              <w:left w:val="nil"/>
              <w:bottom w:val="single" w:color="auto" w:sz="4" w:space="0"/>
              <w:right w:val="single" w:color="auto" w:sz="4" w:space="0"/>
            </w:tcBorders>
            <w:noWrap/>
            <w:vAlign w:val="center"/>
          </w:tcPr>
          <w:p w14:paraId="5AB47E16">
            <w:pPr>
              <w:widowControl/>
              <w:spacing w:line="240" w:lineRule="exact"/>
              <w:jc w:val="center"/>
              <w:rPr>
                <w:rFonts w:ascii="仿宋_GB2312" w:hAnsi="宋体" w:eastAsia="仿宋_GB2312" w:cs="宋体"/>
                <w:color w:val="000000"/>
                <w:kern w:val="0"/>
                <w:sz w:val="18"/>
                <w:szCs w:val="18"/>
              </w:rPr>
            </w:pPr>
          </w:p>
        </w:tc>
      </w:tr>
      <w:tr w14:paraId="28A365B2">
        <w:tblPrEx>
          <w:tblCellMar>
            <w:top w:w="0" w:type="dxa"/>
            <w:left w:w="108" w:type="dxa"/>
            <w:bottom w:w="0" w:type="dxa"/>
            <w:right w:w="108" w:type="dxa"/>
          </w:tblCellMar>
        </w:tblPrEx>
        <w:trPr>
          <w:trHeight w:val="495" w:hRule="atLeast"/>
          <w:jc w:val="center"/>
        </w:trPr>
        <w:tc>
          <w:tcPr>
            <w:tcW w:w="976" w:type="dxa"/>
            <w:vMerge w:val="continue"/>
            <w:tcBorders>
              <w:top w:val="nil"/>
              <w:left w:val="single" w:color="auto" w:sz="4" w:space="0"/>
              <w:bottom w:val="single" w:color="auto" w:sz="4" w:space="0"/>
              <w:right w:val="single" w:color="auto" w:sz="4" w:space="0"/>
            </w:tcBorders>
            <w:noWrap/>
            <w:vAlign w:val="center"/>
          </w:tcPr>
          <w:p w14:paraId="53AB87EC">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noWrap/>
            <w:vAlign w:val="center"/>
          </w:tcPr>
          <w:p w14:paraId="481DBFB1">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noWrap/>
            <w:vAlign w:val="center"/>
          </w:tcPr>
          <w:p w14:paraId="34EF05C0">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“三公经费”</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控制率</w:t>
            </w:r>
          </w:p>
        </w:tc>
        <w:tc>
          <w:tcPr>
            <w:tcW w:w="4171" w:type="dxa"/>
            <w:tcBorders>
              <w:top w:val="nil"/>
              <w:left w:val="nil"/>
              <w:bottom w:val="single" w:color="auto" w:sz="4" w:space="0"/>
              <w:right w:val="single" w:color="auto" w:sz="4" w:space="0"/>
            </w:tcBorders>
            <w:noWrap/>
            <w:vAlign w:val="center"/>
          </w:tcPr>
          <w:p w14:paraId="524E06C8">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以100%为标准。三公经费控制率</w:t>
            </w:r>
            <w:r>
              <w:rPr>
                <w:rFonts w:hint="eastAsia" w:ascii="宋体" w:hAnsi="宋体" w:cs="宋体"/>
                <w:kern w:val="0"/>
                <w:sz w:val="18"/>
                <w:szCs w:val="18"/>
              </w:rPr>
              <w:t>≦</w:t>
            </w:r>
            <w:r>
              <w:rPr>
                <w:rFonts w:hint="eastAsia" w:ascii="仿宋_GB2312" w:hAnsi="宋体" w:eastAsia="仿宋_GB2312" w:cs="宋体"/>
                <w:kern w:val="0"/>
                <w:sz w:val="18"/>
                <w:szCs w:val="18"/>
              </w:rPr>
              <w:t>100%，计6分；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每超过一个百分点扣1分，扣完为止。</w:t>
            </w:r>
          </w:p>
        </w:tc>
        <w:tc>
          <w:tcPr>
            <w:tcW w:w="619" w:type="dxa"/>
            <w:tcBorders>
              <w:top w:val="nil"/>
              <w:left w:val="nil"/>
              <w:bottom w:val="single" w:color="auto" w:sz="4" w:space="0"/>
              <w:right w:val="single" w:color="auto" w:sz="4" w:space="0"/>
            </w:tcBorders>
            <w:noWrap/>
            <w:vAlign w:val="center"/>
          </w:tcPr>
          <w:p w14:paraId="7288B4E3">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6</w:t>
            </w:r>
          </w:p>
        </w:tc>
        <w:tc>
          <w:tcPr>
            <w:tcW w:w="720" w:type="dxa"/>
            <w:tcBorders>
              <w:top w:val="nil"/>
              <w:left w:val="nil"/>
              <w:bottom w:val="single" w:color="auto" w:sz="4" w:space="0"/>
              <w:right w:val="single" w:color="auto" w:sz="4" w:space="0"/>
            </w:tcBorders>
            <w:noWrap/>
            <w:vAlign w:val="center"/>
          </w:tcPr>
          <w:p w14:paraId="2D41760F">
            <w:pPr>
              <w:widowControl/>
              <w:spacing w:line="24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6</w:t>
            </w:r>
          </w:p>
        </w:tc>
        <w:tc>
          <w:tcPr>
            <w:tcW w:w="1080" w:type="dxa"/>
            <w:tcBorders>
              <w:top w:val="nil"/>
              <w:left w:val="nil"/>
              <w:bottom w:val="single" w:color="auto" w:sz="4" w:space="0"/>
              <w:right w:val="single" w:color="auto" w:sz="4" w:space="0"/>
            </w:tcBorders>
            <w:noWrap/>
            <w:vAlign w:val="center"/>
          </w:tcPr>
          <w:p w14:paraId="38B317C9">
            <w:pPr>
              <w:widowControl/>
              <w:spacing w:line="240" w:lineRule="exact"/>
              <w:jc w:val="center"/>
              <w:rPr>
                <w:rFonts w:ascii="仿宋_GB2312" w:hAnsi="宋体" w:eastAsia="仿宋_GB2312" w:cs="宋体"/>
                <w:color w:val="000000"/>
                <w:kern w:val="0"/>
                <w:sz w:val="18"/>
                <w:szCs w:val="18"/>
              </w:rPr>
            </w:pPr>
          </w:p>
        </w:tc>
      </w:tr>
      <w:tr w14:paraId="4DC72918">
        <w:tblPrEx>
          <w:tblCellMar>
            <w:top w:w="0" w:type="dxa"/>
            <w:left w:w="108" w:type="dxa"/>
            <w:bottom w:w="0" w:type="dxa"/>
            <w:right w:w="108" w:type="dxa"/>
          </w:tblCellMar>
        </w:tblPrEx>
        <w:trPr>
          <w:trHeight w:val="915" w:hRule="atLeast"/>
          <w:jc w:val="center"/>
        </w:trPr>
        <w:tc>
          <w:tcPr>
            <w:tcW w:w="976" w:type="dxa"/>
            <w:vMerge w:val="continue"/>
            <w:tcBorders>
              <w:top w:val="nil"/>
              <w:left w:val="single" w:color="auto" w:sz="4" w:space="0"/>
              <w:bottom w:val="single" w:color="auto" w:sz="4" w:space="0"/>
              <w:right w:val="single" w:color="auto" w:sz="4" w:space="0"/>
            </w:tcBorders>
            <w:noWrap/>
            <w:vAlign w:val="center"/>
          </w:tcPr>
          <w:p w14:paraId="31E733A8">
            <w:pPr>
              <w:widowControl/>
              <w:spacing w:line="240" w:lineRule="exact"/>
              <w:jc w:val="left"/>
              <w:rPr>
                <w:rFonts w:ascii="仿宋_GB2312" w:hAnsi="宋体" w:eastAsia="仿宋_GB2312" w:cs="宋体"/>
                <w:kern w:val="0"/>
                <w:sz w:val="18"/>
                <w:szCs w:val="18"/>
              </w:rPr>
            </w:pPr>
          </w:p>
        </w:tc>
        <w:tc>
          <w:tcPr>
            <w:tcW w:w="939" w:type="dxa"/>
            <w:vMerge w:val="restart"/>
            <w:tcBorders>
              <w:top w:val="nil"/>
              <w:left w:val="single" w:color="auto" w:sz="4" w:space="0"/>
              <w:bottom w:val="single" w:color="auto" w:sz="4" w:space="0"/>
              <w:right w:val="single" w:color="auto" w:sz="4" w:space="0"/>
            </w:tcBorders>
            <w:noWrap/>
            <w:vAlign w:val="center"/>
          </w:tcPr>
          <w:p w14:paraId="7EF253B1">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预算管理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（15分）</w:t>
            </w:r>
          </w:p>
        </w:tc>
        <w:tc>
          <w:tcPr>
            <w:tcW w:w="1389" w:type="dxa"/>
            <w:tcBorders>
              <w:top w:val="nil"/>
              <w:left w:val="nil"/>
              <w:bottom w:val="single" w:color="auto" w:sz="4" w:space="0"/>
              <w:right w:val="single" w:color="auto" w:sz="4" w:space="0"/>
            </w:tcBorders>
            <w:noWrap/>
            <w:vAlign w:val="center"/>
          </w:tcPr>
          <w:p w14:paraId="28773604">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管理制度</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健全性</w:t>
            </w:r>
          </w:p>
        </w:tc>
        <w:tc>
          <w:tcPr>
            <w:tcW w:w="4171" w:type="dxa"/>
            <w:tcBorders>
              <w:top w:val="nil"/>
              <w:left w:val="nil"/>
              <w:bottom w:val="single" w:color="auto" w:sz="4" w:space="0"/>
              <w:right w:val="single" w:color="auto" w:sz="4" w:space="0"/>
            </w:tcBorders>
            <w:noWrap/>
            <w:vAlign w:val="center"/>
          </w:tcPr>
          <w:p w14:paraId="74C0B622">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①已制定或具有预算资金管理办法，内部财务管理制度、会计核算制度等管理制度，1分；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②相关管理制度合法、合规、完整，1分；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③相关管理制度得到有效执行，1分。</w:t>
            </w:r>
          </w:p>
        </w:tc>
        <w:tc>
          <w:tcPr>
            <w:tcW w:w="619" w:type="dxa"/>
            <w:tcBorders>
              <w:top w:val="nil"/>
              <w:left w:val="nil"/>
              <w:bottom w:val="single" w:color="auto" w:sz="4" w:space="0"/>
              <w:right w:val="single" w:color="auto" w:sz="4" w:space="0"/>
            </w:tcBorders>
            <w:noWrap/>
            <w:vAlign w:val="center"/>
          </w:tcPr>
          <w:p w14:paraId="70C02EDC">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noWrap/>
            <w:vAlign w:val="center"/>
          </w:tcPr>
          <w:p w14:paraId="58542F8C">
            <w:pPr>
              <w:widowControl/>
              <w:spacing w:line="24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2</w:t>
            </w:r>
          </w:p>
        </w:tc>
        <w:tc>
          <w:tcPr>
            <w:tcW w:w="1080" w:type="dxa"/>
            <w:tcBorders>
              <w:top w:val="nil"/>
              <w:left w:val="nil"/>
              <w:bottom w:val="single" w:color="auto" w:sz="4" w:space="0"/>
              <w:right w:val="single" w:color="auto" w:sz="4" w:space="0"/>
            </w:tcBorders>
            <w:noWrap/>
            <w:vAlign w:val="center"/>
          </w:tcPr>
          <w:p w14:paraId="4652A66F">
            <w:pPr>
              <w:widowControl/>
              <w:spacing w:line="240" w:lineRule="exact"/>
              <w:jc w:val="center"/>
              <w:rPr>
                <w:rFonts w:ascii="仿宋_GB2312" w:hAnsi="宋体" w:eastAsia="仿宋_GB2312" w:cs="宋体"/>
                <w:color w:val="000000"/>
                <w:kern w:val="0"/>
                <w:sz w:val="18"/>
                <w:szCs w:val="18"/>
              </w:rPr>
            </w:pPr>
            <w:r>
              <w:rPr>
                <w:rFonts w:hint="eastAsia" w:ascii="仿宋_GB2312" w:hAnsi="宋体" w:eastAsia="仿宋_GB2312" w:cs="宋体"/>
                <w:kern w:val="0"/>
                <w:sz w:val="18"/>
                <w:szCs w:val="18"/>
              </w:rPr>
              <w:t>相关管理制度得到有效执行</w:t>
            </w:r>
          </w:p>
        </w:tc>
      </w:tr>
      <w:tr w14:paraId="563724E5">
        <w:tblPrEx>
          <w:tblCellMar>
            <w:top w:w="0" w:type="dxa"/>
            <w:left w:w="108" w:type="dxa"/>
            <w:bottom w:w="0" w:type="dxa"/>
            <w:right w:w="108" w:type="dxa"/>
          </w:tblCellMar>
        </w:tblPrEx>
        <w:trPr>
          <w:trHeight w:val="1802" w:hRule="atLeast"/>
          <w:jc w:val="center"/>
        </w:trPr>
        <w:tc>
          <w:tcPr>
            <w:tcW w:w="976" w:type="dxa"/>
            <w:vMerge w:val="continue"/>
            <w:tcBorders>
              <w:top w:val="nil"/>
              <w:left w:val="single" w:color="auto" w:sz="4" w:space="0"/>
              <w:bottom w:val="single" w:color="auto" w:sz="4" w:space="0"/>
              <w:right w:val="single" w:color="auto" w:sz="4" w:space="0"/>
            </w:tcBorders>
            <w:noWrap/>
            <w:vAlign w:val="center"/>
          </w:tcPr>
          <w:p w14:paraId="1833061D">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noWrap/>
            <w:vAlign w:val="center"/>
          </w:tcPr>
          <w:p w14:paraId="5CF013CB">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noWrap/>
            <w:vAlign w:val="center"/>
          </w:tcPr>
          <w:p w14:paraId="05E201FA">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资金使用</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合规性</w:t>
            </w:r>
          </w:p>
        </w:tc>
        <w:tc>
          <w:tcPr>
            <w:tcW w:w="4171" w:type="dxa"/>
            <w:tcBorders>
              <w:top w:val="nil"/>
              <w:left w:val="nil"/>
              <w:bottom w:val="single" w:color="auto" w:sz="4" w:space="0"/>
              <w:right w:val="single" w:color="auto" w:sz="4" w:space="0"/>
            </w:tcBorders>
            <w:noWrap/>
            <w:vAlign w:val="center"/>
          </w:tcPr>
          <w:p w14:paraId="601E7743">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①支出符合国家财经法规和财务管理制度规定以及有关专项资金管理办法的规定；</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②资金拨付有完整的审批程序和手续；</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③项目支出按规定经过评估论证；</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④支出符合部门预算批复的用途；</w:t>
            </w:r>
            <w:r>
              <w:rPr>
                <w:rFonts w:hint="eastAsia" w:ascii="仿宋_GB2312" w:hAnsi="宋体" w:eastAsia="仿宋_GB2312" w:cs="宋体"/>
                <w:kern w:val="0"/>
                <w:sz w:val="18"/>
                <w:szCs w:val="18"/>
              </w:rPr>
              <w:br w:type="textWrapping"/>
            </w:r>
            <w:r>
              <w:rPr>
                <w:rFonts w:hint="eastAsia" w:ascii="仿宋_GB2312" w:hAnsi="宋体" w:eastAsia="仿宋_GB2312" w:cs="宋体"/>
                <w:spacing w:val="-6"/>
                <w:kern w:val="0"/>
                <w:sz w:val="18"/>
                <w:szCs w:val="18"/>
              </w:rPr>
              <w:t>⑤资金使用无截留、挤占、挪用、虚列支出等情况。</w:t>
            </w:r>
            <w:r>
              <w:rPr>
                <w:rFonts w:hint="eastAsia" w:ascii="仿宋_GB2312" w:hAnsi="宋体" w:eastAsia="仿宋_GB2312" w:cs="宋体"/>
                <w:spacing w:val="-6"/>
                <w:kern w:val="0"/>
                <w:sz w:val="18"/>
                <w:szCs w:val="18"/>
              </w:rPr>
              <w:br w:type="textWrapping"/>
            </w:r>
            <w:r>
              <w:rPr>
                <w:rFonts w:hint="eastAsia" w:ascii="仿宋_GB2312" w:hAnsi="宋体" w:eastAsia="仿宋_GB2312" w:cs="宋体"/>
                <w:spacing w:val="-6"/>
                <w:kern w:val="0"/>
                <w:sz w:val="18"/>
                <w:szCs w:val="18"/>
              </w:rPr>
              <w:t>以上情况每出现一例不符合要求的扣1分，扣完为止。</w:t>
            </w:r>
          </w:p>
        </w:tc>
        <w:tc>
          <w:tcPr>
            <w:tcW w:w="619" w:type="dxa"/>
            <w:tcBorders>
              <w:top w:val="nil"/>
              <w:left w:val="nil"/>
              <w:bottom w:val="single" w:color="auto" w:sz="4" w:space="0"/>
              <w:right w:val="single" w:color="auto" w:sz="4" w:space="0"/>
            </w:tcBorders>
            <w:noWrap/>
            <w:vAlign w:val="center"/>
          </w:tcPr>
          <w:p w14:paraId="7DC088E2">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noWrap/>
            <w:vAlign w:val="center"/>
          </w:tcPr>
          <w:p w14:paraId="4DC086E2">
            <w:pPr>
              <w:widowControl/>
              <w:spacing w:line="24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2</w:t>
            </w:r>
          </w:p>
        </w:tc>
        <w:tc>
          <w:tcPr>
            <w:tcW w:w="1080" w:type="dxa"/>
            <w:tcBorders>
              <w:top w:val="nil"/>
              <w:left w:val="nil"/>
              <w:bottom w:val="single" w:color="auto" w:sz="4" w:space="0"/>
              <w:right w:val="single" w:color="auto" w:sz="4" w:space="0"/>
            </w:tcBorders>
            <w:noWrap/>
            <w:vAlign w:val="center"/>
          </w:tcPr>
          <w:p w14:paraId="100D1F9E">
            <w:pPr>
              <w:widowControl/>
              <w:spacing w:line="240" w:lineRule="exact"/>
              <w:jc w:val="center"/>
              <w:rPr>
                <w:rFonts w:ascii="仿宋_GB2312" w:hAnsi="宋体" w:eastAsia="仿宋_GB2312" w:cs="宋体"/>
                <w:color w:val="000000"/>
                <w:kern w:val="0"/>
                <w:sz w:val="18"/>
                <w:szCs w:val="18"/>
              </w:rPr>
            </w:pPr>
            <w:r>
              <w:rPr>
                <w:rFonts w:hint="eastAsia" w:ascii="仿宋_GB2312" w:hAnsi="宋体" w:eastAsia="仿宋_GB2312" w:cs="宋体"/>
                <w:kern w:val="0"/>
                <w:sz w:val="18"/>
                <w:szCs w:val="18"/>
              </w:rPr>
              <w:t>有关专项资金管理办法的规定</w:t>
            </w:r>
          </w:p>
        </w:tc>
      </w:tr>
      <w:tr w14:paraId="44524C8C">
        <w:tblPrEx>
          <w:tblCellMar>
            <w:top w:w="0" w:type="dxa"/>
            <w:left w:w="108" w:type="dxa"/>
            <w:bottom w:w="0" w:type="dxa"/>
            <w:right w:w="108" w:type="dxa"/>
          </w:tblCellMar>
        </w:tblPrEx>
        <w:trPr>
          <w:trHeight w:val="450"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noWrap/>
            <w:vAlign w:val="center"/>
          </w:tcPr>
          <w:p w14:paraId="3B1EE919">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shd w:val="clear" w:color="auto" w:fill="auto"/>
            <w:noWrap/>
            <w:vAlign w:val="center"/>
          </w:tcPr>
          <w:p w14:paraId="38600CF9">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shd w:val="clear" w:color="auto" w:fill="auto"/>
            <w:noWrap/>
            <w:vAlign w:val="center"/>
          </w:tcPr>
          <w:p w14:paraId="57660B6B">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预决算信息公开性和完善性</w:t>
            </w:r>
          </w:p>
        </w:tc>
        <w:tc>
          <w:tcPr>
            <w:tcW w:w="4171" w:type="dxa"/>
            <w:tcBorders>
              <w:top w:val="nil"/>
              <w:left w:val="nil"/>
              <w:bottom w:val="single" w:color="auto" w:sz="4" w:space="0"/>
              <w:right w:val="single" w:color="auto" w:sz="4" w:space="0"/>
            </w:tcBorders>
            <w:shd w:val="clear" w:color="auto" w:fill="auto"/>
            <w:noWrap/>
            <w:vAlign w:val="center"/>
          </w:tcPr>
          <w:p w14:paraId="6E8D39CF">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①按规定内容公开预决算信息，1分；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②按规定时限公开预决算信息，0.5分；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③基础数据信息和会计信息资料真实，0.5分；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④基础数据信息和会计信息资料完整，0.5分；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 xml:space="preserve">⑤基础数据信息和汇集信息资料准确，0.5分。                                            </w:t>
            </w:r>
          </w:p>
        </w:tc>
        <w:tc>
          <w:tcPr>
            <w:tcW w:w="619" w:type="dxa"/>
            <w:tcBorders>
              <w:top w:val="nil"/>
              <w:left w:val="nil"/>
              <w:bottom w:val="single" w:color="auto" w:sz="4" w:space="0"/>
              <w:right w:val="single" w:color="auto" w:sz="4" w:space="0"/>
            </w:tcBorders>
            <w:shd w:val="clear" w:color="auto" w:fill="auto"/>
            <w:noWrap/>
            <w:vAlign w:val="center"/>
          </w:tcPr>
          <w:p w14:paraId="36D9C895">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shd w:val="clear" w:color="auto" w:fill="FFFFFF"/>
            <w:noWrap/>
            <w:vAlign w:val="center"/>
          </w:tcPr>
          <w:p w14:paraId="5E2B2CAA">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1080" w:type="dxa"/>
            <w:tcBorders>
              <w:top w:val="nil"/>
              <w:left w:val="nil"/>
              <w:bottom w:val="single" w:color="auto" w:sz="4" w:space="0"/>
              <w:right w:val="single" w:color="auto" w:sz="4" w:space="0"/>
            </w:tcBorders>
            <w:shd w:val="clear" w:color="auto" w:fill="FFFFFF"/>
            <w:noWrap/>
            <w:vAlign w:val="center"/>
          </w:tcPr>
          <w:p w14:paraId="4FFBDA23">
            <w:pPr>
              <w:widowControl/>
              <w:spacing w:line="240" w:lineRule="exact"/>
              <w:jc w:val="center"/>
              <w:rPr>
                <w:rFonts w:ascii="仿宋_GB2312" w:hAnsi="宋体" w:eastAsia="仿宋_GB2312" w:cs="宋体"/>
                <w:kern w:val="0"/>
                <w:sz w:val="18"/>
                <w:szCs w:val="18"/>
              </w:rPr>
            </w:pPr>
          </w:p>
        </w:tc>
      </w:tr>
      <w:tr w14:paraId="2C326215">
        <w:tblPrEx>
          <w:tblCellMar>
            <w:top w:w="0" w:type="dxa"/>
            <w:left w:w="108" w:type="dxa"/>
            <w:bottom w:w="0" w:type="dxa"/>
            <w:right w:w="108" w:type="dxa"/>
          </w:tblCellMar>
        </w:tblPrEx>
        <w:trPr>
          <w:trHeight w:val="570"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noWrap/>
            <w:vAlign w:val="center"/>
          </w:tcPr>
          <w:p w14:paraId="59BB570E">
            <w:pPr>
              <w:widowControl/>
              <w:spacing w:line="240" w:lineRule="exact"/>
              <w:jc w:val="left"/>
              <w:rPr>
                <w:rFonts w:ascii="仿宋_GB2312" w:hAnsi="宋体" w:eastAsia="仿宋_GB2312" w:cs="宋体"/>
                <w:kern w:val="0"/>
                <w:sz w:val="18"/>
                <w:szCs w:val="18"/>
              </w:rPr>
            </w:pPr>
          </w:p>
        </w:tc>
        <w:tc>
          <w:tcPr>
            <w:tcW w:w="939" w:type="dxa"/>
            <w:vMerge w:val="restart"/>
            <w:tcBorders>
              <w:top w:val="nil"/>
              <w:left w:val="single" w:color="auto" w:sz="4" w:space="0"/>
              <w:bottom w:val="single" w:color="auto" w:sz="4" w:space="0"/>
              <w:right w:val="single" w:color="auto" w:sz="4" w:space="0"/>
            </w:tcBorders>
            <w:shd w:val="clear" w:color="auto" w:fill="auto"/>
            <w:noWrap/>
            <w:vAlign w:val="center"/>
          </w:tcPr>
          <w:p w14:paraId="686FD9DB">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389" w:type="dxa"/>
            <w:tcBorders>
              <w:top w:val="nil"/>
              <w:left w:val="nil"/>
              <w:bottom w:val="single" w:color="auto" w:sz="4" w:space="0"/>
              <w:right w:val="single" w:color="auto" w:sz="4" w:space="0"/>
            </w:tcBorders>
            <w:shd w:val="clear" w:color="auto" w:fill="auto"/>
            <w:noWrap/>
            <w:vAlign w:val="center"/>
          </w:tcPr>
          <w:p w14:paraId="07F97EAC">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政府采购</w:t>
            </w:r>
          </w:p>
          <w:p w14:paraId="04DF854B">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执行率</w:t>
            </w:r>
          </w:p>
        </w:tc>
        <w:tc>
          <w:tcPr>
            <w:tcW w:w="4171" w:type="dxa"/>
            <w:tcBorders>
              <w:top w:val="nil"/>
              <w:left w:val="nil"/>
              <w:bottom w:val="single" w:color="auto" w:sz="4" w:space="0"/>
              <w:right w:val="single" w:color="auto" w:sz="4" w:space="0"/>
            </w:tcBorders>
            <w:shd w:val="clear" w:color="auto" w:fill="auto"/>
            <w:noWrap/>
            <w:vAlign w:val="center"/>
          </w:tcPr>
          <w:p w14:paraId="0FA87EB5">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政府采购执行率等于100%的，得3分；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每减少一个百分点，扣0.2分，扣完为止。</w:t>
            </w:r>
          </w:p>
        </w:tc>
        <w:tc>
          <w:tcPr>
            <w:tcW w:w="619" w:type="dxa"/>
            <w:tcBorders>
              <w:top w:val="nil"/>
              <w:left w:val="nil"/>
              <w:bottom w:val="single" w:color="auto" w:sz="4" w:space="0"/>
              <w:right w:val="single" w:color="auto" w:sz="4" w:space="0"/>
            </w:tcBorders>
            <w:shd w:val="clear" w:color="auto" w:fill="auto"/>
            <w:noWrap/>
            <w:vAlign w:val="center"/>
          </w:tcPr>
          <w:p w14:paraId="68EDC0F8">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shd w:val="clear" w:color="auto" w:fill="FFFFFF"/>
            <w:noWrap/>
            <w:vAlign w:val="center"/>
          </w:tcPr>
          <w:p w14:paraId="25E67EA9">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2</w:t>
            </w:r>
          </w:p>
        </w:tc>
        <w:tc>
          <w:tcPr>
            <w:tcW w:w="1080" w:type="dxa"/>
            <w:tcBorders>
              <w:top w:val="nil"/>
              <w:left w:val="nil"/>
              <w:bottom w:val="single" w:color="auto" w:sz="4" w:space="0"/>
              <w:right w:val="single" w:color="auto" w:sz="4" w:space="0"/>
            </w:tcBorders>
            <w:shd w:val="clear" w:color="auto" w:fill="FFFFFF"/>
            <w:noWrap/>
            <w:vAlign w:val="center"/>
          </w:tcPr>
          <w:p w14:paraId="54419277">
            <w:pPr>
              <w:widowControl/>
              <w:spacing w:line="240" w:lineRule="exact"/>
              <w:jc w:val="center"/>
              <w:rPr>
                <w:rFonts w:ascii="仿宋_GB2312" w:hAnsi="宋体" w:eastAsia="仿宋_GB2312" w:cs="宋体"/>
                <w:kern w:val="0"/>
                <w:sz w:val="18"/>
                <w:szCs w:val="18"/>
              </w:rPr>
            </w:pPr>
          </w:p>
        </w:tc>
      </w:tr>
      <w:tr w14:paraId="340BE888">
        <w:tblPrEx>
          <w:tblCellMar>
            <w:top w:w="0" w:type="dxa"/>
            <w:left w:w="108" w:type="dxa"/>
            <w:bottom w:w="0" w:type="dxa"/>
            <w:right w:w="108" w:type="dxa"/>
          </w:tblCellMar>
        </w:tblPrEx>
        <w:trPr>
          <w:trHeight w:val="630"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noWrap/>
            <w:vAlign w:val="center"/>
          </w:tcPr>
          <w:p w14:paraId="22C2B5C3">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shd w:val="clear" w:color="auto" w:fill="auto"/>
            <w:noWrap/>
            <w:vAlign w:val="center"/>
          </w:tcPr>
          <w:p w14:paraId="14588477">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shd w:val="clear" w:color="auto" w:fill="auto"/>
            <w:noWrap/>
            <w:vAlign w:val="center"/>
          </w:tcPr>
          <w:p w14:paraId="66CC9940">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公务卡刷卡率</w:t>
            </w:r>
          </w:p>
        </w:tc>
        <w:tc>
          <w:tcPr>
            <w:tcW w:w="4171" w:type="dxa"/>
            <w:tcBorders>
              <w:top w:val="nil"/>
              <w:left w:val="nil"/>
              <w:bottom w:val="single" w:color="auto" w:sz="4" w:space="0"/>
              <w:right w:val="single" w:color="auto" w:sz="4" w:space="0"/>
            </w:tcBorders>
            <w:shd w:val="clear" w:color="auto" w:fill="auto"/>
            <w:noWrap/>
            <w:vAlign w:val="center"/>
          </w:tcPr>
          <w:p w14:paraId="159E5085">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公务卡刷卡率达70％以上的，得3分。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 xml:space="preserve">每减少一个百分点，扣0.2分，扣完为止。                                            </w:t>
            </w:r>
          </w:p>
        </w:tc>
        <w:tc>
          <w:tcPr>
            <w:tcW w:w="619" w:type="dxa"/>
            <w:tcBorders>
              <w:top w:val="nil"/>
              <w:left w:val="nil"/>
              <w:bottom w:val="single" w:color="auto" w:sz="4" w:space="0"/>
              <w:right w:val="single" w:color="auto" w:sz="4" w:space="0"/>
            </w:tcBorders>
            <w:shd w:val="clear" w:color="auto" w:fill="auto"/>
            <w:noWrap/>
            <w:vAlign w:val="center"/>
          </w:tcPr>
          <w:p w14:paraId="3F0AA4EA">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shd w:val="clear" w:color="auto" w:fill="FFFFFF"/>
            <w:noWrap/>
            <w:vAlign w:val="center"/>
          </w:tcPr>
          <w:p w14:paraId="2FD5F5EF">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1080" w:type="dxa"/>
            <w:tcBorders>
              <w:top w:val="nil"/>
              <w:left w:val="nil"/>
              <w:bottom w:val="single" w:color="auto" w:sz="4" w:space="0"/>
              <w:right w:val="single" w:color="auto" w:sz="4" w:space="0"/>
            </w:tcBorders>
            <w:shd w:val="clear" w:color="auto" w:fill="FFFFFF"/>
            <w:noWrap/>
            <w:vAlign w:val="center"/>
          </w:tcPr>
          <w:p w14:paraId="11503C3C">
            <w:pPr>
              <w:widowControl/>
              <w:spacing w:line="240" w:lineRule="exact"/>
              <w:jc w:val="center"/>
              <w:rPr>
                <w:rFonts w:ascii="仿宋_GB2312" w:hAnsi="宋体" w:eastAsia="仿宋_GB2312" w:cs="宋体"/>
                <w:kern w:val="0"/>
                <w:sz w:val="18"/>
                <w:szCs w:val="18"/>
              </w:rPr>
            </w:pPr>
          </w:p>
        </w:tc>
      </w:tr>
      <w:tr w14:paraId="639C282A">
        <w:tblPrEx>
          <w:tblCellMar>
            <w:top w:w="0" w:type="dxa"/>
            <w:left w:w="108" w:type="dxa"/>
            <w:bottom w:w="0" w:type="dxa"/>
            <w:right w:w="108" w:type="dxa"/>
          </w:tblCellMar>
        </w:tblPrEx>
        <w:trPr>
          <w:trHeight w:val="90"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noWrap/>
            <w:vAlign w:val="center"/>
          </w:tcPr>
          <w:p w14:paraId="0910C07C">
            <w:pPr>
              <w:widowControl/>
              <w:spacing w:line="240" w:lineRule="exact"/>
              <w:jc w:val="left"/>
              <w:rPr>
                <w:rFonts w:ascii="仿宋_GB2312" w:hAnsi="宋体" w:eastAsia="仿宋_GB2312" w:cs="宋体"/>
                <w:kern w:val="0"/>
                <w:sz w:val="18"/>
                <w:szCs w:val="18"/>
              </w:rPr>
            </w:pPr>
          </w:p>
        </w:tc>
        <w:tc>
          <w:tcPr>
            <w:tcW w:w="939" w:type="dxa"/>
            <w:tcBorders>
              <w:top w:val="nil"/>
              <w:left w:val="single" w:color="auto" w:sz="4" w:space="0"/>
              <w:bottom w:val="single" w:color="auto" w:sz="4" w:space="0"/>
              <w:right w:val="single" w:color="auto" w:sz="4" w:space="0"/>
            </w:tcBorders>
            <w:shd w:val="clear" w:color="auto" w:fill="auto"/>
            <w:noWrap/>
            <w:vAlign w:val="center"/>
          </w:tcPr>
          <w:p w14:paraId="18ACE884">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资产管理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（10分）</w:t>
            </w:r>
          </w:p>
        </w:tc>
        <w:tc>
          <w:tcPr>
            <w:tcW w:w="1389" w:type="dxa"/>
            <w:tcBorders>
              <w:top w:val="nil"/>
              <w:left w:val="nil"/>
              <w:bottom w:val="single" w:color="auto" w:sz="4" w:space="0"/>
              <w:right w:val="single" w:color="auto" w:sz="4" w:space="0"/>
            </w:tcBorders>
            <w:shd w:val="clear" w:color="auto" w:fill="auto"/>
            <w:noWrap/>
            <w:vAlign w:val="center"/>
          </w:tcPr>
          <w:p w14:paraId="2CDA94D7">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管理制度</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健全性</w:t>
            </w:r>
          </w:p>
        </w:tc>
        <w:tc>
          <w:tcPr>
            <w:tcW w:w="4171" w:type="dxa"/>
            <w:tcBorders>
              <w:top w:val="nil"/>
              <w:left w:val="nil"/>
              <w:bottom w:val="single" w:color="auto" w:sz="4" w:space="0"/>
              <w:right w:val="single" w:color="auto" w:sz="4" w:space="0"/>
            </w:tcBorders>
            <w:shd w:val="clear" w:color="auto" w:fill="auto"/>
            <w:noWrap/>
            <w:vAlign w:val="center"/>
          </w:tcPr>
          <w:p w14:paraId="56B407B8">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①已制定或具有资产管理制度，且相关资产管理制度合法、合规、完整，2分；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 xml:space="preserve">②相关资产管理制度得到有效执行，1分。                                           </w:t>
            </w:r>
          </w:p>
        </w:tc>
        <w:tc>
          <w:tcPr>
            <w:tcW w:w="619" w:type="dxa"/>
            <w:tcBorders>
              <w:top w:val="nil"/>
              <w:left w:val="nil"/>
              <w:bottom w:val="single" w:color="auto" w:sz="4" w:space="0"/>
              <w:right w:val="single" w:color="auto" w:sz="4" w:space="0"/>
            </w:tcBorders>
            <w:shd w:val="clear" w:color="auto" w:fill="auto"/>
            <w:noWrap/>
            <w:vAlign w:val="center"/>
          </w:tcPr>
          <w:p w14:paraId="6C874DE0">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shd w:val="clear" w:color="auto" w:fill="FFFFFF"/>
            <w:noWrap/>
            <w:vAlign w:val="center"/>
          </w:tcPr>
          <w:p w14:paraId="0B12C198">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2</w:t>
            </w:r>
          </w:p>
        </w:tc>
        <w:tc>
          <w:tcPr>
            <w:tcW w:w="1080" w:type="dxa"/>
            <w:tcBorders>
              <w:top w:val="nil"/>
              <w:left w:val="nil"/>
              <w:bottom w:val="single" w:color="auto" w:sz="4" w:space="0"/>
              <w:right w:val="single" w:color="auto" w:sz="4" w:space="0"/>
            </w:tcBorders>
            <w:shd w:val="clear" w:color="auto" w:fill="FFFFFF"/>
            <w:noWrap/>
            <w:vAlign w:val="center"/>
          </w:tcPr>
          <w:p w14:paraId="5054724C">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相关资产管理制度得到有效执行</w:t>
            </w:r>
          </w:p>
        </w:tc>
      </w:tr>
    </w:tbl>
    <w:p w14:paraId="0AF488C4"/>
    <w:tbl>
      <w:tblPr>
        <w:tblStyle w:val="4"/>
        <w:tblW w:w="9937" w:type="dxa"/>
        <w:jc w:val="center"/>
        <w:tblLayout w:type="fixed"/>
        <w:tblCellMar>
          <w:top w:w="0" w:type="dxa"/>
          <w:left w:w="108" w:type="dxa"/>
          <w:bottom w:w="0" w:type="dxa"/>
          <w:right w:w="108" w:type="dxa"/>
        </w:tblCellMar>
      </w:tblPr>
      <w:tblGrid>
        <w:gridCol w:w="980"/>
        <w:gridCol w:w="943"/>
        <w:gridCol w:w="1395"/>
        <w:gridCol w:w="4190"/>
        <w:gridCol w:w="621"/>
        <w:gridCol w:w="723"/>
        <w:gridCol w:w="1085"/>
      </w:tblGrid>
      <w:tr w14:paraId="51960C0F">
        <w:tblPrEx>
          <w:tblCellMar>
            <w:top w:w="0" w:type="dxa"/>
            <w:left w:w="108" w:type="dxa"/>
            <w:bottom w:w="0" w:type="dxa"/>
            <w:right w:w="108" w:type="dxa"/>
          </w:tblCellMar>
        </w:tblPrEx>
        <w:trPr>
          <w:trHeight w:val="678" w:hRule="atLeast"/>
          <w:jc w:val="center"/>
        </w:trPr>
        <w:tc>
          <w:tcPr>
            <w:tcW w:w="98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AFA749C">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一级指标</w:t>
            </w:r>
          </w:p>
        </w:tc>
        <w:tc>
          <w:tcPr>
            <w:tcW w:w="94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E5BDC0D">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二级指标</w:t>
            </w:r>
          </w:p>
        </w:tc>
        <w:tc>
          <w:tcPr>
            <w:tcW w:w="1395" w:type="dxa"/>
            <w:tcBorders>
              <w:top w:val="single" w:color="auto" w:sz="4" w:space="0"/>
              <w:left w:val="nil"/>
              <w:bottom w:val="single" w:color="auto" w:sz="4" w:space="0"/>
              <w:right w:val="single" w:color="auto" w:sz="4" w:space="0"/>
            </w:tcBorders>
            <w:shd w:val="clear" w:color="auto" w:fill="auto"/>
            <w:noWrap/>
            <w:vAlign w:val="center"/>
          </w:tcPr>
          <w:p w14:paraId="613DC60C">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三级指标</w:t>
            </w:r>
          </w:p>
        </w:tc>
        <w:tc>
          <w:tcPr>
            <w:tcW w:w="4190" w:type="dxa"/>
            <w:tcBorders>
              <w:top w:val="single" w:color="auto" w:sz="4" w:space="0"/>
              <w:left w:val="nil"/>
              <w:bottom w:val="single" w:color="auto" w:sz="4" w:space="0"/>
              <w:right w:val="single" w:color="auto" w:sz="4" w:space="0"/>
            </w:tcBorders>
            <w:shd w:val="clear" w:color="auto" w:fill="auto"/>
            <w:noWrap/>
            <w:vAlign w:val="center"/>
          </w:tcPr>
          <w:p w14:paraId="74062DD5">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评分标准</w:t>
            </w:r>
          </w:p>
        </w:tc>
        <w:tc>
          <w:tcPr>
            <w:tcW w:w="621" w:type="dxa"/>
            <w:tcBorders>
              <w:top w:val="single" w:color="auto" w:sz="4" w:space="0"/>
              <w:left w:val="nil"/>
              <w:bottom w:val="single" w:color="auto" w:sz="4" w:space="0"/>
              <w:right w:val="single" w:color="auto" w:sz="4" w:space="0"/>
            </w:tcBorders>
            <w:shd w:val="clear" w:color="auto" w:fill="auto"/>
            <w:noWrap/>
            <w:vAlign w:val="center"/>
          </w:tcPr>
          <w:p w14:paraId="0335ECDB">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723" w:type="dxa"/>
            <w:tcBorders>
              <w:top w:val="single" w:color="auto" w:sz="4" w:space="0"/>
              <w:left w:val="nil"/>
              <w:bottom w:val="single" w:color="auto" w:sz="4" w:space="0"/>
              <w:right w:val="single" w:color="auto" w:sz="4" w:space="0"/>
            </w:tcBorders>
            <w:shd w:val="clear" w:color="auto" w:fill="FFFFFF"/>
            <w:noWrap/>
            <w:vAlign w:val="center"/>
          </w:tcPr>
          <w:p w14:paraId="7A4CD9DE">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自评得分</w:t>
            </w:r>
          </w:p>
        </w:tc>
        <w:tc>
          <w:tcPr>
            <w:tcW w:w="1085" w:type="dxa"/>
            <w:tcBorders>
              <w:top w:val="single" w:color="auto" w:sz="4" w:space="0"/>
              <w:left w:val="nil"/>
              <w:bottom w:val="single" w:color="auto" w:sz="4" w:space="0"/>
              <w:right w:val="single" w:color="auto" w:sz="4" w:space="0"/>
            </w:tcBorders>
            <w:shd w:val="clear" w:color="auto" w:fill="FFFFFF"/>
            <w:noWrap/>
            <w:vAlign w:val="center"/>
          </w:tcPr>
          <w:p w14:paraId="5430C9C4">
            <w:pPr>
              <w:widowControl/>
              <w:spacing w:line="240" w:lineRule="exact"/>
              <w:jc w:val="center"/>
              <w:rPr>
                <w:rFonts w:ascii="仿宋_GB2312" w:hAnsi="宋体" w:eastAsia="仿宋_GB2312" w:cs="宋体"/>
                <w:b/>
                <w:bCs/>
                <w:spacing w:val="-12"/>
                <w:kern w:val="0"/>
                <w:sz w:val="18"/>
                <w:szCs w:val="18"/>
              </w:rPr>
            </w:pPr>
            <w:r>
              <w:rPr>
                <w:rFonts w:hint="eastAsia" w:ascii="仿宋_GB2312" w:hAnsi="宋体" w:eastAsia="仿宋_GB2312" w:cs="宋体"/>
                <w:b/>
                <w:bCs/>
                <w:spacing w:val="-12"/>
                <w:kern w:val="0"/>
                <w:sz w:val="18"/>
                <w:szCs w:val="18"/>
              </w:rPr>
              <w:t>扣分原因和其他说明</w:t>
            </w:r>
          </w:p>
        </w:tc>
      </w:tr>
      <w:tr w14:paraId="6A2D1DD7">
        <w:tblPrEx>
          <w:tblCellMar>
            <w:top w:w="0" w:type="dxa"/>
            <w:left w:w="108" w:type="dxa"/>
            <w:bottom w:w="0" w:type="dxa"/>
            <w:right w:w="108" w:type="dxa"/>
          </w:tblCellMar>
        </w:tblPrEx>
        <w:trPr>
          <w:trHeight w:val="2216" w:hRule="atLeast"/>
          <w:jc w:val="center"/>
        </w:trPr>
        <w:tc>
          <w:tcPr>
            <w:tcW w:w="980"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71166E75">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过  程</w:t>
            </w:r>
          </w:p>
          <w:p w14:paraId="2A661AF2">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（40分）</w:t>
            </w:r>
          </w:p>
        </w:tc>
        <w:tc>
          <w:tcPr>
            <w:tcW w:w="943"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3C821412">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资产管理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（10分）</w:t>
            </w:r>
          </w:p>
        </w:tc>
        <w:tc>
          <w:tcPr>
            <w:tcW w:w="1395" w:type="dxa"/>
            <w:tcBorders>
              <w:top w:val="single" w:color="auto" w:sz="4" w:space="0"/>
              <w:left w:val="nil"/>
              <w:bottom w:val="single" w:color="auto" w:sz="4" w:space="0"/>
              <w:right w:val="single" w:color="auto" w:sz="4" w:space="0"/>
            </w:tcBorders>
            <w:shd w:val="clear" w:color="auto" w:fill="auto"/>
            <w:noWrap/>
            <w:vAlign w:val="center"/>
          </w:tcPr>
          <w:p w14:paraId="7D3320D9">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资产管理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安全性</w:t>
            </w:r>
          </w:p>
        </w:tc>
        <w:tc>
          <w:tcPr>
            <w:tcW w:w="4190" w:type="dxa"/>
            <w:tcBorders>
              <w:top w:val="single" w:color="auto" w:sz="4" w:space="0"/>
              <w:left w:val="nil"/>
              <w:bottom w:val="single" w:color="auto" w:sz="4" w:space="0"/>
              <w:right w:val="single" w:color="auto" w:sz="4" w:space="0"/>
            </w:tcBorders>
            <w:shd w:val="clear" w:color="auto" w:fill="auto"/>
            <w:noWrap/>
            <w:vAlign w:val="center"/>
          </w:tcPr>
          <w:p w14:paraId="1C368174">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①资产保存完整；</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②资产配置合理；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 xml:space="preserve">③资产处置规范； </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④资产账务管理合规，帐实相符；</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⑤资产有偿使用及处置收入及时足额上缴；</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以上情况每出现一例不符合有关要求的扣1分，扣完为止。</w:t>
            </w:r>
          </w:p>
        </w:tc>
        <w:tc>
          <w:tcPr>
            <w:tcW w:w="621" w:type="dxa"/>
            <w:tcBorders>
              <w:top w:val="single" w:color="auto" w:sz="4" w:space="0"/>
              <w:left w:val="nil"/>
              <w:bottom w:val="single" w:color="auto" w:sz="4" w:space="0"/>
              <w:right w:val="single" w:color="auto" w:sz="4" w:space="0"/>
            </w:tcBorders>
            <w:shd w:val="clear" w:color="auto" w:fill="auto"/>
            <w:noWrap/>
            <w:vAlign w:val="center"/>
          </w:tcPr>
          <w:p w14:paraId="2677C8AD">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723" w:type="dxa"/>
            <w:tcBorders>
              <w:top w:val="single" w:color="auto" w:sz="4" w:space="0"/>
              <w:left w:val="nil"/>
              <w:bottom w:val="single" w:color="auto" w:sz="4" w:space="0"/>
              <w:right w:val="single" w:color="auto" w:sz="4" w:space="0"/>
            </w:tcBorders>
            <w:shd w:val="clear" w:color="auto" w:fill="FFFFFF"/>
            <w:noWrap/>
            <w:vAlign w:val="center"/>
          </w:tcPr>
          <w:p w14:paraId="70BEC60C">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1085" w:type="dxa"/>
            <w:tcBorders>
              <w:top w:val="single" w:color="auto" w:sz="4" w:space="0"/>
              <w:left w:val="nil"/>
              <w:bottom w:val="single" w:color="auto" w:sz="4" w:space="0"/>
              <w:right w:val="single" w:color="auto" w:sz="4" w:space="0"/>
            </w:tcBorders>
            <w:shd w:val="clear" w:color="auto" w:fill="FFFFFF"/>
            <w:noWrap/>
            <w:vAlign w:val="center"/>
          </w:tcPr>
          <w:p w14:paraId="3453A614">
            <w:pPr>
              <w:widowControl/>
              <w:spacing w:line="240" w:lineRule="exact"/>
              <w:jc w:val="center"/>
              <w:rPr>
                <w:rFonts w:ascii="仿宋_GB2312" w:hAnsi="宋体" w:eastAsia="仿宋_GB2312" w:cs="宋体"/>
                <w:kern w:val="0"/>
                <w:sz w:val="18"/>
                <w:szCs w:val="18"/>
              </w:rPr>
            </w:pPr>
          </w:p>
        </w:tc>
      </w:tr>
      <w:tr w14:paraId="579F895B">
        <w:tblPrEx>
          <w:tblCellMar>
            <w:top w:w="0" w:type="dxa"/>
            <w:left w:w="108" w:type="dxa"/>
            <w:bottom w:w="0" w:type="dxa"/>
            <w:right w:w="108" w:type="dxa"/>
          </w:tblCellMar>
        </w:tblPrEx>
        <w:trPr>
          <w:trHeight w:val="859"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noWrap/>
            <w:vAlign w:val="center"/>
          </w:tcPr>
          <w:p w14:paraId="1332E80E">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noWrap/>
            <w:vAlign w:val="center"/>
          </w:tcPr>
          <w:p w14:paraId="5826D57E">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noWrap/>
            <w:vAlign w:val="center"/>
          </w:tcPr>
          <w:p w14:paraId="7FC91919">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固定资产</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利用率</w:t>
            </w:r>
          </w:p>
        </w:tc>
        <w:tc>
          <w:tcPr>
            <w:tcW w:w="4190" w:type="dxa"/>
            <w:tcBorders>
              <w:top w:val="nil"/>
              <w:left w:val="nil"/>
              <w:bottom w:val="single" w:color="auto" w:sz="4" w:space="0"/>
              <w:right w:val="single" w:color="auto" w:sz="4" w:space="0"/>
            </w:tcBorders>
            <w:shd w:val="clear" w:color="auto" w:fill="auto"/>
            <w:noWrap/>
            <w:vAlign w:val="center"/>
          </w:tcPr>
          <w:p w14:paraId="56C7B0A8">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每低于100%一个百分点扣0.1分，扣完为止。</w:t>
            </w:r>
          </w:p>
        </w:tc>
        <w:tc>
          <w:tcPr>
            <w:tcW w:w="621" w:type="dxa"/>
            <w:tcBorders>
              <w:top w:val="nil"/>
              <w:left w:val="nil"/>
              <w:bottom w:val="single" w:color="auto" w:sz="4" w:space="0"/>
              <w:right w:val="single" w:color="auto" w:sz="4" w:space="0"/>
            </w:tcBorders>
            <w:shd w:val="clear" w:color="auto" w:fill="auto"/>
            <w:noWrap/>
            <w:vAlign w:val="center"/>
          </w:tcPr>
          <w:p w14:paraId="115E227E">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3" w:type="dxa"/>
            <w:tcBorders>
              <w:top w:val="nil"/>
              <w:left w:val="nil"/>
              <w:bottom w:val="single" w:color="auto" w:sz="4" w:space="0"/>
              <w:right w:val="single" w:color="auto" w:sz="4" w:space="0"/>
            </w:tcBorders>
            <w:shd w:val="clear" w:color="auto" w:fill="FFFFFF"/>
            <w:noWrap/>
            <w:vAlign w:val="center"/>
          </w:tcPr>
          <w:p w14:paraId="008E31F4">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1085" w:type="dxa"/>
            <w:tcBorders>
              <w:top w:val="nil"/>
              <w:left w:val="nil"/>
              <w:bottom w:val="single" w:color="auto" w:sz="4" w:space="0"/>
              <w:right w:val="single" w:color="auto" w:sz="4" w:space="0"/>
            </w:tcBorders>
            <w:shd w:val="clear" w:color="auto" w:fill="FFFFFF"/>
            <w:noWrap/>
            <w:vAlign w:val="center"/>
          </w:tcPr>
          <w:p w14:paraId="41E0C170">
            <w:pPr>
              <w:widowControl/>
              <w:spacing w:line="240" w:lineRule="exact"/>
              <w:jc w:val="center"/>
              <w:rPr>
                <w:rFonts w:ascii="仿宋_GB2312" w:hAnsi="宋体" w:eastAsia="仿宋_GB2312" w:cs="宋体"/>
                <w:kern w:val="0"/>
                <w:sz w:val="18"/>
                <w:szCs w:val="18"/>
              </w:rPr>
            </w:pPr>
          </w:p>
        </w:tc>
      </w:tr>
      <w:tr w14:paraId="5277F2DF">
        <w:tblPrEx>
          <w:tblCellMar>
            <w:top w:w="0" w:type="dxa"/>
            <w:left w:w="108" w:type="dxa"/>
            <w:bottom w:w="0" w:type="dxa"/>
            <w:right w:w="108" w:type="dxa"/>
          </w:tblCellMar>
        </w:tblPrEx>
        <w:trPr>
          <w:trHeight w:val="998" w:hRule="atLeast"/>
          <w:jc w:val="center"/>
        </w:trPr>
        <w:tc>
          <w:tcPr>
            <w:tcW w:w="980" w:type="dxa"/>
            <w:vMerge w:val="restart"/>
            <w:tcBorders>
              <w:top w:val="single" w:color="auto" w:sz="4" w:space="0"/>
              <w:left w:val="single" w:color="auto" w:sz="4" w:space="0"/>
              <w:right w:val="single" w:color="auto" w:sz="4" w:space="0"/>
            </w:tcBorders>
            <w:shd w:val="clear" w:color="auto" w:fill="auto"/>
            <w:noWrap/>
            <w:vAlign w:val="center"/>
          </w:tcPr>
          <w:p w14:paraId="074D8689">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产  出（25分</w:t>
            </w:r>
          </w:p>
        </w:tc>
        <w:tc>
          <w:tcPr>
            <w:tcW w:w="943" w:type="dxa"/>
            <w:vMerge w:val="restart"/>
            <w:tcBorders>
              <w:top w:val="single" w:color="auto" w:sz="4" w:space="0"/>
              <w:left w:val="single" w:color="auto" w:sz="4" w:space="0"/>
              <w:right w:val="single" w:color="auto" w:sz="4" w:space="0"/>
            </w:tcBorders>
            <w:shd w:val="clear" w:color="auto" w:fill="auto"/>
            <w:noWrap/>
            <w:vAlign w:val="center"/>
          </w:tcPr>
          <w:p w14:paraId="63F54BDC">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职责履行</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（25分）</w:t>
            </w:r>
          </w:p>
        </w:tc>
        <w:tc>
          <w:tcPr>
            <w:tcW w:w="1395" w:type="dxa"/>
            <w:tcBorders>
              <w:top w:val="single" w:color="auto" w:sz="4" w:space="0"/>
              <w:left w:val="nil"/>
              <w:bottom w:val="single" w:color="auto" w:sz="4" w:space="0"/>
              <w:right w:val="single" w:color="auto" w:sz="4" w:space="0"/>
            </w:tcBorders>
            <w:shd w:val="clear" w:color="auto" w:fill="auto"/>
            <w:noWrap/>
            <w:vAlign w:val="center"/>
          </w:tcPr>
          <w:p w14:paraId="3F563233">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实施“三高四新”战略目标任务完成情况</w:t>
            </w:r>
          </w:p>
        </w:tc>
        <w:tc>
          <w:tcPr>
            <w:tcW w:w="4190" w:type="dxa"/>
            <w:vMerge w:val="restart"/>
            <w:tcBorders>
              <w:top w:val="single" w:color="auto" w:sz="4" w:space="0"/>
              <w:left w:val="single" w:color="auto" w:sz="4" w:space="0"/>
              <w:right w:val="single" w:color="auto" w:sz="4" w:space="0"/>
            </w:tcBorders>
            <w:shd w:val="clear" w:color="auto" w:fill="auto"/>
            <w:noWrap/>
            <w:vAlign w:val="center"/>
          </w:tcPr>
          <w:p w14:paraId="653FA68F">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围绕部门和单位职责、年度重点工作任务，衡量评价部门和单位整体及核心业务实施效果</w:t>
            </w:r>
          </w:p>
          <w:p w14:paraId="74FF654A">
            <w:pPr>
              <w:widowControl/>
              <w:spacing w:line="240" w:lineRule="exact"/>
              <w:jc w:val="left"/>
              <w:rPr>
                <w:rFonts w:ascii="仿宋_GB2312" w:hAnsi="宋体" w:eastAsia="仿宋_GB2312" w:cs="宋体"/>
                <w:kern w:val="0"/>
                <w:sz w:val="18"/>
                <w:szCs w:val="18"/>
              </w:rPr>
            </w:pPr>
            <w:r>
              <w:rPr>
                <w:rFonts w:ascii="仿宋_GB2312" w:hAnsi="宋体" w:cs="宋体"/>
                <w:kern w:val="0"/>
                <w:sz w:val="18"/>
                <w:szCs w:val="18"/>
              </w:rPr>
              <w:br w:type="textWrapping"/>
            </w:r>
            <w:r>
              <w:rPr>
                <w:rFonts w:hint="eastAsia" w:ascii="仿宋_GB2312" w:hAnsi="宋体" w:eastAsia="仿宋_GB2312" w:cs="宋体"/>
                <w:kern w:val="0"/>
                <w:sz w:val="18"/>
                <w:szCs w:val="18"/>
              </w:rPr>
              <w:t>部门单位应根据部门实际进行调整，并将其细化成相应的个性化指标。。</w:t>
            </w:r>
          </w:p>
        </w:tc>
        <w:tc>
          <w:tcPr>
            <w:tcW w:w="621" w:type="dxa"/>
            <w:tcBorders>
              <w:top w:val="nil"/>
              <w:left w:val="nil"/>
              <w:bottom w:val="single" w:color="auto" w:sz="4" w:space="0"/>
              <w:right w:val="single" w:color="auto" w:sz="4" w:space="0"/>
            </w:tcBorders>
            <w:shd w:val="clear" w:color="auto" w:fill="auto"/>
            <w:noWrap/>
            <w:vAlign w:val="center"/>
          </w:tcPr>
          <w:p w14:paraId="3F8186AB">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723" w:type="dxa"/>
            <w:tcBorders>
              <w:top w:val="nil"/>
              <w:left w:val="nil"/>
              <w:bottom w:val="single" w:color="auto" w:sz="4" w:space="0"/>
              <w:right w:val="single" w:color="auto" w:sz="4" w:space="0"/>
            </w:tcBorders>
            <w:shd w:val="clear" w:color="auto" w:fill="FFFFFF"/>
            <w:noWrap/>
            <w:vAlign w:val="center"/>
          </w:tcPr>
          <w:p w14:paraId="20D4FFA2">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1085" w:type="dxa"/>
            <w:tcBorders>
              <w:top w:val="nil"/>
              <w:left w:val="nil"/>
              <w:bottom w:val="single" w:color="auto" w:sz="4" w:space="0"/>
              <w:right w:val="single" w:color="auto" w:sz="4" w:space="0"/>
            </w:tcBorders>
            <w:shd w:val="clear" w:color="auto" w:fill="FFFFFF"/>
            <w:noWrap/>
            <w:vAlign w:val="center"/>
          </w:tcPr>
          <w:p w14:paraId="15F0597B">
            <w:pPr>
              <w:widowControl/>
              <w:spacing w:line="240" w:lineRule="exact"/>
              <w:jc w:val="center"/>
              <w:rPr>
                <w:rFonts w:ascii="仿宋_GB2312" w:hAnsi="宋体" w:eastAsia="仿宋_GB2312" w:cs="宋体"/>
                <w:kern w:val="0"/>
                <w:sz w:val="18"/>
                <w:szCs w:val="18"/>
              </w:rPr>
            </w:pPr>
          </w:p>
        </w:tc>
      </w:tr>
      <w:tr w14:paraId="4ACBD059">
        <w:tblPrEx>
          <w:tblCellMar>
            <w:top w:w="0" w:type="dxa"/>
            <w:left w:w="108" w:type="dxa"/>
            <w:bottom w:w="0" w:type="dxa"/>
            <w:right w:w="108" w:type="dxa"/>
          </w:tblCellMar>
        </w:tblPrEx>
        <w:trPr>
          <w:trHeight w:val="998"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noWrap/>
            <w:vAlign w:val="center"/>
          </w:tcPr>
          <w:p w14:paraId="4E8F1DD6">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noWrap/>
            <w:vAlign w:val="center"/>
          </w:tcPr>
          <w:p w14:paraId="05ED19A0">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noWrap/>
            <w:vAlign w:val="center"/>
          </w:tcPr>
          <w:p w14:paraId="467DC9D5">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《政府工作报告》目标任务完成情况</w:t>
            </w:r>
          </w:p>
        </w:tc>
        <w:tc>
          <w:tcPr>
            <w:tcW w:w="4190" w:type="dxa"/>
            <w:vMerge w:val="continue"/>
            <w:tcBorders>
              <w:top w:val="nil"/>
              <w:left w:val="single" w:color="auto" w:sz="4" w:space="0"/>
              <w:bottom w:val="single" w:color="auto" w:sz="4" w:space="0"/>
              <w:right w:val="single" w:color="auto" w:sz="4" w:space="0"/>
            </w:tcBorders>
            <w:shd w:val="clear" w:color="auto" w:fill="auto"/>
            <w:noWrap/>
            <w:vAlign w:val="center"/>
          </w:tcPr>
          <w:p w14:paraId="1A1B5291">
            <w:pPr>
              <w:widowControl/>
              <w:spacing w:line="240" w:lineRule="exact"/>
              <w:jc w:val="left"/>
              <w:rPr>
                <w:rFonts w:ascii="仿宋_GB2312" w:hAnsi="宋体" w:eastAsia="仿宋_GB2312" w:cs="宋体"/>
                <w:kern w:val="0"/>
                <w:sz w:val="18"/>
                <w:szCs w:val="18"/>
              </w:rPr>
            </w:pPr>
          </w:p>
        </w:tc>
        <w:tc>
          <w:tcPr>
            <w:tcW w:w="621" w:type="dxa"/>
            <w:tcBorders>
              <w:top w:val="nil"/>
              <w:left w:val="nil"/>
              <w:bottom w:val="single" w:color="auto" w:sz="4" w:space="0"/>
              <w:right w:val="single" w:color="auto" w:sz="4" w:space="0"/>
            </w:tcBorders>
            <w:shd w:val="clear" w:color="auto" w:fill="auto"/>
            <w:noWrap/>
            <w:vAlign w:val="center"/>
          </w:tcPr>
          <w:p w14:paraId="4482221D">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3" w:type="dxa"/>
            <w:tcBorders>
              <w:top w:val="nil"/>
              <w:left w:val="nil"/>
              <w:bottom w:val="single" w:color="auto" w:sz="4" w:space="0"/>
              <w:right w:val="single" w:color="auto" w:sz="4" w:space="0"/>
            </w:tcBorders>
            <w:shd w:val="clear" w:color="auto" w:fill="FFFFFF"/>
            <w:noWrap/>
            <w:vAlign w:val="center"/>
          </w:tcPr>
          <w:p w14:paraId="7B07B1D9">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1085" w:type="dxa"/>
            <w:tcBorders>
              <w:top w:val="nil"/>
              <w:left w:val="nil"/>
              <w:bottom w:val="single" w:color="auto" w:sz="4" w:space="0"/>
              <w:right w:val="single" w:color="auto" w:sz="4" w:space="0"/>
            </w:tcBorders>
            <w:shd w:val="clear" w:color="auto" w:fill="FFFFFF"/>
            <w:noWrap/>
            <w:vAlign w:val="center"/>
          </w:tcPr>
          <w:p w14:paraId="19C918C3">
            <w:pPr>
              <w:widowControl/>
              <w:spacing w:line="240" w:lineRule="exact"/>
              <w:jc w:val="center"/>
              <w:rPr>
                <w:rFonts w:ascii="仿宋_GB2312" w:hAnsi="宋体" w:eastAsia="仿宋_GB2312" w:cs="宋体"/>
                <w:kern w:val="0"/>
                <w:sz w:val="18"/>
                <w:szCs w:val="18"/>
              </w:rPr>
            </w:pPr>
          </w:p>
        </w:tc>
      </w:tr>
      <w:tr w14:paraId="7A59EBD2">
        <w:tblPrEx>
          <w:tblCellMar>
            <w:top w:w="0" w:type="dxa"/>
            <w:left w:w="108" w:type="dxa"/>
            <w:bottom w:w="0" w:type="dxa"/>
            <w:right w:w="108" w:type="dxa"/>
          </w:tblCellMar>
        </w:tblPrEx>
        <w:trPr>
          <w:trHeight w:val="756"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noWrap/>
            <w:vAlign w:val="center"/>
          </w:tcPr>
          <w:p w14:paraId="0FC6E246">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noWrap/>
            <w:vAlign w:val="center"/>
          </w:tcPr>
          <w:p w14:paraId="2070619A">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noWrap/>
            <w:vAlign w:val="center"/>
          </w:tcPr>
          <w:p w14:paraId="70CFB3A3">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省市重点民生实事完成情况</w:t>
            </w:r>
          </w:p>
        </w:tc>
        <w:tc>
          <w:tcPr>
            <w:tcW w:w="4190" w:type="dxa"/>
            <w:vMerge w:val="continue"/>
            <w:tcBorders>
              <w:top w:val="nil"/>
              <w:left w:val="single" w:color="auto" w:sz="4" w:space="0"/>
              <w:bottom w:val="single" w:color="auto" w:sz="4" w:space="0"/>
              <w:right w:val="single" w:color="auto" w:sz="4" w:space="0"/>
            </w:tcBorders>
            <w:shd w:val="clear" w:color="auto" w:fill="auto"/>
            <w:noWrap/>
            <w:vAlign w:val="center"/>
          </w:tcPr>
          <w:p w14:paraId="367EA88E">
            <w:pPr>
              <w:widowControl/>
              <w:spacing w:line="240" w:lineRule="exact"/>
              <w:jc w:val="left"/>
              <w:rPr>
                <w:rFonts w:ascii="仿宋_GB2312" w:hAnsi="宋体" w:eastAsia="仿宋_GB2312" w:cs="宋体"/>
                <w:kern w:val="0"/>
                <w:sz w:val="18"/>
                <w:szCs w:val="18"/>
              </w:rPr>
            </w:pPr>
          </w:p>
        </w:tc>
        <w:tc>
          <w:tcPr>
            <w:tcW w:w="621" w:type="dxa"/>
            <w:tcBorders>
              <w:top w:val="nil"/>
              <w:left w:val="nil"/>
              <w:bottom w:val="single" w:color="auto" w:sz="4" w:space="0"/>
              <w:right w:val="single" w:color="auto" w:sz="4" w:space="0"/>
            </w:tcBorders>
            <w:shd w:val="clear" w:color="auto" w:fill="auto"/>
            <w:noWrap/>
            <w:vAlign w:val="center"/>
          </w:tcPr>
          <w:p w14:paraId="4A1C6581">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723" w:type="dxa"/>
            <w:tcBorders>
              <w:top w:val="nil"/>
              <w:left w:val="nil"/>
              <w:bottom w:val="single" w:color="auto" w:sz="4" w:space="0"/>
              <w:right w:val="single" w:color="auto" w:sz="4" w:space="0"/>
            </w:tcBorders>
            <w:shd w:val="clear" w:color="auto" w:fill="FFFFFF"/>
            <w:noWrap/>
            <w:vAlign w:val="center"/>
          </w:tcPr>
          <w:p w14:paraId="20F013AD">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1085" w:type="dxa"/>
            <w:tcBorders>
              <w:top w:val="nil"/>
              <w:left w:val="nil"/>
              <w:bottom w:val="single" w:color="auto" w:sz="4" w:space="0"/>
              <w:right w:val="single" w:color="auto" w:sz="4" w:space="0"/>
            </w:tcBorders>
            <w:shd w:val="clear" w:color="auto" w:fill="FFFFFF"/>
            <w:noWrap/>
            <w:vAlign w:val="center"/>
          </w:tcPr>
          <w:p w14:paraId="526F823F">
            <w:pPr>
              <w:widowControl/>
              <w:spacing w:line="240" w:lineRule="exact"/>
              <w:jc w:val="center"/>
              <w:rPr>
                <w:rFonts w:ascii="仿宋_GB2312" w:hAnsi="宋体" w:eastAsia="仿宋_GB2312" w:cs="宋体"/>
                <w:kern w:val="0"/>
                <w:sz w:val="18"/>
                <w:szCs w:val="18"/>
              </w:rPr>
            </w:pPr>
          </w:p>
        </w:tc>
      </w:tr>
      <w:tr w14:paraId="43E57469">
        <w:tblPrEx>
          <w:tblCellMar>
            <w:top w:w="0" w:type="dxa"/>
            <w:left w:w="108" w:type="dxa"/>
            <w:bottom w:w="0" w:type="dxa"/>
            <w:right w:w="108" w:type="dxa"/>
          </w:tblCellMar>
        </w:tblPrEx>
        <w:trPr>
          <w:trHeight w:val="998"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noWrap/>
            <w:vAlign w:val="center"/>
          </w:tcPr>
          <w:p w14:paraId="47E02235">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noWrap/>
            <w:vAlign w:val="center"/>
          </w:tcPr>
          <w:p w14:paraId="7B13143B">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noWrap/>
            <w:vAlign w:val="center"/>
          </w:tcPr>
          <w:p w14:paraId="1F5D3368">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省市重点工程和重大项目建设完成情况</w:t>
            </w:r>
          </w:p>
        </w:tc>
        <w:tc>
          <w:tcPr>
            <w:tcW w:w="4190" w:type="dxa"/>
            <w:vMerge w:val="continue"/>
            <w:tcBorders>
              <w:top w:val="nil"/>
              <w:left w:val="single" w:color="auto" w:sz="4" w:space="0"/>
              <w:bottom w:val="single" w:color="auto" w:sz="4" w:space="0"/>
              <w:right w:val="single" w:color="auto" w:sz="4" w:space="0"/>
            </w:tcBorders>
            <w:shd w:val="clear" w:color="auto" w:fill="auto"/>
            <w:noWrap/>
            <w:vAlign w:val="center"/>
          </w:tcPr>
          <w:p w14:paraId="148CC381">
            <w:pPr>
              <w:widowControl/>
              <w:spacing w:line="240" w:lineRule="exact"/>
              <w:jc w:val="left"/>
              <w:rPr>
                <w:rFonts w:ascii="仿宋_GB2312" w:hAnsi="宋体" w:eastAsia="仿宋_GB2312" w:cs="宋体"/>
                <w:kern w:val="0"/>
                <w:sz w:val="18"/>
                <w:szCs w:val="18"/>
              </w:rPr>
            </w:pPr>
          </w:p>
        </w:tc>
        <w:tc>
          <w:tcPr>
            <w:tcW w:w="621" w:type="dxa"/>
            <w:tcBorders>
              <w:top w:val="nil"/>
              <w:left w:val="nil"/>
              <w:bottom w:val="single" w:color="auto" w:sz="4" w:space="0"/>
              <w:right w:val="single" w:color="auto" w:sz="4" w:space="0"/>
            </w:tcBorders>
            <w:shd w:val="clear" w:color="auto" w:fill="auto"/>
            <w:noWrap/>
            <w:vAlign w:val="center"/>
          </w:tcPr>
          <w:p w14:paraId="6B08243E">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723" w:type="dxa"/>
            <w:tcBorders>
              <w:top w:val="nil"/>
              <w:left w:val="nil"/>
              <w:bottom w:val="single" w:color="auto" w:sz="4" w:space="0"/>
              <w:right w:val="single" w:color="auto" w:sz="4" w:space="0"/>
            </w:tcBorders>
            <w:shd w:val="clear" w:color="auto" w:fill="FFFFFF"/>
            <w:noWrap/>
            <w:vAlign w:val="center"/>
          </w:tcPr>
          <w:p w14:paraId="31900162">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1085" w:type="dxa"/>
            <w:tcBorders>
              <w:top w:val="nil"/>
              <w:left w:val="nil"/>
              <w:bottom w:val="single" w:color="auto" w:sz="4" w:space="0"/>
              <w:right w:val="single" w:color="auto" w:sz="4" w:space="0"/>
            </w:tcBorders>
            <w:shd w:val="clear" w:color="auto" w:fill="FFFFFF"/>
            <w:noWrap/>
            <w:vAlign w:val="center"/>
          </w:tcPr>
          <w:p w14:paraId="0E665977">
            <w:pPr>
              <w:widowControl/>
              <w:spacing w:line="240" w:lineRule="exact"/>
              <w:jc w:val="center"/>
              <w:rPr>
                <w:rFonts w:ascii="仿宋_GB2312" w:hAnsi="宋体" w:eastAsia="仿宋_GB2312" w:cs="宋体"/>
                <w:kern w:val="0"/>
                <w:sz w:val="18"/>
                <w:szCs w:val="18"/>
              </w:rPr>
            </w:pPr>
          </w:p>
        </w:tc>
      </w:tr>
      <w:tr w14:paraId="00403A8B">
        <w:tblPrEx>
          <w:tblCellMar>
            <w:top w:w="0" w:type="dxa"/>
            <w:left w:w="108" w:type="dxa"/>
            <w:bottom w:w="0" w:type="dxa"/>
            <w:right w:w="108" w:type="dxa"/>
          </w:tblCellMar>
        </w:tblPrEx>
        <w:trPr>
          <w:trHeight w:val="888"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noWrap/>
            <w:vAlign w:val="center"/>
          </w:tcPr>
          <w:p w14:paraId="4EB68733">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noWrap/>
            <w:vAlign w:val="center"/>
          </w:tcPr>
          <w:p w14:paraId="62C8CB1B">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noWrap/>
            <w:vAlign w:val="center"/>
          </w:tcPr>
          <w:p w14:paraId="36C6E813">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其他工作实绩指标完成情况</w:t>
            </w:r>
          </w:p>
        </w:tc>
        <w:tc>
          <w:tcPr>
            <w:tcW w:w="4190" w:type="dxa"/>
            <w:vMerge w:val="continue"/>
            <w:tcBorders>
              <w:top w:val="nil"/>
              <w:left w:val="single" w:color="auto" w:sz="4" w:space="0"/>
              <w:bottom w:val="single" w:color="auto" w:sz="4" w:space="0"/>
              <w:right w:val="single" w:color="auto" w:sz="4" w:space="0"/>
            </w:tcBorders>
            <w:shd w:val="clear" w:color="auto" w:fill="auto"/>
            <w:noWrap/>
            <w:vAlign w:val="center"/>
          </w:tcPr>
          <w:p w14:paraId="09894CF6">
            <w:pPr>
              <w:widowControl/>
              <w:spacing w:line="240" w:lineRule="exact"/>
              <w:jc w:val="left"/>
              <w:rPr>
                <w:rFonts w:ascii="仿宋_GB2312" w:hAnsi="宋体" w:eastAsia="仿宋_GB2312" w:cs="宋体"/>
                <w:kern w:val="0"/>
                <w:sz w:val="18"/>
                <w:szCs w:val="18"/>
              </w:rPr>
            </w:pPr>
          </w:p>
        </w:tc>
        <w:tc>
          <w:tcPr>
            <w:tcW w:w="621" w:type="dxa"/>
            <w:tcBorders>
              <w:top w:val="nil"/>
              <w:left w:val="nil"/>
              <w:bottom w:val="single" w:color="auto" w:sz="4" w:space="0"/>
              <w:right w:val="single" w:color="auto" w:sz="4" w:space="0"/>
            </w:tcBorders>
            <w:shd w:val="clear" w:color="auto" w:fill="auto"/>
            <w:noWrap/>
            <w:vAlign w:val="center"/>
          </w:tcPr>
          <w:p w14:paraId="628C517A">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723" w:type="dxa"/>
            <w:tcBorders>
              <w:top w:val="nil"/>
              <w:left w:val="nil"/>
              <w:bottom w:val="single" w:color="auto" w:sz="4" w:space="0"/>
              <w:right w:val="single" w:color="auto" w:sz="4" w:space="0"/>
            </w:tcBorders>
            <w:shd w:val="clear" w:color="auto" w:fill="FFFFFF"/>
            <w:noWrap/>
            <w:vAlign w:val="center"/>
          </w:tcPr>
          <w:p w14:paraId="318E85B9">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1085" w:type="dxa"/>
            <w:tcBorders>
              <w:top w:val="nil"/>
              <w:left w:val="nil"/>
              <w:bottom w:val="single" w:color="auto" w:sz="4" w:space="0"/>
              <w:right w:val="single" w:color="auto" w:sz="4" w:space="0"/>
            </w:tcBorders>
            <w:shd w:val="clear" w:color="auto" w:fill="FFFFFF"/>
            <w:noWrap/>
            <w:vAlign w:val="center"/>
          </w:tcPr>
          <w:p w14:paraId="3DDA549A">
            <w:pPr>
              <w:widowControl/>
              <w:spacing w:line="240" w:lineRule="exact"/>
              <w:jc w:val="center"/>
              <w:rPr>
                <w:rFonts w:ascii="仿宋_GB2312" w:hAnsi="宋体" w:eastAsia="仿宋_GB2312" w:cs="宋体"/>
                <w:kern w:val="0"/>
                <w:sz w:val="18"/>
                <w:szCs w:val="18"/>
              </w:rPr>
            </w:pPr>
          </w:p>
        </w:tc>
      </w:tr>
      <w:tr w14:paraId="6D4A2851">
        <w:tblPrEx>
          <w:tblCellMar>
            <w:top w:w="0" w:type="dxa"/>
            <w:left w:w="108" w:type="dxa"/>
            <w:bottom w:w="0" w:type="dxa"/>
            <w:right w:w="108" w:type="dxa"/>
          </w:tblCellMar>
        </w:tblPrEx>
        <w:trPr>
          <w:trHeight w:val="669" w:hRule="atLeast"/>
          <w:jc w:val="center"/>
        </w:trPr>
        <w:tc>
          <w:tcPr>
            <w:tcW w:w="980" w:type="dxa"/>
            <w:vMerge w:val="restart"/>
            <w:tcBorders>
              <w:top w:val="nil"/>
              <w:left w:val="single" w:color="auto" w:sz="4" w:space="0"/>
              <w:bottom w:val="single" w:color="auto" w:sz="4" w:space="0"/>
              <w:right w:val="single" w:color="auto" w:sz="4" w:space="0"/>
            </w:tcBorders>
            <w:shd w:val="clear" w:color="auto" w:fill="auto"/>
            <w:noWrap/>
            <w:vAlign w:val="center"/>
          </w:tcPr>
          <w:p w14:paraId="613C39DA">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效  果</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（20分）</w:t>
            </w:r>
          </w:p>
        </w:tc>
        <w:tc>
          <w:tcPr>
            <w:tcW w:w="943" w:type="dxa"/>
            <w:vMerge w:val="restart"/>
            <w:tcBorders>
              <w:top w:val="nil"/>
              <w:left w:val="single" w:color="auto" w:sz="4" w:space="0"/>
              <w:bottom w:val="single" w:color="auto" w:sz="4" w:space="0"/>
              <w:right w:val="single" w:color="auto" w:sz="4" w:space="0"/>
            </w:tcBorders>
            <w:shd w:val="clear" w:color="auto" w:fill="auto"/>
            <w:noWrap/>
            <w:vAlign w:val="center"/>
          </w:tcPr>
          <w:p w14:paraId="3E765DA6">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履职效益</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（20分）</w:t>
            </w:r>
          </w:p>
        </w:tc>
        <w:tc>
          <w:tcPr>
            <w:tcW w:w="1395" w:type="dxa"/>
            <w:tcBorders>
              <w:top w:val="nil"/>
              <w:left w:val="nil"/>
              <w:bottom w:val="single" w:color="auto" w:sz="4" w:space="0"/>
              <w:right w:val="single" w:color="auto" w:sz="4" w:space="0"/>
            </w:tcBorders>
            <w:shd w:val="clear" w:color="auto" w:fill="auto"/>
            <w:noWrap/>
            <w:vAlign w:val="center"/>
          </w:tcPr>
          <w:p w14:paraId="23A6D018">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经济效益</w:t>
            </w:r>
          </w:p>
        </w:tc>
        <w:tc>
          <w:tcPr>
            <w:tcW w:w="4190" w:type="dxa"/>
            <w:vMerge w:val="restart"/>
            <w:tcBorders>
              <w:top w:val="nil"/>
              <w:left w:val="single" w:color="auto" w:sz="4" w:space="0"/>
              <w:bottom w:val="single" w:color="auto" w:sz="4" w:space="0"/>
              <w:right w:val="single" w:color="auto" w:sz="4" w:space="0"/>
            </w:tcBorders>
            <w:shd w:val="clear" w:color="auto" w:fill="auto"/>
            <w:noWrap/>
            <w:vAlign w:val="center"/>
          </w:tcPr>
          <w:p w14:paraId="79EB744E">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此三项指标为设置部门整体支出绩效评价指标时必须考虑的共性要素。</w:t>
            </w:r>
          </w:p>
          <w:p w14:paraId="6E742B62">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部门单位应根据部门实际并结合部门整体支出绩效目标设立情况有选择的进行设置，并将其细化为相应的个性化指标。</w:t>
            </w:r>
          </w:p>
        </w:tc>
        <w:tc>
          <w:tcPr>
            <w:tcW w:w="621" w:type="dxa"/>
            <w:vMerge w:val="restart"/>
            <w:tcBorders>
              <w:top w:val="nil"/>
              <w:left w:val="single" w:color="auto" w:sz="4" w:space="0"/>
              <w:bottom w:val="single" w:color="auto" w:sz="4" w:space="0"/>
              <w:right w:val="single" w:color="auto" w:sz="4" w:space="0"/>
            </w:tcBorders>
            <w:shd w:val="clear" w:color="auto" w:fill="auto"/>
            <w:noWrap/>
            <w:vAlign w:val="center"/>
          </w:tcPr>
          <w:p w14:paraId="2F94A311">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15</w:t>
            </w:r>
          </w:p>
        </w:tc>
        <w:tc>
          <w:tcPr>
            <w:tcW w:w="723" w:type="dxa"/>
            <w:tcBorders>
              <w:top w:val="nil"/>
              <w:left w:val="nil"/>
              <w:bottom w:val="single" w:color="auto" w:sz="4" w:space="0"/>
              <w:right w:val="single" w:color="auto" w:sz="4" w:space="0"/>
            </w:tcBorders>
            <w:shd w:val="clear" w:color="auto" w:fill="FFFFFF"/>
            <w:noWrap/>
            <w:vAlign w:val="center"/>
          </w:tcPr>
          <w:p w14:paraId="188BAF76">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1085" w:type="dxa"/>
            <w:tcBorders>
              <w:top w:val="nil"/>
              <w:left w:val="nil"/>
              <w:bottom w:val="single" w:color="auto" w:sz="4" w:space="0"/>
              <w:right w:val="single" w:color="auto" w:sz="4" w:space="0"/>
            </w:tcBorders>
            <w:shd w:val="clear" w:color="auto" w:fill="FFFFFF"/>
            <w:noWrap/>
            <w:vAlign w:val="center"/>
          </w:tcPr>
          <w:p w14:paraId="4DF7A54F">
            <w:pPr>
              <w:widowControl/>
              <w:spacing w:line="240" w:lineRule="exact"/>
              <w:jc w:val="center"/>
              <w:rPr>
                <w:rFonts w:ascii="仿宋_GB2312" w:hAnsi="宋体" w:eastAsia="仿宋_GB2312" w:cs="宋体"/>
                <w:kern w:val="0"/>
                <w:sz w:val="18"/>
                <w:szCs w:val="18"/>
              </w:rPr>
            </w:pPr>
          </w:p>
        </w:tc>
      </w:tr>
      <w:tr w14:paraId="70C09126">
        <w:tblPrEx>
          <w:tblCellMar>
            <w:top w:w="0" w:type="dxa"/>
            <w:left w:w="108" w:type="dxa"/>
            <w:bottom w:w="0" w:type="dxa"/>
            <w:right w:w="108" w:type="dxa"/>
          </w:tblCellMar>
        </w:tblPrEx>
        <w:trPr>
          <w:trHeight w:val="669"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noWrap/>
            <w:vAlign w:val="center"/>
          </w:tcPr>
          <w:p w14:paraId="5CDB8694">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noWrap/>
            <w:vAlign w:val="center"/>
          </w:tcPr>
          <w:p w14:paraId="4576C82E">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noWrap/>
            <w:vAlign w:val="center"/>
          </w:tcPr>
          <w:p w14:paraId="7B6EF357">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社会效益</w:t>
            </w:r>
          </w:p>
        </w:tc>
        <w:tc>
          <w:tcPr>
            <w:tcW w:w="4190" w:type="dxa"/>
            <w:vMerge w:val="continue"/>
            <w:tcBorders>
              <w:top w:val="nil"/>
              <w:left w:val="single" w:color="auto" w:sz="4" w:space="0"/>
              <w:bottom w:val="single" w:color="auto" w:sz="4" w:space="0"/>
              <w:right w:val="single" w:color="auto" w:sz="4" w:space="0"/>
            </w:tcBorders>
            <w:shd w:val="clear" w:color="auto" w:fill="auto"/>
            <w:noWrap/>
            <w:vAlign w:val="center"/>
          </w:tcPr>
          <w:p w14:paraId="3ECB3DD0">
            <w:pPr>
              <w:widowControl/>
              <w:spacing w:line="240" w:lineRule="exact"/>
              <w:jc w:val="left"/>
              <w:rPr>
                <w:rFonts w:ascii="仿宋_GB2312" w:hAnsi="宋体" w:eastAsia="仿宋_GB2312" w:cs="宋体"/>
                <w:kern w:val="0"/>
                <w:sz w:val="18"/>
                <w:szCs w:val="18"/>
              </w:rPr>
            </w:pPr>
          </w:p>
        </w:tc>
        <w:tc>
          <w:tcPr>
            <w:tcW w:w="621" w:type="dxa"/>
            <w:vMerge w:val="continue"/>
            <w:tcBorders>
              <w:top w:val="nil"/>
              <w:left w:val="single" w:color="auto" w:sz="4" w:space="0"/>
              <w:bottom w:val="single" w:color="auto" w:sz="4" w:space="0"/>
              <w:right w:val="single" w:color="auto" w:sz="4" w:space="0"/>
            </w:tcBorders>
            <w:shd w:val="clear" w:color="auto" w:fill="auto"/>
            <w:noWrap/>
            <w:vAlign w:val="center"/>
          </w:tcPr>
          <w:p w14:paraId="6AE083F4">
            <w:pPr>
              <w:widowControl/>
              <w:spacing w:line="240" w:lineRule="exact"/>
              <w:jc w:val="left"/>
              <w:rPr>
                <w:rFonts w:ascii="仿宋_GB2312" w:hAnsi="宋体" w:eastAsia="仿宋_GB2312" w:cs="宋体"/>
                <w:kern w:val="0"/>
                <w:sz w:val="18"/>
                <w:szCs w:val="18"/>
              </w:rPr>
            </w:pPr>
          </w:p>
        </w:tc>
        <w:tc>
          <w:tcPr>
            <w:tcW w:w="723" w:type="dxa"/>
            <w:tcBorders>
              <w:top w:val="nil"/>
              <w:left w:val="nil"/>
              <w:bottom w:val="single" w:color="auto" w:sz="4" w:space="0"/>
              <w:right w:val="single" w:color="auto" w:sz="4" w:space="0"/>
            </w:tcBorders>
            <w:shd w:val="clear" w:color="auto" w:fill="FFFFFF"/>
            <w:noWrap/>
            <w:vAlign w:val="center"/>
          </w:tcPr>
          <w:p w14:paraId="51E1AB15">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1085" w:type="dxa"/>
            <w:tcBorders>
              <w:top w:val="nil"/>
              <w:left w:val="nil"/>
              <w:bottom w:val="single" w:color="auto" w:sz="4" w:space="0"/>
              <w:right w:val="single" w:color="auto" w:sz="4" w:space="0"/>
            </w:tcBorders>
            <w:shd w:val="clear" w:color="auto" w:fill="FFFFFF"/>
            <w:noWrap/>
            <w:vAlign w:val="center"/>
          </w:tcPr>
          <w:p w14:paraId="5C310CC9">
            <w:pPr>
              <w:widowControl/>
              <w:spacing w:line="240" w:lineRule="exact"/>
              <w:jc w:val="center"/>
              <w:rPr>
                <w:rFonts w:ascii="仿宋_GB2312" w:hAnsi="宋体" w:eastAsia="仿宋_GB2312" w:cs="宋体"/>
                <w:kern w:val="0"/>
                <w:sz w:val="18"/>
                <w:szCs w:val="18"/>
              </w:rPr>
            </w:pPr>
          </w:p>
        </w:tc>
      </w:tr>
      <w:tr w14:paraId="21F358DE">
        <w:tblPrEx>
          <w:tblCellMar>
            <w:top w:w="0" w:type="dxa"/>
            <w:left w:w="108" w:type="dxa"/>
            <w:bottom w:w="0" w:type="dxa"/>
            <w:right w:w="108" w:type="dxa"/>
          </w:tblCellMar>
        </w:tblPrEx>
        <w:trPr>
          <w:trHeight w:val="669"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noWrap/>
            <w:vAlign w:val="center"/>
          </w:tcPr>
          <w:p w14:paraId="7E2E1EA4">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noWrap/>
            <w:vAlign w:val="center"/>
          </w:tcPr>
          <w:p w14:paraId="6C17C855">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noWrap/>
            <w:vAlign w:val="center"/>
          </w:tcPr>
          <w:p w14:paraId="59F006F1">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生态效益</w:t>
            </w:r>
          </w:p>
        </w:tc>
        <w:tc>
          <w:tcPr>
            <w:tcW w:w="4190" w:type="dxa"/>
            <w:vMerge w:val="continue"/>
            <w:tcBorders>
              <w:top w:val="nil"/>
              <w:left w:val="single" w:color="auto" w:sz="4" w:space="0"/>
              <w:bottom w:val="single" w:color="auto" w:sz="4" w:space="0"/>
              <w:right w:val="single" w:color="auto" w:sz="4" w:space="0"/>
            </w:tcBorders>
            <w:shd w:val="clear" w:color="auto" w:fill="auto"/>
            <w:noWrap/>
            <w:vAlign w:val="center"/>
          </w:tcPr>
          <w:p w14:paraId="0ACF2F88">
            <w:pPr>
              <w:widowControl/>
              <w:spacing w:line="240" w:lineRule="exact"/>
              <w:jc w:val="left"/>
              <w:rPr>
                <w:rFonts w:ascii="仿宋_GB2312" w:hAnsi="宋体" w:eastAsia="仿宋_GB2312" w:cs="宋体"/>
                <w:kern w:val="0"/>
                <w:sz w:val="18"/>
                <w:szCs w:val="18"/>
              </w:rPr>
            </w:pPr>
          </w:p>
        </w:tc>
        <w:tc>
          <w:tcPr>
            <w:tcW w:w="621" w:type="dxa"/>
            <w:vMerge w:val="continue"/>
            <w:tcBorders>
              <w:top w:val="nil"/>
              <w:left w:val="single" w:color="auto" w:sz="4" w:space="0"/>
              <w:bottom w:val="single" w:color="auto" w:sz="4" w:space="0"/>
              <w:right w:val="single" w:color="auto" w:sz="4" w:space="0"/>
            </w:tcBorders>
            <w:shd w:val="clear" w:color="auto" w:fill="auto"/>
            <w:noWrap/>
            <w:vAlign w:val="center"/>
          </w:tcPr>
          <w:p w14:paraId="720D2858">
            <w:pPr>
              <w:widowControl/>
              <w:spacing w:line="240" w:lineRule="exact"/>
              <w:jc w:val="left"/>
              <w:rPr>
                <w:rFonts w:ascii="仿宋_GB2312" w:hAnsi="宋体" w:eastAsia="仿宋_GB2312" w:cs="宋体"/>
                <w:kern w:val="0"/>
                <w:sz w:val="18"/>
                <w:szCs w:val="18"/>
              </w:rPr>
            </w:pPr>
          </w:p>
        </w:tc>
        <w:tc>
          <w:tcPr>
            <w:tcW w:w="723" w:type="dxa"/>
            <w:tcBorders>
              <w:top w:val="nil"/>
              <w:left w:val="nil"/>
              <w:bottom w:val="single" w:color="auto" w:sz="4" w:space="0"/>
              <w:right w:val="single" w:color="auto" w:sz="4" w:space="0"/>
            </w:tcBorders>
            <w:shd w:val="clear" w:color="auto" w:fill="FFFFFF"/>
            <w:noWrap/>
            <w:vAlign w:val="center"/>
          </w:tcPr>
          <w:p w14:paraId="7D1D626A">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1085" w:type="dxa"/>
            <w:tcBorders>
              <w:top w:val="nil"/>
              <w:left w:val="nil"/>
              <w:bottom w:val="single" w:color="auto" w:sz="4" w:space="0"/>
              <w:right w:val="single" w:color="auto" w:sz="4" w:space="0"/>
            </w:tcBorders>
            <w:shd w:val="clear" w:color="auto" w:fill="FFFFFF"/>
            <w:noWrap/>
            <w:vAlign w:val="center"/>
          </w:tcPr>
          <w:p w14:paraId="6E2A2631">
            <w:pPr>
              <w:widowControl/>
              <w:spacing w:line="240" w:lineRule="exact"/>
              <w:jc w:val="center"/>
              <w:rPr>
                <w:rFonts w:ascii="仿宋_GB2312" w:hAnsi="宋体" w:eastAsia="仿宋_GB2312" w:cs="宋体"/>
                <w:kern w:val="0"/>
                <w:sz w:val="18"/>
                <w:szCs w:val="18"/>
              </w:rPr>
            </w:pPr>
          </w:p>
        </w:tc>
      </w:tr>
      <w:tr w14:paraId="7E9E7527">
        <w:tblPrEx>
          <w:tblCellMar>
            <w:top w:w="0" w:type="dxa"/>
            <w:left w:w="108" w:type="dxa"/>
            <w:bottom w:w="0" w:type="dxa"/>
            <w:right w:w="108" w:type="dxa"/>
          </w:tblCellMar>
        </w:tblPrEx>
        <w:trPr>
          <w:trHeight w:val="1231" w:hRule="atLeast"/>
          <w:jc w:val="center"/>
        </w:trPr>
        <w:tc>
          <w:tcPr>
            <w:tcW w:w="980" w:type="dxa"/>
            <w:vMerge w:val="continue"/>
            <w:tcBorders>
              <w:top w:val="nil"/>
              <w:left w:val="single" w:color="auto" w:sz="4" w:space="0"/>
              <w:bottom w:val="single" w:color="auto" w:sz="4" w:space="0"/>
              <w:right w:val="single" w:color="auto" w:sz="4" w:space="0"/>
            </w:tcBorders>
            <w:noWrap/>
            <w:vAlign w:val="center"/>
          </w:tcPr>
          <w:p w14:paraId="16472D3A">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noWrap/>
            <w:vAlign w:val="center"/>
          </w:tcPr>
          <w:p w14:paraId="030D2217">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noWrap/>
            <w:vAlign w:val="center"/>
          </w:tcPr>
          <w:p w14:paraId="2B0480E6">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社会公众或服务对象满意度</w:t>
            </w:r>
          </w:p>
        </w:tc>
        <w:tc>
          <w:tcPr>
            <w:tcW w:w="4190" w:type="dxa"/>
            <w:tcBorders>
              <w:top w:val="nil"/>
              <w:left w:val="nil"/>
              <w:bottom w:val="single" w:color="auto" w:sz="4" w:space="0"/>
              <w:right w:val="single" w:color="auto" w:sz="4" w:space="0"/>
            </w:tcBorders>
            <w:noWrap/>
            <w:vAlign w:val="center"/>
          </w:tcPr>
          <w:p w14:paraId="7F5E6770">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95%（含）以上计5分；</w:t>
            </w:r>
          </w:p>
          <w:p w14:paraId="11F8CDB0">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85%（含）-95%，计3分；</w:t>
            </w:r>
          </w:p>
          <w:p w14:paraId="314C4224">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75%（含）-85%，计1分；</w:t>
            </w:r>
          </w:p>
          <w:p w14:paraId="337A3626">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低于75%计0分。</w:t>
            </w:r>
          </w:p>
        </w:tc>
        <w:tc>
          <w:tcPr>
            <w:tcW w:w="621" w:type="dxa"/>
            <w:tcBorders>
              <w:top w:val="nil"/>
              <w:left w:val="nil"/>
              <w:bottom w:val="single" w:color="auto" w:sz="4" w:space="0"/>
              <w:right w:val="single" w:color="auto" w:sz="4" w:space="0"/>
            </w:tcBorders>
            <w:noWrap/>
            <w:vAlign w:val="center"/>
          </w:tcPr>
          <w:p w14:paraId="3A53FC9D">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3" w:type="dxa"/>
            <w:tcBorders>
              <w:top w:val="nil"/>
              <w:left w:val="nil"/>
              <w:bottom w:val="single" w:color="auto" w:sz="4" w:space="0"/>
              <w:right w:val="single" w:color="auto" w:sz="4" w:space="0"/>
            </w:tcBorders>
            <w:noWrap/>
            <w:vAlign w:val="center"/>
          </w:tcPr>
          <w:p w14:paraId="5D89586D">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1085" w:type="dxa"/>
            <w:tcBorders>
              <w:top w:val="nil"/>
              <w:left w:val="nil"/>
              <w:bottom w:val="single" w:color="auto" w:sz="4" w:space="0"/>
              <w:right w:val="single" w:color="auto" w:sz="4" w:space="0"/>
            </w:tcBorders>
            <w:noWrap/>
            <w:vAlign w:val="center"/>
          </w:tcPr>
          <w:p w14:paraId="728C1578">
            <w:pPr>
              <w:widowControl/>
              <w:spacing w:line="240" w:lineRule="exact"/>
              <w:jc w:val="center"/>
              <w:rPr>
                <w:rFonts w:ascii="仿宋_GB2312" w:hAnsi="宋体" w:eastAsia="仿宋_GB2312" w:cs="宋体"/>
                <w:kern w:val="0"/>
                <w:sz w:val="18"/>
                <w:szCs w:val="18"/>
              </w:rPr>
            </w:pPr>
          </w:p>
        </w:tc>
      </w:tr>
      <w:tr w14:paraId="143D711E">
        <w:tblPrEx>
          <w:tblCellMar>
            <w:top w:w="0" w:type="dxa"/>
            <w:left w:w="108" w:type="dxa"/>
            <w:bottom w:w="0" w:type="dxa"/>
            <w:right w:w="108" w:type="dxa"/>
          </w:tblCellMar>
        </w:tblPrEx>
        <w:trPr>
          <w:trHeight w:val="756" w:hRule="atLeast"/>
          <w:jc w:val="center"/>
        </w:trPr>
        <w:tc>
          <w:tcPr>
            <w:tcW w:w="980" w:type="dxa"/>
            <w:tcBorders>
              <w:top w:val="nil"/>
              <w:left w:val="single" w:color="auto" w:sz="4" w:space="0"/>
              <w:bottom w:val="single" w:color="auto" w:sz="4" w:space="0"/>
              <w:right w:val="single" w:color="auto" w:sz="4" w:space="0"/>
            </w:tcBorders>
            <w:noWrap/>
            <w:vAlign w:val="center"/>
          </w:tcPr>
          <w:p w14:paraId="0E26B3A9">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总 分</w:t>
            </w:r>
          </w:p>
        </w:tc>
        <w:tc>
          <w:tcPr>
            <w:tcW w:w="943" w:type="dxa"/>
            <w:tcBorders>
              <w:top w:val="nil"/>
              <w:left w:val="nil"/>
              <w:bottom w:val="single" w:color="auto" w:sz="4" w:space="0"/>
              <w:right w:val="single" w:color="auto" w:sz="4" w:space="0"/>
            </w:tcBorders>
            <w:noWrap/>
            <w:vAlign w:val="center"/>
          </w:tcPr>
          <w:p w14:paraId="6E31996F">
            <w:pPr>
              <w:widowControl/>
              <w:spacing w:line="240" w:lineRule="exact"/>
              <w:jc w:val="center"/>
              <w:rPr>
                <w:rFonts w:ascii="仿宋_GB2312" w:hAnsi="宋体" w:eastAsia="仿宋_GB2312" w:cs="宋体"/>
                <w:b/>
                <w:bCs/>
                <w:kern w:val="0"/>
                <w:sz w:val="18"/>
                <w:szCs w:val="18"/>
              </w:rPr>
            </w:pPr>
          </w:p>
        </w:tc>
        <w:tc>
          <w:tcPr>
            <w:tcW w:w="1395" w:type="dxa"/>
            <w:tcBorders>
              <w:top w:val="nil"/>
              <w:left w:val="nil"/>
              <w:bottom w:val="single" w:color="auto" w:sz="4" w:space="0"/>
              <w:right w:val="single" w:color="auto" w:sz="4" w:space="0"/>
            </w:tcBorders>
            <w:noWrap/>
            <w:vAlign w:val="center"/>
          </w:tcPr>
          <w:p w14:paraId="1BB91A06">
            <w:pPr>
              <w:widowControl/>
              <w:spacing w:line="240" w:lineRule="exact"/>
              <w:jc w:val="center"/>
              <w:rPr>
                <w:rFonts w:ascii="仿宋_GB2312" w:hAnsi="宋体" w:eastAsia="仿宋_GB2312" w:cs="宋体"/>
                <w:b/>
                <w:bCs/>
                <w:kern w:val="0"/>
                <w:sz w:val="18"/>
                <w:szCs w:val="18"/>
              </w:rPr>
            </w:pPr>
          </w:p>
        </w:tc>
        <w:tc>
          <w:tcPr>
            <w:tcW w:w="4190" w:type="dxa"/>
            <w:tcBorders>
              <w:top w:val="nil"/>
              <w:left w:val="nil"/>
              <w:bottom w:val="single" w:color="auto" w:sz="4" w:space="0"/>
              <w:right w:val="single" w:color="auto" w:sz="4" w:space="0"/>
            </w:tcBorders>
            <w:noWrap/>
            <w:vAlign w:val="center"/>
          </w:tcPr>
          <w:p w14:paraId="0B919311">
            <w:pPr>
              <w:widowControl/>
              <w:spacing w:line="240" w:lineRule="exact"/>
              <w:jc w:val="center"/>
              <w:rPr>
                <w:rFonts w:ascii="仿宋_GB2312" w:hAnsi="宋体" w:eastAsia="仿宋_GB2312" w:cs="宋体"/>
                <w:b/>
                <w:bCs/>
                <w:kern w:val="0"/>
                <w:sz w:val="18"/>
                <w:szCs w:val="18"/>
              </w:rPr>
            </w:pPr>
          </w:p>
        </w:tc>
        <w:tc>
          <w:tcPr>
            <w:tcW w:w="621" w:type="dxa"/>
            <w:tcBorders>
              <w:top w:val="nil"/>
              <w:left w:val="nil"/>
              <w:bottom w:val="single" w:color="auto" w:sz="4" w:space="0"/>
              <w:right w:val="single" w:color="auto" w:sz="4" w:space="0"/>
            </w:tcBorders>
            <w:noWrap/>
            <w:vAlign w:val="center"/>
          </w:tcPr>
          <w:p w14:paraId="78AFB41B">
            <w:pPr>
              <w:widowControl/>
              <w:spacing w:line="240" w:lineRule="exact"/>
              <w:jc w:val="center"/>
              <w:rPr>
                <w:rFonts w:ascii="仿宋_GB2312" w:hAnsi="宋体" w:eastAsia="仿宋_GB2312" w:cs="宋体"/>
                <w:b/>
                <w:bCs/>
                <w:spacing w:val="-8"/>
                <w:kern w:val="0"/>
                <w:sz w:val="18"/>
                <w:szCs w:val="18"/>
              </w:rPr>
            </w:pPr>
            <w:r>
              <w:rPr>
                <w:rFonts w:hint="eastAsia" w:ascii="仿宋_GB2312" w:hAnsi="宋体" w:eastAsia="仿宋_GB2312" w:cs="宋体"/>
                <w:b/>
                <w:bCs/>
                <w:spacing w:val="-8"/>
                <w:kern w:val="0"/>
                <w:sz w:val="18"/>
                <w:szCs w:val="18"/>
              </w:rPr>
              <w:t>100</w:t>
            </w:r>
          </w:p>
        </w:tc>
        <w:tc>
          <w:tcPr>
            <w:tcW w:w="723" w:type="dxa"/>
            <w:tcBorders>
              <w:top w:val="nil"/>
              <w:left w:val="nil"/>
              <w:bottom w:val="single" w:color="auto" w:sz="4" w:space="0"/>
              <w:right w:val="single" w:color="auto" w:sz="4" w:space="0"/>
            </w:tcBorders>
            <w:noWrap/>
            <w:vAlign w:val="center"/>
          </w:tcPr>
          <w:p w14:paraId="24F7C4A6">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97</w:t>
            </w:r>
          </w:p>
        </w:tc>
        <w:tc>
          <w:tcPr>
            <w:tcW w:w="1085" w:type="dxa"/>
            <w:tcBorders>
              <w:top w:val="nil"/>
              <w:left w:val="nil"/>
              <w:bottom w:val="single" w:color="auto" w:sz="4" w:space="0"/>
              <w:right w:val="single" w:color="auto" w:sz="4" w:space="0"/>
            </w:tcBorders>
            <w:noWrap/>
            <w:vAlign w:val="center"/>
          </w:tcPr>
          <w:p w14:paraId="300B7125">
            <w:pPr>
              <w:widowControl/>
              <w:spacing w:line="240" w:lineRule="exact"/>
              <w:jc w:val="center"/>
              <w:rPr>
                <w:rFonts w:ascii="仿宋_GB2312" w:hAnsi="宋体" w:eastAsia="仿宋_GB2312" w:cs="宋体"/>
                <w:b/>
                <w:bCs/>
                <w:kern w:val="0"/>
                <w:sz w:val="18"/>
                <w:szCs w:val="18"/>
              </w:rPr>
            </w:pPr>
          </w:p>
        </w:tc>
      </w:tr>
    </w:tbl>
    <w:p w14:paraId="346FACBE">
      <w:pPr>
        <w:adjustRightInd w:val="0"/>
        <w:snapToGrid w:val="0"/>
        <w:spacing w:beforeLines="50"/>
        <w:contextualSpacing/>
        <w:rPr>
          <w:rFonts w:ascii="仿宋_GB2312" w:hAnsi="宋体" w:eastAsia="仿宋_GB2312" w:cs="宋体"/>
          <w:kern w:val="0"/>
          <w:szCs w:val="21"/>
        </w:rPr>
      </w:pPr>
      <w:r>
        <w:rPr>
          <w:rFonts w:hint="eastAsia" w:ascii="仿宋_GB2312" w:hAnsi="宋体" w:eastAsia="仿宋_GB2312" w:cs="宋体"/>
          <w:kern w:val="0"/>
          <w:szCs w:val="21"/>
        </w:rPr>
        <w:t>备注：部门（单位）可根据本部门实际情况，对评价指标体系</w:t>
      </w:r>
      <w:r>
        <w:rPr>
          <w:rFonts w:hint="eastAsia" w:ascii="仿宋_GB2312" w:eastAsia="仿宋_GB2312"/>
        </w:rPr>
        <w:t>进一步完善、量化、细化个性指标，形成本部门的指标体系。</w:t>
      </w:r>
    </w:p>
    <w:p w14:paraId="06DC704B">
      <w:pPr>
        <w:tabs>
          <w:tab w:val="left" w:pos="4973"/>
        </w:tabs>
        <w:bidi w:val="0"/>
        <w:jc w:val="left"/>
        <w:rPr>
          <w:rFonts w:hint="eastAsia"/>
          <w:lang w:val="en-US" w:eastAsia="zh-CN"/>
        </w:rPr>
      </w:pPr>
    </w:p>
    <w:sectPr>
      <w:footerReference r:id="rId5" w:type="default"/>
      <w:footerReference r:id="rId6" w:type="even"/>
      <w:pgSz w:w="11906" w:h="16838"/>
      <w:pgMar w:top="1588" w:right="1588" w:bottom="1588" w:left="1588"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auto"/>
    <w:pitch w:val="default"/>
    <w:sig w:usb0="E0002EFF" w:usb1="C000785B" w:usb2="00000009" w:usb3="00000000" w:csb0="400001FF" w:csb1="FFFF0000"/>
  </w:font>
  <w:font w:name="宋体">
    <w:panose1 w:val="02010600030101010101"/>
    <w:charset w:val="88"/>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0000000000000000000"/>
    <w:charset w:val="86"/>
    <w:family w:val="modern"/>
    <w:pitch w:val="default"/>
    <w:sig w:usb0="00000000" w:usb1="00000000" w:usb2="00000000" w:usb3="00000000" w:csb0="00040000" w:csb1="00000000"/>
  </w:font>
  <w:font w:name="楷体_GB2312">
    <w:altName w:val="楷体"/>
    <w:panose1 w:val="00000000000000000000"/>
    <w:charset w:val="86"/>
    <w:family w:val="modern"/>
    <w:pitch w:val="default"/>
    <w:sig w:usb0="00000000" w:usb1="00000000" w:usb2="00000000" w:usb3="00000000" w:csb0="00040000" w:csb1="00000000"/>
  </w:font>
  <w:font w:name="方正小标宋简体">
    <w:altName w:val="黑体"/>
    <w:panose1 w:val="00000000000000000000"/>
    <w:charset w:val="86"/>
    <w:family w:val="script"/>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20653F">
    <w:pPr>
      <w:pStyle w:val="3"/>
      <w:framePr w:wrap="around" w:vAnchor="text" w:hAnchor="margin" w:xAlign="outside" w:y="1"/>
      <w:rPr>
        <w:rStyle w:val="6"/>
        <w:sz w:val="24"/>
        <w:szCs w:val="24"/>
      </w:rPr>
    </w:pPr>
    <w:r>
      <w:rPr>
        <w:rStyle w:val="6"/>
        <w:rFonts w:hint="eastAsia"/>
        <w:sz w:val="24"/>
        <w:szCs w:val="24"/>
      </w:rPr>
      <w:t xml:space="preserve">— </w:t>
    </w:r>
    <w:r>
      <w:rPr>
        <w:sz w:val="24"/>
        <w:szCs w:val="24"/>
      </w:rPr>
      <w:fldChar w:fldCharType="begin"/>
    </w:r>
    <w:r>
      <w:rPr>
        <w:rStyle w:val="6"/>
        <w:sz w:val="24"/>
        <w:szCs w:val="24"/>
      </w:rPr>
      <w:instrText xml:space="preserve">PAGE  </w:instrText>
    </w:r>
    <w:r>
      <w:rPr>
        <w:sz w:val="24"/>
        <w:szCs w:val="24"/>
      </w:rPr>
      <w:fldChar w:fldCharType="separate"/>
    </w:r>
    <w:r>
      <w:rPr>
        <w:rStyle w:val="6"/>
        <w:sz w:val="24"/>
        <w:szCs w:val="24"/>
      </w:rPr>
      <w:t>1</w:t>
    </w:r>
    <w:r>
      <w:rPr>
        <w:sz w:val="24"/>
        <w:szCs w:val="24"/>
      </w:rPr>
      <w:fldChar w:fldCharType="end"/>
    </w:r>
    <w:r>
      <w:rPr>
        <w:rStyle w:val="6"/>
        <w:rFonts w:hint="eastAsia"/>
        <w:sz w:val="24"/>
        <w:szCs w:val="24"/>
      </w:rPr>
      <w:t xml:space="preserve"> —</w:t>
    </w:r>
  </w:p>
  <w:p w14:paraId="6F37581A">
    <w:pP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277E05">
    <w:pPr>
      <w:framePr w:wrap="around" w:vAnchor="text" w:hAnchor="margin" w:xAlign="outside" w:y="1"/>
    </w:pPr>
    <w:r>
      <w:fldChar w:fldCharType="begin"/>
    </w:r>
    <w:r>
      <w:instrText xml:space="preserve">PAGE  </w:instrText>
    </w:r>
    <w:r>
      <w:fldChar w:fldCharType="separate"/>
    </w:r>
    <w:r>
      <w:t>- 15 -</w:t>
    </w:r>
    <w:r>
      <w:fldChar w:fldCharType="end"/>
    </w:r>
  </w:p>
  <w:p w14:paraId="4EE9FF36">
    <w:pPr>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EA89F1C">
    <w:pPr>
      <w:pStyle w:val="3"/>
      <w:framePr w:wrap="around" w:vAnchor="text" w:hAnchor="margin" w:xAlign="outside" w:y="1"/>
      <w:rPr>
        <w:rStyle w:val="6"/>
        <w:sz w:val="24"/>
        <w:szCs w:val="24"/>
      </w:rPr>
    </w:pPr>
    <w:r>
      <w:rPr>
        <w:rStyle w:val="6"/>
        <w:rFonts w:hint="eastAsia"/>
        <w:sz w:val="24"/>
        <w:szCs w:val="24"/>
      </w:rPr>
      <w:t xml:space="preserve">— </w:t>
    </w:r>
    <w:r>
      <w:rPr>
        <w:sz w:val="24"/>
        <w:szCs w:val="24"/>
      </w:rPr>
      <w:fldChar w:fldCharType="begin"/>
    </w:r>
    <w:r>
      <w:rPr>
        <w:rStyle w:val="6"/>
        <w:sz w:val="24"/>
        <w:szCs w:val="24"/>
      </w:rPr>
      <w:instrText xml:space="preserve">PAGE  </w:instrText>
    </w:r>
    <w:r>
      <w:rPr>
        <w:sz w:val="24"/>
        <w:szCs w:val="24"/>
      </w:rPr>
      <w:fldChar w:fldCharType="separate"/>
    </w:r>
    <w:r>
      <w:rPr>
        <w:rStyle w:val="6"/>
        <w:sz w:val="24"/>
        <w:szCs w:val="24"/>
      </w:rPr>
      <w:t>7</w:t>
    </w:r>
    <w:r>
      <w:rPr>
        <w:sz w:val="24"/>
        <w:szCs w:val="24"/>
      </w:rPr>
      <w:fldChar w:fldCharType="end"/>
    </w:r>
    <w:r>
      <w:rPr>
        <w:rStyle w:val="6"/>
        <w:rFonts w:hint="eastAsia"/>
        <w:sz w:val="24"/>
        <w:szCs w:val="24"/>
      </w:rPr>
      <w:t xml:space="preserve"> —</w:t>
    </w:r>
  </w:p>
  <w:p w14:paraId="01C8DF8E">
    <w:pPr>
      <w:pStyle w:val="3"/>
      <w:ind w:right="360"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CEAF41">
    <w:pPr>
      <w:pStyle w:val="3"/>
      <w:framePr w:wrap="around" w:vAnchor="text" w:hAnchor="margin" w:xAlign="outside" w:y="1"/>
      <w:rPr>
        <w:rStyle w:val="6"/>
      </w:rPr>
    </w:pPr>
    <w:r>
      <w:fldChar w:fldCharType="begin"/>
    </w:r>
    <w:r>
      <w:rPr>
        <w:rStyle w:val="6"/>
      </w:rPr>
      <w:instrText xml:space="preserve">PAGE  </w:instrText>
    </w:r>
    <w:r>
      <w:fldChar w:fldCharType="end"/>
    </w:r>
  </w:p>
  <w:p w14:paraId="4DDB9057">
    <w:pPr>
      <w:pStyle w:val="3"/>
      <w:ind w:right="360" w:firstLine="360"/>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7FF235E"/>
    <w:multiLevelType w:val="singleLevel"/>
    <w:tmpl w:val="37FF235E"/>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YTllNGViMzY5ZGZiMWVhNDgzMWEwZDhmMGFiNzc5OGQifQ=="/>
  </w:docVars>
  <w:rsids>
    <w:rsidRoot w:val="2CE55C20"/>
    <w:rsid w:val="001264F1"/>
    <w:rsid w:val="003760CE"/>
    <w:rsid w:val="007B2063"/>
    <w:rsid w:val="008738D3"/>
    <w:rsid w:val="00DF7A03"/>
    <w:rsid w:val="00EF22A4"/>
    <w:rsid w:val="031B35DF"/>
    <w:rsid w:val="048462A0"/>
    <w:rsid w:val="076024BD"/>
    <w:rsid w:val="08200924"/>
    <w:rsid w:val="083749E7"/>
    <w:rsid w:val="0DE528CD"/>
    <w:rsid w:val="18725427"/>
    <w:rsid w:val="1F532564"/>
    <w:rsid w:val="254E2FC7"/>
    <w:rsid w:val="263C173A"/>
    <w:rsid w:val="2CA33441"/>
    <w:rsid w:val="2CE55C20"/>
    <w:rsid w:val="2F287302"/>
    <w:rsid w:val="30426D13"/>
    <w:rsid w:val="3A1A7669"/>
    <w:rsid w:val="3A43255A"/>
    <w:rsid w:val="3D6201A1"/>
    <w:rsid w:val="3EC46785"/>
    <w:rsid w:val="3F8A6044"/>
    <w:rsid w:val="42945A28"/>
    <w:rsid w:val="477245B4"/>
    <w:rsid w:val="4C7B0AA8"/>
    <w:rsid w:val="4DBC60A9"/>
    <w:rsid w:val="4E4F0BB0"/>
    <w:rsid w:val="547A48C4"/>
    <w:rsid w:val="5BE95901"/>
    <w:rsid w:val="688A1944"/>
    <w:rsid w:val="68A84E4E"/>
    <w:rsid w:val="6A0A15CD"/>
    <w:rsid w:val="6DF352BD"/>
    <w:rsid w:val="6E8462A7"/>
    <w:rsid w:val="705E3E6D"/>
    <w:rsid w:val="712D68AD"/>
    <w:rsid w:val="71C1048A"/>
    <w:rsid w:val="73F35F5B"/>
    <w:rsid w:val="773B6C47"/>
    <w:rsid w:val="79161F78"/>
    <w:rsid w:val="79541DD8"/>
    <w:rsid w:val="79C04582"/>
    <w:rsid w:val="7AA270D2"/>
    <w:rsid w:val="7ABA7907"/>
    <w:rsid w:val="7D1F0DA2"/>
    <w:rsid w:val="7FE6227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Body Text Indent 2"/>
    <w:basedOn w:val="1"/>
    <w:unhideWhenUsed/>
    <w:qFormat/>
    <w:uiPriority w:val="0"/>
    <w:pPr>
      <w:ind w:firstLine="588" w:firstLineChars="200"/>
    </w:pPr>
    <w:rPr>
      <w:rFonts w:ascii="仿宋_GB2312" w:hAnsi="Calibri" w:eastAsia="仿宋_GB2312"/>
      <w:sz w:val="32"/>
    </w:rPr>
  </w:style>
  <w:style w:type="paragraph" w:styleId="3">
    <w:name w:val="footer"/>
    <w:basedOn w:val="1"/>
    <w:qFormat/>
    <w:uiPriority w:val="0"/>
    <w:pPr>
      <w:tabs>
        <w:tab w:val="center" w:pos="4153"/>
        <w:tab w:val="right" w:pos="8306"/>
      </w:tabs>
      <w:snapToGrid w:val="0"/>
      <w:jc w:val="left"/>
    </w:pPr>
    <w:rPr>
      <w:kern w:val="0"/>
      <w:sz w:val="18"/>
      <w:szCs w:val="18"/>
    </w:rPr>
  </w:style>
  <w:style w:type="character" w:styleId="6">
    <w:name w:val="page number"/>
    <w:qFormat/>
    <w:uiPriority w:val="0"/>
  </w:style>
  <w:style w:type="character" w:customStyle="1" w:styleId="7">
    <w:name w:val="标题 3 Char Char"/>
    <w:qFormat/>
    <w:uiPriority w:val="0"/>
    <w:rPr>
      <w:rFonts w:eastAsia="楷体_GB2312"/>
      <w:b/>
      <w:kern w:val="2"/>
      <w:sz w:val="32"/>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13</Pages>
  <Words>7694</Words>
  <Characters>8246</Characters>
  <Lines>62</Lines>
  <Paragraphs>17</Paragraphs>
  <TotalTime>4</TotalTime>
  <ScaleCrop>false</ScaleCrop>
  <LinksUpToDate>false</LinksUpToDate>
  <CharactersWithSpaces>8767</CharactersWithSpaces>
  <Application>WPS Office_12.1.0.17147_F1E327BC-269C-435d-A152-05C5408002CA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2019-05-08T01:00:00Z</dcterms:created>
  <dc:creator>Administrator</dc:creator>
  <cp:lastModifiedBy>叶子欢</cp:lastModifiedBy>
  <cp:lastPrinted>2021-07-29T09:25:00Z</cp:lastPrinted>
  <dcterms:modified xsi:type="dcterms:W3CDTF">2026-06-04T09:48:57Z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2052-12.1.0.17147</vt:lpwstr>
  </property>
  <property fmtid="{D5CDD505-2E9C-101B-9397-08002B2CF9AE}" pid="3" name="ICV">
    <vt:lpwstr>F7FE84DBE33044FC90B743C0A22D6AEE_12</vt:lpwstr>
  </property>
</Properties>
</file>