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C503">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rPr>
          <w:rFonts w:hint="eastAsia" w:ascii="Times New Roman" w:hAnsi="Times New Roman" w:eastAsia="宋体" w:cs="Times New Roman"/>
          <w:b/>
          <w:i w:val="0"/>
          <w:iCs w:val="0"/>
          <w:color w:val="auto"/>
          <w:sz w:val="28"/>
          <w:szCs w:val="28"/>
          <w:u w:val="none" w:color="auto"/>
          <w:lang w:val="en-US" w:eastAsia="zh-CN"/>
        </w:rPr>
      </w:pPr>
    </w:p>
    <w:p w14:paraId="154AC58F">
      <w:pPr>
        <w:pStyle w:val="24"/>
        <w:rPr>
          <w:rFonts w:hint="eastAsia"/>
          <w:color w:val="auto"/>
          <w:u w:val="none" w:color="auto"/>
          <w:lang w:val="en-US" w:eastAsia="zh-CN"/>
        </w:rPr>
      </w:pPr>
    </w:p>
    <w:p w14:paraId="29DC469C">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rPr>
          <w:rFonts w:hint="eastAsia" w:ascii="Times New Roman" w:hAnsi="Times New Roman" w:eastAsia="宋体" w:cs="Times New Roman"/>
          <w:b/>
          <w:i w:val="0"/>
          <w:iCs w:val="0"/>
          <w:color w:val="auto"/>
          <w:sz w:val="28"/>
          <w:szCs w:val="28"/>
          <w:u w:val="none" w:color="auto"/>
          <w:lang w:val="en-US" w:eastAsia="zh-CN"/>
        </w:rPr>
      </w:pPr>
    </w:p>
    <w:p w14:paraId="75B07550">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rPr>
          <w:rFonts w:hint="eastAsia" w:ascii="Times New Roman" w:hAnsi="Times New Roman" w:eastAsia="宋体" w:cs="Times New Roman"/>
          <w:b/>
          <w:i w:val="0"/>
          <w:iCs w:val="0"/>
          <w:color w:val="auto"/>
          <w:sz w:val="28"/>
          <w:szCs w:val="28"/>
          <w:u w:val="none" w:color="auto"/>
          <w:lang w:val="en-US" w:eastAsia="zh-CN"/>
        </w:rPr>
      </w:pPr>
    </w:p>
    <w:p w14:paraId="3C39C422">
      <w:pPr>
        <w:jc w:val="center"/>
        <w:rPr>
          <w:rFonts w:hint="default" w:ascii="Times New Roman" w:hAnsi="Times New Roman" w:eastAsia="宋体" w:cs="Times New Roman"/>
          <w:color w:val="auto"/>
          <w:sz w:val="72"/>
          <w:szCs w:val="72"/>
          <w:u w:val="none" w:color="auto"/>
        </w:rPr>
      </w:pPr>
      <w:r>
        <w:rPr>
          <w:rFonts w:hint="default" w:ascii="Times New Roman" w:hAnsi="Times New Roman" w:eastAsia="宋体" w:cs="Times New Roman"/>
          <w:color w:val="auto"/>
          <w:sz w:val="72"/>
          <w:szCs w:val="72"/>
          <w:u w:val="none" w:color="auto"/>
        </w:rPr>
        <w:t>建设项目环境影响报告表</w:t>
      </w:r>
    </w:p>
    <w:p w14:paraId="0EDF89A0">
      <w:pPr>
        <w:jc w:val="center"/>
        <w:rPr>
          <w:rFonts w:hint="default" w:ascii="Times New Roman" w:hAnsi="Times New Roman" w:eastAsia="宋体" w:cs="Times New Roman"/>
          <w:color w:val="auto"/>
          <w:sz w:val="72"/>
          <w:szCs w:val="72"/>
          <w:u w:val="none" w:color="auto"/>
        </w:rPr>
      </w:pPr>
      <w:r>
        <w:rPr>
          <w:rFonts w:hint="default" w:ascii="Times New Roman" w:hAnsi="Times New Roman" w:eastAsia="宋体" w:cs="Times New Roman"/>
          <w:color w:val="auto"/>
          <w:sz w:val="72"/>
          <w:szCs w:val="72"/>
          <w:u w:val="none" w:color="auto"/>
        </w:rPr>
        <w:t>（</w:t>
      </w:r>
      <w:r>
        <w:rPr>
          <w:rFonts w:hint="eastAsia" w:cs="Times New Roman"/>
          <w:color w:val="auto"/>
          <w:sz w:val="72"/>
          <w:szCs w:val="72"/>
          <w:u w:val="none" w:color="auto"/>
          <w:lang w:val="en-US" w:eastAsia="zh-CN"/>
        </w:rPr>
        <w:t>生态</w:t>
      </w:r>
      <w:r>
        <w:rPr>
          <w:rFonts w:hint="default" w:ascii="Times New Roman" w:hAnsi="Times New Roman" w:eastAsia="宋体" w:cs="Times New Roman"/>
          <w:color w:val="auto"/>
          <w:sz w:val="72"/>
          <w:szCs w:val="72"/>
          <w:u w:val="none" w:color="auto"/>
        </w:rPr>
        <w:t>影响类）</w:t>
      </w:r>
    </w:p>
    <w:p w14:paraId="12A195D1">
      <w:pPr>
        <w:jc w:val="center"/>
        <w:rPr>
          <w:rFonts w:hint="default" w:ascii="Times New Roman" w:hAnsi="Times New Roman" w:eastAsia="宋体" w:cs="Times New Roman"/>
          <w:color w:val="auto"/>
          <w:sz w:val="52"/>
          <w:szCs w:val="52"/>
          <w:u w:val="none" w:color="auto"/>
        </w:rPr>
      </w:pPr>
    </w:p>
    <w:p w14:paraId="4689CA68">
      <w:pPr>
        <w:pStyle w:val="16"/>
        <w:rPr>
          <w:rFonts w:hint="default" w:ascii="Times New Roman" w:hAnsi="Times New Roman" w:eastAsia="宋体" w:cs="Times New Roman"/>
          <w:color w:val="auto"/>
          <w:sz w:val="52"/>
          <w:szCs w:val="52"/>
          <w:u w:val="none" w:color="auto"/>
        </w:rPr>
      </w:pPr>
    </w:p>
    <w:p w14:paraId="1D16911C">
      <w:pPr>
        <w:pStyle w:val="16"/>
        <w:rPr>
          <w:rFonts w:hint="default" w:ascii="Times New Roman" w:hAnsi="Times New Roman" w:eastAsia="宋体" w:cs="Times New Roman"/>
          <w:color w:val="auto"/>
          <w:sz w:val="52"/>
          <w:szCs w:val="52"/>
          <w:u w:val="none" w:color="auto"/>
        </w:rPr>
      </w:pPr>
    </w:p>
    <w:p w14:paraId="263A54D3">
      <w:pPr>
        <w:pStyle w:val="16"/>
        <w:rPr>
          <w:rFonts w:hint="default" w:ascii="Times New Roman" w:hAnsi="Times New Roman" w:eastAsia="宋体" w:cs="Times New Roman"/>
          <w:color w:val="auto"/>
          <w:sz w:val="52"/>
          <w:szCs w:val="52"/>
          <w:u w:val="none" w:color="auto"/>
        </w:rPr>
      </w:pPr>
    </w:p>
    <w:p w14:paraId="69A3DE1E">
      <w:pPr>
        <w:ind w:firstLine="1040"/>
        <w:rPr>
          <w:rFonts w:hint="default" w:ascii="Times New Roman" w:hAnsi="Times New Roman" w:eastAsia="宋体" w:cs="Times New Roman"/>
          <w:color w:val="auto"/>
          <w:sz w:val="44"/>
          <w:szCs w:val="44"/>
          <w:u w:val="none" w:color="auto"/>
        </w:rPr>
      </w:pPr>
    </w:p>
    <w:p w14:paraId="6E140D79">
      <w:pPr>
        <w:ind w:firstLine="1040"/>
        <w:rPr>
          <w:rFonts w:hint="default" w:ascii="Times New Roman" w:hAnsi="Times New Roman" w:eastAsia="宋体" w:cs="Times New Roman"/>
          <w:color w:val="auto"/>
          <w:sz w:val="44"/>
          <w:szCs w:val="44"/>
          <w:u w:val="none" w:color="auto"/>
        </w:rPr>
      </w:pPr>
    </w:p>
    <w:p w14:paraId="6AC4F559">
      <w:pPr>
        <w:ind w:firstLine="1040"/>
        <w:rPr>
          <w:rFonts w:hint="default" w:ascii="Times New Roman" w:hAnsi="Times New Roman" w:eastAsia="宋体" w:cs="Times New Roman"/>
          <w:color w:val="auto"/>
          <w:sz w:val="44"/>
          <w:szCs w:val="44"/>
          <w:u w:val="none" w:color="auto"/>
        </w:rPr>
      </w:pPr>
    </w:p>
    <w:p w14:paraId="54F4BE13">
      <w:pPr>
        <w:ind w:firstLine="1040"/>
        <w:rPr>
          <w:rFonts w:hint="default" w:ascii="Times New Roman" w:hAnsi="Times New Roman" w:eastAsia="宋体" w:cs="Times New Roman"/>
          <w:color w:val="auto"/>
          <w:sz w:val="44"/>
          <w:szCs w:val="44"/>
          <w:u w:val="none" w:color="auto"/>
        </w:rPr>
      </w:pPr>
    </w:p>
    <w:p w14:paraId="12EB3435">
      <w:pPr>
        <w:ind w:firstLine="1920" w:firstLineChars="600"/>
        <w:rPr>
          <w:rFonts w:hint="default" w:ascii="Times New Roman" w:hAnsi="Times New Roman" w:eastAsia="宋体" w:cs="Times New Roman"/>
          <w:color w:val="auto"/>
          <w:sz w:val="32"/>
          <w:szCs w:val="32"/>
          <w:u w:val="none" w:color="auto"/>
        </w:rPr>
      </w:pPr>
    </w:p>
    <w:p w14:paraId="7C4A0CC8">
      <w:pPr>
        <w:spacing w:line="360" w:lineRule="auto"/>
        <w:jc w:val="left"/>
        <w:rPr>
          <w:rFonts w:hint="default" w:ascii="Times New Roman" w:hAnsi="Times New Roman" w:eastAsia="宋体" w:cs="Times New Roman"/>
          <w:color w:val="auto"/>
          <w:sz w:val="32"/>
          <w:szCs w:val="32"/>
          <w:u w:val="single" w:color="auto"/>
        </w:rPr>
      </w:pPr>
      <w:r>
        <w:rPr>
          <w:rFonts w:hint="default" w:ascii="Times New Roman" w:hAnsi="Times New Roman" w:eastAsia="宋体" w:cs="Times New Roman"/>
          <w:color w:val="auto"/>
          <w:sz w:val="32"/>
          <w:szCs w:val="32"/>
          <w:u w:val="none" w:color="auto"/>
        </w:rPr>
        <w:t>项目名称：</w:t>
      </w:r>
      <w:r>
        <w:rPr>
          <w:rFonts w:hint="default" w:ascii="Times New Roman" w:hAnsi="Times New Roman" w:eastAsia="宋体" w:cs="Times New Roman"/>
          <w:color w:val="auto"/>
          <w:sz w:val="32"/>
          <w:szCs w:val="32"/>
          <w:u w:val="single" w:color="auto"/>
          <w:lang w:val="en-US" w:eastAsia="zh-CN"/>
        </w:rPr>
        <w:t>华容县团洲垸灾后重建安置房配套基础设施建设项目</w:t>
      </w:r>
    </w:p>
    <w:p w14:paraId="0B552CA7">
      <w:pPr>
        <w:spacing w:line="360" w:lineRule="auto"/>
        <w:jc w:val="left"/>
        <w:rPr>
          <w:rFonts w:hint="default" w:ascii="Times New Roman" w:hAnsi="Times New Roman" w:eastAsia="宋体" w:cs="Times New Roman"/>
          <w:color w:val="auto"/>
          <w:sz w:val="32"/>
          <w:szCs w:val="32"/>
          <w:u w:val="single" w:color="auto"/>
        </w:rPr>
      </w:pPr>
      <w:r>
        <w:rPr>
          <w:rFonts w:hint="default" w:ascii="Times New Roman" w:hAnsi="Times New Roman" w:eastAsia="宋体" w:cs="Times New Roman"/>
          <w:color w:val="auto"/>
          <w:sz w:val="32"/>
          <w:szCs w:val="32"/>
          <w:u w:val="none" w:color="auto"/>
        </w:rPr>
        <w:t>建设单位（盖章）：</w:t>
      </w:r>
      <w:r>
        <w:rPr>
          <w:rFonts w:hint="default" w:ascii="Times New Roman" w:hAnsi="Times New Roman" w:eastAsia="宋体" w:cs="Times New Roman"/>
          <w:color w:val="auto"/>
          <w:sz w:val="32"/>
          <w:szCs w:val="32"/>
          <w:u w:val="single" w:color="auto"/>
        </w:rPr>
        <w:t xml:space="preserve">     华容县城乡建设事务中心         </w:t>
      </w:r>
    </w:p>
    <w:p w14:paraId="153A2B34">
      <w:pPr>
        <w:spacing w:line="360" w:lineRule="auto"/>
        <w:jc w:val="left"/>
        <w:rPr>
          <w:rFonts w:hint="default" w:ascii="Times New Roman" w:hAnsi="Times New Roman" w:eastAsia="宋体" w:cs="Times New Roman"/>
          <w:color w:val="auto"/>
          <w:sz w:val="32"/>
          <w:szCs w:val="32"/>
          <w:u w:val="none" w:color="auto"/>
        </w:rPr>
      </w:pPr>
      <w:r>
        <w:rPr>
          <w:rFonts w:hint="default" w:ascii="Times New Roman" w:hAnsi="Times New Roman" w:eastAsia="宋体" w:cs="Times New Roman"/>
          <w:color w:val="auto"/>
          <w:sz w:val="32"/>
          <w:szCs w:val="32"/>
          <w:u w:val="none" w:color="auto"/>
        </w:rPr>
        <w:t>编制日期：</w:t>
      </w:r>
      <w:bookmarkStart w:id="417" w:name="_GoBack"/>
      <w:r>
        <w:rPr>
          <w:rFonts w:hint="default" w:ascii="Times New Roman" w:hAnsi="Times New Roman" w:eastAsia="宋体" w:cs="Times New Roman"/>
          <w:color w:val="auto"/>
          <w:sz w:val="32"/>
          <w:szCs w:val="32"/>
          <w:u w:val="single" w:color="auto"/>
        </w:rPr>
        <w:t xml:space="preserve">                202</w:t>
      </w:r>
      <w:r>
        <w:rPr>
          <w:rFonts w:hint="eastAsia" w:ascii="Times New Roman" w:hAnsi="Times New Roman" w:eastAsia="宋体" w:cs="Times New Roman"/>
          <w:color w:val="auto"/>
          <w:sz w:val="32"/>
          <w:szCs w:val="32"/>
          <w:u w:val="single" w:color="auto"/>
          <w:lang w:val="en-US" w:eastAsia="zh-CN"/>
        </w:rPr>
        <w:t>6</w:t>
      </w:r>
      <w:r>
        <w:rPr>
          <w:rFonts w:hint="default" w:ascii="Times New Roman" w:hAnsi="Times New Roman" w:eastAsia="宋体" w:cs="Times New Roman"/>
          <w:color w:val="auto"/>
          <w:sz w:val="32"/>
          <w:szCs w:val="32"/>
          <w:u w:val="single" w:color="auto"/>
        </w:rPr>
        <w:t>年</w:t>
      </w:r>
      <w:r>
        <w:rPr>
          <w:rFonts w:hint="eastAsia" w:ascii="Times New Roman" w:hAnsi="Times New Roman" w:eastAsia="宋体" w:cs="Times New Roman"/>
          <w:color w:val="auto"/>
          <w:sz w:val="32"/>
          <w:szCs w:val="32"/>
          <w:u w:val="single" w:color="auto"/>
          <w:lang w:val="en-US" w:eastAsia="zh-CN"/>
        </w:rPr>
        <w:t>1</w:t>
      </w:r>
      <w:r>
        <w:rPr>
          <w:rFonts w:hint="default" w:ascii="Times New Roman" w:hAnsi="Times New Roman" w:eastAsia="宋体" w:cs="Times New Roman"/>
          <w:color w:val="auto"/>
          <w:sz w:val="32"/>
          <w:szCs w:val="32"/>
          <w:u w:val="single" w:color="auto"/>
        </w:rPr>
        <w:t xml:space="preserve">月                    </w:t>
      </w:r>
      <w:bookmarkEnd w:id="417"/>
    </w:p>
    <w:p w14:paraId="60F8EA81">
      <w:pPr>
        <w:adjustRightInd w:val="0"/>
        <w:snapToGrid w:val="0"/>
        <w:spacing w:line="288" w:lineRule="auto"/>
        <w:ind w:firstLine="1040"/>
        <w:rPr>
          <w:rFonts w:hint="default" w:ascii="Times New Roman" w:hAnsi="Times New Roman" w:eastAsia="宋体" w:cs="Times New Roman"/>
          <w:color w:val="auto"/>
          <w:sz w:val="36"/>
          <w:szCs w:val="36"/>
          <w:u w:val="none" w:color="auto"/>
        </w:rPr>
      </w:pPr>
      <w:bookmarkStart w:id="0" w:name="_Hlk57884087"/>
    </w:p>
    <w:p w14:paraId="4DD12A3E">
      <w:pPr>
        <w:adjustRightInd w:val="0"/>
        <w:snapToGrid w:val="0"/>
        <w:spacing w:line="288" w:lineRule="auto"/>
        <w:ind w:firstLine="1040"/>
        <w:rPr>
          <w:rFonts w:hint="default" w:ascii="Times New Roman" w:hAnsi="Times New Roman" w:eastAsia="宋体" w:cs="Times New Roman"/>
          <w:color w:val="auto"/>
          <w:sz w:val="36"/>
          <w:szCs w:val="36"/>
          <w:u w:val="none" w:color="auto"/>
        </w:rPr>
      </w:pPr>
    </w:p>
    <w:p w14:paraId="0FE3B083">
      <w:pPr>
        <w:adjustRightInd w:val="0"/>
        <w:snapToGrid w:val="0"/>
        <w:spacing w:line="288" w:lineRule="auto"/>
        <w:ind w:firstLine="1040"/>
        <w:rPr>
          <w:rFonts w:hint="default" w:ascii="Times New Roman" w:hAnsi="Times New Roman" w:eastAsia="宋体" w:cs="Times New Roman"/>
          <w:color w:val="auto"/>
          <w:sz w:val="36"/>
          <w:szCs w:val="36"/>
          <w:u w:val="none" w:color="auto"/>
        </w:rPr>
      </w:pPr>
    </w:p>
    <w:p w14:paraId="2CDEAEB5">
      <w:pPr>
        <w:adjustRightInd w:val="0"/>
        <w:snapToGrid w:val="0"/>
        <w:spacing w:line="288" w:lineRule="auto"/>
        <w:ind w:firstLine="1040"/>
        <w:rPr>
          <w:rFonts w:hint="default" w:ascii="Times New Roman" w:hAnsi="Times New Roman" w:eastAsia="宋体" w:cs="Times New Roman"/>
          <w:color w:val="auto"/>
          <w:sz w:val="36"/>
          <w:szCs w:val="36"/>
          <w:u w:val="none" w:color="auto"/>
        </w:rPr>
      </w:pPr>
    </w:p>
    <w:bookmarkEnd w:id="0"/>
    <w:p w14:paraId="7AF22665">
      <w:pPr>
        <w:widowControl/>
        <w:jc w:val="center"/>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kern w:val="0"/>
          <w:sz w:val="36"/>
          <w:szCs w:val="36"/>
          <w:u w:val="none" w:color="auto"/>
        </w:rPr>
        <w:t>中华人民共和国生态环境部制</w:t>
      </w:r>
    </w:p>
    <w:p w14:paraId="2EF71621">
      <w:pPr>
        <w:pStyle w:val="12"/>
        <w:rPr>
          <w:rFonts w:hint="default" w:ascii="Times New Roman" w:hAnsi="Times New Roman" w:eastAsia="宋体" w:cs="Times New Roman"/>
          <w:color w:val="auto"/>
          <w:u w:val="none" w:color="auto"/>
        </w:rPr>
      </w:pPr>
    </w:p>
    <w:p w14:paraId="440169CD">
      <w:pPr>
        <w:pStyle w:val="12"/>
        <w:rPr>
          <w:color w:val="auto"/>
          <w:u w:val="none" w:color="auto"/>
        </w:rPr>
      </w:pPr>
    </w:p>
    <w:p w14:paraId="7234176C">
      <w:pPr>
        <w:jc w:val="center"/>
        <w:rPr>
          <w:rFonts w:hint="eastAsia" w:ascii="仿宋_GB2312" w:eastAsia="仿宋_GB2312"/>
          <w:color w:val="auto"/>
          <w:sz w:val="36"/>
          <w:szCs w:val="36"/>
          <w:u w:val="none" w:color="auto"/>
        </w:rPr>
      </w:pPr>
      <w:r>
        <w:rPr>
          <w:rFonts w:hint="eastAsia" w:ascii="仿宋_GB2312" w:eastAsia="仿宋_GB2312"/>
          <w:color w:val="auto"/>
          <w:sz w:val="36"/>
          <w:szCs w:val="36"/>
          <w:u w:val="none" w:color="auto"/>
        </w:rPr>
        <w:br w:type="page"/>
      </w:r>
      <w:r>
        <w:rPr>
          <w:rFonts w:hint="eastAsia" w:eastAsiaTheme="minorEastAsia"/>
          <w:color w:val="auto"/>
          <w:u w:val="none" w:color="auto"/>
          <w:lang w:val="en-US" w:eastAsia="zh-CN"/>
        </w:rPr>
        <w:drawing>
          <wp:inline distT="0" distB="0" distL="114300" distR="114300">
            <wp:extent cx="5677535" cy="7559040"/>
            <wp:effectExtent l="0" t="0" r="18415" b="3810"/>
            <wp:docPr id="12" name="图片 12" descr="HP_20260205_12242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P_20260205_122424_001"/>
                    <pic:cNvPicPr>
                      <a:picLocks noChangeAspect="1"/>
                    </pic:cNvPicPr>
                  </pic:nvPicPr>
                  <pic:blipFill>
                    <a:blip r:embed="rId14"/>
                    <a:srcRect l="6977" t="18472" r="7558" b="1025"/>
                    <a:stretch>
                      <a:fillRect/>
                    </a:stretch>
                  </pic:blipFill>
                  <pic:spPr>
                    <a:xfrm rot="10800000">
                      <a:off x="0" y="0"/>
                      <a:ext cx="5677535" cy="7559040"/>
                    </a:xfrm>
                    <a:prstGeom prst="rect">
                      <a:avLst/>
                    </a:prstGeom>
                  </pic:spPr>
                </pic:pic>
              </a:graphicData>
            </a:graphic>
          </wp:inline>
        </w:drawing>
      </w:r>
      <w:r>
        <w:rPr>
          <w:color w:val="auto"/>
          <w:u w:val="none" w:color="auto"/>
        </w:rPr>
        <w:drawing>
          <wp:inline distT="0" distB="0" distL="114300" distR="114300">
            <wp:extent cx="8347075" cy="4234180"/>
            <wp:effectExtent l="0" t="0" r="13970" b="158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rot="16200000">
                      <a:off x="0" y="0"/>
                      <a:ext cx="8347075" cy="4234180"/>
                    </a:xfrm>
                    <a:prstGeom prst="rect">
                      <a:avLst/>
                    </a:prstGeom>
                    <a:noFill/>
                    <a:ln>
                      <a:noFill/>
                    </a:ln>
                  </pic:spPr>
                </pic:pic>
              </a:graphicData>
            </a:graphic>
          </wp:inline>
        </w:drawing>
      </w:r>
      <w:r>
        <w:rPr>
          <w:color w:val="auto"/>
          <w:u w:val="none" w:color="auto"/>
        </w:rPr>
        <w:drawing>
          <wp:inline distT="0" distB="0" distL="114300" distR="114300">
            <wp:extent cx="7933055" cy="4093210"/>
            <wp:effectExtent l="0" t="0" r="2540" b="1079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rot="16200000">
                      <a:off x="0" y="0"/>
                      <a:ext cx="7933055" cy="4093210"/>
                    </a:xfrm>
                    <a:prstGeom prst="rect">
                      <a:avLst/>
                    </a:prstGeom>
                    <a:noFill/>
                    <a:ln>
                      <a:noFill/>
                    </a:ln>
                  </pic:spPr>
                </pic:pic>
              </a:graphicData>
            </a:graphic>
          </wp:inline>
        </w:drawing>
      </w:r>
      <w:r>
        <w:rPr>
          <w:rFonts w:hint="eastAsia" w:eastAsiaTheme="minorEastAsia"/>
          <w:color w:val="auto"/>
          <w:u w:val="none" w:color="auto"/>
          <w:lang w:eastAsia="zh-CN"/>
        </w:rPr>
        <w:drawing>
          <wp:inline distT="0" distB="0" distL="114300" distR="114300">
            <wp:extent cx="7788275" cy="5512435"/>
            <wp:effectExtent l="0" t="0" r="12065" b="3175"/>
            <wp:docPr id="17" name="图片 17" descr="营业执照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营业执照副本"/>
                    <pic:cNvPicPr>
                      <a:picLocks noChangeAspect="1"/>
                    </pic:cNvPicPr>
                  </pic:nvPicPr>
                  <pic:blipFill>
                    <a:blip r:embed="rId17"/>
                    <a:srcRect t="3998"/>
                    <a:stretch>
                      <a:fillRect/>
                    </a:stretch>
                  </pic:blipFill>
                  <pic:spPr>
                    <a:xfrm rot="16200000">
                      <a:off x="0" y="0"/>
                      <a:ext cx="7788275" cy="5512435"/>
                    </a:xfrm>
                    <a:prstGeom prst="rect">
                      <a:avLst/>
                    </a:prstGeom>
                  </pic:spPr>
                </pic:pic>
              </a:graphicData>
            </a:graphic>
          </wp:inline>
        </w:drawing>
      </w:r>
    </w:p>
    <w:tbl>
      <w:tblPr>
        <w:tblStyle w:val="26"/>
        <w:tblW w:w="9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31"/>
      </w:tblGrid>
      <w:tr w14:paraId="62D1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4" w:hRule="atLeast"/>
        </w:trPr>
        <w:tc>
          <w:tcPr>
            <w:tcW w:w="9031" w:type="dxa"/>
          </w:tcPr>
          <w:p w14:paraId="068607B4">
            <w:pPr>
              <w:rPr>
                <w:rFonts w:hint="eastAsia"/>
                <w:color w:val="auto"/>
                <w:u w:val="none" w:color="auto"/>
                <w:vertAlign w:val="baseline"/>
                <w:lang w:eastAsia="zh-CN"/>
              </w:rPr>
            </w:pPr>
            <w:r>
              <w:rPr>
                <w:rFonts w:hint="eastAsia"/>
                <w:color w:val="auto"/>
                <w:u w:val="none" w:color="auto"/>
                <w:vertAlign w:val="baseline"/>
                <w:lang w:eastAsia="zh-CN"/>
              </w:rPr>
              <w:drawing>
                <wp:inline distT="0" distB="0" distL="114300" distR="114300">
                  <wp:extent cx="5445125" cy="3968750"/>
                  <wp:effectExtent l="0" t="0" r="3175" b="12700"/>
                  <wp:docPr id="18" name="图片 18" descr="扫描全能王 2025-12-17 22.5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扫描全能王 2025-12-17 22.52_2"/>
                          <pic:cNvPicPr>
                            <a:picLocks noChangeAspect="1"/>
                          </pic:cNvPicPr>
                        </pic:nvPicPr>
                        <pic:blipFill>
                          <a:blip r:embed="rId18"/>
                          <a:stretch>
                            <a:fillRect/>
                          </a:stretch>
                        </pic:blipFill>
                        <pic:spPr>
                          <a:xfrm>
                            <a:off x="0" y="0"/>
                            <a:ext cx="5445125" cy="3968750"/>
                          </a:xfrm>
                          <a:prstGeom prst="rect">
                            <a:avLst/>
                          </a:prstGeom>
                        </pic:spPr>
                      </pic:pic>
                    </a:graphicData>
                  </a:graphic>
                </wp:inline>
              </w:drawing>
            </w:r>
          </w:p>
        </w:tc>
      </w:tr>
      <w:tr w14:paraId="6C26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7" w:hRule="atLeast"/>
        </w:trPr>
        <w:tc>
          <w:tcPr>
            <w:tcW w:w="9031" w:type="dxa"/>
          </w:tcPr>
          <w:p w14:paraId="21A3EEF0">
            <w:pPr>
              <w:rPr>
                <w:rFonts w:hint="eastAsia"/>
                <w:color w:val="auto"/>
                <w:u w:val="none" w:color="auto"/>
                <w:vertAlign w:val="baseline"/>
                <w:lang w:eastAsia="zh-CN"/>
              </w:rPr>
            </w:pPr>
            <w:r>
              <w:rPr>
                <w:rFonts w:hint="eastAsia"/>
                <w:color w:val="auto"/>
                <w:u w:val="none" w:color="auto"/>
                <w:vertAlign w:val="baseline"/>
                <w:lang w:eastAsia="zh-CN"/>
              </w:rPr>
              <w:drawing>
                <wp:inline distT="0" distB="0" distL="114300" distR="114300">
                  <wp:extent cx="5484495" cy="3895090"/>
                  <wp:effectExtent l="0" t="0" r="1905" b="10160"/>
                  <wp:docPr id="106" name="图片 106" descr="扫描全能王 2025-12-17 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扫描全能王 2025-12-17 22.52_1"/>
                          <pic:cNvPicPr>
                            <a:picLocks noChangeAspect="1"/>
                          </pic:cNvPicPr>
                        </pic:nvPicPr>
                        <pic:blipFill>
                          <a:blip r:embed="rId19"/>
                          <a:stretch>
                            <a:fillRect/>
                          </a:stretch>
                        </pic:blipFill>
                        <pic:spPr>
                          <a:xfrm>
                            <a:off x="0" y="0"/>
                            <a:ext cx="5484495" cy="3895090"/>
                          </a:xfrm>
                          <a:prstGeom prst="rect">
                            <a:avLst/>
                          </a:prstGeom>
                        </pic:spPr>
                      </pic:pic>
                    </a:graphicData>
                  </a:graphic>
                </wp:inline>
              </w:drawing>
            </w:r>
          </w:p>
        </w:tc>
      </w:tr>
      <w:tr w14:paraId="3F52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91" w:hRule="atLeast"/>
        </w:trPr>
        <w:tc>
          <w:tcPr>
            <w:tcW w:w="9031" w:type="dxa"/>
          </w:tcPr>
          <w:p w14:paraId="379F20A9">
            <w:pPr>
              <w:jc w:val="center"/>
              <w:rPr>
                <w:rFonts w:hint="eastAsia"/>
                <w:color w:val="auto"/>
                <w:u w:val="none" w:color="auto"/>
                <w:vertAlign w:val="baseline"/>
                <w:lang w:eastAsia="zh-CN"/>
              </w:rPr>
            </w:pPr>
            <w:r>
              <w:rPr>
                <w:rFonts w:hint="eastAsia"/>
                <w:color w:val="auto"/>
                <w:u w:val="none" w:color="auto"/>
                <w:vertAlign w:val="baseline"/>
                <w:lang w:eastAsia="zh-CN"/>
              </w:rPr>
              <w:drawing>
                <wp:inline distT="0" distB="0" distL="114300" distR="114300">
                  <wp:extent cx="5540375" cy="8209280"/>
                  <wp:effectExtent l="0" t="0" r="3175" b="1270"/>
                  <wp:docPr id="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pic:cNvPicPr>
                            <a:picLocks noChangeAspect="1"/>
                          </pic:cNvPicPr>
                        </pic:nvPicPr>
                        <pic:blipFill>
                          <a:blip r:embed="rId20"/>
                          <a:stretch>
                            <a:fillRect/>
                          </a:stretch>
                        </pic:blipFill>
                        <pic:spPr>
                          <a:xfrm>
                            <a:off x="0" y="0"/>
                            <a:ext cx="5540375" cy="8209280"/>
                          </a:xfrm>
                          <a:prstGeom prst="rect">
                            <a:avLst/>
                          </a:prstGeom>
                          <a:noFill/>
                          <a:ln>
                            <a:noFill/>
                          </a:ln>
                        </pic:spPr>
                      </pic:pic>
                    </a:graphicData>
                  </a:graphic>
                </wp:inline>
              </w:drawing>
            </w:r>
          </w:p>
        </w:tc>
      </w:tr>
    </w:tbl>
    <w:p w14:paraId="5FA13AD4">
      <w:pPr>
        <w:jc w:val="center"/>
        <w:rPr>
          <w:rFonts w:hint="eastAsia" w:ascii="仿宋_GB2312" w:eastAsia="仿宋_GB2312"/>
          <w:color w:val="auto"/>
          <w:sz w:val="36"/>
          <w:szCs w:val="36"/>
          <w:u w:val="none" w:color="auto"/>
        </w:rPr>
      </w:pPr>
      <w:r>
        <w:rPr>
          <w:rFonts w:hint="eastAsia"/>
          <w:color w:val="auto"/>
          <w:u w:val="none" w:color="auto"/>
          <w:lang w:val="en-US" w:eastAsia="zh-CN"/>
        </w:rPr>
        <w:drawing>
          <wp:inline distT="0" distB="0" distL="114300" distR="114300">
            <wp:extent cx="5358765" cy="7345680"/>
            <wp:effectExtent l="0" t="0" r="13335" b="7620"/>
            <wp:docPr id="111" name="图片 111" descr="鑫来编制承诺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鑫来编制承诺书_01"/>
                    <pic:cNvPicPr>
                      <a:picLocks noChangeAspect="1"/>
                    </pic:cNvPicPr>
                  </pic:nvPicPr>
                  <pic:blipFill>
                    <a:blip r:embed="rId21"/>
                    <a:srcRect l="3267" t="2195" b="4091"/>
                    <a:stretch>
                      <a:fillRect/>
                    </a:stretch>
                  </pic:blipFill>
                  <pic:spPr>
                    <a:xfrm>
                      <a:off x="0" y="0"/>
                      <a:ext cx="5358765" cy="7345680"/>
                    </a:xfrm>
                    <a:prstGeom prst="rect">
                      <a:avLst/>
                    </a:prstGeom>
                  </pic:spPr>
                </pic:pic>
              </a:graphicData>
            </a:graphic>
          </wp:inline>
        </w:drawing>
      </w:r>
      <w:r>
        <w:rPr>
          <w:rFonts w:hint="eastAsia"/>
          <w:color w:val="auto"/>
          <w:u w:val="none" w:color="auto"/>
          <w:lang w:val="en-US" w:eastAsia="zh-CN"/>
        </w:rPr>
        <w:drawing>
          <wp:inline distT="0" distB="0" distL="114300" distR="114300">
            <wp:extent cx="5394325" cy="6456680"/>
            <wp:effectExtent l="0" t="0" r="15875" b="127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2"/>
                    <a:srcRect l="5993" t="3708" r="5357"/>
                    <a:stretch>
                      <a:fillRect/>
                    </a:stretch>
                  </pic:blipFill>
                  <pic:spPr>
                    <a:xfrm>
                      <a:off x="0" y="0"/>
                      <a:ext cx="5394325" cy="6456680"/>
                    </a:xfrm>
                    <a:prstGeom prst="rect">
                      <a:avLst/>
                    </a:prstGeom>
                    <a:noFill/>
                    <a:ln>
                      <a:noFill/>
                    </a:ln>
                  </pic:spPr>
                </pic:pic>
              </a:graphicData>
            </a:graphic>
          </wp:inline>
        </w:drawing>
      </w:r>
      <w:r>
        <w:rPr>
          <w:rFonts w:hint="eastAsia"/>
          <w:color w:val="auto"/>
          <w:u w:val="none" w:color="auto"/>
          <w:lang w:val="en-US" w:eastAsia="zh-CN"/>
        </w:rPr>
        <w:drawing>
          <wp:inline distT="0" distB="0" distL="114300" distR="114300">
            <wp:extent cx="5591175" cy="7914005"/>
            <wp:effectExtent l="0" t="0" r="9525" b="10795"/>
            <wp:docPr id="113" name="图片 113" descr="王超人个社保查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王超人个社保查询_01"/>
                    <pic:cNvPicPr>
                      <a:picLocks noChangeAspect="1"/>
                    </pic:cNvPicPr>
                  </pic:nvPicPr>
                  <pic:blipFill>
                    <a:blip r:embed="rId23"/>
                    <a:stretch>
                      <a:fillRect/>
                    </a:stretch>
                  </pic:blipFill>
                  <pic:spPr>
                    <a:xfrm>
                      <a:off x="0" y="0"/>
                      <a:ext cx="5591175" cy="7914005"/>
                    </a:xfrm>
                    <a:prstGeom prst="rect">
                      <a:avLst/>
                    </a:prstGeom>
                  </pic:spPr>
                </pic:pic>
              </a:graphicData>
            </a:graphic>
          </wp:inline>
        </w:drawing>
      </w:r>
      <w:r>
        <w:rPr>
          <w:rFonts w:hint="eastAsia"/>
          <w:color w:val="auto"/>
          <w:u w:val="none" w:color="auto"/>
          <w:lang w:val="en-US" w:eastAsia="zh-CN"/>
        </w:rPr>
        <w:drawing>
          <wp:inline distT="0" distB="0" distL="114300" distR="114300">
            <wp:extent cx="5591175" cy="7914005"/>
            <wp:effectExtent l="0" t="0" r="9525" b="10795"/>
            <wp:docPr id="117" name="图片 117" descr="王超人个社保查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王超人个社保查询_02"/>
                    <pic:cNvPicPr>
                      <a:picLocks noChangeAspect="1"/>
                    </pic:cNvPicPr>
                  </pic:nvPicPr>
                  <pic:blipFill>
                    <a:blip r:embed="rId24"/>
                    <a:stretch>
                      <a:fillRect/>
                    </a:stretch>
                  </pic:blipFill>
                  <pic:spPr>
                    <a:xfrm>
                      <a:off x="0" y="0"/>
                      <a:ext cx="5591175" cy="7914005"/>
                    </a:xfrm>
                    <a:prstGeom prst="rect">
                      <a:avLst/>
                    </a:prstGeom>
                  </pic:spPr>
                </pic:pic>
              </a:graphicData>
            </a:graphic>
          </wp:inline>
        </w:drawing>
      </w:r>
    </w:p>
    <w:p w14:paraId="52078414">
      <w:pPr>
        <w:adjustRightInd w:val="0"/>
        <w:snapToGrid w:val="0"/>
        <w:spacing w:line="288" w:lineRule="auto"/>
        <w:ind w:firstLine="0"/>
        <w:jc w:val="center"/>
        <w:rPr>
          <w:rFonts w:hint="eastAsia" w:ascii="仿宋_GB2312" w:eastAsia="仿宋_GB2312"/>
          <w:b/>
          <w:bCs/>
          <w:color w:val="auto"/>
          <w:sz w:val="36"/>
          <w:szCs w:val="36"/>
          <w:u w:val="none" w:color="auto"/>
        </w:rPr>
      </w:pPr>
    </w:p>
    <w:p w14:paraId="1C229C28">
      <w:pPr>
        <w:adjustRightInd w:val="0"/>
        <w:snapToGrid w:val="0"/>
        <w:spacing w:line="288" w:lineRule="auto"/>
        <w:ind w:firstLine="0"/>
        <w:jc w:val="center"/>
        <w:rPr>
          <w:rFonts w:ascii="仿宋_GB2312" w:eastAsia="仿宋_GB2312"/>
          <w:b/>
          <w:bCs/>
          <w:color w:val="auto"/>
          <w:sz w:val="36"/>
          <w:szCs w:val="36"/>
          <w:u w:val="none" w:color="auto"/>
        </w:rPr>
      </w:pPr>
      <w:r>
        <w:rPr>
          <w:rFonts w:hint="eastAsia" w:ascii="仿宋_GB2312" w:eastAsia="仿宋_GB2312"/>
          <w:b/>
          <w:bCs/>
          <w:color w:val="auto"/>
          <w:sz w:val="36"/>
          <w:szCs w:val="36"/>
          <w:u w:val="none" w:color="auto"/>
        </w:rPr>
        <w:t>目录</w:t>
      </w:r>
    </w:p>
    <w:p w14:paraId="0845EC0C">
      <w:pPr>
        <w:pStyle w:val="18"/>
        <w:tabs>
          <w:tab w:val="right" w:leader="dot" w:pos="8844"/>
        </w:tabs>
        <w:rPr>
          <w:color w:val="auto"/>
          <w:u w:val="none" w:color="auto"/>
        </w:rPr>
      </w:pPr>
      <w:r>
        <w:rPr>
          <w:color w:val="auto"/>
          <w:sz w:val="24"/>
          <w:szCs w:val="24"/>
          <w:u w:val="none" w:color="auto"/>
        </w:rPr>
        <w:fldChar w:fldCharType="begin"/>
      </w:r>
      <w:r>
        <w:rPr>
          <w:color w:val="auto"/>
          <w:sz w:val="24"/>
          <w:szCs w:val="24"/>
          <w:u w:val="none" w:color="auto"/>
        </w:rPr>
        <w:instrText xml:space="preserve">TOC \o "1-2" \h \u </w:instrText>
      </w:r>
      <w:r>
        <w:rPr>
          <w:color w:val="auto"/>
          <w:sz w:val="24"/>
          <w:szCs w:val="24"/>
          <w:u w:val="none" w:color="auto"/>
        </w:rPr>
        <w:fldChar w:fldCharType="separate"/>
      </w:r>
      <w:r>
        <w:rPr>
          <w:color w:val="auto"/>
          <w:szCs w:val="24"/>
          <w:u w:val="none" w:color="auto"/>
        </w:rPr>
        <w:fldChar w:fldCharType="begin"/>
      </w:r>
      <w:r>
        <w:rPr>
          <w:color w:val="auto"/>
          <w:szCs w:val="24"/>
          <w:u w:val="none" w:color="auto"/>
        </w:rPr>
        <w:instrText xml:space="preserve"> HYPERLINK \l _Toc16422 </w:instrText>
      </w:r>
      <w:r>
        <w:rPr>
          <w:color w:val="auto"/>
          <w:szCs w:val="24"/>
          <w:u w:val="none" w:color="auto"/>
        </w:rPr>
        <w:fldChar w:fldCharType="separate"/>
      </w:r>
      <w:r>
        <w:rPr>
          <w:rFonts w:hint="eastAsia" w:ascii="黑体" w:hAnsi="黑体" w:eastAsia="黑体"/>
          <w:snapToGrid w:val="0"/>
          <w:color w:val="auto"/>
          <w:szCs w:val="30"/>
          <w:u w:val="none" w:color="auto"/>
        </w:rPr>
        <w:t>一、建设项目基本情况</w:t>
      </w:r>
      <w:r>
        <w:rPr>
          <w:color w:val="auto"/>
          <w:u w:val="none" w:color="auto"/>
        </w:rPr>
        <w:tab/>
      </w:r>
      <w:r>
        <w:rPr>
          <w:color w:val="auto"/>
          <w:u w:val="none" w:color="auto"/>
        </w:rPr>
        <w:fldChar w:fldCharType="begin"/>
      </w:r>
      <w:r>
        <w:rPr>
          <w:color w:val="auto"/>
          <w:u w:val="none" w:color="auto"/>
        </w:rPr>
        <w:instrText xml:space="preserve"> PAGEREF _Toc16422 \h </w:instrText>
      </w:r>
      <w:r>
        <w:rPr>
          <w:color w:val="auto"/>
          <w:u w:val="none" w:color="auto"/>
        </w:rPr>
        <w:fldChar w:fldCharType="separate"/>
      </w:r>
      <w:r>
        <w:rPr>
          <w:color w:val="auto"/>
          <w:u w:val="none" w:color="auto"/>
        </w:rPr>
        <w:t>1</w:t>
      </w:r>
      <w:r>
        <w:rPr>
          <w:color w:val="auto"/>
          <w:u w:val="none" w:color="auto"/>
        </w:rPr>
        <w:fldChar w:fldCharType="end"/>
      </w:r>
      <w:r>
        <w:rPr>
          <w:color w:val="auto"/>
          <w:szCs w:val="24"/>
          <w:u w:val="none" w:color="auto"/>
        </w:rPr>
        <w:fldChar w:fldCharType="end"/>
      </w:r>
    </w:p>
    <w:p w14:paraId="18941959">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_Toc7578 </w:instrText>
      </w:r>
      <w:r>
        <w:rPr>
          <w:color w:val="auto"/>
          <w:szCs w:val="24"/>
          <w:u w:val="none" w:color="auto"/>
        </w:rPr>
        <w:fldChar w:fldCharType="separate"/>
      </w:r>
      <w:r>
        <w:rPr>
          <w:rFonts w:hint="eastAsia" w:ascii="黑体" w:hAnsi="黑体" w:eastAsia="黑体"/>
          <w:snapToGrid w:val="0"/>
          <w:color w:val="auto"/>
          <w:szCs w:val="30"/>
          <w:u w:val="none" w:color="auto"/>
        </w:rPr>
        <w:t>二、建设</w:t>
      </w:r>
      <w:r>
        <w:rPr>
          <w:rFonts w:hint="eastAsia" w:ascii="黑体" w:hAnsi="黑体" w:eastAsia="黑体"/>
          <w:snapToGrid w:val="0"/>
          <w:color w:val="auto"/>
          <w:szCs w:val="30"/>
          <w:u w:val="none" w:color="auto"/>
          <w:lang w:val="en-US" w:eastAsia="zh-CN"/>
        </w:rPr>
        <w:t>内容</w:t>
      </w:r>
      <w:r>
        <w:rPr>
          <w:color w:val="auto"/>
          <w:u w:val="none" w:color="auto"/>
        </w:rPr>
        <w:tab/>
      </w:r>
      <w:r>
        <w:rPr>
          <w:color w:val="auto"/>
          <w:u w:val="none" w:color="auto"/>
        </w:rPr>
        <w:fldChar w:fldCharType="begin"/>
      </w:r>
      <w:r>
        <w:rPr>
          <w:color w:val="auto"/>
          <w:u w:val="none" w:color="auto"/>
        </w:rPr>
        <w:instrText xml:space="preserve"> PAGEREF _Toc7578 \h </w:instrText>
      </w:r>
      <w:r>
        <w:rPr>
          <w:color w:val="auto"/>
          <w:u w:val="none" w:color="auto"/>
        </w:rPr>
        <w:fldChar w:fldCharType="separate"/>
      </w:r>
      <w:r>
        <w:rPr>
          <w:color w:val="auto"/>
          <w:u w:val="none" w:color="auto"/>
        </w:rPr>
        <w:t>12</w:t>
      </w:r>
      <w:r>
        <w:rPr>
          <w:color w:val="auto"/>
          <w:u w:val="none" w:color="auto"/>
        </w:rPr>
        <w:fldChar w:fldCharType="end"/>
      </w:r>
      <w:r>
        <w:rPr>
          <w:color w:val="auto"/>
          <w:szCs w:val="24"/>
          <w:u w:val="none" w:color="auto"/>
        </w:rPr>
        <w:fldChar w:fldCharType="end"/>
      </w:r>
    </w:p>
    <w:p w14:paraId="3D4D4953">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_Toc22819 </w:instrText>
      </w:r>
      <w:r>
        <w:rPr>
          <w:color w:val="auto"/>
          <w:szCs w:val="24"/>
          <w:u w:val="none" w:color="auto"/>
        </w:rPr>
        <w:fldChar w:fldCharType="separate"/>
      </w:r>
      <w:r>
        <w:rPr>
          <w:rFonts w:hint="eastAsia" w:ascii="黑体" w:hAnsi="黑体" w:eastAsia="黑体"/>
          <w:snapToGrid w:val="0"/>
          <w:color w:val="auto"/>
          <w:szCs w:val="30"/>
          <w:u w:val="none" w:color="auto"/>
        </w:rPr>
        <w:t>三、</w:t>
      </w:r>
      <w:r>
        <w:rPr>
          <w:rFonts w:hint="eastAsia" w:ascii="黑体" w:hAnsi="黑体" w:eastAsia="黑体"/>
          <w:snapToGrid w:val="0"/>
          <w:color w:val="auto"/>
          <w:szCs w:val="30"/>
          <w:u w:val="none" w:color="auto"/>
          <w:lang w:val="en-US" w:eastAsia="zh-CN"/>
        </w:rPr>
        <w:t>生态</w:t>
      </w:r>
      <w:r>
        <w:rPr>
          <w:rFonts w:hint="eastAsia" w:ascii="黑体" w:hAnsi="黑体" w:eastAsia="黑体"/>
          <w:snapToGrid w:val="0"/>
          <w:color w:val="auto"/>
          <w:szCs w:val="30"/>
          <w:u w:val="none" w:color="auto"/>
        </w:rPr>
        <w:t>环境现状、环境保护目标及评价标准</w:t>
      </w:r>
      <w:r>
        <w:rPr>
          <w:color w:val="auto"/>
          <w:u w:val="none" w:color="auto"/>
        </w:rPr>
        <w:tab/>
      </w:r>
      <w:r>
        <w:rPr>
          <w:color w:val="auto"/>
          <w:u w:val="none" w:color="auto"/>
        </w:rPr>
        <w:fldChar w:fldCharType="begin"/>
      </w:r>
      <w:r>
        <w:rPr>
          <w:color w:val="auto"/>
          <w:u w:val="none" w:color="auto"/>
        </w:rPr>
        <w:instrText xml:space="preserve"> PAGEREF _Toc22819 \h </w:instrText>
      </w:r>
      <w:r>
        <w:rPr>
          <w:color w:val="auto"/>
          <w:u w:val="none" w:color="auto"/>
        </w:rPr>
        <w:fldChar w:fldCharType="separate"/>
      </w:r>
      <w:r>
        <w:rPr>
          <w:color w:val="auto"/>
          <w:u w:val="none" w:color="auto"/>
        </w:rPr>
        <w:t>26</w:t>
      </w:r>
      <w:r>
        <w:rPr>
          <w:color w:val="auto"/>
          <w:u w:val="none" w:color="auto"/>
        </w:rPr>
        <w:fldChar w:fldCharType="end"/>
      </w:r>
      <w:r>
        <w:rPr>
          <w:color w:val="auto"/>
          <w:szCs w:val="24"/>
          <w:u w:val="none" w:color="auto"/>
        </w:rPr>
        <w:fldChar w:fldCharType="end"/>
      </w:r>
    </w:p>
    <w:p w14:paraId="399B4C8F">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_Toc14657 </w:instrText>
      </w:r>
      <w:r>
        <w:rPr>
          <w:color w:val="auto"/>
          <w:szCs w:val="24"/>
          <w:u w:val="none" w:color="auto"/>
        </w:rPr>
        <w:fldChar w:fldCharType="separate"/>
      </w:r>
      <w:r>
        <w:rPr>
          <w:rFonts w:hint="eastAsia" w:ascii="黑体" w:hAnsi="黑体" w:eastAsia="黑体"/>
          <w:snapToGrid w:val="0"/>
          <w:color w:val="auto"/>
          <w:szCs w:val="30"/>
          <w:u w:val="none" w:color="auto"/>
        </w:rPr>
        <w:t>四、</w:t>
      </w:r>
      <w:r>
        <w:rPr>
          <w:rFonts w:hint="eastAsia" w:ascii="黑体" w:hAnsi="黑体" w:eastAsia="黑体"/>
          <w:snapToGrid w:val="0"/>
          <w:color w:val="auto"/>
          <w:szCs w:val="30"/>
          <w:u w:val="none" w:color="auto"/>
          <w:lang w:val="en-US" w:eastAsia="zh-CN"/>
        </w:rPr>
        <w:t>生态环境影响分析</w:t>
      </w:r>
      <w:r>
        <w:rPr>
          <w:color w:val="auto"/>
          <w:u w:val="none" w:color="auto"/>
        </w:rPr>
        <w:tab/>
      </w:r>
      <w:r>
        <w:rPr>
          <w:color w:val="auto"/>
          <w:u w:val="none" w:color="auto"/>
        </w:rPr>
        <w:fldChar w:fldCharType="begin"/>
      </w:r>
      <w:r>
        <w:rPr>
          <w:color w:val="auto"/>
          <w:u w:val="none" w:color="auto"/>
        </w:rPr>
        <w:instrText xml:space="preserve"> PAGEREF _Toc14657 \h </w:instrText>
      </w:r>
      <w:r>
        <w:rPr>
          <w:color w:val="auto"/>
          <w:u w:val="none" w:color="auto"/>
        </w:rPr>
        <w:fldChar w:fldCharType="separate"/>
      </w:r>
      <w:r>
        <w:rPr>
          <w:color w:val="auto"/>
          <w:u w:val="none" w:color="auto"/>
        </w:rPr>
        <w:t>33</w:t>
      </w:r>
      <w:r>
        <w:rPr>
          <w:color w:val="auto"/>
          <w:u w:val="none" w:color="auto"/>
        </w:rPr>
        <w:fldChar w:fldCharType="end"/>
      </w:r>
      <w:r>
        <w:rPr>
          <w:color w:val="auto"/>
          <w:szCs w:val="24"/>
          <w:u w:val="none" w:color="auto"/>
        </w:rPr>
        <w:fldChar w:fldCharType="end"/>
      </w:r>
    </w:p>
    <w:p w14:paraId="5A255D1F">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_Toc18186 </w:instrText>
      </w:r>
      <w:r>
        <w:rPr>
          <w:color w:val="auto"/>
          <w:szCs w:val="24"/>
          <w:u w:val="none" w:color="auto"/>
        </w:rPr>
        <w:fldChar w:fldCharType="separate"/>
      </w:r>
      <w:r>
        <w:rPr>
          <w:rFonts w:hint="eastAsia" w:ascii="黑体" w:hAnsi="黑体" w:eastAsia="黑体"/>
          <w:snapToGrid w:val="0"/>
          <w:color w:val="auto"/>
          <w:szCs w:val="30"/>
          <w:u w:val="none" w:color="auto"/>
        </w:rPr>
        <w:t>五、</w:t>
      </w:r>
      <w:r>
        <w:rPr>
          <w:rFonts w:hint="eastAsia" w:ascii="黑体" w:hAnsi="黑体" w:eastAsia="黑体"/>
          <w:snapToGrid w:val="0"/>
          <w:color w:val="auto"/>
          <w:szCs w:val="30"/>
          <w:u w:val="none" w:color="auto"/>
          <w:lang w:val="en-US" w:eastAsia="zh-CN"/>
        </w:rPr>
        <w:t>主要生态环境保护措施</w:t>
      </w:r>
      <w:r>
        <w:rPr>
          <w:color w:val="auto"/>
          <w:u w:val="none" w:color="auto"/>
        </w:rPr>
        <w:tab/>
      </w:r>
      <w:r>
        <w:rPr>
          <w:color w:val="auto"/>
          <w:u w:val="none" w:color="auto"/>
        </w:rPr>
        <w:fldChar w:fldCharType="begin"/>
      </w:r>
      <w:r>
        <w:rPr>
          <w:color w:val="auto"/>
          <w:u w:val="none" w:color="auto"/>
        </w:rPr>
        <w:instrText xml:space="preserve"> PAGEREF _Toc18186 \h </w:instrText>
      </w:r>
      <w:r>
        <w:rPr>
          <w:color w:val="auto"/>
          <w:u w:val="none" w:color="auto"/>
        </w:rPr>
        <w:fldChar w:fldCharType="separate"/>
      </w:r>
      <w:r>
        <w:rPr>
          <w:color w:val="auto"/>
          <w:u w:val="none" w:color="auto"/>
        </w:rPr>
        <w:t>59</w:t>
      </w:r>
      <w:r>
        <w:rPr>
          <w:color w:val="auto"/>
          <w:u w:val="none" w:color="auto"/>
        </w:rPr>
        <w:fldChar w:fldCharType="end"/>
      </w:r>
      <w:r>
        <w:rPr>
          <w:color w:val="auto"/>
          <w:szCs w:val="24"/>
          <w:u w:val="none" w:color="auto"/>
        </w:rPr>
        <w:fldChar w:fldCharType="end"/>
      </w:r>
    </w:p>
    <w:p w14:paraId="3538E590">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_Toc26575 </w:instrText>
      </w:r>
      <w:r>
        <w:rPr>
          <w:color w:val="auto"/>
          <w:szCs w:val="24"/>
          <w:u w:val="none" w:color="auto"/>
        </w:rPr>
        <w:fldChar w:fldCharType="separate"/>
      </w:r>
      <w:r>
        <w:rPr>
          <w:rFonts w:hint="eastAsia" w:ascii="Times New Roman" w:hAnsi="Times New Roman" w:eastAsia="黑体" w:cs="Times New Roman"/>
          <w:snapToGrid w:val="0"/>
          <w:color w:val="auto"/>
          <w:szCs w:val="30"/>
          <w:u w:val="none" w:color="auto"/>
        </w:rPr>
        <w:t xml:space="preserve">六、 </w:t>
      </w:r>
      <w:r>
        <w:rPr>
          <w:rFonts w:hint="default" w:ascii="Times New Roman" w:hAnsi="Times New Roman" w:eastAsia="黑体" w:cs="Times New Roman"/>
          <w:snapToGrid w:val="0"/>
          <w:color w:val="auto"/>
          <w:szCs w:val="30"/>
          <w:u w:val="none" w:color="auto"/>
        </w:rPr>
        <w:t>生态环境保护措施监督检查清单</w:t>
      </w:r>
      <w:r>
        <w:rPr>
          <w:color w:val="auto"/>
          <w:u w:val="none" w:color="auto"/>
        </w:rPr>
        <w:tab/>
      </w:r>
      <w:r>
        <w:rPr>
          <w:color w:val="auto"/>
          <w:u w:val="none" w:color="auto"/>
        </w:rPr>
        <w:fldChar w:fldCharType="begin"/>
      </w:r>
      <w:r>
        <w:rPr>
          <w:color w:val="auto"/>
          <w:u w:val="none" w:color="auto"/>
        </w:rPr>
        <w:instrText xml:space="preserve"> PAGEREF _Toc26575 \h </w:instrText>
      </w:r>
      <w:r>
        <w:rPr>
          <w:color w:val="auto"/>
          <w:u w:val="none" w:color="auto"/>
        </w:rPr>
        <w:fldChar w:fldCharType="separate"/>
      </w:r>
      <w:r>
        <w:rPr>
          <w:color w:val="auto"/>
          <w:u w:val="none" w:color="auto"/>
        </w:rPr>
        <w:t>70</w:t>
      </w:r>
      <w:r>
        <w:rPr>
          <w:color w:val="auto"/>
          <w:u w:val="none" w:color="auto"/>
        </w:rPr>
        <w:fldChar w:fldCharType="end"/>
      </w:r>
      <w:r>
        <w:rPr>
          <w:color w:val="auto"/>
          <w:szCs w:val="24"/>
          <w:u w:val="none" w:color="auto"/>
        </w:rPr>
        <w:fldChar w:fldCharType="end"/>
      </w:r>
    </w:p>
    <w:p w14:paraId="1FE52810">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_Toc30737 </w:instrText>
      </w:r>
      <w:r>
        <w:rPr>
          <w:color w:val="auto"/>
          <w:szCs w:val="24"/>
          <w:u w:val="none" w:color="auto"/>
        </w:rPr>
        <w:fldChar w:fldCharType="separate"/>
      </w:r>
      <w:r>
        <w:rPr>
          <w:rFonts w:hint="eastAsia"/>
          <w:bCs/>
          <w:snapToGrid w:val="0"/>
          <w:color w:val="auto"/>
          <w:u w:val="none" w:color="auto"/>
          <w:lang w:val="en-US" w:eastAsia="zh-CN"/>
        </w:rPr>
        <w:t>七</w:t>
      </w:r>
      <w:r>
        <w:rPr>
          <w:rFonts w:hint="eastAsia" w:ascii="黑体" w:hAnsi="黑体" w:eastAsia="黑体"/>
          <w:bCs/>
          <w:snapToGrid w:val="0"/>
          <w:color w:val="auto"/>
          <w:szCs w:val="30"/>
          <w:u w:val="none" w:color="auto"/>
        </w:rPr>
        <w:t>、结论</w:t>
      </w:r>
      <w:r>
        <w:rPr>
          <w:color w:val="auto"/>
          <w:u w:val="none" w:color="auto"/>
        </w:rPr>
        <w:tab/>
      </w:r>
      <w:r>
        <w:rPr>
          <w:color w:val="auto"/>
          <w:u w:val="none" w:color="auto"/>
        </w:rPr>
        <w:fldChar w:fldCharType="begin"/>
      </w:r>
      <w:r>
        <w:rPr>
          <w:color w:val="auto"/>
          <w:u w:val="none" w:color="auto"/>
        </w:rPr>
        <w:instrText xml:space="preserve"> PAGEREF _Toc30737 \h </w:instrText>
      </w:r>
      <w:r>
        <w:rPr>
          <w:color w:val="auto"/>
          <w:u w:val="none" w:color="auto"/>
        </w:rPr>
        <w:fldChar w:fldCharType="separate"/>
      </w:r>
      <w:r>
        <w:rPr>
          <w:color w:val="auto"/>
          <w:u w:val="none" w:color="auto"/>
        </w:rPr>
        <w:t>71</w:t>
      </w:r>
      <w:r>
        <w:rPr>
          <w:color w:val="auto"/>
          <w:u w:val="none" w:color="auto"/>
        </w:rPr>
        <w:fldChar w:fldCharType="end"/>
      </w:r>
      <w:r>
        <w:rPr>
          <w:color w:val="auto"/>
          <w:szCs w:val="24"/>
          <w:u w:val="none" w:color="auto"/>
        </w:rPr>
        <w:fldChar w:fldCharType="end"/>
      </w:r>
    </w:p>
    <w:p w14:paraId="2ED3C09F">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_Toc26270 </w:instrText>
      </w:r>
      <w:r>
        <w:rPr>
          <w:color w:val="auto"/>
          <w:szCs w:val="24"/>
          <w:u w:val="none" w:color="auto"/>
        </w:rPr>
        <w:fldChar w:fldCharType="separate"/>
      </w:r>
      <w:r>
        <w:rPr>
          <w:rFonts w:hint="eastAsia" w:ascii="方正小标宋_GBK" w:hAnsi="黑体" w:eastAsia="方正小标宋_GBK"/>
          <w:snapToGrid w:val="0"/>
          <w:color w:val="auto"/>
          <w:kern w:val="0"/>
          <w:szCs w:val="38"/>
          <w:u w:val="none" w:color="auto"/>
        </w:rPr>
        <w:t>附图</w:t>
      </w:r>
      <w:r>
        <w:rPr>
          <w:color w:val="auto"/>
          <w:u w:val="none" w:color="auto"/>
        </w:rPr>
        <w:tab/>
      </w:r>
      <w:r>
        <w:rPr>
          <w:color w:val="auto"/>
          <w:u w:val="none" w:color="auto"/>
        </w:rPr>
        <w:fldChar w:fldCharType="begin"/>
      </w:r>
      <w:r>
        <w:rPr>
          <w:color w:val="auto"/>
          <w:u w:val="none" w:color="auto"/>
        </w:rPr>
        <w:instrText xml:space="preserve"> PAGEREF _Toc26270 \h </w:instrText>
      </w:r>
      <w:r>
        <w:rPr>
          <w:color w:val="auto"/>
          <w:u w:val="none" w:color="auto"/>
        </w:rPr>
        <w:fldChar w:fldCharType="separate"/>
      </w:r>
      <w:r>
        <w:rPr>
          <w:color w:val="auto"/>
          <w:u w:val="none" w:color="auto"/>
        </w:rPr>
        <w:t>72</w:t>
      </w:r>
      <w:r>
        <w:rPr>
          <w:color w:val="auto"/>
          <w:u w:val="none" w:color="auto"/>
        </w:rPr>
        <w:fldChar w:fldCharType="end"/>
      </w:r>
      <w:r>
        <w:rPr>
          <w:color w:val="auto"/>
          <w:szCs w:val="24"/>
          <w:u w:val="none" w:color="auto"/>
        </w:rPr>
        <w:fldChar w:fldCharType="end"/>
      </w:r>
    </w:p>
    <w:p w14:paraId="53BF6E72">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_Toc14292 </w:instrText>
      </w:r>
      <w:r>
        <w:rPr>
          <w:color w:val="auto"/>
          <w:szCs w:val="24"/>
          <w:u w:val="none" w:color="auto"/>
        </w:rPr>
        <w:fldChar w:fldCharType="separate"/>
      </w:r>
      <w:r>
        <w:rPr>
          <w:bCs/>
          <w:color w:val="auto"/>
          <w:szCs w:val="28"/>
          <w:u w:val="none" w:color="auto"/>
        </w:rPr>
        <w:t>附图1 项目地理位置图</w:t>
      </w:r>
      <w:r>
        <w:rPr>
          <w:color w:val="auto"/>
          <w:u w:val="none" w:color="auto"/>
        </w:rPr>
        <w:tab/>
      </w:r>
      <w:r>
        <w:rPr>
          <w:color w:val="auto"/>
          <w:u w:val="none" w:color="auto"/>
        </w:rPr>
        <w:fldChar w:fldCharType="begin"/>
      </w:r>
      <w:r>
        <w:rPr>
          <w:color w:val="auto"/>
          <w:u w:val="none" w:color="auto"/>
        </w:rPr>
        <w:instrText xml:space="preserve"> PAGEREF _Toc14292 \h </w:instrText>
      </w:r>
      <w:r>
        <w:rPr>
          <w:color w:val="auto"/>
          <w:u w:val="none" w:color="auto"/>
        </w:rPr>
        <w:fldChar w:fldCharType="separate"/>
      </w:r>
      <w:r>
        <w:rPr>
          <w:color w:val="auto"/>
          <w:u w:val="none" w:color="auto"/>
        </w:rPr>
        <w:t>72</w:t>
      </w:r>
      <w:r>
        <w:rPr>
          <w:color w:val="auto"/>
          <w:u w:val="none" w:color="auto"/>
        </w:rPr>
        <w:fldChar w:fldCharType="end"/>
      </w:r>
      <w:r>
        <w:rPr>
          <w:color w:val="auto"/>
          <w:szCs w:val="24"/>
          <w:u w:val="none" w:color="auto"/>
        </w:rPr>
        <w:fldChar w:fldCharType="end"/>
      </w:r>
    </w:p>
    <w:p w14:paraId="5880FAB1">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_Toc7238 </w:instrText>
      </w:r>
      <w:r>
        <w:rPr>
          <w:color w:val="auto"/>
          <w:szCs w:val="24"/>
          <w:u w:val="none" w:color="auto"/>
        </w:rPr>
        <w:fldChar w:fldCharType="separate"/>
      </w:r>
      <w:r>
        <w:rPr>
          <w:bCs/>
          <w:color w:val="auto"/>
          <w:szCs w:val="28"/>
          <w:u w:val="none" w:color="auto"/>
        </w:rPr>
        <w:t xml:space="preserve">附图2 </w:t>
      </w:r>
      <w:r>
        <w:rPr>
          <w:rFonts w:hint="eastAsia"/>
          <w:bCs/>
          <w:color w:val="auto"/>
          <w:szCs w:val="28"/>
          <w:u w:val="none" w:color="auto"/>
          <w:lang w:val="en-US" w:eastAsia="zh-CN"/>
        </w:rPr>
        <w:t>项目</w:t>
      </w:r>
      <w:r>
        <w:rPr>
          <w:bCs/>
          <w:color w:val="auto"/>
          <w:szCs w:val="28"/>
          <w:u w:val="none" w:color="auto"/>
        </w:rPr>
        <w:t>平面布置图</w:t>
      </w:r>
      <w:r>
        <w:rPr>
          <w:color w:val="auto"/>
          <w:u w:val="none" w:color="auto"/>
        </w:rPr>
        <w:tab/>
      </w:r>
      <w:r>
        <w:rPr>
          <w:color w:val="auto"/>
          <w:u w:val="none" w:color="auto"/>
        </w:rPr>
        <w:fldChar w:fldCharType="begin"/>
      </w:r>
      <w:r>
        <w:rPr>
          <w:color w:val="auto"/>
          <w:u w:val="none" w:color="auto"/>
        </w:rPr>
        <w:instrText xml:space="preserve"> PAGEREF _Toc7238 \h </w:instrText>
      </w:r>
      <w:r>
        <w:rPr>
          <w:color w:val="auto"/>
          <w:u w:val="none" w:color="auto"/>
        </w:rPr>
        <w:fldChar w:fldCharType="separate"/>
      </w:r>
      <w:r>
        <w:rPr>
          <w:color w:val="auto"/>
          <w:u w:val="none" w:color="auto"/>
        </w:rPr>
        <w:t>73</w:t>
      </w:r>
      <w:r>
        <w:rPr>
          <w:color w:val="auto"/>
          <w:u w:val="none" w:color="auto"/>
        </w:rPr>
        <w:fldChar w:fldCharType="end"/>
      </w:r>
      <w:r>
        <w:rPr>
          <w:color w:val="auto"/>
          <w:szCs w:val="24"/>
          <w:u w:val="none" w:color="auto"/>
        </w:rPr>
        <w:fldChar w:fldCharType="end"/>
      </w:r>
    </w:p>
    <w:p w14:paraId="5A5C5AC5">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_Toc2185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rPr>
        <w:t>3</w:t>
      </w:r>
      <w:r>
        <w:rPr>
          <w:bCs/>
          <w:color w:val="auto"/>
          <w:szCs w:val="28"/>
          <w:u w:val="none" w:color="auto"/>
        </w:rPr>
        <w:t xml:space="preserve"> </w:t>
      </w:r>
      <w:r>
        <w:rPr>
          <w:rFonts w:hint="eastAsia"/>
          <w:bCs/>
          <w:color w:val="auto"/>
          <w:szCs w:val="28"/>
          <w:u w:val="none" w:color="auto"/>
        </w:rPr>
        <w:t>项目周边环境及敏感目标</w:t>
      </w:r>
      <w:r>
        <w:rPr>
          <w:bCs/>
          <w:color w:val="auto"/>
          <w:szCs w:val="28"/>
          <w:u w:val="none" w:color="auto"/>
        </w:rPr>
        <w:t>图</w:t>
      </w:r>
      <w:r>
        <w:rPr>
          <w:color w:val="auto"/>
          <w:u w:val="none" w:color="auto"/>
        </w:rPr>
        <w:tab/>
      </w:r>
      <w:r>
        <w:rPr>
          <w:color w:val="auto"/>
          <w:u w:val="none" w:color="auto"/>
        </w:rPr>
        <w:fldChar w:fldCharType="begin"/>
      </w:r>
      <w:r>
        <w:rPr>
          <w:color w:val="auto"/>
          <w:u w:val="none" w:color="auto"/>
        </w:rPr>
        <w:instrText xml:space="preserve"> PAGEREF _Toc2185 \h </w:instrText>
      </w:r>
      <w:r>
        <w:rPr>
          <w:color w:val="auto"/>
          <w:u w:val="none" w:color="auto"/>
        </w:rPr>
        <w:fldChar w:fldCharType="separate"/>
      </w:r>
      <w:r>
        <w:rPr>
          <w:color w:val="auto"/>
          <w:u w:val="none" w:color="auto"/>
        </w:rPr>
        <w:t>74</w:t>
      </w:r>
      <w:r>
        <w:rPr>
          <w:color w:val="auto"/>
          <w:u w:val="none" w:color="auto"/>
        </w:rPr>
        <w:fldChar w:fldCharType="end"/>
      </w:r>
      <w:r>
        <w:rPr>
          <w:color w:val="auto"/>
          <w:szCs w:val="24"/>
          <w:u w:val="none" w:color="auto"/>
        </w:rPr>
        <w:fldChar w:fldCharType="end"/>
      </w:r>
    </w:p>
    <w:p w14:paraId="3FB76E3B">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_Toc20729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4</w:t>
      </w:r>
      <w:r>
        <w:rPr>
          <w:bCs/>
          <w:color w:val="auto"/>
          <w:szCs w:val="28"/>
          <w:u w:val="none" w:color="auto"/>
        </w:rPr>
        <w:t xml:space="preserve"> </w:t>
      </w:r>
      <w:r>
        <w:rPr>
          <w:rFonts w:hint="eastAsia"/>
          <w:bCs/>
          <w:color w:val="auto"/>
          <w:szCs w:val="28"/>
          <w:u w:val="none" w:color="auto"/>
          <w:lang w:val="en-US" w:eastAsia="zh-CN"/>
        </w:rPr>
        <w:t>噪声监测布点</w:t>
      </w:r>
      <w:r>
        <w:rPr>
          <w:bCs/>
          <w:color w:val="auto"/>
          <w:szCs w:val="28"/>
          <w:u w:val="none" w:color="auto"/>
        </w:rPr>
        <w:t>图</w:t>
      </w:r>
      <w:r>
        <w:rPr>
          <w:color w:val="auto"/>
          <w:u w:val="none" w:color="auto"/>
        </w:rPr>
        <w:tab/>
      </w:r>
      <w:r>
        <w:rPr>
          <w:color w:val="auto"/>
          <w:u w:val="none" w:color="auto"/>
        </w:rPr>
        <w:fldChar w:fldCharType="begin"/>
      </w:r>
      <w:r>
        <w:rPr>
          <w:color w:val="auto"/>
          <w:u w:val="none" w:color="auto"/>
        </w:rPr>
        <w:instrText xml:space="preserve"> PAGEREF _Toc20729 \h </w:instrText>
      </w:r>
      <w:r>
        <w:rPr>
          <w:color w:val="auto"/>
          <w:u w:val="none" w:color="auto"/>
        </w:rPr>
        <w:fldChar w:fldCharType="separate"/>
      </w:r>
      <w:r>
        <w:rPr>
          <w:color w:val="auto"/>
          <w:u w:val="none" w:color="auto"/>
        </w:rPr>
        <w:t>75</w:t>
      </w:r>
      <w:r>
        <w:rPr>
          <w:color w:val="auto"/>
          <w:u w:val="none" w:color="auto"/>
        </w:rPr>
        <w:fldChar w:fldCharType="end"/>
      </w:r>
      <w:r>
        <w:rPr>
          <w:color w:val="auto"/>
          <w:szCs w:val="24"/>
          <w:u w:val="none" w:color="auto"/>
        </w:rPr>
        <w:fldChar w:fldCharType="end"/>
      </w:r>
    </w:p>
    <w:p w14:paraId="0303B895">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_Toc4071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5</w:t>
      </w:r>
      <w:r>
        <w:rPr>
          <w:bCs/>
          <w:color w:val="auto"/>
          <w:szCs w:val="28"/>
          <w:u w:val="none" w:color="auto"/>
        </w:rPr>
        <w:t xml:space="preserve"> </w:t>
      </w:r>
      <w:r>
        <w:rPr>
          <w:rFonts w:hint="eastAsia"/>
          <w:bCs/>
          <w:color w:val="auto"/>
          <w:szCs w:val="28"/>
          <w:u w:val="none" w:color="auto"/>
          <w:lang w:val="en-US" w:eastAsia="zh-CN"/>
        </w:rPr>
        <w:t>本项目与湖南东洞庭湖国家级自然保护区位置示意图（调整前及调整后）</w:t>
      </w:r>
      <w:r>
        <w:rPr>
          <w:color w:val="auto"/>
          <w:u w:val="none" w:color="auto"/>
        </w:rPr>
        <w:tab/>
      </w:r>
      <w:r>
        <w:rPr>
          <w:color w:val="auto"/>
          <w:u w:val="none" w:color="auto"/>
        </w:rPr>
        <w:fldChar w:fldCharType="begin"/>
      </w:r>
      <w:r>
        <w:rPr>
          <w:color w:val="auto"/>
          <w:u w:val="none" w:color="auto"/>
        </w:rPr>
        <w:instrText xml:space="preserve"> PAGEREF _Toc4071 \h </w:instrText>
      </w:r>
      <w:r>
        <w:rPr>
          <w:color w:val="auto"/>
          <w:u w:val="none" w:color="auto"/>
        </w:rPr>
        <w:fldChar w:fldCharType="separate"/>
      </w:r>
      <w:r>
        <w:rPr>
          <w:color w:val="auto"/>
          <w:u w:val="none" w:color="auto"/>
        </w:rPr>
        <w:t>76</w:t>
      </w:r>
      <w:r>
        <w:rPr>
          <w:color w:val="auto"/>
          <w:u w:val="none" w:color="auto"/>
        </w:rPr>
        <w:fldChar w:fldCharType="end"/>
      </w:r>
      <w:r>
        <w:rPr>
          <w:color w:val="auto"/>
          <w:szCs w:val="24"/>
          <w:u w:val="none" w:color="auto"/>
        </w:rPr>
        <w:fldChar w:fldCharType="end"/>
      </w:r>
    </w:p>
    <w:p w14:paraId="23680782">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_Toc14348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7</w:t>
      </w:r>
      <w:r>
        <w:rPr>
          <w:bCs/>
          <w:color w:val="auto"/>
          <w:szCs w:val="28"/>
          <w:u w:val="none" w:color="auto"/>
        </w:rPr>
        <w:t xml:space="preserve"> </w:t>
      </w:r>
      <w:r>
        <w:rPr>
          <w:rFonts w:hint="eastAsia"/>
          <w:bCs/>
          <w:color w:val="auto"/>
          <w:szCs w:val="28"/>
          <w:u w:val="none" w:color="auto"/>
          <w:lang w:val="en-US" w:eastAsia="zh-CN"/>
        </w:rPr>
        <w:t>项目及周边区域植被分布图</w:t>
      </w:r>
      <w:r>
        <w:rPr>
          <w:color w:val="auto"/>
          <w:u w:val="none" w:color="auto"/>
        </w:rPr>
        <w:tab/>
      </w:r>
      <w:r>
        <w:rPr>
          <w:color w:val="auto"/>
          <w:u w:val="none" w:color="auto"/>
        </w:rPr>
        <w:fldChar w:fldCharType="begin"/>
      </w:r>
      <w:r>
        <w:rPr>
          <w:color w:val="auto"/>
          <w:u w:val="none" w:color="auto"/>
        </w:rPr>
        <w:instrText xml:space="preserve"> PAGEREF _Toc14348 \h </w:instrText>
      </w:r>
      <w:r>
        <w:rPr>
          <w:color w:val="auto"/>
          <w:u w:val="none" w:color="auto"/>
        </w:rPr>
        <w:fldChar w:fldCharType="separate"/>
      </w:r>
      <w:r>
        <w:rPr>
          <w:color w:val="auto"/>
          <w:u w:val="none" w:color="auto"/>
        </w:rPr>
        <w:t>80</w:t>
      </w:r>
      <w:r>
        <w:rPr>
          <w:color w:val="auto"/>
          <w:u w:val="none" w:color="auto"/>
        </w:rPr>
        <w:fldChar w:fldCharType="end"/>
      </w:r>
      <w:r>
        <w:rPr>
          <w:color w:val="auto"/>
          <w:szCs w:val="24"/>
          <w:u w:val="none" w:color="auto"/>
        </w:rPr>
        <w:fldChar w:fldCharType="end"/>
      </w:r>
    </w:p>
    <w:p w14:paraId="35DD1239">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_Toc27558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8</w:t>
      </w:r>
      <w:r>
        <w:rPr>
          <w:bCs/>
          <w:color w:val="auto"/>
          <w:szCs w:val="28"/>
          <w:u w:val="none" w:color="auto"/>
        </w:rPr>
        <w:t xml:space="preserve"> </w:t>
      </w:r>
      <w:r>
        <w:rPr>
          <w:rFonts w:hint="eastAsia"/>
          <w:bCs/>
          <w:color w:val="auto"/>
          <w:szCs w:val="28"/>
          <w:u w:val="none" w:color="auto"/>
          <w:lang w:val="en-US" w:eastAsia="zh-CN"/>
        </w:rPr>
        <w:t>项目三区三线套合图</w:t>
      </w:r>
      <w:r>
        <w:rPr>
          <w:color w:val="auto"/>
          <w:u w:val="none" w:color="auto"/>
        </w:rPr>
        <w:tab/>
      </w:r>
      <w:r>
        <w:rPr>
          <w:color w:val="auto"/>
          <w:u w:val="none" w:color="auto"/>
        </w:rPr>
        <w:fldChar w:fldCharType="begin"/>
      </w:r>
      <w:r>
        <w:rPr>
          <w:color w:val="auto"/>
          <w:u w:val="none" w:color="auto"/>
        </w:rPr>
        <w:instrText xml:space="preserve"> PAGEREF _Toc27558 \h </w:instrText>
      </w:r>
      <w:r>
        <w:rPr>
          <w:color w:val="auto"/>
          <w:u w:val="none" w:color="auto"/>
        </w:rPr>
        <w:fldChar w:fldCharType="separate"/>
      </w:r>
      <w:r>
        <w:rPr>
          <w:color w:val="auto"/>
          <w:u w:val="none" w:color="auto"/>
        </w:rPr>
        <w:t>81</w:t>
      </w:r>
      <w:r>
        <w:rPr>
          <w:color w:val="auto"/>
          <w:u w:val="none" w:color="auto"/>
        </w:rPr>
        <w:fldChar w:fldCharType="end"/>
      </w:r>
      <w:r>
        <w:rPr>
          <w:color w:val="auto"/>
          <w:szCs w:val="24"/>
          <w:u w:val="none" w:color="auto"/>
        </w:rPr>
        <w:fldChar w:fldCharType="end"/>
      </w:r>
    </w:p>
    <w:p w14:paraId="251C7D85">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_Toc1773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9</w:t>
      </w:r>
      <w:r>
        <w:rPr>
          <w:bCs/>
          <w:color w:val="auto"/>
          <w:szCs w:val="28"/>
          <w:u w:val="none" w:color="auto"/>
        </w:rPr>
        <w:t xml:space="preserve"> </w:t>
      </w:r>
      <w:r>
        <w:rPr>
          <w:rFonts w:hint="eastAsia"/>
          <w:bCs/>
          <w:color w:val="auto"/>
          <w:szCs w:val="28"/>
          <w:u w:val="none" w:color="auto"/>
          <w:lang w:val="en-US" w:eastAsia="zh-CN"/>
        </w:rPr>
        <w:t>项目调查样方调查分布图</w:t>
      </w:r>
      <w:r>
        <w:rPr>
          <w:color w:val="auto"/>
          <w:u w:val="none" w:color="auto"/>
        </w:rPr>
        <w:tab/>
      </w:r>
      <w:r>
        <w:rPr>
          <w:color w:val="auto"/>
          <w:u w:val="none" w:color="auto"/>
        </w:rPr>
        <w:fldChar w:fldCharType="begin"/>
      </w:r>
      <w:r>
        <w:rPr>
          <w:color w:val="auto"/>
          <w:u w:val="none" w:color="auto"/>
        </w:rPr>
        <w:instrText xml:space="preserve"> PAGEREF _Toc1773 \h </w:instrText>
      </w:r>
      <w:r>
        <w:rPr>
          <w:color w:val="auto"/>
          <w:u w:val="none" w:color="auto"/>
        </w:rPr>
        <w:fldChar w:fldCharType="separate"/>
      </w:r>
      <w:r>
        <w:rPr>
          <w:color w:val="auto"/>
          <w:u w:val="none" w:color="auto"/>
        </w:rPr>
        <w:t>82</w:t>
      </w:r>
      <w:r>
        <w:rPr>
          <w:color w:val="auto"/>
          <w:u w:val="none" w:color="auto"/>
        </w:rPr>
        <w:fldChar w:fldCharType="end"/>
      </w:r>
      <w:r>
        <w:rPr>
          <w:color w:val="auto"/>
          <w:szCs w:val="24"/>
          <w:u w:val="none" w:color="auto"/>
        </w:rPr>
        <w:fldChar w:fldCharType="end"/>
      </w:r>
    </w:p>
    <w:p w14:paraId="1B0FCC79">
      <w:pPr>
        <w:pStyle w:val="20"/>
        <w:tabs>
          <w:tab w:val="right" w:leader="dot" w:pos="8844"/>
        </w:tabs>
        <w:rPr>
          <w:color w:val="auto"/>
          <w:szCs w:val="24"/>
          <w:u w:val="none" w:color="auto"/>
        </w:rPr>
      </w:pPr>
      <w:r>
        <w:rPr>
          <w:rFonts w:hint="eastAsia"/>
          <w:color w:val="auto"/>
          <w:u w:val="none" w:color="auto"/>
          <w:lang w:val="en-US" w:eastAsia="zh-CN"/>
        </w:rPr>
        <w:t>附图10 项目及周边生态系统类型图</w:t>
      </w:r>
      <w:r>
        <w:rPr>
          <w:color w:val="auto"/>
          <w:u w:val="none" w:color="auto"/>
        </w:rPr>
        <w:tab/>
      </w:r>
      <w:r>
        <w:rPr>
          <w:color w:val="auto"/>
          <w:u w:val="none" w:color="auto"/>
        </w:rPr>
        <w:fldChar w:fldCharType="begin"/>
      </w:r>
      <w:r>
        <w:rPr>
          <w:color w:val="auto"/>
          <w:u w:val="none" w:color="auto"/>
        </w:rPr>
        <w:instrText xml:space="preserve"> PAGEREF _Toc1773 \h </w:instrText>
      </w:r>
      <w:r>
        <w:rPr>
          <w:color w:val="auto"/>
          <w:u w:val="none" w:color="auto"/>
        </w:rPr>
        <w:fldChar w:fldCharType="separate"/>
      </w:r>
      <w:r>
        <w:rPr>
          <w:color w:val="auto"/>
          <w:u w:val="none" w:color="auto"/>
        </w:rPr>
        <w:t>82</w:t>
      </w:r>
      <w:r>
        <w:rPr>
          <w:color w:val="auto"/>
          <w:u w:val="none" w:color="auto"/>
        </w:rPr>
        <w:fldChar w:fldCharType="end"/>
      </w:r>
    </w:p>
    <w:p w14:paraId="21292E50">
      <w:pPr>
        <w:pStyle w:val="20"/>
        <w:tabs>
          <w:tab w:val="right" w:leader="dot" w:pos="8844"/>
        </w:tabs>
        <w:rPr>
          <w:color w:val="auto"/>
          <w:szCs w:val="24"/>
          <w:u w:val="none" w:color="auto"/>
        </w:rPr>
      </w:pPr>
      <w:r>
        <w:rPr>
          <w:color w:val="auto"/>
          <w:szCs w:val="24"/>
          <w:u w:val="none" w:color="auto"/>
        </w:rPr>
        <w:fldChar w:fldCharType="begin"/>
      </w:r>
      <w:r>
        <w:rPr>
          <w:color w:val="auto"/>
          <w:szCs w:val="24"/>
          <w:u w:val="none" w:color="auto"/>
        </w:rPr>
        <w:instrText xml:space="preserve"> HYPERLINK \l _Toc9285 </w:instrText>
      </w:r>
      <w:r>
        <w:rPr>
          <w:color w:val="auto"/>
          <w:szCs w:val="24"/>
          <w:u w:val="none" w:color="auto"/>
        </w:rPr>
        <w:fldChar w:fldCharType="separate"/>
      </w:r>
      <w:r>
        <w:rPr>
          <w:bCs/>
          <w:color w:val="auto"/>
          <w:szCs w:val="28"/>
          <w:u w:val="none" w:color="auto"/>
        </w:rPr>
        <w:t>附图</w:t>
      </w:r>
      <w:r>
        <w:rPr>
          <w:rFonts w:hint="eastAsia"/>
          <w:bCs/>
          <w:color w:val="auto"/>
          <w:szCs w:val="28"/>
          <w:u w:val="none" w:color="auto"/>
          <w:lang w:val="en-US" w:eastAsia="zh-CN"/>
        </w:rPr>
        <w:t>11</w:t>
      </w:r>
      <w:r>
        <w:rPr>
          <w:bCs/>
          <w:color w:val="auto"/>
          <w:szCs w:val="28"/>
          <w:u w:val="none" w:color="auto"/>
        </w:rPr>
        <w:t xml:space="preserve"> </w:t>
      </w:r>
      <w:r>
        <w:rPr>
          <w:rFonts w:hint="eastAsia"/>
          <w:bCs/>
          <w:color w:val="auto"/>
          <w:szCs w:val="28"/>
          <w:u w:val="none" w:color="auto"/>
          <w:lang w:val="en-US" w:eastAsia="zh-CN"/>
        </w:rPr>
        <w:t>项目现场照片</w:t>
      </w:r>
      <w:r>
        <w:rPr>
          <w:color w:val="auto"/>
          <w:u w:val="none" w:color="auto"/>
        </w:rPr>
        <w:tab/>
      </w:r>
      <w:r>
        <w:rPr>
          <w:color w:val="auto"/>
          <w:u w:val="none" w:color="auto"/>
        </w:rPr>
        <w:fldChar w:fldCharType="begin"/>
      </w:r>
      <w:r>
        <w:rPr>
          <w:color w:val="auto"/>
          <w:u w:val="none" w:color="auto"/>
        </w:rPr>
        <w:instrText xml:space="preserve"> PAGEREF _Toc9285 \h </w:instrText>
      </w:r>
      <w:r>
        <w:rPr>
          <w:color w:val="auto"/>
          <w:u w:val="none" w:color="auto"/>
        </w:rPr>
        <w:fldChar w:fldCharType="separate"/>
      </w:r>
      <w:r>
        <w:rPr>
          <w:color w:val="auto"/>
          <w:u w:val="none" w:color="auto"/>
        </w:rPr>
        <w:t>84</w:t>
      </w:r>
      <w:r>
        <w:rPr>
          <w:color w:val="auto"/>
          <w:u w:val="none" w:color="auto"/>
        </w:rPr>
        <w:fldChar w:fldCharType="end"/>
      </w:r>
      <w:r>
        <w:rPr>
          <w:color w:val="auto"/>
          <w:szCs w:val="24"/>
          <w:u w:val="none" w:color="auto"/>
        </w:rPr>
        <w:fldChar w:fldCharType="end"/>
      </w:r>
    </w:p>
    <w:p w14:paraId="25DBC2EB">
      <w:pPr>
        <w:rPr>
          <w:color w:val="auto"/>
          <w:u w:val="none" w:color="auto"/>
        </w:rPr>
      </w:pPr>
    </w:p>
    <w:p w14:paraId="5FE18063">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_Toc27528 </w:instrText>
      </w:r>
      <w:r>
        <w:rPr>
          <w:color w:val="auto"/>
          <w:szCs w:val="24"/>
          <w:u w:val="none" w:color="auto"/>
        </w:rPr>
        <w:fldChar w:fldCharType="separate"/>
      </w:r>
      <w:r>
        <w:rPr>
          <w:rFonts w:hint="eastAsia" w:ascii="方正小标宋_GBK" w:hAnsi="黑体" w:eastAsia="方正小标宋_GBK"/>
          <w:snapToGrid w:val="0"/>
          <w:color w:val="auto"/>
          <w:kern w:val="0"/>
          <w:szCs w:val="38"/>
          <w:u w:val="none" w:color="auto"/>
        </w:rPr>
        <w:t>附件</w:t>
      </w:r>
      <w:r>
        <w:rPr>
          <w:color w:val="auto"/>
          <w:u w:val="none" w:color="auto"/>
        </w:rPr>
        <w:tab/>
      </w:r>
      <w:r>
        <w:rPr>
          <w:color w:val="auto"/>
          <w:u w:val="none" w:color="auto"/>
        </w:rPr>
        <w:fldChar w:fldCharType="begin"/>
      </w:r>
      <w:r>
        <w:rPr>
          <w:color w:val="auto"/>
          <w:u w:val="none" w:color="auto"/>
        </w:rPr>
        <w:instrText xml:space="preserve"> PAGEREF _Toc27528 \h </w:instrText>
      </w:r>
      <w:r>
        <w:rPr>
          <w:color w:val="auto"/>
          <w:u w:val="none" w:color="auto"/>
        </w:rPr>
        <w:fldChar w:fldCharType="separate"/>
      </w:r>
      <w:r>
        <w:rPr>
          <w:color w:val="auto"/>
          <w:u w:val="none" w:color="auto"/>
        </w:rPr>
        <w:t>86</w:t>
      </w:r>
      <w:r>
        <w:rPr>
          <w:color w:val="auto"/>
          <w:u w:val="none" w:color="auto"/>
        </w:rPr>
        <w:fldChar w:fldCharType="end"/>
      </w:r>
      <w:r>
        <w:rPr>
          <w:color w:val="auto"/>
          <w:szCs w:val="24"/>
          <w:u w:val="none" w:color="auto"/>
        </w:rPr>
        <w:fldChar w:fldCharType="end"/>
      </w:r>
    </w:p>
    <w:p w14:paraId="776794DE">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_Toc6244 </w:instrText>
      </w:r>
      <w:r>
        <w:rPr>
          <w:color w:val="auto"/>
          <w:szCs w:val="24"/>
          <w:u w:val="none" w:color="auto"/>
        </w:rPr>
        <w:fldChar w:fldCharType="separate"/>
      </w:r>
      <w:r>
        <w:rPr>
          <w:bCs/>
          <w:color w:val="auto"/>
          <w:szCs w:val="28"/>
          <w:u w:val="none" w:color="auto"/>
        </w:rPr>
        <w:t>附</w:t>
      </w:r>
      <w:r>
        <w:rPr>
          <w:rFonts w:hint="eastAsia"/>
          <w:bCs/>
          <w:color w:val="auto"/>
          <w:szCs w:val="28"/>
          <w:u w:val="none" w:color="auto"/>
        </w:rPr>
        <w:t>件</w:t>
      </w:r>
      <w:r>
        <w:rPr>
          <w:bCs/>
          <w:color w:val="auto"/>
          <w:szCs w:val="28"/>
          <w:u w:val="none" w:color="auto"/>
        </w:rPr>
        <w:t xml:space="preserve">1 </w:t>
      </w:r>
      <w:r>
        <w:rPr>
          <w:rFonts w:hint="eastAsia"/>
          <w:bCs/>
          <w:color w:val="auto"/>
          <w:szCs w:val="28"/>
          <w:u w:val="none" w:color="auto"/>
        </w:rPr>
        <w:t>环评委托书</w:t>
      </w:r>
      <w:r>
        <w:rPr>
          <w:color w:val="auto"/>
          <w:u w:val="none" w:color="auto"/>
        </w:rPr>
        <w:tab/>
      </w:r>
      <w:r>
        <w:rPr>
          <w:color w:val="auto"/>
          <w:u w:val="none" w:color="auto"/>
        </w:rPr>
        <w:fldChar w:fldCharType="begin"/>
      </w:r>
      <w:r>
        <w:rPr>
          <w:color w:val="auto"/>
          <w:u w:val="none" w:color="auto"/>
        </w:rPr>
        <w:instrText xml:space="preserve"> PAGEREF _Toc6244 \h </w:instrText>
      </w:r>
      <w:r>
        <w:rPr>
          <w:color w:val="auto"/>
          <w:u w:val="none" w:color="auto"/>
        </w:rPr>
        <w:fldChar w:fldCharType="separate"/>
      </w:r>
      <w:r>
        <w:rPr>
          <w:color w:val="auto"/>
          <w:u w:val="none" w:color="auto"/>
        </w:rPr>
        <w:t>86</w:t>
      </w:r>
      <w:r>
        <w:rPr>
          <w:color w:val="auto"/>
          <w:u w:val="none" w:color="auto"/>
        </w:rPr>
        <w:fldChar w:fldCharType="end"/>
      </w:r>
      <w:r>
        <w:rPr>
          <w:color w:val="auto"/>
          <w:szCs w:val="24"/>
          <w:u w:val="none" w:color="auto"/>
        </w:rPr>
        <w:fldChar w:fldCharType="end"/>
      </w:r>
    </w:p>
    <w:p w14:paraId="2ED896A8">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_Toc1401 </w:instrText>
      </w:r>
      <w:r>
        <w:rPr>
          <w:color w:val="auto"/>
          <w:szCs w:val="24"/>
          <w:u w:val="none" w:color="auto"/>
        </w:rPr>
        <w:fldChar w:fldCharType="separate"/>
      </w:r>
      <w:r>
        <w:rPr>
          <w:bCs/>
          <w:color w:val="auto"/>
          <w:szCs w:val="28"/>
          <w:highlight w:val="none"/>
          <w:u w:val="none" w:color="auto"/>
        </w:rPr>
        <w:t>附</w:t>
      </w:r>
      <w:r>
        <w:rPr>
          <w:rFonts w:hint="eastAsia"/>
          <w:bCs/>
          <w:color w:val="auto"/>
          <w:szCs w:val="28"/>
          <w:highlight w:val="none"/>
          <w:u w:val="none" w:color="auto"/>
        </w:rPr>
        <w:t>件2</w:t>
      </w:r>
      <w:r>
        <w:rPr>
          <w:bCs/>
          <w:color w:val="auto"/>
          <w:szCs w:val="28"/>
          <w:highlight w:val="none"/>
          <w:u w:val="none" w:color="auto"/>
        </w:rPr>
        <w:t xml:space="preserve"> </w:t>
      </w:r>
      <w:r>
        <w:rPr>
          <w:rFonts w:hint="eastAsia"/>
          <w:bCs/>
          <w:color w:val="auto"/>
          <w:szCs w:val="28"/>
          <w:highlight w:val="none"/>
          <w:u w:val="none" w:color="auto"/>
        </w:rPr>
        <w:t>营业执照</w:t>
      </w:r>
      <w:r>
        <w:rPr>
          <w:color w:val="auto"/>
          <w:u w:val="none" w:color="auto"/>
        </w:rPr>
        <w:tab/>
      </w:r>
      <w:r>
        <w:rPr>
          <w:color w:val="auto"/>
          <w:u w:val="none" w:color="auto"/>
        </w:rPr>
        <w:fldChar w:fldCharType="begin"/>
      </w:r>
      <w:r>
        <w:rPr>
          <w:color w:val="auto"/>
          <w:u w:val="none" w:color="auto"/>
        </w:rPr>
        <w:instrText xml:space="preserve"> PAGEREF _Toc1401 \h </w:instrText>
      </w:r>
      <w:r>
        <w:rPr>
          <w:color w:val="auto"/>
          <w:u w:val="none" w:color="auto"/>
        </w:rPr>
        <w:fldChar w:fldCharType="separate"/>
      </w:r>
      <w:r>
        <w:rPr>
          <w:color w:val="auto"/>
          <w:u w:val="none" w:color="auto"/>
        </w:rPr>
        <w:t>87</w:t>
      </w:r>
      <w:r>
        <w:rPr>
          <w:color w:val="auto"/>
          <w:u w:val="none" w:color="auto"/>
        </w:rPr>
        <w:fldChar w:fldCharType="end"/>
      </w:r>
      <w:r>
        <w:rPr>
          <w:color w:val="auto"/>
          <w:szCs w:val="24"/>
          <w:u w:val="none" w:color="auto"/>
        </w:rPr>
        <w:fldChar w:fldCharType="end"/>
      </w:r>
    </w:p>
    <w:p w14:paraId="4AB3DAA9">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_Toc2862 </w:instrText>
      </w:r>
      <w:r>
        <w:rPr>
          <w:color w:val="auto"/>
          <w:szCs w:val="24"/>
          <w:u w:val="none" w:color="auto"/>
        </w:rPr>
        <w:fldChar w:fldCharType="separate"/>
      </w:r>
      <w:r>
        <w:rPr>
          <w:bCs/>
          <w:color w:val="auto"/>
          <w:szCs w:val="28"/>
          <w:u w:val="none" w:color="auto"/>
        </w:rPr>
        <w:t>附</w:t>
      </w:r>
      <w:r>
        <w:rPr>
          <w:rFonts w:hint="eastAsia"/>
          <w:bCs/>
          <w:color w:val="auto"/>
          <w:szCs w:val="28"/>
          <w:u w:val="none" w:color="auto"/>
        </w:rPr>
        <w:t>件3</w:t>
      </w:r>
      <w:r>
        <w:rPr>
          <w:bCs/>
          <w:color w:val="auto"/>
          <w:szCs w:val="28"/>
          <w:u w:val="none" w:color="auto"/>
        </w:rPr>
        <w:t xml:space="preserve"> </w:t>
      </w:r>
      <w:r>
        <w:rPr>
          <w:rFonts w:hint="eastAsia"/>
          <w:bCs/>
          <w:color w:val="auto"/>
          <w:szCs w:val="28"/>
          <w:u w:val="none" w:color="auto"/>
          <w:lang w:val="en-US" w:eastAsia="zh-CN"/>
        </w:rPr>
        <w:t>用地预审意见书</w:t>
      </w:r>
      <w:r>
        <w:rPr>
          <w:color w:val="auto"/>
          <w:u w:val="none" w:color="auto"/>
        </w:rPr>
        <w:tab/>
      </w:r>
      <w:r>
        <w:rPr>
          <w:color w:val="auto"/>
          <w:u w:val="none" w:color="auto"/>
        </w:rPr>
        <w:fldChar w:fldCharType="begin"/>
      </w:r>
      <w:r>
        <w:rPr>
          <w:color w:val="auto"/>
          <w:u w:val="none" w:color="auto"/>
        </w:rPr>
        <w:instrText xml:space="preserve"> PAGEREF _Toc2862 \h </w:instrText>
      </w:r>
      <w:r>
        <w:rPr>
          <w:color w:val="auto"/>
          <w:u w:val="none" w:color="auto"/>
        </w:rPr>
        <w:fldChar w:fldCharType="separate"/>
      </w:r>
      <w:r>
        <w:rPr>
          <w:color w:val="auto"/>
          <w:u w:val="none" w:color="auto"/>
        </w:rPr>
        <w:t>88</w:t>
      </w:r>
      <w:r>
        <w:rPr>
          <w:color w:val="auto"/>
          <w:u w:val="none" w:color="auto"/>
        </w:rPr>
        <w:fldChar w:fldCharType="end"/>
      </w:r>
      <w:r>
        <w:rPr>
          <w:color w:val="auto"/>
          <w:szCs w:val="24"/>
          <w:u w:val="none" w:color="auto"/>
        </w:rPr>
        <w:fldChar w:fldCharType="end"/>
      </w:r>
    </w:p>
    <w:p w14:paraId="25AD9FCE">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_Toc23395 </w:instrText>
      </w:r>
      <w:r>
        <w:rPr>
          <w:color w:val="auto"/>
          <w:szCs w:val="24"/>
          <w:u w:val="none" w:color="auto"/>
        </w:rPr>
        <w:fldChar w:fldCharType="separate"/>
      </w:r>
      <w:r>
        <w:rPr>
          <w:rFonts w:hint="eastAsia" w:ascii="Times New Roman" w:hAnsi="Times New Roman" w:eastAsia="宋体" w:cs="Times New Roman"/>
          <w:bCs/>
          <w:color w:val="auto"/>
          <w:szCs w:val="28"/>
          <w:u w:val="none" w:color="auto"/>
          <w:lang w:val="en-US" w:eastAsia="zh-CN"/>
        </w:rPr>
        <w:t>附件4</w:t>
      </w:r>
      <w:r>
        <w:rPr>
          <w:rFonts w:hint="eastAsia" w:cs="Times New Roman"/>
          <w:bCs/>
          <w:color w:val="auto"/>
          <w:szCs w:val="28"/>
          <w:u w:val="none" w:color="auto"/>
          <w:lang w:val="en-US" w:eastAsia="zh-CN"/>
        </w:rPr>
        <w:t>立项备案文件</w:t>
      </w:r>
      <w:r>
        <w:rPr>
          <w:color w:val="auto"/>
          <w:u w:val="none" w:color="auto"/>
        </w:rPr>
        <w:tab/>
      </w:r>
      <w:r>
        <w:rPr>
          <w:color w:val="auto"/>
          <w:u w:val="none" w:color="auto"/>
        </w:rPr>
        <w:fldChar w:fldCharType="begin"/>
      </w:r>
      <w:r>
        <w:rPr>
          <w:color w:val="auto"/>
          <w:u w:val="none" w:color="auto"/>
        </w:rPr>
        <w:instrText xml:space="preserve"> PAGEREF _Toc23395 \h </w:instrText>
      </w:r>
      <w:r>
        <w:rPr>
          <w:color w:val="auto"/>
          <w:u w:val="none" w:color="auto"/>
        </w:rPr>
        <w:fldChar w:fldCharType="separate"/>
      </w:r>
      <w:r>
        <w:rPr>
          <w:color w:val="auto"/>
          <w:u w:val="none" w:color="auto"/>
        </w:rPr>
        <w:t>91</w:t>
      </w:r>
      <w:r>
        <w:rPr>
          <w:color w:val="auto"/>
          <w:u w:val="none" w:color="auto"/>
        </w:rPr>
        <w:fldChar w:fldCharType="end"/>
      </w:r>
      <w:r>
        <w:rPr>
          <w:color w:val="auto"/>
          <w:szCs w:val="24"/>
          <w:u w:val="none" w:color="auto"/>
        </w:rPr>
        <w:fldChar w:fldCharType="end"/>
      </w:r>
    </w:p>
    <w:p w14:paraId="5D371327">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_Toc1464 </w:instrText>
      </w:r>
      <w:r>
        <w:rPr>
          <w:color w:val="auto"/>
          <w:szCs w:val="24"/>
          <w:u w:val="none" w:color="auto"/>
        </w:rPr>
        <w:fldChar w:fldCharType="separate"/>
      </w:r>
      <w:r>
        <w:rPr>
          <w:rFonts w:hint="eastAsia"/>
          <w:bCs/>
          <w:color w:val="auto"/>
          <w:szCs w:val="28"/>
          <w:u w:val="none" w:color="auto"/>
          <w:lang w:val="en-US" w:eastAsia="zh-CN"/>
        </w:rPr>
        <w:t>附件5</w:t>
      </w:r>
      <w:r>
        <w:rPr>
          <w:rFonts w:hint="eastAsia" w:cs="Times New Roman"/>
          <w:bCs/>
          <w:color w:val="auto"/>
          <w:szCs w:val="28"/>
          <w:u w:val="none" w:color="auto"/>
          <w:lang w:val="en-US" w:eastAsia="zh-CN"/>
        </w:rPr>
        <w:t>生物多样性影响评价报告</w:t>
      </w:r>
      <w:r>
        <w:rPr>
          <w:color w:val="auto"/>
          <w:u w:val="none" w:color="auto"/>
        </w:rPr>
        <w:tab/>
      </w:r>
      <w:r>
        <w:rPr>
          <w:color w:val="auto"/>
          <w:u w:val="none" w:color="auto"/>
        </w:rPr>
        <w:fldChar w:fldCharType="begin"/>
      </w:r>
      <w:r>
        <w:rPr>
          <w:color w:val="auto"/>
          <w:u w:val="none" w:color="auto"/>
        </w:rPr>
        <w:instrText xml:space="preserve"> PAGEREF _Toc1464 \h </w:instrText>
      </w:r>
      <w:r>
        <w:rPr>
          <w:color w:val="auto"/>
          <w:u w:val="none" w:color="auto"/>
        </w:rPr>
        <w:fldChar w:fldCharType="separate"/>
      </w:r>
      <w:r>
        <w:rPr>
          <w:color w:val="auto"/>
          <w:u w:val="none" w:color="auto"/>
        </w:rPr>
        <w:t>94</w:t>
      </w:r>
      <w:r>
        <w:rPr>
          <w:color w:val="auto"/>
          <w:u w:val="none" w:color="auto"/>
        </w:rPr>
        <w:fldChar w:fldCharType="end"/>
      </w:r>
      <w:r>
        <w:rPr>
          <w:color w:val="auto"/>
          <w:szCs w:val="24"/>
          <w:u w:val="none" w:color="auto"/>
        </w:rPr>
        <w:fldChar w:fldCharType="end"/>
      </w:r>
    </w:p>
    <w:p w14:paraId="1BBFCCFA">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_Toc23610 </w:instrText>
      </w:r>
      <w:r>
        <w:rPr>
          <w:color w:val="auto"/>
          <w:szCs w:val="24"/>
          <w:u w:val="none" w:color="auto"/>
        </w:rPr>
        <w:fldChar w:fldCharType="separate"/>
      </w:r>
      <w:r>
        <w:rPr>
          <w:rFonts w:hint="eastAsia"/>
          <w:bCs/>
          <w:color w:val="auto"/>
          <w:szCs w:val="28"/>
          <w:u w:val="none" w:color="auto"/>
          <w:lang w:val="en-US" w:eastAsia="zh-CN"/>
        </w:rPr>
        <w:t xml:space="preserve">附件6 </w:t>
      </w:r>
      <w:r>
        <w:rPr>
          <w:bCs/>
          <w:color w:val="auto"/>
          <w:szCs w:val="28"/>
          <w:u w:val="none" w:color="auto"/>
        </w:rPr>
        <w:t>环境现状监测报告</w:t>
      </w:r>
      <w:r>
        <w:rPr>
          <w:color w:val="auto"/>
          <w:u w:val="none" w:color="auto"/>
        </w:rPr>
        <w:tab/>
      </w:r>
      <w:r>
        <w:rPr>
          <w:color w:val="auto"/>
          <w:u w:val="none" w:color="auto"/>
        </w:rPr>
        <w:fldChar w:fldCharType="begin"/>
      </w:r>
      <w:r>
        <w:rPr>
          <w:color w:val="auto"/>
          <w:u w:val="none" w:color="auto"/>
        </w:rPr>
        <w:instrText xml:space="preserve"> PAGEREF _Toc23610 \h </w:instrText>
      </w:r>
      <w:r>
        <w:rPr>
          <w:color w:val="auto"/>
          <w:u w:val="none" w:color="auto"/>
        </w:rPr>
        <w:fldChar w:fldCharType="separate"/>
      </w:r>
      <w:r>
        <w:rPr>
          <w:color w:val="auto"/>
          <w:u w:val="none" w:color="auto"/>
        </w:rPr>
        <w:t>99</w:t>
      </w:r>
      <w:r>
        <w:rPr>
          <w:color w:val="auto"/>
          <w:u w:val="none" w:color="auto"/>
        </w:rPr>
        <w:fldChar w:fldCharType="end"/>
      </w:r>
      <w:r>
        <w:rPr>
          <w:color w:val="auto"/>
          <w:szCs w:val="24"/>
          <w:u w:val="none" w:color="auto"/>
        </w:rPr>
        <w:fldChar w:fldCharType="end"/>
      </w:r>
    </w:p>
    <w:p w14:paraId="335B04E0">
      <w:pPr>
        <w:pStyle w:val="20"/>
        <w:tabs>
          <w:tab w:val="right" w:leader="dot" w:pos="8844"/>
        </w:tabs>
        <w:rPr>
          <w:color w:val="auto"/>
          <w:szCs w:val="24"/>
          <w:u w:val="none" w:color="auto"/>
        </w:rPr>
      </w:pPr>
      <w:r>
        <w:rPr>
          <w:color w:val="auto"/>
          <w:szCs w:val="24"/>
          <w:u w:val="none" w:color="auto"/>
        </w:rPr>
        <w:fldChar w:fldCharType="begin"/>
      </w:r>
      <w:r>
        <w:rPr>
          <w:color w:val="auto"/>
          <w:szCs w:val="24"/>
          <w:u w:val="none" w:color="auto"/>
        </w:rPr>
        <w:instrText xml:space="preserve"> HYPERLINK \l _Toc1072 </w:instrText>
      </w:r>
      <w:r>
        <w:rPr>
          <w:color w:val="auto"/>
          <w:szCs w:val="24"/>
          <w:u w:val="none" w:color="auto"/>
        </w:rPr>
        <w:fldChar w:fldCharType="separate"/>
      </w:r>
      <w:r>
        <w:rPr>
          <w:rFonts w:hint="eastAsia"/>
          <w:bCs/>
          <w:color w:val="auto"/>
          <w:szCs w:val="28"/>
          <w:u w:val="none" w:color="auto"/>
          <w:lang w:val="en-US" w:eastAsia="zh-CN"/>
        </w:rPr>
        <w:t xml:space="preserve">附件7 </w:t>
      </w:r>
      <w:r>
        <w:rPr>
          <w:rFonts w:hint="eastAsia" w:ascii="Times New Roman" w:hAnsi="Times New Roman" w:eastAsia="宋体" w:cs="Times New Roman"/>
          <w:bCs/>
          <w:color w:val="auto"/>
          <w:szCs w:val="28"/>
          <w:u w:val="none" w:color="auto"/>
          <w:lang w:val="en-US" w:eastAsia="zh-CN"/>
        </w:rPr>
        <w:t>样方样线设置情况及调查结果</w:t>
      </w:r>
      <w:r>
        <w:rPr>
          <w:color w:val="auto"/>
          <w:u w:val="none" w:color="auto"/>
        </w:rPr>
        <w:tab/>
      </w:r>
      <w:r>
        <w:rPr>
          <w:color w:val="auto"/>
          <w:u w:val="none" w:color="auto"/>
        </w:rPr>
        <w:fldChar w:fldCharType="begin"/>
      </w:r>
      <w:r>
        <w:rPr>
          <w:color w:val="auto"/>
          <w:u w:val="none" w:color="auto"/>
        </w:rPr>
        <w:instrText xml:space="preserve"> PAGEREF _Toc1072 \h </w:instrText>
      </w:r>
      <w:r>
        <w:rPr>
          <w:color w:val="auto"/>
          <w:u w:val="none" w:color="auto"/>
        </w:rPr>
        <w:fldChar w:fldCharType="separate"/>
      </w:r>
      <w:r>
        <w:rPr>
          <w:color w:val="auto"/>
          <w:u w:val="none" w:color="auto"/>
        </w:rPr>
        <w:t>106</w:t>
      </w:r>
      <w:r>
        <w:rPr>
          <w:color w:val="auto"/>
          <w:u w:val="none" w:color="auto"/>
        </w:rPr>
        <w:fldChar w:fldCharType="end"/>
      </w:r>
      <w:r>
        <w:rPr>
          <w:color w:val="auto"/>
          <w:szCs w:val="24"/>
          <w:u w:val="none" w:color="auto"/>
        </w:rPr>
        <w:fldChar w:fldCharType="end"/>
      </w:r>
    </w:p>
    <w:p w14:paraId="37594C39">
      <w:pPr>
        <w:pStyle w:val="20"/>
        <w:tabs>
          <w:tab w:val="right" w:leader="dot" w:pos="8844"/>
        </w:tabs>
        <w:rPr>
          <w:rFonts w:hint="eastAsia"/>
          <w:b/>
          <w:bCs/>
          <w:color w:val="auto"/>
          <w:sz w:val="28"/>
          <w:szCs w:val="28"/>
          <w:u w:val="none" w:color="auto"/>
        </w:rPr>
      </w:pPr>
      <w:r>
        <w:rPr>
          <w:rFonts w:hint="eastAsia" w:ascii="Times New Roman" w:hAnsi="Times New Roman" w:eastAsia="宋体" w:cs="Times New Roman"/>
          <w:bCs/>
          <w:color w:val="auto"/>
          <w:szCs w:val="28"/>
          <w:u w:val="none" w:color="auto"/>
          <w:lang w:val="en-US" w:eastAsia="zh-CN"/>
        </w:rPr>
        <w:t>附件8  林业局关于本项目的意见</w:t>
      </w:r>
      <w:r>
        <w:rPr>
          <w:color w:val="auto"/>
          <w:u w:val="none" w:color="auto"/>
        </w:rPr>
        <w:tab/>
      </w:r>
      <w:r>
        <w:rPr>
          <w:color w:val="auto"/>
          <w:u w:val="none" w:color="auto"/>
        </w:rPr>
        <w:fldChar w:fldCharType="begin"/>
      </w:r>
      <w:r>
        <w:rPr>
          <w:color w:val="auto"/>
          <w:u w:val="none" w:color="auto"/>
        </w:rPr>
        <w:instrText xml:space="preserve"> PAGEREF _Toc1072 \h </w:instrText>
      </w:r>
      <w:r>
        <w:rPr>
          <w:color w:val="auto"/>
          <w:u w:val="none" w:color="auto"/>
        </w:rPr>
        <w:fldChar w:fldCharType="separate"/>
      </w:r>
      <w:r>
        <w:rPr>
          <w:color w:val="auto"/>
          <w:u w:val="none" w:color="auto"/>
        </w:rPr>
        <w:t>106</w:t>
      </w:r>
      <w:r>
        <w:rPr>
          <w:color w:val="auto"/>
          <w:u w:val="none" w:color="auto"/>
        </w:rPr>
        <w:fldChar w:fldCharType="end"/>
      </w:r>
    </w:p>
    <w:p w14:paraId="0BFCDC45">
      <w:pPr>
        <w:rPr>
          <w:color w:val="auto"/>
          <w:u w:val="none" w:color="auto"/>
        </w:rPr>
      </w:pPr>
    </w:p>
    <w:p w14:paraId="23AA21F9">
      <w:pPr>
        <w:pStyle w:val="18"/>
        <w:tabs>
          <w:tab w:val="right" w:leader="dot" w:pos="8844"/>
        </w:tabs>
        <w:rPr>
          <w:color w:val="auto"/>
          <w:szCs w:val="24"/>
          <w:u w:val="none" w:color="auto"/>
        </w:rPr>
      </w:pPr>
    </w:p>
    <w:p w14:paraId="4D55C3CC">
      <w:pPr>
        <w:pStyle w:val="18"/>
        <w:tabs>
          <w:tab w:val="right" w:leader="dot" w:pos="8844"/>
        </w:tabs>
        <w:rPr>
          <w:color w:val="auto"/>
          <w:szCs w:val="24"/>
          <w:u w:val="none" w:color="auto"/>
        </w:rPr>
      </w:pPr>
    </w:p>
    <w:p w14:paraId="119A1E22">
      <w:pPr>
        <w:pStyle w:val="18"/>
        <w:tabs>
          <w:tab w:val="right" w:leader="dot" w:pos="8844"/>
        </w:tabs>
        <w:rPr>
          <w:color w:val="auto"/>
          <w:szCs w:val="24"/>
          <w:u w:val="none" w:color="auto"/>
        </w:rPr>
      </w:pPr>
    </w:p>
    <w:p w14:paraId="7ABB06ED">
      <w:pPr>
        <w:pStyle w:val="18"/>
        <w:tabs>
          <w:tab w:val="right" w:leader="dot" w:pos="8844"/>
        </w:tabs>
        <w:rPr>
          <w:color w:val="auto"/>
          <w:szCs w:val="24"/>
          <w:u w:val="none" w:color="auto"/>
        </w:rPr>
      </w:pPr>
    </w:p>
    <w:p w14:paraId="63D7D2D2">
      <w:pPr>
        <w:pStyle w:val="18"/>
        <w:tabs>
          <w:tab w:val="right" w:leader="dot" w:pos="8844"/>
        </w:tabs>
        <w:rPr>
          <w:color w:val="auto"/>
          <w:szCs w:val="24"/>
          <w:u w:val="none" w:color="auto"/>
        </w:rPr>
      </w:pPr>
    </w:p>
    <w:p w14:paraId="5E61DBED">
      <w:pPr>
        <w:pStyle w:val="18"/>
        <w:tabs>
          <w:tab w:val="right" w:leader="dot" w:pos="8844"/>
        </w:tabs>
        <w:rPr>
          <w:color w:val="auto"/>
          <w:szCs w:val="24"/>
          <w:u w:val="none" w:color="auto"/>
        </w:rPr>
      </w:pPr>
    </w:p>
    <w:p w14:paraId="14578C93">
      <w:pPr>
        <w:pStyle w:val="18"/>
        <w:tabs>
          <w:tab w:val="right" w:leader="dot" w:pos="8844"/>
        </w:tabs>
        <w:rPr>
          <w:color w:val="auto"/>
          <w:szCs w:val="24"/>
          <w:u w:val="none" w:color="auto"/>
        </w:rPr>
      </w:pPr>
    </w:p>
    <w:p w14:paraId="04AE866B">
      <w:pPr>
        <w:pStyle w:val="18"/>
        <w:tabs>
          <w:tab w:val="right" w:leader="dot" w:pos="8844"/>
        </w:tabs>
        <w:rPr>
          <w:color w:val="auto"/>
          <w:szCs w:val="24"/>
          <w:u w:val="none" w:color="auto"/>
        </w:rPr>
      </w:pPr>
    </w:p>
    <w:p w14:paraId="07C364B4">
      <w:pPr>
        <w:pStyle w:val="18"/>
        <w:tabs>
          <w:tab w:val="right" w:leader="dot" w:pos="8844"/>
        </w:tabs>
        <w:rPr>
          <w:color w:val="auto"/>
          <w:szCs w:val="24"/>
          <w:u w:val="none" w:color="auto"/>
        </w:rPr>
      </w:pPr>
    </w:p>
    <w:p w14:paraId="705E7503">
      <w:pPr>
        <w:pStyle w:val="18"/>
        <w:tabs>
          <w:tab w:val="right" w:leader="dot" w:pos="8844"/>
        </w:tabs>
        <w:rPr>
          <w:color w:val="auto"/>
          <w:szCs w:val="24"/>
          <w:u w:val="none" w:color="auto"/>
        </w:rPr>
      </w:pPr>
    </w:p>
    <w:p w14:paraId="6E077597">
      <w:pPr>
        <w:pStyle w:val="18"/>
        <w:tabs>
          <w:tab w:val="right" w:leader="dot" w:pos="8844"/>
        </w:tabs>
        <w:rPr>
          <w:color w:val="auto"/>
          <w:szCs w:val="24"/>
          <w:u w:val="none" w:color="auto"/>
        </w:rPr>
      </w:pPr>
    </w:p>
    <w:p w14:paraId="60005D26">
      <w:pPr>
        <w:pStyle w:val="18"/>
        <w:tabs>
          <w:tab w:val="right" w:leader="dot" w:pos="8844"/>
        </w:tabs>
        <w:rPr>
          <w:color w:val="auto"/>
          <w:szCs w:val="24"/>
          <w:u w:val="none" w:color="auto"/>
        </w:rPr>
      </w:pPr>
    </w:p>
    <w:p w14:paraId="0F5C6B8F">
      <w:pPr>
        <w:pStyle w:val="18"/>
        <w:tabs>
          <w:tab w:val="right" w:leader="dot" w:pos="8844"/>
        </w:tabs>
        <w:rPr>
          <w:color w:val="auto"/>
          <w:szCs w:val="24"/>
          <w:u w:val="none" w:color="auto"/>
        </w:rPr>
      </w:pPr>
    </w:p>
    <w:p w14:paraId="44FC78AF">
      <w:pPr>
        <w:pStyle w:val="18"/>
        <w:tabs>
          <w:tab w:val="right" w:leader="dot" w:pos="8844"/>
        </w:tabs>
        <w:rPr>
          <w:color w:val="auto"/>
          <w:szCs w:val="24"/>
          <w:u w:val="none" w:color="auto"/>
        </w:rPr>
      </w:pPr>
    </w:p>
    <w:p w14:paraId="14D08E1D">
      <w:pPr>
        <w:pStyle w:val="18"/>
        <w:tabs>
          <w:tab w:val="right" w:leader="dot" w:pos="8844"/>
        </w:tabs>
        <w:rPr>
          <w:color w:val="auto"/>
          <w:szCs w:val="24"/>
          <w:u w:val="none" w:color="auto"/>
        </w:rPr>
      </w:pPr>
    </w:p>
    <w:p w14:paraId="3D52675A">
      <w:pPr>
        <w:pStyle w:val="18"/>
        <w:tabs>
          <w:tab w:val="right" w:leader="dot" w:pos="8844"/>
        </w:tabs>
        <w:rPr>
          <w:color w:val="auto"/>
          <w:szCs w:val="24"/>
          <w:u w:val="none" w:color="auto"/>
        </w:rPr>
      </w:pPr>
    </w:p>
    <w:p w14:paraId="5B371490">
      <w:pPr>
        <w:pStyle w:val="18"/>
        <w:tabs>
          <w:tab w:val="right" w:leader="dot" w:pos="8844"/>
        </w:tabs>
        <w:rPr>
          <w:color w:val="auto"/>
          <w:szCs w:val="24"/>
          <w:u w:val="none" w:color="auto"/>
        </w:rPr>
      </w:pPr>
    </w:p>
    <w:p w14:paraId="60019C1C">
      <w:pPr>
        <w:pStyle w:val="18"/>
        <w:tabs>
          <w:tab w:val="right" w:leader="dot" w:pos="8844"/>
        </w:tabs>
        <w:rPr>
          <w:color w:val="auto"/>
          <w:szCs w:val="24"/>
          <w:u w:val="none" w:color="auto"/>
        </w:rPr>
      </w:pPr>
    </w:p>
    <w:p w14:paraId="2E07B5DA">
      <w:pPr>
        <w:pStyle w:val="18"/>
        <w:tabs>
          <w:tab w:val="right" w:leader="dot" w:pos="8844"/>
        </w:tabs>
        <w:rPr>
          <w:color w:val="auto"/>
          <w:szCs w:val="24"/>
          <w:u w:val="none" w:color="auto"/>
        </w:rPr>
      </w:pPr>
    </w:p>
    <w:p w14:paraId="7BCB6681">
      <w:pPr>
        <w:pStyle w:val="18"/>
        <w:tabs>
          <w:tab w:val="right" w:leader="dot" w:pos="8844"/>
        </w:tabs>
        <w:rPr>
          <w:color w:val="auto"/>
          <w:szCs w:val="24"/>
          <w:u w:val="none" w:color="auto"/>
        </w:rPr>
      </w:pPr>
    </w:p>
    <w:p w14:paraId="45301E34">
      <w:pPr>
        <w:pStyle w:val="18"/>
        <w:tabs>
          <w:tab w:val="right" w:leader="dot" w:pos="8844"/>
        </w:tabs>
        <w:rPr>
          <w:color w:val="auto"/>
          <w:szCs w:val="24"/>
          <w:u w:val="none" w:color="auto"/>
        </w:rPr>
      </w:pPr>
    </w:p>
    <w:p w14:paraId="1634ECE7">
      <w:pPr>
        <w:pStyle w:val="18"/>
        <w:tabs>
          <w:tab w:val="right" w:leader="dot" w:pos="8844"/>
        </w:tabs>
        <w:rPr>
          <w:color w:val="auto"/>
          <w:szCs w:val="24"/>
          <w:u w:val="none" w:color="auto"/>
        </w:rPr>
      </w:pPr>
    </w:p>
    <w:p w14:paraId="6043547B">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_Toc15581 </w:instrText>
      </w:r>
      <w:r>
        <w:rPr>
          <w:color w:val="auto"/>
          <w:szCs w:val="24"/>
          <w:u w:val="none" w:color="auto"/>
        </w:rPr>
        <w:fldChar w:fldCharType="separate"/>
      </w:r>
      <w:r>
        <w:rPr>
          <w:rFonts w:hint="default" w:ascii="方正小标宋_GBK" w:hAnsi="黑体" w:eastAsia="方正小标宋_GBK" w:cs="Times New Roman"/>
          <w:snapToGrid w:val="0"/>
          <w:color w:val="auto"/>
          <w:kern w:val="0"/>
          <w:szCs w:val="38"/>
          <w:u w:val="none" w:color="auto"/>
          <w:lang w:val="en-US" w:eastAsia="zh-CN"/>
        </w:rPr>
        <w:t>华容县团洲垸灾后重建安置房配套基础设施建设项目</w:t>
      </w:r>
      <w:r>
        <w:rPr>
          <w:rFonts w:hint="eastAsia" w:ascii="方正小标宋_GBK" w:hAnsi="黑体" w:eastAsia="方正小标宋_GBK" w:cs="Times New Roman"/>
          <w:snapToGrid w:val="0"/>
          <w:color w:val="auto"/>
          <w:kern w:val="0"/>
          <w:szCs w:val="38"/>
          <w:u w:val="none" w:color="auto"/>
          <w:lang w:eastAsia="zh-CN"/>
        </w:rPr>
        <w:t>生态</w:t>
      </w:r>
      <w:r>
        <w:rPr>
          <w:rFonts w:hint="default" w:ascii="方正小标宋_GBK" w:hAnsi="黑体" w:eastAsia="方正小标宋_GBK" w:cs="Times New Roman"/>
          <w:snapToGrid w:val="0"/>
          <w:color w:val="auto"/>
          <w:kern w:val="0"/>
          <w:szCs w:val="38"/>
          <w:u w:val="none" w:color="auto"/>
        </w:rPr>
        <w:t>环境影响专项报告</w:t>
      </w:r>
      <w:r>
        <w:rPr>
          <w:color w:val="auto"/>
          <w:u w:val="none" w:color="auto"/>
        </w:rPr>
        <w:tab/>
      </w:r>
      <w:r>
        <w:rPr>
          <w:color w:val="auto"/>
          <w:u w:val="none" w:color="auto"/>
        </w:rPr>
        <w:fldChar w:fldCharType="begin"/>
      </w:r>
      <w:r>
        <w:rPr>
          <w:color w:val="auto"/>
          <w:u w:val="none" w:color="auto"/>
        </w:rPr>
        <w:instrText xml:space="preserve"> PAGEREF _Toc15581 \h </w:instrText>
      </w:r>
      <w:r>
        <w:rPr>
          <w:color w:val="auto"/>
          <w:u w:val="none" w:color="auto"/>
        </w:rPr>
        <w:fldChar w:fldCharType="separate"/>
      </w:r>
      <w:r>
        <w:rPr>
          <w:color w:val="auto"/>
          <w:u w:val="none" w:color="auto"/>
        </w:rPr>
        <w:t>124</w:t>
      </w:r>
      <w:r>
        <w:rPr>
          <w:color w:val="auto"/>
          <w:u w:val="none" w:color="auto"/>
        </w:rPr>
        <w:fldChar w:fldCharType="end"/>
      </w:r>
      <w:r>
        <w:rPr>
          <w:color w:val="auto"/>
          <w:szCs w:val="24"/>
          <w:u w:val="none" w:color="auto"/>
        </w:rPr>
        <w:fldChar w:fldCharType="end"/>
      </w:r>
    </w:p>
    <w:p w14:paraId="0E9EF62E">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_Toc5976 </w:instrText>
      </w:r>
      <w:r>
        <w:rPr>
          <w:color w:val="auto"/>
          <w:szCs w:val="24"/>
          <w:u w:val="none" w:color="auto"/>
        </w:rPr>
        <w:fldChar w:fldCharType="separate"/>
      </w:r>
      <w:r>
        <w:rPr>
          <w:rFonts w:ascii="Times New Roman" w:hAnsi="Times New Roman" w:eastAsia="宋体" w:cs="Times New Roman"/>
          <w:snapToGrid w:val="0"/>
          <w:color w:val="auto"/>
          <w:kern w:val="0"/>
          <w:szCs w:val="30"/>
          <w:u w:val="none" w:color="auto"/>
          <w:lang w:val="en-US" w:eastAsia="zh-CN" w:bidi="ar-SA"/>
        </w:rPr>
        <w:t>1总则</w:t>
      </w:r>
      <w:r>
        <w:rPr>
          <w:color w:val="auto"/>
          <w:u w:val="none" w:color="auto"/>
        </w:rPr>
        <w:tab/>
      </w:r>
      <w:r>
        <w:rPr>
          <w:color w:val="auto"/>
          <w:u w:val="none" w:color="auto"/>
        </w:rPr>
        <w:fldChar w:fldCharType="begin"/>
      </w:r>
      <w:r>
        <w:rPr>
          <w:color w:val="auto"/>
          <w:u w:val="none" w:color="auto"/>
        </w:rPr>
        <w:instrText xml:space="preserve"> PAGEREF _Toc5976 \h </w:instrText>
      </w:r>
      <w:r>
        <w:rPr>
          <w:color w:val="auto"/>
          <w:u w:val="none" w:color="auto"/>
        </w:rPr>
        <w:fldChar w:fldCharType="separate"/>
      </w:r>
      <w:r>
        <w:rPr>
          <w:color w:val="auto"/>
          <w:u w:val="none" w:color="auto"/>
        </w:rPr>
        <w:t>125</w:t>
      </w:r>
      <w:r>
        <w:rPr>
          <w:color w:val="auto"/>
          <w:u w:val="none" w:color="auto"/>
        </w:rPr>
        <w:fldChar w:fldCharType="end"/>
      </w:r>
      <w:r>
        <w:rPr>
          <w:color w:val="auto"/>
          <w:szCs w:val="24"/>
          <w:u w:val="none" w:color="auto"/>
        </w:rPr>
        <w:fldChar w:fldCharType="end"/>
      </w:r>
    </w:p>
    <w:p w14:paraId="7E4C06C4">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_Toc30677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1.1项目由来</w:t>
      </w:r>
      <w:r>
        <w:rPr>
          <w:color w:val="auto"/>
          <w:u w:val="none" w:color="auto"/>
        </w:rPr>
        <w:tab/>
      </w:r>
      <w:r>
        <w:rPr>
          <w:color w:val="auto"/>
          <w:u w:val="none" w:color="auto"/>
        </w:rPr>
        <w:fldChar w:fldCharType="begin"/>
      </w:r>
      <w:r>
        <w:rPr>
          <w:color w:val="auto"/>
          <w:u w:val="none" w:color="auto"/>
        </w:rPr>
        <w:instrText xml:space="preserve"> PAGEREF _Toc30677 \h </w:instrText>
      </w:r>
      <w:r>
        <w:rPr>
          <w:color w:val="auto"/>
          <w:u w:val="none" w:color="auto"/>
        </w:rPr>
        <w:fldChar w:fldCharType="separate"/>
      </w:r>
      <w:r>
        <w:rPr>
          <w:color w:val="auto"/>
          <w:u w:val="none" w:color="auto"/>
        </w:rPr>
        <w:t>125</w:t>
      </w:r>
      <w:r>
        <w:rPr>
          <w:color w:val="auto"/>
          <w:u w:val="none" w:color="auto"/>
        </w:rPr>
        <w:fldChar w:fldCharType="end"/>
      </w:r>
      <w:r>
        <w:rPr>
          <w:color w:val="auto"/>
          <w:szCs w:val="24"/>
          <w:u w:val="none" w:color="auto"/>
        </w:rPr>
        <w:fldChar w:fldCharType="end"/>
      </w:r>
    </w:p>
    <w:p w14:paraId="49641D19">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_Toc20034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1.2评价目的和评价原则</w:t>
      </w:r>
      <w:r>
        <w:rPr>
          <w:color w:val="auto"/>
          <w:u w:val="none" w:color="auto"/>
        </w:rPr>
        <w:tab/>
      </w:r>
      <w:r>
        <w:rPr>
          <w:color w:val="auto"/>
          <w:u w:val="none" w:color="auto"/>
        </w:rPr>
        <w:fldChar w:fldCharType="begin"/>
      </w:r>
      <w:r>
        <w:rPr>
          <w:color w:val="auto"/>
          <w:u w:val="none" w:color="auto"/>
        </w:rPr>
        <w:instrText xml:space="preserve"> PAGEREF _Toc20034 \h </w:instrText>
      </w:r>
      <w:r>
        <w:rPr>
          <w:color w:val="auto"/>
          <w:u w:val="none" w:color="auto"/>
        </w:rPr>
        <w:fldChar w:fldCharType="separate"/>
      </w:r>
      <w:r>
        <w:rPr>
          <w:color w:val="auto"/>
          <w:u w:val="none" w:color="auto"/>
        </w:rPr>
        <w:t>125</w:t>
      </w:r>
      <w:r>
        <w:rPr>
          <w:color w:val="auto"/>
          <w:u w:val="none" w:color="auto"/>
        </w:rPr>
        <w:fldChar w:fldCharType="end"/>
      </w:r>
      <w:r>
        <w:rPr>
          <w:color w:val="auto"/>
          <w:szCs w:val="24"/>
          <w:u w:val="none" w:color="auto"/>
        </w:rPr>
        <w:fldChar w:fldCharType="end"/>
      </w:r>
    </w:p>
    <w:p w14:paraId="2E56DC93">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_Toc19514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1.3工作原则</w:t>
      </w:r>
      <w:r>
        <w:rPr>
          <w:color w:val="auto"/>
          <w:u w:val="none" w:color="auto"/>
        </w:rPr>
        <w:tab/>
      </w:r>
      <w:r>
        <w:rPr>
          <w:color w:val="auto"/>
          <w:u w:val="none" w:color="auto"/>
        </w:rPr>
        <w:fldChar w:fldCharType="begin"/>
      </w:r>
      <w:r>
        <w:rPr>
          <w:color w:val="auto"/>
          <w:u w:val="none" w:color="auto"/>
        </w:rPr>
        <w:instrText xml:space="preserve"> PAGEREF _Toc19514 \h </w:instrText>
      </w:r>
      <w:r>
        <w:rPr>
          <w:color w:val="auto"/>
          <w:u w:val="none" w:color="auto"/>
        </w:rPr>
        <w:fldChar w:fldCharType="separate"/>
      </w:r>
      <w:r>
        <w:rPr>
          <w:color w:val="auto"/>
          <w:u w:val="none" w:color="auto"/>
        </w:rPr>
        <w:t>125</w:t>
      </w:r>
      <w:r>
        <w:rPr>
          <w:color w:val="auto"/>
          <w:u w:val="none" w:color="auto"/>
        </w:rPr>
        <w:fldChar w:fldCharType="end"/>
      </w:r>
      <w:r>
        <w:rPr>
          <w:color w:val="auto"/>
          <w:szCs w:val="24"/>
          <w:u w:val="none" w:color="auto"/>
        </w:rPr>
        <w:fldChar w:fldCharType="end"/>
      </w:r>
    </w:p>
    <w:p w14:paraId="4A900DC2">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_Toc21445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1.4评价依据</w:t>
      </w:r>
      <w:r>
        <w:rPr>
          <w:color w:val="auto"/>
          <w:u w:val="none" w:color="auto"/>
        </w:rPr>
        <w:tab/>
      </w:r>
      <w:r>
        <w:rPr>
          <w:color w:val="auto"/>
          <w:u w:val="none" w:color="auto"/>
        </w:rPr>
        <w:fldChar w:fldCharType="begin"/>
      </w:r>
      <w:r>
        <w:rPr>
          <w:color w:val="auto"/>
          <w:u w:val="none" w:color="auto"/>
        </w:rPr>
        <w:instrText xml:space="preserve"> PAGEREF _Toc21445 \h </w:instrText>
      </w:r>
      <w:r>
        <w:rPr>
          <w:color w:val="auto"/>
          <w:u w:val="none" w:color="auto"/>
        </w:rPr>
        <w:fldChar w:fldCharType="separate"/>
      </w:r>
      <w:r>
        <w:rPr>
          <w:color w:val="auto"/>
          <w:u w:val="none" w:color="auto"/>
        </w:rPr>
        <w:t>126</w:t>
      </w:r>
      <w:r>
        <w:rPr>
          <w:color w:val="auto"/>
          <w:u w:val="none" w:color="auto"/>
        </w:rPr>
        <w:fldChar w:fldCharType="end"/>
      </w:r>
      <w:r>
        <w:rPr>
          <w:color w:val="auto"/>
          <w:szCs w:val="24"/>
          <w:u w:val="none" w:color="auto"/>
        </w:rPr>
        <w:fldChar w:fldCharType="end"/>
      </w:r>
    </w:p>
    <w:p w14:paraId="482138C0">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_Toc26945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1.5生态环境评价工作等级及范围</w:t>
      </w:r>
      <w:r>
        <w:rPr>
          <w:color w:val="auto"/>
          <w:u w:val="none" w:color="auto"/>
        </w:rPr>
        <w:tab/>
      </w:r>
      <w:r>
        <w:rPr>
          <w:color w:val="auto"/>
          <w:u w:val="none" w:color="auto"/>
        </w:rPr>
        <w:fldChar w:fldCharType="begin"/>
      </w:r>
      <w:r>
        <w:rPr>
          <w:color w:val="auto"/>
          <w:u w:val="none" w:color="auto"/>
        </w:rPr>
        <w:instrText xml:space="preserve"> PAGEREF _Toc26945 \h </w:instrText>
      </w:r>
      <w:r>
        <w:rPr>
          <w:color w:val="auto"/>
          <w:u w:val="none" w:color="auto"/>
        </w:rPr>
        <w:fldChar w:fldCharType="separate"/>
      </w:r>
      <w:r>
        <w:rPr>
          <w:color w:val="auto"/>
          <w:u w:val="none" w:color="auto"/>
        </w:rPr>
        <w:t>129</w:t>
      </w:r>
      <w:r>
        <w:rPr>
          <w:color w:val="auto"/>
          <w:u w:val="none" w:color="auto"/>
        </w:rPr>
        <w:fldChar w:fldCharType="end"/>
      </w:r>
      <w:r>
        <w:rPr>
          <w:color w:val="auto"/>
          <w:szCs w:val="24"/>
          <w:u w:val="none" w:color="auto"/>
        </w:rPr>
        <w:fldChar w:fldCharType="end"/>
      </w:r>
    </w:p>
    <w:p w14:paraId="5A6D19C7">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_Toc21289 </w:instrText>
      </w:r>
      <w:r>
        <w:rPr>
          <w:color w:val="auto"/>
          <w:szCs w:val="24"/>
          <w:u w:val="none" w:color="auto"/>
        </w:rPr>
        <w:fldChar w:fldCharType="separate"/>
      </w:r>
      <w:r>
        <w:rPr>
          <w:rFonts w:hint="eastAsia" w:ascii="Times New Roman" w:hAnsi="Times New Roman" w:eastAsia="宋体" w:cs="Times New Roman"/>
          <w:bCs/>
          <w:color w:val="auto"/>
          <w:kern w:val="2"/>
          <w:szCs w:val="28"/>
          <w:u w:val="none" w:color="auto"/>
          <w:lang w:val="en-US" w:eastAsia="zh-CN" w:bidi="ar-SA"/>
        </w:rPr>
        <w:t>1.6评价因子筛选及评价重点</w:t>
      </w:r>
      <w:r>
        <w:rPr>
          <w:color w:val="auto"/>
          <w:u w:val="none" w:color="auto"/>
        </w:rPr>
        <w:tab/>
      </w:r>
      <w:r>
        <w:rPr>
          <w:color w:val="auto"/>
          <w:u w:val="none" w:color="auto"/>
        </w:rPr>
        <w:fldChar w:fldCharType="begin"/>
      </w:r>
      <w:r>
        <w:rPr>
          <w:color w:val="auto"/>
          <w:u w:val="none" w:color="auto"/>
        </w:rPr>
        <w:instrText xml:space="preserve"> PAGEREF _Toc21289 \h </w:instrText>
      </w:r>
      <w:r>
        <w:rPr>
          <w:color w:val="auto"/>
          <w:u w:val="none" w:color="auto"/>
        </w:rPr>
        <w:fldChar w:fldCharType="separate"/>
      </w:r>
      <w:r>
        <w:rPr>
          <w:color w:val="auto"/>
          <w:u w:val="none" w:color="auto"/>
        </w:rPr>
        <w:t>130</w:t>
      </w:r>
      <w:r>
        <w:rPr>
          <w:color w:val="auto"/>
          <w:u w:val="none" w:color="auto"/>
        </w:rPr>
        <w:fldChar w:fldCharType="end"/>
      </w:r>
      <w:r>
        <w:rPr>
          <w:color w:val="auto"/>
          <w:szCs w:val="24"/>
          <w:u w:val="none" w:color="auto"/>
        </w:rPr>
        <w:fldChar w:fldCharType="end"/>
      </w:r>
    </w:p>
    <w:p w14:paraId="03D6E0A8">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_Toc27264 </w:instrText>
      </w:r>
      <w:r>
        <w:rPr>
          <w:color w:val="auto"/>
          <w:szCs w:val="24"/>
          <w:u w:val="none" w:color="auto"/>
        </w:rPr>
        <w:fldChar w:fldCharType="separate"/>
      </w:r>
      <w:r>
        <w:rPr>
          <w:rFonts w:ascii="Times New Roman" w:hAnsi="Times New Roman" w:eastAsia="宋体" w:cs="Times New Roman"/>
          <w:color w:val="auto"/>
          <w:kern w:val="2"/>
          <w:szCs w:val="28"/>
          <w:u w:val="none" w:color="auto"/>
          <w:lang w:val="en-US" w:eastAsia="zh-CN" w:bidi="ar-SA"/>
        </w:rPr>
        <w:t>1.</w:t>
      </w:r>
      <w:r>
        <w:rPr>
          <w:rFonts w:hint="eastAsia" w:ascii="Times New Roman" w:hAnsi="Times New Roman" w:eastAsia="宋体" w:cs="Times New Roman"/>
          <w:color w:val="auto"/>
          <w:kern w:val="2"/>
          <w:szCs w:val="28"/>
          <w:u w:val="none" w:color="auto"/>
          <w:lang w:val="en-US" w:eastAsia="zh-CN" w:bidi="ar-SA"/>
        </w:rPr>
        <w:t>7</w:t>
      </w:r>
      <w:r>
        <w:rPr>
          <w:rFonts w:ascii="Times New Roman" w:hAnsi="Times New Roman" w:eastAsia="宋体" w:cs="Times New Roman"/>
          <w:color w:val="auto"/>
          <w:kern w:val="2"/>
          <w:szCs w:val="28"/>
          <w:u w:val="none" w:color="auto"/>
          <w:lang w:val="en-US" w:eastAsia="zh-CN" w:bidi="ar-SA"/>
        </w:rPr>
        <w:t>生态环境保护目标</w:t>
      </w:r>
      <w:r>
        <w:rPr>
          <w:color w:val="auto"/>
          <w:u w:val="none" w:color="auto"/>
        </w:rPr>
        <w:tab/>
      </w:r>
      <w:r>
        <w:rPr>
          <w:color w:val="auto"/>
          <w:u w:val="none" w:color="auto"/>
        </w:rPr>
        <w:fldChar w:fldCharType="begin"/>
      </w:r>
      <w:r>
        <w:rPr>
          <w:color w:val="auto"/>
          <w:u w:val="none" w:color="auto"/>
        </w:rPr>
        <w:instrText xml:space="preserve"> PAGEREF _Toc27264 \h </w:instrText>
      </w:r>
      <w:r>
        <w:rPr>
          <w:color w:val="auto"/>
          <w:u w:val="none" w:color="auto"/>
        </w:rPr>
        <w:fldChar w:fldCharType="separate"/>
      </w:r>
      <w:r>
        <w:rPr>
          <w:color w:val="auto"/>
          <w:u w:val="none" w:color="auto"/>
        </w:rPr>
        <w:t>130</w:t>
      </w:r>
      <w:r>
        <w:rPr>
          <w:color w:val="auto"/>
          <w:u w:val="none" w:color="auto"/>
        </w:rPr>
        <w:fldChar w:fldCharType="end"/>
      </w:r>
      <w:r>
        <w:rPr>
          <w:color w:val="auto"/>
          <w:szCs w:val="24"/>
          <w:u w:val="none" w:color="auto"/>
        </w:rPr>
        <w:fldChar w:fldCharType="end"/>
      </w:r>
    </w:p>
    <w:p w14:paraId="57D69355">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_Toc19577 </w:instrText>
      </w:r>
      <w:r>
        <w:rPr>
          <w:color w:val="auto"/>
          <w:szCs w:val="24"/>
          <w:u w:val="none" w:color="auto"/>
        </w:rPr>
        <w:fldChar w:fldCharType="separate"/>
      </w:r>
      <w:r>
        <w:rPr>
          <w:rFonts w:ascii="Times New Roman" w:hAnsi="Times New Roman" w:eastAsia="宋体" w:cs="Times New Roman"/>
          <w:snapToGrid w:val="0"/>
          <w:color w:val="auto"/>
          <w:kern w:val="0"/>
          <w:szCs w:val="30"/>
          <w:u w:val="none" w:color="auto"/>
          <w:lang w:val="en-US" w:eastAsia="zh-CN" w:bidi="ar-SA"/>
        </w:rPr>
        <w:t>2项目工程分析</w:t>
      </w:r>
      <w:r>
        <w:rPr>
          <w:color w:val="auto"/>
          <w:u w:val="none" w:color="auto"/>
        </w:rPr>
        <w:tab/>
      </w:r>
      <w:r>
        <w:rPr>
          <w:color w:val="auto"/>
          <w:u w:val="none" w:color="auto"/>
        </w:rPr>
        <w:fldChar w:fldCharType="begin"/>
      </w:r>
      <w:r>
        <w:rPr>
          <w:color w:val="auto"/>
          <w:u w:val="none" w:color="auto"/>
        </w:rPr>
        <w:instrText xml:space="preserve"> PAGEREF _Toc19577 \h </w:instrText>
      </w:r>
      <w:r>
        <w:rPr>
          <w:color w:val="auto"/>
          <w:u w:val="none" w:color="auto"/>
        </w:rPr>
        <w:fldChar w:fldCharType="separate"/>
      </w:r>
      <w:r>
        <w:rPr>
          <w:color w:val="auto"/>
          <w:u w:val="none" w:color="auto"/>
        </w:rPr>
        <w:t>132</w:t>
      </w:r>
      <w:r>
        <w:rPr>
          <w:color w:val="auto"/>
          <w:u w:val="none" w:color="auto"/>
        </w:rPr>
        <w:fldChar w:fldCharType="end"/>
      </w:r>
      <w:r>
        <w:rPr>
          <w:color w:val="auto"/>
          <w:szCs w:val="24"/>
          <w:u w:val="none" w:color="auto"/>
        </w:rPr>
        <w:fldChar w:fldCharType="end"/>
      </w:r>
    </w:p>
    <w:p w14:paraId="48D710D9">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_Toc9343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2.1</w:t>
      </w:r>
      <w:r>
        <w:rPr>
          <w:rFonts w:hint="eastAsia" w:ascii="Times New Roman" w:hAnsi="Times New Roman" w:eastAsia="宋体" w:cs="Times New Roman"/>
          <w:bCs/>
          <w:color w:val="auto"/>
          <w:kern w:val="2"/>
          <w:szCs w:val="28"/>
          <w:u w:val="none" w:color="auto"/>
          <w:lang w:val="en-US" w:eastAsia="zh-CN" w:bidi="ar-SA"/>
        </w:rPr>
        <w:t>项目概况</w:t>
      </w:r>
      <w:r>
        <w:rPr>
          <w:color w:val="auto"/>
          <w:u w:val="none" w:color="auto"/>
        </w:rPr>
        <w:tab/>
      </w:r>
      <w:r>
        <w:rPr>
          <w:color w:val="auto"/>
          <w:u w:val="none" w:color="auto"/>
        </w:rPr>
        <w:fldChar w:fldCharType="begin"/>
      </w:r>
      <w:r>
        <w:rPr>
          <w:color w:val="auto"/>
          <w:u w:val="none" w:color="auto"/>
        </w:rPr>
        <w:instrText xml:space="preserve"> PAGEREF _Toc9343 \h </w:instrText>
      </w:r>
      <w:r>
        <w:rPr>
          <w:color w:val="auto"/>
          <w:u w:val="none" w:color="auto"/>
        </w:rPr>
        <w:fldChar w:fldCharType="separate"/>
      </w:r>
      <w:r>
        <w:rPr>
          <w:color w:val="auto"/>
          <w:u w:val="none" w:color="auto"/>
        </w:rPr>
        <w:t>132</w:t>
      </w:r>
      <w:r>
        <w:rPr>
          <w:color w:val="auto"/>
          <w:u w:val="none" w:color="auto"/>
        </w:rPr>
        <w:fldChar w:fldCharType="end"/>
      </w:r>
      <w:r>
        <w:rPr>
          <w:color w:val="auto"/>
          <w:szCs w:val="24"/>
          <w:u w:val="none" w:color="auto"/>
        </w:rPr>
        <w:fldChar w:fldCharType="end"/>
      </w:r>
    </w:p>
    <w:p w14:paraId="6259A95B">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_Toc4496 </w:instrText>
      </w:r>
      <w:r>
        <w:rPr>
          <w:color w:val="auto"/>
          <w:szCs w:val="24"/>
          <w:u w:val="none" w:color="auto"/>
        </w:rPr>
        <w:fldChar w:fldCharType="separate"/>
      </w:r>
      <w:r>
        <w:rPr>
          <w:rFonts w:hint="eastAsia" w:ascii="Times New Roman" w:hAnsi="Times New Roman" w:eastAsia="宋体" w:cs="Times New Roman"/>
          <w:bCs/>
          <w:color w:val="auto"/>
          <w:kern w:val="2"/>
          <w:szCs w:val="28"/>
          <w:u w:val="none" w:color="auto"/>
          <w:lang w:val="en-US" w:eastAsia="zh-CN" w:bidi="ar-SA"/>
        </w:rPr>
        <w:t>2.2</w:t>
      </w:r>
      <w:r>
        <w:rPr>
          <w:rFonts w:ascii="Times New Roman" w:hAnsi="Times New Roman" w:eastAsia="宋体" w:cs="Times New Roman"/>
          <w:bCs/>
          <w:color w:val="auto"/>
          <w:kern w:val="2"/>
          <w:szCs w:val="28"/>
          <w:u w:val="none" w:color="auto"/>
          <w:lang w:val="en-US" w:eastAsia="zh-CN" w:bidi="ar-SA"/>
        </w:rPr>
        <w:t>工程建设内容</w:t>
      </w:r>
      <w:r>
        <w:rPr>
          <w:color w:val="auto"/>
          <w:u w:val="none" w:color="auto"/>
        </w:rPr>
        <w:tab/>
      </w:r>
      <w:r>
        <w:rPr>
          <w:color w:val="auto"/>
          <w:u w:val="none" w:color="auto"/>
        </w:rPr>
        <w:fldChar w:fldCharType="begin"/>
      </w:r>
      <w:r>
        <w:rPr>
          <w:color w:val="auto"/>
          <w:u w:val="none" w:color="auto"/>
        </w:rPr>
        <w:instrText xml:space="preserve"> PAGEREF _Toc4496 \h </w:instrText>
      </w:r>
      <w:r>
        <w:rPr>
          <w:color w:val="auto"/>
          <w:u w:val="none" w:color="auto"/>
        </w:rPr>
        <w:fldChar w:fldCharType="separate"/>
      </w:r>
      <w:r>
        <w:rPr>
          <w:color w:val="auto"/>
          <w:u w:val="none" w:color="auto"/>
        </w:rPr>
        <w:t>132</w:t>
      </w:r>
      <w:r>
        <w:rPr>
          <w:color w:val="auto"/>
          <w:u w:val="none" w:color="auto"/>
        </w:rPr>
        <w:fldChar w:fldCharType="end"/>
      </w:r>
      <w:r>
        <w:rPr>
          <w:color w:val="auto"/>
          <w:szCs w:val="24"/>
          <w:u w:val="none" w:color="auto"/>
        </w:rPr>
        <w:fldChar w:fldCharType="end"/>
      </w:r>
    </w:p>
    <w:p w14:paraId="12316B41">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_Toc24099 </w:instrText>
      </w:r>
      <w:r>
        <w:rPr>
          <w:color w:val="auto"/>
          <w:szCs w:val="24"/>
          <w:u w:val="none" w:color="auto"/>
        </w:rPr>
        <w:fldChar w:fldCharType="separate"/>
      </w:r>
      <w:r>
        <w:rPr>
          <w:rFonts w:ascii="Times New Roman" w:hAnsi="Times New Roman" w:eastAsia="宋体" w:cs="Times New Roman"/>
          <w:bCs w:val="0"/>
          <w:snapToGrid w:val="0"/>
          <w:color w:val="auto"/>
          <w:kern w:val="0"/>
          <w:szCs w:val="30"/>
          <w:u w:val="none" w:color="auto"/>
          <w:lang w:val="en-US" w:eastAsia="zh-CN" w:bidi="ar-SA"/>
        </w:rPr>
        <w:t>3生态环境现状调查与评价</w:t>
      </w:r>
      <w:r>
        <w:rPr>
          <w:color w:val="auto"/>
          <w:u w:val="none" w:color="auto"/>
        </w:rPr>
        <w:tab/>
      </w:r>
      <w:r>
        <w:rPr>
          <w:color w:val="auto"/>
          <w:u w:val="none" w:color="auto"/>
        </w:rPr>
        <w:fldChar w:fldCharType="begin"/>
      </w:r>
      <w:r>
        <w:rPr>
          <w:color w:val="auto"/>
          <w:u w:val="none" w:color="auto"/>
        </w:rPr>
        <w:instrText xml:space="preserve"> PAGEREF _Toc24099 \h </w:instrText>
      </w:r>
      <w:r>
        <w:rPr>
          <w:color w:val="auto"/>
          <w:u w:val="none" w:color="auto"/>
        </w:rPr>
        <w:fldChar w:fldCharType="separate"/>
      </w:r>
      <w:r>
        <w:rPr>
          <w:color w:val="auto"/>
          <w:u w:val="none" w:color="auto"/>
        </w:rPr>
        <w:t>133</w:t>
      </w:r>
      <w:r>
        <w:rPr>
          <w:color w:val="auto"/>
          <w:u w:val="none" w:color="auto"/>
        </w:rPr>
        <w:fldChar w:fldCharType="end"/>
      </w:r>
      <w:r>
        <w:rPr>
          <w:color w:val="auto"/>
          <w:szCs w:val="24"/>
          <w:u w:val="none" w:color="auto"/>
        </w:rPr>
        <w:fldChar w:fldCharType="end"/>
      </w:r>
    </w:p>
    <w:p w14:paraId="40D060BA">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_Toc9093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3.1</w:t>
      </w:r>
      <w:r>
        <w:rPr>
          <w:rFonts w:hint="eastAsia" w:ascii="Times New Roman" w:hAnsi="Times New Roman" w:eastAsia="宋体" w:cs="Times New Roman"/>
          <w:bCs/>
          <w:color w:val="auto"/>
          <w:kern w:val="2"/>
          <w:szCs w:val="28"/>
          <w:u w:val="none" w:color="auto"/>
          <w:lang w:val="en-US" w:eastAsia="zh-CN" w:bidi="ar-SA"/>
        </w:rPr>
        <w:t>土地利用现状</w:t>
      </w:r>
      <w:r>
        <w:rPr>
          <w:color w:val="auto"/>
          <w:u w:val="none" w:color="auto"/>
        </w:rPr>
        <w:tab/>
      </w:r>
      <w:r>
        <w:rPr>
          <w:color w:val="auto"/>
          <w:u w:val="none" w:color="auto"/>
        </w:rPr>
        <w:fldChar w:fldCharType="begin"/>
      </w:r>
      <w:r>
        <w:rPr>
          <w:color w:val="auto"/>
          <w:u w:val="none" w:color="auto"/>
        </w:rPr>
        <w:instrText xml:space="preserve"> PAGEREF _Toc9093 \h </w:instrText>
      </w:r>
      <w:r>
        <w:rPr>
          <w:color w:val="auto"/>
          <w:u w:val="none" w:color="auto"/>
        </w:rPr>
        <w:fldChar w:fldCharType="separate"/>
      </w:r>
      <w:r>
        <w:rPr>
          <w:color w:val="auto"/>
          <w:u w:val="none" w:color="auto"/>
        </w:rPr>
        <w:t>133</w:t>
      </w:r>
      <w:r>
        <w:rPr>
          <w:color w:val="auto"/>
          <w:u w:val="none" w:color="auto"/>
        </w:rPr>
        <w:fldChar w:fldCharType="end"/>
      </w:r>
      <w:r>
        <w:rPr>
          <w:color w:val="auto"/>
          <w:szCs w:val="24"/>
          <w:u w:val="none" w:color="auto"/>
        </w:rPr>
        <w:fldChar w:fldCharType="end"/>
      </w:r>
    </w:p>
    <w:p w14:paraId="4B24F97D">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_Toc24254 </w:instrText>
      </w:r>
      <w:r>
        <w:rPr>
          <w:color w:val="auto"/>
          <w:szCs w:val="24"/>
          <w:u w:val="none" w:color="auto"/>
        </w:rPr>
        <w:fldChar w:fldCharType="separate"/>
      </w:r>
      <w:r>
        <w:rPr>
          <w:rFonts w:hint="eastAsia" w:ascii="Times New Roman" w:hAnsi="Times New Roman" w:eastAsia="宋体" w:cs="Times New Roman"/>
          <w:bCs/>
          <w:color w:val="auto"/>
          <w:kern w:val="2"/>
          <w:szCs w:val="28"/>
          <w:u w:val="none" w:color="auto"/>
          <w:lang w:val="en-US" w:eastAsia="zh-CN" w:bidi="ar-SA"/>
        </w:rPr>
        <w:t>3</w:t>
      </w:r>
      <w:r>
        <w:rPr>
          <w:rFonts w:hint="default" w:ascii="Times New Roman" w:hAnsi="Times New Roman" w:eastAsia="宋体" w:cs="Times New Roman"/>
          <w:bCs/>
          <w:color w:val="auto"/>
          <w:kern w:val="2"/>
          <w:szCs w:val="28"/>
          <w:u w:val="none" w:color="auto"/>
          <w:lang w:val="en-US" w:eastAsia="zh-CN" w:bidi="ar-SA"/>
        </w:rPr>
        <w:t>.2生态环境</w:t>
      </w:r>
      <w:r>
        <w:rPr>
          <w:rFonts w:hint="eastAsia" w:ascii="Times New Roman" w:hAnsi="Times New Roman" w:eastAsia="宋体" w:cs="Times New Roman"/>
          <w:bCs/>
          <w:color w:val="auto"/>
          <w:kern w:val="2"/>
          <w:szCs w:val="28"/>
          <w:u w:val="none" w:color="auto"/>
          <w:lang w:val="en-US" w:eastAsia="zh-CN" w:bidi="ar-SA"/>
        </w:rPr>
        <w:t>调查与评价</w:t>
      </w:r>
      <w:r>
        <w:rPr>
          <w:color w:val="auto"/>
          <w:u w:val="none" w:color="auto"/>
        </w:rPr>
        <w:tab/>
      </w:r>
      <w:r>
        <w:rPr>
          <w:color w:val="auto"/>
          <w:u w:val="none" w:color="auto"/>
        </w:rPr>
        <w:fldChar w:fldCharType="begin"/>
      </w:r>
      <w:r>
        <w:rPr>
          <w:color w:val="auto"/>
          <w:u w:val="none" w:color="auto"/>
        </w:rPr>
        <w:instrText xml:space="preserve"> PAGEREF _Toc24254 \h </w:instrText>
      </w:r>
      <w:r>
        <w:rPr>
          <w:color w:val="auto"/>
          <w:u w:val="none" w:color="auto"/>
        </w:rPr>
        <w:fldChar w:fldCharType="separate"/>
      </w:r>
      <w:r>
        <w:rPr>
          <w:color w:val="auto"/>
          <w:u w:val="none" w:color="auto"/>
        </w:rPr>
        <w:t>133</w:t>
      </w:r>
      <w:r>
        <w:rPr>
          <w:color w:val="auto"/>
          <w:u w:val="none" w:color="auto"/>
        </w:rPr>
        <w:fldChar w:fldCharType="end"/>
      </w:r>
      <w:r>
        <w:rPr>
          <w:color w:val="auto"/>
          <w:szCs w:val="24"/>
          <w:u w:val="none" w:color="auto"/>
        </w:rPr>
        <w:fldChar w:fldCharType="end"/>
      </w:r>
    </w:p>
    <w:p w14:paraId="078E1D94">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_Toc9448 </w:instrText>
      </w:r>
      <w:r>
        <w:rPr>
          <w:color w:val="auto"/>
          <w:szCs w:val="24"/>
          <w:u w:val="none" w:color="auto"/>
        </w:rPr>
        <w:fldChar w:fldCharType="separate"/>
      </w:r>
      <w:r>
        <w:rPr>
          <w:rFonts w:hint="eastAsia" w:ascii="Times New Roman" w:hAnsi="Times New Roman" w:eastAsia="宋体" w:cs="Times New Roman"/>
          <w:bCs/>
          <w:color w:val="auto"/>
          <w:kern w:val="2"/>
          <w:szCs w:val="28"/>
          <w:u w:val="none" w:color="auto"/>
          <w:lang w:val="en-US" w:eastAsia="zh-CN" w:bidi="ar-SA"/>
        </w:rPr>
        <w:t>3</w:t>
      </w:r>
      <w:r>
        <w:rPr>
          <w:rFonts w:hint="default" w:ascii="Times New Roman" w:hAnsi="Times New Roman" w:eastAsia="宋体" w:cs="Times New Roman"/>
          <w:bCs/>
          <w:color w:val="auto"/>
          <w:kern w:val="2"/>
          <w:szCs w:val="28"/>
          <w:u w:val="none" w:color="auto"/>
          <w:lang w:val="en-US" w:eastAsia="zh-CN" w:bidi="ar-SA"/>
        </w:rPr>
        <w:t>.</w:t>
      </w:r>
      <w:r>
        <w:rPr>
          <w:rFonts w:hint="eastAsia" w:ascii="Times New Roman" w:hAnsi="Times New Roman" w:eastAsia="宋体" w:cs="Times New Roman"/>
          <w:bCs/>
          <w:color w:val="auto"/>
          <w:kern w:val="2"/>
          <w:szCs w:val="28"/>
          <w:u w:val="none" w:color="auto"/>
          <w:lang w:val="en-US" w:eastAsia="zh-CN" w:bidi="ar-SA"/>
        </w:rPr>
        <w:t>3湖南东洞庭湖国家级自然保护区</w:t>
      </w:r>
      <w:r>
        <w:rPr>
          <w:color w:val="auto"/>
          <w:u w:val="none" w:color="auto"/>
        </w:rPr>
        <w:tab/>
      </w:r>
      <w:r>
        <w:rPr>
          <w:color w:val="auto"/>
          <w:u w:val="none" w:color="auto"/>
        </w:rPr>
        <w:fldChar w:fldCharType="begin"/>
      </w:r>
      <w:r>
        <w:rPr>
          <w:color w:val="auto"/>
          <w:u w:val="none" w:color="auto"/>
        </w:rPr>
        <w:instrText xml:space="preserve"> PAGEREF _Toc9448 \h </w:instrText>
      </w:r>
      <w:r>
        <w:rPr>
          <w:color w:val="auto"/>
          <w:u w:val="none" w:color="auto"/>
        </w:rPr>
        <w:fldChar w:fldCharType="separate"/>
      </w:r>
      <w:r>
        <w:rPr>
          <w:color w:val="auto"/>
          <w:u w:val="none" w:color="auto"/>
        </w:rPr>
        <w:t>153</w:t>
      </w:r>
      <w:r>
        <w:rPr>
          <w:color w:val="auto"/>
          <w:u w:val="none" w:color="auto"/>
        </w:rPr>
        <w:fldChar w:fldCharType="end"/>
      </w:r>
      <w:r>
        <w:rPr>
          <w:color w:val="auto"/>
          <w:szCs w:val="24"/>
          <w:u w:val="none" w:color="auto"/>
        </w:rPr>
        <w:fldChar w:fldCharType="end"/>
      </w:r>
    </w:p>
    <w:p w14:paraId="72F6F90F">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_Toc23830 </w:instrText>
      </w:r>
      <w:r>
        <w:rPr>
          <w:color w:val="auto"/>
          <w:szCs w:val="24"/>
          <w:u w:val="none" w:color="auto"/>
        </w:rPr>
        <w:fldChar w:fldCharType="separate"/>
      </w:r>
      <w:r>
        <w:rPr>
          <w:rFonts w:hint="eastAsia" w:ascii="Times New Roman" w:hAnsi="Times New Roman" w:eastAsia="宋体" w:cs="Times New Roman"/>
          <w:bCs w:val="0"/>
          <w:snapToGrid w:val="0"/>
          <w:color w:val="auto"/>
          <w:kern w:val="0"/>
          <w:szCs w:val="30"/>
          <w:u w:val="none" w:color="auto"/>
          <w:lang w:val="en-US" w:eastAsia="zh-CN" w:bidi="ar-SA"/>
        </w:rPr>
        <w:t>4</w:t>
      </w:r>
      <w:r>
        <w:rPr>
          <w:rFonts w:ascii="Times New Roman" w:hAnsi="Times New Roman" w:eastAsia="宋体" w:cs="Times New Roman"/>
          <w:bCs w:val="0"/>
          <w:snapToGrid w:val="0"/>
          <w:color w:val="auto"/>
          <w:kern w:val="0"/>
          <w:szCs w:val="30"/>
          <w:u w:val="none" w:color="auto"/>
          <w:lang w:val="en-US" w:eastAsia="zh-CN" w:bidi="ar-SA"/>
        </w:rPr>
        <w:t>生态环境</w:t>
      </w:r>
      <w:r>
        <w:rPr>
          <w:rFonts w:hint="eastAsia" w:ascii="Times New Roman" w:hAnsi="Times New Roman" w:eastAsia="宋体" w:cs="Times New Roman"/>
          <w:bCs w:val="0"/>
          <w:snapToGrid w:val="0"/>
          <w:color w:val="auto"/>
          <w:kern w:val="0"/>
          <w:szCs w:val="30"/>
          <w:u w:val="none" w:color="auto"/>
          <w:lang w:val="en-US" w:eastAsia="zh-CN" w:bidi="ar-SA"/>
        </w:rPr>
        <w:t>影响</w:t>
      </w:r>
      <w:r>
        <w:rPr>
          <w:rFonts w:ascii="Times New Roman" w:hAnsi="Times New Roman" w:eastAsia="宋体" w:cs="Times New Roman"/>
          <w:bCs w:val="0"/>
          <w:snapToGrid w:val="0"/>
          <w:color w:val="auto"/>
          <w:kern w:val="0"/>
          <w:szCs w:val="30"/>
          <w:u w:val="none" w:color="auto"/>
          <w:lang w:val="en-US" w:eastAsia="zh-CN" w:bidi="ar-SA"/>
        </w:rPr>
        <w:t>评价</w:t>
      </w:r>
      <w:r>
        <w:rPr>
          <w:color w:val="auto"/>
          <w:u w:val="none" w:color="auto"/>
        </w:rPr>
        <w:tab/>
      </w:r>
      <w:r>
        <w:rPr>
          <w:color w:val="auto"/>
          <w:u w:val="none" w:color="auto"/>
        </w:rPr>
        <w:fldChar w:fldCharType="begin"/>
      </w:r>
      <w:r>
        <w:rPr>
          <w:color w:val="auto"/>
          <w:u w:val="none" w:color="auto"/>
        </w:rPr>
        <w:instrText xml:space="preserve"> PAGEREF _Toc23830 \h </w:instrText>
      </w:r>
      <w:r>
        <w:rPr>
          <w:color w:val="auto"/>
          <w:u w:val="none" w:color="auto"/>
        </w:rPr>
        <w:fldChar w:fldCharType="separate"/>
      </w:r>
      <w:r>
        <w:rPr>
          <w:color w:val="auto"/>
          <w:u w:val="none" w:color="auto"/>
        </w:rPr>
        <w:t>158</w:t>
      </w:r>
      <w:r>
        <w:rPr>
          <w:color w:val="auto"/>
          <w:u w:val="none" w:color="auto"/>
        </w:rPr>
        <w:fldChar w:fldCharType="end"/>
      </w:r>
      <w:r>
        <w:rPr>
          <w:color w:val="auto"/>
          <w:szCs w:val="24"/>
          <w:u w:val="none" w:color="auto"/>
        </w:rPr>
        <w:fldChar w:fldCharType="end"/>
      </w:r>
    </w:p>
    <w:p w14:paraId="04B62F56">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_Toc32251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 xml:space="preserve">4.1 </w:t>
      </w:r>
      <w:r>
        <w:rPr>
          <w:rFonts w:hint="eastAsia" w:ascii="Times New Roman" w:hAnsi="Times New Roman" w:eastAsia="宋体" w:cs="Times New Roman"/>
          <w:bCs/>
          <w:color w:val="auto"/>
          <w:kern w:val="2"/>
          <w:szCs w:val="28"/>
          <w:u w:val="none" w:color="auto"/>
          <w:lang w:val="en-US" w:eastAsia="zh-CN" w:bidi="ar-SA"/>
        </w:rPr>
        <w:t>施工期生态环境影响分析与评价</w:t>
      </w:r>
      <w:r>
        <w:rPr>
          <w:color w:val="auto"/>
          <w:u w:val="none" w:color="auto"/>
        </w:rPr>
        <w:tab/>
      </w:r>
      <w:r>
        <w:rPr>
          <w:color w:val="auto"/>
          <w:u w:val="none" w:color="auto"/>
        </w:rPr>
        <w:fldChar w:fldCharType="begin"/>
      </w:r>
      <w:r>
        <w:rPr>
          <w:color w:val="auto"/>
          <w:u w:val="none" w:color="auto"/>
        </w:rPr>
        <w:instrText xml:space="preserve"> PAGEREF _Toc32251 \h </w:instrText>
      </w:r>
      <w:r>
        <w:rPr>
          <w:color w:val="auto"/>
          <w:u w:val="none" w:color="auto"/>
        </w:rPr>
        <w:fldChar w:fldCharType="separate"/>
      </w:r>
      <w:r>
        <w:rPr>
          <w:color w:val="auto"/>
          <w:u w:val="none" w:color="auto"/>
        </w:rPr>
        <w:t>158</w:t>
      </w:r>
      <w:r>
        <w:rPr>
          <w:color w:val="auto"/>
          <w:u w:val="none" w:color="auto"/>
        </w:rPr>
        <w:fldChar w:fldCharType="end"/>
      </w:r>
      <w:r>
        <w:rPr>
          <w:color w:val="auto"/>
          <w:szCs w:val="24"/>
          <w:u w:val="none" w:color="auto"/>
        </w:rPr>
        <w:fldChar w:fldCharType="end"/>
      </w:r>
    </w:p>
    <w:p w14:paraId="620E93E8">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_Toc17075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4.</w:t>
      </w:r>
      <w:r>
        <w:rPr>
          <w:rFonts w:hint="eastAsia" w:ascii="Times New Roman" w:hAnsi="Times New Roman" w:eastAsia="宋体" w:cs="Times New Roman"/>
          <w:bCs/>
          <w:color w:val="auto"/>
          <w:kern w:val="2"/>
          <w:szCs w:val="28"/>
          <w:u w:val="none" w:color="auto"/>
          <w:lang w:val="en-US" w:eastAsia="zh-CN" w:bidi="ar-SA"/>
        </w:rPr>
        <w:t>2</w:t>
      </w:r>
      <w:r>
        <w:rPr>
          <w:rFonts w:ascii="Times New Roman" w:hAnsi="Times New Roman" w:eastAsia="宋体" w:cs="Times New Roman"/>
          <w:bCs/>
          <w:color w:val="auto"/>
          <w:kern w:val="2"/>
          <w:szCs w:val="28"/>
          <w:u w:val="none" w:color="auto"/>
          <w:lang w:val="en-US" w:eastAsia="zh-CN" w:bidi="ar-SA"/>
        </w:rPr>
        <w:t xml:space="preserve"> </w:t>
      </w:r>
      <w:r>
        <w:rPr>
          <w:rFonts w:hint="eastAsia" w:ascii="Times New Roman" w:hAnsi="Times New Roman" w:eastAsia="宋体" w:cs="Times New Roman"/>
          <w:bCs/>
          <w:color w:val="auto"/>
          <w:kern w:val="2"/>
          <w:szCs w:val="28"/>
          <w:u w:val="none" w:color="auto"/>
          <w:lang w:val="en-US" w:eastAsia="zh-CN" w:bidi="ar-SA"/>
        </w:rPr>
        <w:t>运营期生态环境影响分析与评价</w:t>
      </w:r>
      <w:r>
        <w:rPr>
          <w:color w:val="auto"/>
          <w:u w:val="none" w:color="auto"/>
        </w:rPr>
        <w:tab/>
      </w:r>
      <w:r>
        <w:rPr>
          <w:color w:val="auto"/>
          <w:u w:val="none" w:color="auto"/>
        </w:rPr>
        <w:fldChar w:fldCharType="begin"/>
      </w:r>
      <w:r>
        <w:rPr>
          <w:color w:val="auto"/>
          <w:u w:val="none" w:color="auto"/>
        </w:rPr>
        <w:instrText xml:space="preserve"> PAGEREF _Toc17075 \h </w:instrText>
      </w:r>
      <w:r>
        <w:rPr>
          <w:color w:val="auto"/>
          <w:u w:val="none" w:color="auto"/>
        </w:rPr>
        <w:fldChar w:fldCharType="separate"/>
      </w:r>
      <w:r>
        <w:rPr>
          <w:color w:val="auto"/>
          <w:u w:val="none" w:color="auto"/>
        </w:rPr>
        <w:t>161</w:t>
      </w:r>
      <w:r>
        <w:rPr>
          <w:color w:val="auto"/>
          <w:u w:val="none" w:color="auto"/>
        </w:rPr>
        <w:fldChar w:fldCharType="end"/>
      </w:r>
      <w:r>
        <w:rPr>
          <w:color w:val="auto"/>
          <w:szCs w:val="24"/>
          <w:u w:val="none" w:color="auto"/>
        </w:rPr>
        <w:fldChar w:fldCharType="end"/>
      </w:r>
    </w:p>
    <w:p w14:paraId="5FF56F9C">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_Toc13121 </w:instrText>
      </w:r>
      <w:r>
        <w:rPr>
          <w:color w:val="auto"/>
          <w:szCs w:val="24"/>
          <w:u w:val="none" w:color="auto"/>
        </w:rPr>
        <w:fldChar w:fldCharType="separate"/>
      </w:r>
      <w:r>
        <w:rPr>
          <w:rFonts w:ascii="Times New Roman" w:hAnsi="Times New Roman" w:eastAsia="宋体" w:cs="Times New Roman"/>
          <w:bCs w:val="0"/>
          <w:snapToGrid w:val="0"/>
          <w:color w:val="auto"/>
          <w:kern w:val="0"/>
          <w:szCs w:val="30"/>
          <w:u w:val="none" w:color="auto"/>
          <w:lang w:val="en-US" w:eastAsia="zh-CN" w:bidi="ar-SA"/>
        </w:rPr>
        <w:t>5生态保护对策措施</w:t>
      </w:r>
      <w:r>
        <w:rPr>
          <w:color w:val="auto"/>
          <w:u w:val="none" w:color="auto"/>
        </w:rPr>
        <w:tab/>
      </w:r>
      <w:r>
        <w:rPr>
          <w:color w:val="auto"/>
          <w:u w:val="none" w:color="auto"/>
        </w:rPr>
        <w:fldChar w:fldCharType="begin"/>
      </w:r>
      <w:r>
        <w:rPr>
          <w:color w:val="auto"/>
          <w:u w:val="none" w:color="auto"/>
        </w:rPr>
        <w:instrText xml:space="preserve"> PAGEREF _Toc13121 \h </w:instrText>
      </w:r>
      <w:r>
        <w:rPr>
          <w:color w:val="auto"/>
          <w:u w:val="none" w:color="auto"/>
        </w:rPr>
        <w:fldChar w:fldCharType="separate"/>
      </w:r>
      <w:r>
        <w:rPr>
          <w:color w:val="auto"/>
          <w:u w:val="none" w:color="auto"/>
        </w:rPr>
        <w:t>164</w:t>
      </w:r>
      <w:r>
        <w:rPr>
          <w:color w:val="auto"/>
          <w:u w:val="none" w:color="auto"/>
        </w:rPr>
        <w:fldChar w:fldCharType="end"/>
      </w:r>
      <w:r>
        <w:rPr>
          <w:color w:val="auto"/>
          <w:szCs w:val="24"/>
          <w:u w:val="none" w:color="auto"/>
        </w:rPr>
        <w:fldChar w:fldCharType="end"/>
      </w:r>
    </w:p>
    <w:p w14:paraId="3727E3D8">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_Toc18084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5.1施工期生态保护措施</w:t>
      </w:r>
      <w:r>
        <w:rPr>
          <w:color w:val="auto"/>
          <w:u w:val="none" w:color="auto"/>
        </w:rPr>
        <w:tab/>
      </w:r>
      <w:r>
        <w:rPr>
          <w:color w:val="auto"/>
          <w:u w:val="none" w:color="auto"/>
        </w:rPr>
        <w:fldChar w:fldCharType="begin"/>
      </w:r>
      <w:r>
        <w:rPr>
          <w:color w:val="auto"/>
          <w:u w:val="none" w:color="auto"/>
        </w:rPr>
        <w:instrText xml:space="preserve"> PAGEREF _Toc18084 \h </w:instrText>
      </w:r>
      <w:r>
        <w:rPr>
          <w:color w:val="auto"/>
          <w:u w:val="none" w:color="auto"/>
        </w:rPr>
        <w:fldChar w:fldCharType="separate"/>
      </w:r>
      <w:r>
        <w:rPr>
          <w:color w:val="auto"/>
          <w:u w:val="none" w:color="auto"/>
        </w:rPr>
        <w:t>164</w:t>
      </w:r>
      <w:r>
        <w:rPr>
          <w:color w:val="auto"/>
          <w:u w:val="none" w:color="auto"/>
        </w:rPr>
        <w:fldChar w:fldCharType="end"/>
      </w:r>
      <w:r>
        <w:rPr>
          <w:color w:val="auto"/>
          <w:szCs w:val="24"/>
          <w:u w:val="none" w:color="auto"/>
        </w:rPr>
        <w:fldChar w:fldCharType="end"/>
      </w:r>
    </w:p>
    <w:p w14:paraId="5898649B">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_Toc14790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5.2营运期生态保护措施</w:t>
      </w:r>
      <w:r>
        <w:rPr>
          <w:color w:val="auto"/>
          <w:u w:val="none" w:color="auto"/>
        </w:rPr>
        <w:tab/>
      </w:r>
      <w:r>
        <w:rPr>
          <w:color w:val="auto"/>
          <w:u w:val="none" w:color="auto"/>
        </w:rPr>
        <w:fldChar w:fldCharType="begin"/>
      </w:r>
      <w:r>
        <w:rPr>
          <w:color w:val="auto"/>
          <w:u w:val="none" w:color="auto"/>
        </w:rPr>
        <w:instrText xml:space="preserve"> PAGEREF _Toc14790 \h </w:instrText>
      </w:r>
      <w:r>
        <w:rPr>
          <w:color w:val="auto"/>
          <w:u w:val="none" w:color="auto"/>
        </w:rPr>
        <w:fldChar w:fldCharType="separate"/>
      </w:r>
      <w:r>
        <w:rPr>
          <w:color w:val="auto"/>
          <w:u w:val="none" w:color="auto"/>
        </w:rPr>
        <w:t>165</w:t>
      </w:r>
      <w:r>
        <w:rPr>
          <w:color w:val="auto"/>
          <w:u w:val="none" w:color="auto"/>
        </w:rPr>
        <w:fldChar w:fldCharType="end"/>
      </w:r>
      <w:r>
        <w:rPr>
          <w:color w:val="auto"/>
          <w:szCs w:val="24"/>
          <w:u w:val="none" w:color="auto"/>
        </w:rPr>
        <w:fldChar w:fldCharType="end"/>
      </w:r>
    </w:p>
    <w:p w14:paraId="1C0E378F">
      <w:pPr>
        <w:pStyle w:val="18"/>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_Toc816 </w:instrText>
      </w:r>
      <w:r>
        <w:rPr>
          <w:color w:val="auto"/>
          <w:szCs w:val="24"/>
          <w:u w:val="none" w:color="auto"/>
        </w:rPr>
        <w:fldChar w:fldCharType="separate"/>
      </w:r>
      <w:r>
        <w:rPr>
          <w:rFonts w:ascii="Times New Roman" w:hAnsi="Times New Roman" w:eastAsia="宋体" w:cs="Times New Roman"/>
          <w:snapToGrid w:val="0"/>
          <w:color w:val="auto"/>
          <w:kern w:val="0"/>
          <w:szCs w:val="30"/>
          <w:u w:val="none" w:color="auto"/>
          <w:lang w:val="en-US" w:eastAsia="zh-CN" w:bidi="ar-SA"/>
        </w:rPr>
        <w:t>6评价结论和建议</w:t>
      </w:r>
      <w:r>
        <w:rPr>
          <w:color w:val="auto"/>
          <w:u w:val="none" w:color="auto"/>
        </w:rPr>
        <w:tab/>
      </w:r>
      <w:r>
        <w:rPr>
          <w:color w:val="auto"/>
          <w:u w:val="none" w:color="auto"/>
        </w:rPr>
        <w:fldChar w:fldCharType="begin"/>
      </w:r>
      <w:r>
        <w:rPr>
          <w:color w:val="auto"/>
          <w:u w:val="none" w:color="auto"/>
        </w:rPr>
        <w:instrText xml:space="preserve"> PAGEREF _Toc816 \h </w:instrText>
      </w:r>
      <w:r>
        <w:rPr>
          <w:color w:val="auto"/>
          <w:u w:val="none" w:color="auto"/>
        </w:rPr>
        <w:fldChar w:fldCharType="separate"/>
      </w:r>
      <w:r>
        <w:rPr>
          <w:color w:val="auto"/>
          <w:u w:val="none" w:color="auto"/>
        </w:rPr>
        <w:t>166</w:t>
      </w:r>
      <w:r>
        <w:rPr>
          <w:color w:val="auto"/>
          <w:u w:val="none" w:color="auto"/>
        </w:rPr>
        <w:fldChar w:fldCharType="end"/>
      </w:r>
      <w:r>
        <w:rPr>
          <w:color w:val="auto"/>
          <w:szCs w:val="24"/>
          <w:u w:val="none" w:color="auto"/>
        </w:rPr>
        <w:fldChar w:fldCharType="end"/>
      </w:r>
    </w:p>
    <w:p w14:paraId="3E0F5DF2">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_Toc32371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6.1评价结论</w:t>
      </w:r>
      <w:r>
        <w:rPr>
          <w:color w:val="auto"/>
          <w:u w:val="none" w:color="auto"/>
        </w:rPr>
        <w:tab/>
      </w:r>
      <w:r>
        <w:rPr>
          <w:color w:val="auto"/>
          <w:u w:val="none" w:color="auto"/>
        </w:rPr>
        <w:fldChar w:fldCharType="begin"/>
      </w:r>
      <w:r>
        <w:rPr>
          <w:color w:val="auto"/>
          <w:u w:val="none" w:color="auto"/>
        </w:rPr>
        <w:instrText xml:space="preserve"> PAGEREF _Toc32371 \h </w:instrText>
      </w:r>
      <w:r>
        <w:rPr>
          <w:color w:val="auto"/>
          <w:u w:val="none" w:color="auto"/>
        </w:rPr>
        <w:fldChar w:fldCharType="separate"/>
      </w:r>
      <w:r>
        <w:rPr>
          <w:color w:val="auto"/>
          <w:u w:val="none" w:color="auto"/>
        </w:rPr>
        <w:t>166</w:t>
      </w:r>
      <w:r>
        <w:rPr>
          <w:color w:val="auto"/>
          <w:u w:val="none" w:color="auto"/>
        </w:rPr>
        <w:fldChar w:fldCharType="end"/>
      </w:r>
      <w:r>
        <w:rPr>
          <w:color w:val="auto"/>
          <w:szCs w:val="24"/>
          <w:u w:val="none" w:color="auto"/>
        </w:rPr>
        <w:fldChar w:fldCharType="end"/>
      </w:r>
    </w:p>
    <w:p w14:paraId="7E4829B4">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_Toc1620 </w:instrText>
      </w:r>
      <w:r>
        <w:rPr>
          <w:color w:val="auto"/>
          <w:szCs w:val="24"/>
          <w:u w:val="none" w:color="auto"/>
        </w:rPr>
        <w:fldChar w:fldCharType="separate"/>
      </w:r>
      <w:r>
        <w:rPr>
          <w:rFonts w:ascii="Times New Roman" w:hAnsi="Times New Roman" w:eastAsia="宋体" w:cs="Times New Roman"/>
          <w:bCs/>
          <w:color w:val="auto"/>
          <w:kern w:val="2"/>
          <w:szCs w:val="28"/>
          <w:u w:val="none" w:color="auto"/>
          <w:lang w:val="en-US" w:eastAsia="zh-CN" w:bidi="ar-SA"/>
        </w:rPr>
        <w:t>6.2评价建议</w:t>
      </w:r>
      <w:r>
        <w:rPr>
          <w:color w:val="auto"/>
          <w:u w:val="none" w:color="auto"/>
        </w:rPr>
        <w:tab/>
      </w:r>
      <w:r>
        <w:rPr>
          <w:color w:val="auto"/>
          <w:u w:val="none" w:color="auto"/>
        </w:rPr>
        <w:fldChar w:fldCharType="begin"/>
      </w:r>
      <w:r>
        <w:rPr>
          <w:color w:val="auto"/>
          <w:u w:val="none" w:color="auto"/>
        </w:rPr>
        <w:instrText xml:space="preserve"> PAGEREF _Toc1620 \h </w:instrText>
      </w:r>
      <w:r>
        <w:rPr>
          <w:color w:val="auto"/>
          <w:u w:val="none" w:color="auto"/>
        </w:rPr>
        <w:fldChar w:fldCharType="separate"/>
      </w:r>
      <w:r>
        <w:rPr>
          <w:color w:val="auto"/>
          <w:u w:val="none" w:color="auto"/>
        </w:rPr>
        <w:t>166</w:t>
      </w:r>
      <w:r>
        <w:rPr>
          <w:color w:val="auto"/>
          <w:u w:val="none" w:color="auto"/>
        </w:rPr>
        <w:fldChar w:fldCharType="end"/>
      </w:r>
      <w:r>
        <w:rPr>
          <w:color w:val="auto"/>
          <w:szCs w:val="24"/>
          <w:u w:val="none" w:color="auto"/>
        </w:rPr>
        <w:fldChar w:fldCharType="end"/>
      </w:r>
    </w:p>
    <w:p w14:paraId="15BCD5B7">
      <w:pPr>
        <w:pStyle w:val="20"/>
        <w:tabs>
          <w:tab w:val="right" w:leader="dot" w:pos="8844"/>
        </w:tabs>
        <w:rPr>
          <w:color w:val="auto"/>
          <w:u w:val="none" w:color="auto"/>
        </w:rPr>
      </w:pPr>
      <w:r>
        <w:rPr>
          <w:color w:val="auto"/>
          <w:szCs w:val="24"/>
          <w:u w:val="none" w:color="auto"/>
        </w:rPr>
        <w:fldChar w:fldCharType="begin"/>
      </w:r>
      <w:r>
        <w:rPr>
          <w:color w:val="auto"/>
          <w:szCs w:val="24"/>
          <w:u w:val="none" w:color="auto"/>
        </w:rPr>
        <w:instrText xml:space="preserve"> HYPERLINK \l _Toc16678 </w:instrText>
      </w:r>
      <w:r>
        <w:rPr>
          <w:color w:val="auto"/>
          <w:szCs w:val="24"/>
          <w:u w:val="none" w:color="auto"/>
        </w:rPr>
        <w:fldChar w:fldCharType="separate"/>
      </w:r>
      <w:r>
        <w:rPr>
          <w:rFonts w:hint="default" w:ascii="Times New Roman" w:hAnsi="Times New Roman" w:eastAsia="宋体" w:cs="Times New Roman"/>
          <w:bCs/>
          <w:color w:val="auto"/>
          <w:szCs w:val="24"/>
          <w:u w:val="none" w:color="auto"/>
          <w:lang w:val="en-US" w:eastAsia="zh-CN"/>
        </w:rPr>
        <w:t>生态影响评价自查表</w:t>
      </w:r>
      <w:r>
        <w:rPr>
          <w:color w:val="auto"/>
          <w:u w:val="none" w:color="auto"/>
        </w:rPr>
        <w:tab/>
      </w:r>
      <w:r>
        <w:rPr>
          <w:color w:val="auto"/>
          <w:u w:val="none" w:color="auto"/>
        </w:rPr>
        <w:fldChar w:fldCharType="begin"/>
      </w:r>
      <w:r>
        <w:rPr>
          <w:color w:val="auto"/>
          <w:u w:val="none" w:color="auto"/>
        </w:rPr>
        <w:instrText xml:space="preserve"> PAGEREF _Toc16678 \h </w:instrText>
      </w:r>
      <w:r>
        <w:rPr>
          <w:color w:val="auto"/>
          <w:u w:val="none" w:color="auto"/>
        </w:rPr>
        <w:fldChar w:fldCharType="separate"/>
      </w:r>
      <w:r>
        <w:rPr>
          <w:color w:val="auto"/>
          <w:u w:val="none" w:color="auto"/>
        </w:rPr>
        <w:t>167</w:t>
      </w:r>
      <w:r>
        <w:rPr>
          <w:color w:val="auto"/>
          <w:u w:val="none" w:color="auto"/>
        </w:rPr>
        <w:fldChar w:fldCharType="end"/>
      </w:r>
      <w:r>
        <w:rPr>
          <w:color w:val="auto"/>
          <w:szCs w:val="24"/>
          <w:u w:val="none" w:color="auto"/>
        </w:rPr>
        <w:fldChar w:fldCharType="end"/>
      </w:r>
    </w:p>
    <w:p w14:paraId="4FFBE86F">
      <w:pPr>
        <w:pStyle w:val="18"/>
        <w:tabs>
          <w:tab w:val="right" w:leader="dot" w:pos="8844"/>
        </w:tabs>
        <w:rPr>
          <w:color w:val="auto"/>
          <w:szCs w:val="24"/>
          <w:u w:val="none" w:color="auto"/>
        </w:rPr>
      </w:pPr>
    </w:p>
    <w:p w14:paraId="62B148AB">
      <w:pPr>
        <w:pStyle w:val="18"/>
        <w:tabs>
          <w:tab w:val="right" w:leader="dot" w:pos="8844"/>
        </w:tabs>
        <w:rPr>
          <w:color w:val="auto"/>
          <w:szCs w:val="24"/>
          <w:u w:val="none" w:color="auto"/>
        </w:rPr>
      </w:pPr>
    </w:p>
    <w:p w14:paraId="781D767A">
      <w:pPr>
        <w:pStyle w:val="18"/>
        <w:tabs>
          <w:tab w:val="right" w:leader="dot" w:pos="8844"/>
        </w:tabs>
        <w:rPr>
          <w:color w:val="auto"/>
          <w:szCs w:val="24"/>
          <w:u w:val="none" w:color="auto"/>
        </w:rPr>
      </w:pPr>
    </w:p>
    <w:p w14:paraId="5C078AB1">
      <w:pPr>
        <w:pStyle w:val="18"/>
        <w:tabs>
          <w:tab w:val="right" w:leader="dot" w:pos="8844"/>
        </w:tabs>
        <w:rPr>
          <w:color w:val="auto"/>
          <w:szCs w:val="24"/>
          <w:u w:val="none" w:color="auto"/>
        </w:rPr>
      </w:pPr>
    </w:p>
    <w:p w14:paraId="608C66C5">
      <w:pPr>
        <w:pStyle w:val="18"/>
        <w:tabs>
          <w:tab w:val="right" w:leader="dot" w:pos="8844"/>
        </w:tabs>
        <w:rPr>
          <w:color w:val="auto"/>
          <w:szCs w:val="24"/>
          <w:u w:val="none" w:color="auto"/>
        </w:rPr>
      </w:pPr>
    </w:p>
    <w:p w14:paraId="3791C81A">
      <w:pPr>
        <w:pStyle w:val="18"/>
        <w:tabs>
          <w:tab w:val="right" w:leader="dot" w:pos="8844"/>
        </w:tabs>
        <w:rPr>
          <w:color w:val="auto"/>
          <w:szCs w:val="24"/>
          <w:u w:val="none" w:color="auto"/>
        </w:rPr>
      </w:pPr>
    </w:p>
    <w:p w14:paraId="3E7ECC41">
      <w:pPr>
        <w:pStyle w:val="18"/>
        <w:tabs>
          <w:tab w:val="right" w:leader="dot" w:pos="8844"/>
        </w:tabs>
        <w:rPr>
          <w:color w:val="auto"/>
          <w:szCs w:val="24"/>
          <w:u w:val="none" w:color="auto"/>
        </w:rPr>
      </w:pPr>
    </w:p>
    <w:p w14:paraId="592A7B3F">
      <w:pPr>
        <w:pStyle w:val="18"/>
        <w:tabs>
          <w:tab w:val="right" w:leader="dot" w:pos="8844"/>
        </w:tabs>
        <w:rPr>
          <w:color w:val="auto"/>
          <w:szCs w:val="24"/>
          <w:u w:val="none" w:color="auto"/>
        </w:rPr>
      </w:pPr>
    </w:p>
    <w:p w14:paraId="19DDD4DC">
      <w:pPr>
        <w:pStyle w:val="18"/>
        <w:tabs>
          <w:tab w:val="right" w:leader="dot" w:pos="8844"/>
        </w:tabs>
        <w:rPr>
          <w:color w:val="auto"/>
          <w:szCs w:val="24"/>
          <w:u w:val="none" w:color="auto"/>
        </w:rPr>
      </w:pPr>
    </w:p>
    <w:p w14:paraId="0BFFC71E">
      <w:pPr>
        <w:pStyle w:val="18"/>
        <w:tabs>
          <w:tab w:val="right" w:leader="dot" w:pos="8844"/>
        </w:tabs>
        <w:rPr>
          <w:color w:val="auto"/>
          <w:szCs w:val="24"/>
          <w:u w:val="none" w:color="auto"/>
        </w:rPr>
      </w:pPr>
    </w:p>
    <w:p w14:paraId="215F9650">
      <w:pPr>
        <w:pStyle w:val="18"/>
        <w:tabs>
          <w:tab w:val="right" w:leader="dot" w:pos="8844"/>
        </w:tabs>
        <w:rPr>
          <w:color w:val="auto"/>
          <w:szCs w:val="24"/>
          <w:u w:val="none" w:color="auto"/>
        </w:rPr>
      </w:pPr>
    </w:p>
    <w:p w14:paraId="1FDCF297">
      <w:pPr>
        <w:pStyle w:val="18"/>
        <w:tabs>
          <w:tab w:val="right" w:leader="dot" w:pos="8844"/>
        </w:tabs>
        <w:rPr>
          <w:color w:val="auto"/>
          <w:szCs w:val="24"/>
          <w:u w:val="none" w:color="auto"/>
        </w:rPr>
      </w:pPr>
    </w:p>
    <w:p w14:paraId="7EA0BD5C">
      <w:pPr>
        <w:pStyle w:val="18"/>
        <w:tabs>
          <w:tab w:val="right" w:leader="dot" w:pos="8844"/>
        </w:tabs>
        <w:rPr>
          <w:color w:val="auto"/>
          <w:szCs w:val="24"/>
          <w:u w:val="none" w:color="auto"/>
        </w:rPr>
      </w:pPr>
    </w:p>
    <w:p w14:paraId="72CCBCD1">
      <w:pPr>
        <w:pStyle w:val="18"/>
        <w:tabs>
          <w:tab w:val="right" w:leader="dot" w:pos="8844"/>
        </w:tabs>
        <w:rPr>
          <w:color w:val="auto"/>
          <w:szCs w:val="24"/>
          <w:u w:val="none" w:color="auto"/>
        </w:rPr>
      </w:pPr>
    </w:p>
    <w:p w14:paraId="40AE5EF4">
      <w:pPr>
        <w:pStyle w:val="18"/>
        <w:tabs>
          <w:tab w:val="right" w:leader="dot" w:pos="8844"/>
        </w:tabs>
        <w:rPr>
          <w:color w:val="auto"/>
          <w:szCs w:val="24"/>
          <w:u w:val="none" w:color="auto"/>
        </w:rPr>
      </w:pPr>
    </w:p>
    <w:p w14:paraId="562AB83F">
      <w:pPr>
        <w:pStyle w:val="18"/>
        <w:tabs>
          <w:tab w:val="right" w:leader="dot" w:pos="8844"/>
        </w:tabs>
        <w:rPr>
          <w:color w:val="auto"/>
          <w:szCs w:val="24"/>
          <w:u w:val="none" w:color="auto"/>
        </w:rPr>
      </w:pPr>
    </w:p>
    <w:p w14:paraId="4EAB3928">
      <w:pPr>
        <w:pStyle w:val="18"/>
        <w:tabs>
          <w:tab w:val="right" w:leader="dot" w:pos="8844"/>
        </w:tabs>
        <w:rPr>
          <w:color w:val="auto"/>
          <w:szCs w:val="24"/>
          <w:u w:val="none" w:color="auto"/>
        </w:rPr>
      </w:pPr>
    </w:p>
    <w:p w14:paraId="7F77AF8A">
      <w:pPr>
        <w:pStyle w:val="18"/>
        <w:tabs>
          <w:tab w:val="right" w:leader="dot" w:pos="8844"/>
        </w:tabs>
        <w:rPr>
          <w:color w:val="auto"/>
          <w:szCs w:val="24"/>
          <w:u w:val="none" w:color="auto"/>
        </w:rPr>
      </w:pPr>
    </w:p>
    <w:p w14:paraId="74604C4C">
      <w:pPr>
        <w:pStyle w:val="18"/>
        <w:tabs>
          <w:tab w:val="right" w:leader="dot" w:pos="8844"/>
        </w:tabs>
        <w:rPr>
          <w:color w:val="auto"/>
          <w:szCs w:val="24"/>
          <w:u w:val="none" w:color="auto"/>
        </w:rPr>
      </w:pPr>
    </w:p>
    <w:p w14:paraId="293BF8FE">
      <w:pPr>
        <w:pStyle w:val="18"/>
        <w:tabs>
          <w:tab w:val="right" w:leader="dot" w:pos="8844"/>
        </w:tabs>
        <w:rPr>
          <w:color w:val="auto"/>
          <w:szCs w:val="24"/>
          <w:u w:val="none" w:color="auto"/>
        </w:rPr>
      </w:pPr>
    </w:p>
    <w:p w14:paraId="0A747389">
      <w:pPr>
        <w:pStyle w:val="18"/>
        <w:tabs>
          <w:tab w:val="right" w:leader="dot" w:pos="8844"/>
        </w:tabs>
        <w:rPr>
          <w:color w:val="auto"/>
          <w:szCs w:val="24"/>
          <w:u w:val="none" w:color="auto"/>
        </w:rPr>
      </w:pPr>
    </w:p>
    <w:p w14:paraId="485FAC26">
      <w:pPr>
        <w:pStyle w:val="18"/>
        <w:tabs>
          <w:tab w:val="right" w:leader="dot" w:pos="8844"/>
        </w:tabs>
        <w:rPr>
          <w:color w:val="auto"/>
          <w:szCs w:val="24"/>
          <w:u w:val="none" w:color="auto"/>
        </w:rPr>
      </w:pPr>
    </w:p>
    <w:p w14:paraId="15FDD12E">
      <w:pPr>
        <w:pStyle w:val="18"/>
        <w:tabs>
          <w:tab w:val="right" w:leader="dot" w:pos="8844"/>
        </w:tabs>
        <w:rPr>
          <w:color w:val="auto"/>
          <w:szCs w:val="24"/>
          <w:u w:val="none" w:color="auto"/>
        </w:rPr>
      </w:pPr>
    </w:p>
    <w:p w14:paraId="238DB344">
      <w:pPr>
        <w:pStyle w:val="20"/>
        <w:tabs>
          <w:tab w:val="right" w:leader="dot" w:pos="8844"/>
        </w:tabs>
        <w:ind w:left="0" w:leftChars="0" w:firstLine="0" w:firstLineChars="0"/>
        <w:rPr>
          <w:color w:val="auto"/>
          <w:u w:val="none" w:color="auto"/>
        </w:rPr>
      </w:pPr>
    </w:p>
    <w:p w14:paraId="70C4D66F">
      <w:pPr>
        <w:rPr>
          <w:color w:val="auto"/>
          <w:sz w:val="24"/>
          <w:szCs w:val="24"/>
          <w:u w:val="none" w:color="auto"/>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szCs w:val="24"/>
          <w:u w:val="none" w:color="auto"/>
        </w:rPr>
        <w:fldChar w:fldCharType="end"/>
      </w:r>
    </w:p>
    <w:p w14:paraId="6D2C8E6B">
      <w:pPr>
        <w:pStyle w:val="21"/>
        <w:jc w:val="center"/>
        <w:outlineLvl w:val="0"/>
        <w:rPr>
          <w:rFonts w:ascii="黑体" w:hAnsi="黑体" w:eastAsia="黑体"/>
          <w:snapToGrid w:val="0"/>
          <w:color w:val="auto"/>
          <w:sz w:val="30"/>
          <w:szCs w:val="30"/>
          <w:u w:val="none" w:color="auto"/>
        </w:rPr>
      </w:pPr>
      <w:bookmarkStart w:id="1" w:name="_Toc576"/>
      <w:bookmarkStart w:id="2" w:name="_Toc29286"/>
      <w:bookmarkStart w:id="3" w:name="_Toc21076"/>
      <w:bookmarkStart w:id="4" w:name="_Toc16422"/>
      <w:r>
        <w:rPr>
          <w:rFonts w:hint="eastAsia" w:ascii="黑体" w:hAnsi="黑体" w:eastAsia="黑体"/>
          <w:snapToGrid w:val="0"/>
          <w:color w:val="auto"/>
          <w:sz w:val="30"/>
          <w:szCs w:val="30"/>
          <w:u w:val="none" w:color="auto"/>
        </w:rPr>
        <w:t>一、建设项目基本情况</w:t>
      </w:r>
      <w:bookmarkEnd w:id="1"/>
      <w:bookmarkEnd w:id="2"/>
      <w:bookmarkEnd w:id="3"/>
      <w:bookmarkEnd w:id="4"/>
    </w:p>
    <w:tbl>
      <w:tblPr>
        <w:tblStyle w:val="25"/>
        <w:tblW w:w="90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82"/>
        <w:gridCol w:w="2837"/>
        <w:gridCol w:w="2212"/>
        <w:gridCol w:w="2789"/>
      </w:tblGrid>
      <w:tr w14:paraId="407B0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04B79D8D">
            <w:pPr>
              <w:adjustRightInd w:val="0"/>
              <w:snapToGrid w:val="0"/>
              <w:jc w:val="center"/>
              <w:rPr>
                <w:rFonts w:cs="宋体"/>
                <w:color w:val="auto"/>
                <w:sz w:val="24"/>
                <w:szCs w:val="21"/>
                <w:u w:val="none" w:color="auto"/>
              </w:rPr>
            </w:pPr>
            <w:r>
              <w:rPr>
                <w:rFonts w:hint="eastAsia" w:cs="宋体"/>
                <w:color w:val="auto"/>
                <w:sz w:val="24"/>
                <w:szCs w:val="21"/>
                <w:u w:val="none" w:color="auto"/>
              </w:rPr>
              <w:t>建设项目</w:t>
            </w:r>
          </w:p>
          <w:p w14:paraId="4271C9CB">
            <w:pPr>
              <w:adjustRightInd w:val="0"/>
              <w:snapToGrid w:val="0"/>
              <w:jc w:val="center"/>
              <w:rPr>
                <w:rFonts w:cs="宋体"/>
                <w:color w:val="auto"/>
                <w:sz w:val="24"/>
                <w:szCs w:val="21"/>
                <w:u w:val="none" w:color="auto"/>
              </w:rPr>
            </w:pPr>
            <w:r>
              <w:rPr>
                <w:rFonts w:hint="eastAsia" w:cs="宋体"/>
                <w:color w:val="auto"/>
                <w:sz w:val="24"/>
                <w:szCs w:val="21"/>
                <w:u w:val="none" w:color="auto"/>
              </w:rPr>
              <w:t>名称</w:t>
            </w:r>
          </w:p>
        </w:tc>
        <w:tc>
          <w:tcPr>
            <w:tcW w:w="7838" w:type="dxa"/>
            <w:gridSpan w:val="3"/>
            <w:vAlign w:val="center"/>
          </w:tcPr>
          <w:p w14:paraId="4B4F0AC7">
            <w:pPr>
              <w:adjustRightInd w:val="0"/>
              <w:snapToGrid w:val="0"/>
              <w:jc w:val="center"/>
              <w:rPr>
                <w:rFonts w:hint="eastAsia" w:ascii="Times New Roman" w:hAnsi="Times New Roman" w:eastAsia="宋体" w:cs="宋体"/>
                <w:color w:val="auto"/>
                <w:sz w:val="24"/>
                <w:szCs w:val="21"/>
                <w:u w:val="none" w:color="auto"/>
                <w:lang w:val="en-US" w:eastAsia="zh-CN"/>
              </w:rPr>
            </w:pPr>
            <w:r>
              <w:rPr>
                <w:rFonts w:hint="eastAsia" w:ascii="Times New Roman" w:hAnsi="Times New Roman" w:eastAsia="宋体" w:cs="宋体"/>
                <w:color w:val="auto"/>
                <w:sz w:val="24"/>
                <w:szCs w:val="21"/>
                <w:u w:val="none" w:color="auto"/>
                <w:lang w:val="en-US" w:eastAsia="zh-CN"/>
              </w:rPr>
              <w:t>华容县团洲垸灾后重建安置房配套基础设施建设项目</w:t>
            </w:r>
          </w:p>
        </w:tc>
      </w:tr>
      <w:tr w14:paraId="20874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4B93E6B2">
            <w:pPr>
              <w:adjustRightInd w:val="0"/>
              <w:snapToGrid w:val="0"/>
              <w:jc w:val="center"/>
              <w:rPr>
                <w:rFonts w:cs="宋体"/>
                <w:color w:val="auto"/>
                <w:sz w:val="24"/>
                <w:szCs w:val="21"/>
                <w:u w:val="none" w:color="auto"/>
              </w:rPr>
            </w:pPr>
            <w:r>
              <w:rPr>
                <w:rFonts w:hint="eastAsia" w:cs="宋体"/>
                <w:color w:val="auto"/>
                <w:sz w:val="24"/>
                <w:szCs w:val="21"/>
                <w:u w:val="none" w:color="auto"/>
              </w:rPr>
              <w:t>项目代码</w:t>
            </w:r>
          </w:p>
        </w:tc>
        <w:tc>
          <w:tcPr>
            <w:tcW w:w="7838" w:type="dxa"/>
            <w:gridSpan w:val="3"/>
            <w:vAlign w:val="center"/>
          </w:tcPr>
          <w:p w14:paraId="65A84B3B">
            <w:pPr>
              <w:adjustRightInd w:val="0"/>
              <w:snapToGrid w:val="0"/>
              <w:jc w:val="center"/>
              <w:rPr>
                <w:rFonts w:hint="default" w:ascii="Times New Roman" w:hAnsi="Times New Roman" w:eastAsia="宋体" w:cs="宋体"/>
                <w:color w:val="auto"/>
                <w:sz w:val="24"/>
                <w:szCs w:val="21"/>
                <w:u w:val="none" w:color="auto"/>
                <w:lang w:val="en-US" w:eastAsia="zh-CN"/>
              </w:rPr>
            </w:pPr>
            <w:r>
              <w:rPr>
                <w:rFonts w:hint="eastAsia" w:ascii="Times New Roman" w:hAnsi="Times New Roman" w:eastAsia="宋体" w:cs="宋体"/>
                <w:color w:val="auto"/>
                <w:sz w:val="24"/>
                <w:szCs w:val="21"/>
                <w:u w:val="none" w:color="auto"/>
                <w:lang w:val="en-US" w:eastAsia="zh-CN"/>
              </w:rPr>
              <w:t>2410-430623-04-05-322155</w:t>
            </w:r>
          </w:p>
        </w:tc>
      </w:tr>
      <w:tr w14:paraId="6C5A53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34999190">
            <w:pPr>
              <w:adjustRightInd w:val="0"/>
              <w:snapToGrid w:val="0"/>
              <w:jc w:val="center"/>
              <w:rPr>
                <w:rFonts w:cs="宋体"/>
                <w:color w:val="auto"/>
                <w:sz w:val="24"/>
                <w:szCs w:val="21"/>
                <w:u w:val="none" w:color="auto"/>
              </w:rPr>
            </w:pPr>
            <w:r>
              <w:rPr>
                <w:rFonts w:hint="eastAsia" w:cs="宋体"/>
                <w:color w:val="auto"/>
                <w:sz w:val="24"/>
                <w:szCs w:val="21"/>
                <w:u w:val="none" w:color="auto"/>
              </w:rPr>
              <w:t>建设单位</w:t>
            </w:r>
          </w:p>
          <w:p w14:paraId="2EDD0678">
            <w:pPr>
              <w:adjustRightInd w:val="0"/>
              <w:snapToGrid w:val="0"/>
              <w:jc w:val="center"/>
              <w:rPr>
                <w:rFonts w:cs="宋体"/>
                <w:color w:val="auto"/>
                <w:sz w:val="24"/>
                <w:szCs w:val="21"/>
                <w:u w:val="none" w:color="auto"/>
              </w:rPr>
            </w:pPr>
            <w:r>
              <w:rPr>
                <w:rFonts w:hint="eastAsia" w:cs="宋体"/>
                <w:color w:val="auto"/>
                <w:sz w:val="24"/>
                <w:szCs w:val="21"/>
                <w:u w:val="none" w:color="auto"/>
              </w:rPr>
              <w:t>联系人</w:t>
            </w:r>
          </w:p>
        </w:tc>
        <w:tc>
          <w:tcPr>
            <w:tcW w:w="2837" w:type="dxa"/>
            <w:vAlign w:val="center"/>
          </w:tcPr>
          <w:p w14:paraId="66286B14">
            <w:pPr>
              <w:adjustRightInd w:val="0"/>
              <w:snapToGrid w:val="0"/>
              <w:jc w:val="center"/>
              <w:rPr>
                <w:rFonts w:hint="default" w:eastAsia="宋体" w:cs="宋体"/>
                <w:color w:val="auto"/>
                <w:sz w:val="24"/>
                <w:szCs w:val="21"/>
                <w:u w:val="none" w:color="auto"/>
                <w:lang w:val="en-US" w:eastAsia="zh-CN"/>
              </w:rPr>
            </w:pPr>
            <w:r>
              <w:rPr>
                <w:rFonts w:hint="eastAsia" w:cs="宋体"/>
                <w:color w:val="auto"/>
                <w:sz w:val="24"/>
                <w:szCs w:val="21"/>
                <w:u w:val="none" w:color="auto"/>
                <w:lang w:val="en-US" w:eastAsia="zh-CN"/>
              </w:rPr>
              <w:t>蔡祥</w:t>
            </w:r>
          </w:p>
        </w:tc>
        <w:tc>
          <w:tcPr>
            <w:tcW w:w="2212" w:type="dxa"/>
            <w:vAlign w:val="center"/>
          </w:tcPr>
          <w:p w14:paraId="31C1EEAB">
            <w:pPr>
              <w:adjustRightInd w:val="0"/>
              <w:snapToGrid w:val="0"/>
              <w:jc w:val="center"/>
              <w:rPr>
                <w:rFonts w:cs="宋体"/>
                <w:color w:val="auto"/>
                <w:sz w:val="24"/>
                <w:szCs w:val="21"/>
                <w:u w:val="none" w:color="auto"/>
              </w:rPr>
            </w:pPr>
            <w:r>
              <w:rPr>
                <w:rFonts w:hint="eastAsia" w:cs="宋体"/>
                <w:color w:val="auto"/>
                <w:sz w:val="24"/>
                <w:szCs w:val="21"/>
                <w:u w:val="none" w:color="auto"/>
              </w:rPr>
              <w:t>联系方式</w:t>
            </w:r>
          </w:p>
        </w:tc>
        <w:tc>
          <w:tcPr>
            <w:tcW w:w="2789" w:type="dxa"/>
            <w:vAlign w:val="center"/>
          </w:tcPr>
          <w:p w14:paraId="4EE8180E">
            <w:pPr>
              <w:adjustRightInd w:val="0"/>
              <w:snapToGrid w:val="0"/>
              <w:jc w:val="center"/>
              <w:rPr>
                <w:rFonts w:hint="default" w:eastAsia="宋体" w:cs="宋体"/>
                <w:color w:val="auto"/>
                <w:sz w:val="24"/>
                <w:szCs w:val="21"/>
                <w:u w:val="none" w:color="auto"/>
                <w:lang w:val="en-US" w:eastAsia="zh-CN"/>
              </w:rPr>
            </w:pPr>
            <w:r>
              <w:rPr>
                <w:rFonts w:hint="eastAsia" w:cs="宋体"/>
                <w:color w:val="auto"/>
                <w:sz w:val="24"/>
                <w:szCs w:val="21"/>
                <w:highlight w:val="none"/>
                <w:u w:val="none" w:color="auto"/>
                <w:lang w:val="en-US" w:eastAsia="zh-CN"/>
              </w:rPr>
              <w:t>13337301653</w:t>
            </w:r>
          </w:p>
        </w:tc>
      </w:tr>
      <w:tr w14:paraId="21EE6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17B6EC1D">
            <w:pPr>
              <w:adjustRightInd w:val="0"/>
              <w:snapToGrid w:val="0"/>
              <w:jc w:val="center"/>
              <w:rPr>
                <w:rFonts w:cs="宋体"/>
                <w:color w:val="auto"/>
                <w:sz w:val="24"/>
                <w:szCs w:val="21"/>
                <w:u w:val="none" w:color="auto"/>
              </w:rPr>
            </w:pPr>
            <w:r>
              <w:rPr>
                <w:rFonts w:hint="eastAsia" w:cs="宋体"/>
                <w:color w:val="auto"/>
                <w:sz w:val="24"/>
                <w:szCs w:val="21"/>
                <w:u w:val="none" w:color="auto"/>
              </w:rPr>
              <w:t>建设地点</w:t>
            </w:r>
          </w:p>
        </w:tc>
        <w:tc>
          <w:tcPr>
            <w:tcW w:w="7838" w:type="dxa"/>
            <w:gridSpan w:val="3"/>
            <w:vAlign w:val="center"/>
          </w:tcPr>
          <w:p w14:paraId="05AB0CCA">
            <w:pPr>
              <w:adjustRightInd w:val="0"/>
              <w:snapToGrid w:val="0"/>
              <w:jc w:val="center"/>
              <w:rPr>
                <w:rFonts w:hint="default" w:ascii="Times New Roman" w:hAnsi="Times New Roman" w:eastAsia="宋体" w:cs="Times New Roman"/>
                <w:color w:val="auto"/>
                <w:sz w:val="24"/>
                <w:szCs w:val="21"/>
                <w:highlight w:val="none"/>
                <w:u w:val="none" w:color="auto"/>
                <w:lang w:val="en-US" w:eastAsia="zh-CN"/>
              </w:rPr>
            </w:pPr>
            <w:r>
              <w:rPr>
                <w:rFonts w:hint="eastAsia" w:ascii="Times New Roman" w:hAnsi="Times New Roman" w:eastAsia="宋体" w:cs="Times New Roman"/>
                <w:color w:val="auto"/>
                <w:sz w:val="24"/>
                <w:szCs w:val="21"/>
                <w:highlight w:val="none"/>
                <w:u w:val="none" w:color="auto"/>
                <w:lang w:val="en-US" w:eastAsia="zh-CN"/>
              </w:rPr>
              <w:t>华容县团洲乡</w:t>
            </w:r>
            <w:r>
              <w:rPr>
                <w:rFonts w:hint="default" w:ascii="Times New Roman" w:hAnsi="Times New Roman" w:eastAsia="宋体" w:cs="Times New Roman"/>
                <w:color w:val="auto"/>
                <w:sz w:val="24"/>
                <w:szCs w:val="21"/>
                <w:highlight w:val="none"/>
                <w:u w:val="none" w:color="auto"/>
                <w:lang w:val="en-US" w:eastAsia="zh-CN"/>
              </w:rPr>
              <w:t>团洲新村</w:t>
            </w:r>
          </w:p>
        </w:tc>
      </w:tr>
      <w:tr w14:paraId="2D203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82" w:type="dxa"/>
            <w:tcMar>
              <w:top w:w="16" w:type="dxa"/>
              <w:left w:w="16" w:type="dxa"/>
              <w:right w:w="16" w:type="dxa"/>
            </w:tcMar>
            <w:vAlign w:val="center"/>
          </w:tcPr>
          <w:p w14:paraId="37DE7053">
            <w:pPr>
              <w:adjustRightInd w:val="0"/>
              <w:snapToGrid w:val="0"/>
              <w:jc w:val="center"/>
              <w:rPr>
                <w:rFonts w:cs="宋体"/>
                <w:color w:val="auto"/>
                <w:sz w:val="24"/>
                <w:szCs w:val="21"/>
                <w:u w:val="none" w:color="auto"/>
              </w:rPr>
            </w:pPr>
            <w:r>
              <w:rPr>
                <w:rFonts w:hint="eastAsia" w:cs="宋体"/>
                <w:color w:val="auto"/>
                <w:sz w:val="24"/>
                <w:szCs w:val="21"/>
                <w:u w:val="none" w:color="auto"/>
              </w:rPr>
              <w:t>地理坐标</w:t>
            </w:r>
          </w:p>
        </w:tc>
        <w:tc>
          <w:tcPr>
            <w:tcW w:w="7838" w:type="dxa"/>
            <w:gridSpan w:val="3"/>
            <w:vAlign w:val="center"/>
          </w:tcPr>
          <w:p w14:paraId="11335E19">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月牙湖大道坐标：</w:t>
            </w:r>
          </w:p>
          <w:p w14:paraId="0828FC83">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起点：</w:t>
            </w:r>
            <w:r>
              <w:rPr>
                <w:rFonts w:hint="default" w:cs="宋体"/>
                <w:color w:val="auto"/>
                <w:sz w:val="24"/>
                <w:szCs w:val="21"/>
                <w:highlight w:val="none"/>
                <w:u w:val="none" w:color="auto"/>
                <w:lang w:val="en-US" w:eastAsia="zh-CN"/>
              </w:rPr>
              <w:t>东经：112°47'46.4501"；北纬：</w:t>
            </w:r>
            <w:r>
              <w:rPr>
                <w:rFonts w:hint="eastAsia" w:cs="宋体"/>
                <w:color w:val="auto"/>
                <w:sz w:val="24"/>
                <w:szCs w:val="21"/>
                <w:highlight w:val="none"/>
                <w:u w:val="none" w:color="auto"/>
                <w:lang w:val="en-US" w:eastAsia="zh-CN"/>
              </w:rPr>
              <w:t>29°20'03.3759"。</w:t>
            </w:r>
          </w:p>
          <w:p w14:paraId="7176202A">
            <w:pPr>
              <w:adjustRightInd w:val="0"/>
              <w:snapToGrid w:val="0"/>
              <w:jc w:val="center"/>
              <w:rPr>
                <w:rFonts w:hint="default"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终点：</w:t>
            </w:r>
            <w:r>
              <w:rPr>
                <w:rFonts w:hint="default" w:cs="宋体"/>
                <w:color w:val="auto"/>
                <w:sz w:val="24"/>
                <w:szCs w:val="21"/>
                <w:highlight w:val="none"/>
                <w:u w:val="none" w:color="auto"/>
                <w:lang w:val="en-US" w:eastAsia="zh-CN"/>
              </w:rPr>
              <w:t>东经：112°48'22.3961"；北纬：</w:t>
            </w:r>
            <w:r>
              <w:rPr>
                <w:rFonts w:hint="eastAsia" w:cs="宋体"/>
                <w:color w:val="auto"/>
                <w:sz w:val="24"/>
                <w:szCs w:val="21"/>
                <w:highlight w:val="none"/>
                <w:u w:val="none" w:color="auto"/>
                <w:lang w:val="en-US" w:eastAsia="zh-CN"/>
              </w:rPr>
              <w:t>29°19'55.6405"。</w:t>
            </w:r>
          </w:p>
          <w:p w14:paraId="239B6191">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团结路坐标：</w:t>
            </w:r>
          </w:p>
          <w:p w14:paraId="30C4C009">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起点：</w:t>
            </w:r>
            <w:r>
              <w:rPr>
                <w:rFonts w:hint="default" w:cs="宋体"/>
                <w:color w:val="auto"/>
                <w:sz w:val="24"/>
                <w:szCs w:val="21"/>
                <w:highlight w:val="none"/>
                <w:u w:val="none" w:color="auto"/>
                <w:lang w:val="en-US" w:eastAsia="zh-CN"/>
              </w:rPr>
              <w:t>东经：112°48'06.3146"；北纬：</w:t>
            </w:r>
            <w:r>
              <w:rPr>
                <w:rFonts w:hint="eastAsia" w:cs="宋体"/>
                <w:color w:val="auto"/>
                <w:sz w:val="24"/>
                <w:szCs w:val="21"/>
                <w:highlight w:val="none"/>
                <w:u w:val="none" w:color="auto"/>
                <w:lang w:val="en-US" w:eastAsia="zh-CN"/>
              </w:rPr>
              <w:t>29°20'05.0655"。</w:t>
            </w:r>
          </w:p>
          <w:p w14:paraId="4DE7D773">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终点：</w:t>
            </w:r>
            <w:r>
              <w:rPr>
                <w:rFonts w:hint="default" w:cs="宋体"/>
                <w:color w:val="auto"/>
                <w:sz w:val="24"/>
                <w:szCs w:val="21"/>
                <w:highlight w:val="none"/>
                <w:u w:val="none" w:color="auto"/>
                <w:lang w:val="en-US" w:eastAsia="zh-CN"/>
              </w:rPr>
              <w:t>东经：112°47'59.2543"；北纬：</w:t>
            </w:r>
            <w:r>
              <w:rPr>
                <w:rFonts w:hint="eastAsia" w:cs="宋体"/>
                <w:color w:val="auto"/>
                <w:sz w:val="24"/>
                <w:szCs w:val="21"/>
                <w:highlight w:val="none"/>
                <w:u w:val="none" w:color="auto"/>
                <w:lang w:val="en-US" w:eastAsia="zh-CN"/>
              </w:rPr>
              <w:t>29°19'40.6826"。</w:t>
            </w:r>
          </w:p>
          <w:p w14:paraId="6360AA91">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团胜路坐标：</w:t>
            </w:r>
          </w:p>
          <w:p w14:paraId="35405284">
            <w:pPr>
              <w:adjustRightInd w:val="0"/>
              <w:snapToGrid w:val="0"/>
              <w:jc w:val="center"/>
              <w:rPr>
                <w:rFonts w:hint="eastAsia"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起点：</w:t>
            </w:r>
            <w:r>
              <w:rPr>
                <w:rFonts w:hint="default" w:cs="宋体"/>
                <w:color w:val="auto"/>
                <w:sz w:val="24"/>
                <w:szCs w:val="21"/>
                <w:highlight w:val="none"/>
                <w:u w:val="none" w:color="auto"/>
                <w:lang w:val="en-US" w:eastAsia="zh-CN"/>
              </w:rPr>
              <w:t>东经：112°48'14.5674"；北纬：</w:t>
            </w:r>
            <w:r>
              <w:rPr>
                <w:rFonts w:hint="eastAsia" w:cs="宋体"/>
                <w:color w:val="auto"/>
                <w:sz w:val="24"/>
                <w:szCs w:val="21"/>
                <w:highlight w:val="none"/>
                <w:u w:val="none" w:color="auto"/>
                <w:lang w:val="en-US" w:eastAsia="zh-CN"/>
              </w:rPr>
              <w:t>29°19'57.2364"。</w:t>
            </w:r>
          </w:p>
          <w:p w14:paraId="12B6B58C">
            <w:pPr>
              <w:adjustRightInd w:val="0"/>
              <w:snapToGrid w:val="0"/>
              <w:jc w:val="center"/>
              <w:rPr>
                <w:rFonts w:hint="default" w:ascii="Times New Roman" w:hAnsi="Times New Roman" w:eastAsia="宋体" w:cs="Times New Roman"/>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终点：</w:t>
            </w:r>
            <w:r>
              <w:rPr>
                <w:rFonts w:hint="default" w:cs="宋体"/>
                <w:color w:val="auto"/>
                <w:sz w:val="24"/>
                <w:szCs w:val="21"/>
                <w:highlight w:val="none"/>
                <w:u w:val="none" w:color="auto"/>
                <w:lang w:val="en-US" w:eastAsia="zh-CN"/>
              </w:rPr>
              <w:t>东经：112°48'11.0180"；北纬：</w:t>
            </w:r>
            <w:r>
              <w:rPr>
                <w:rFonts w:hint="eastAsia" w:cs="宋体"/>
                <w:color w:val="auto"/>
                <w:sz w:val="24"/>
                <w:szCs w:val="21"/>
                <w:highlight w:val="none"/>
                <w:u w:val="none" w:color="auto"/>
                <w:lang w:val="en-US" w:eastAsia="zh-CN"/>
              </w:rPr>
              <w:t>29°19'42.1812"。</w:t>
            </w:r>
          </w:p>
        </w:tc>
      </w:tr>
      <w:tr w14:paraId="10D13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82" w:type="dxa"/>
            <w:shd w:val="clear" w:color="auto" w:fill="auto"/>
            <w:tcMar>
              <w:top w:w="16" w:type="dxa"/>
              <w:left w:w="16" w:type="dxa"/>
              <w:right w:w="16" w:type="dxa"/>
            </w:tcMar>
            <w:vAlign w:val="center"/>
          </w:tcPr>
          <w:p w14:paraId="463A31E2">
            <w:pPr>
              <w:adjustRightInd w:val="0"/>
              <w:snapToGrid w:val="0"/>
              <w:jc w:val="center"/>
              <w:rPr>
                <w:rFonts w:hint="default" w:ascii="Times New Roman" w:hAnsi="Times New Roman" w:cs="宋体"/>
                <w:color w:val="auto"/>
                <w:sz w:val="24"/>
                <w:szCs w:val="21"/>
                <w:highlight w:val="none"/>
                <w:u w:val="none" w:color="auto"/>
                <w:lang w:val="en-US" w:eastAsia="zh-CN"/>
              </w:rPr>
            </w:pPr>
            <w:r>
              <w:rPr>
                <w:rFonts w:hint="eastAsia" w:ascii="Times New Roman" w:hAnsi="Times New Roman" w:cs="宋体"/>
                <w:color w:val="auto"/>
                <w:sz w:val="24"/>
                <w:szCs w:val="21"/>
                <w:highlight w:val="none"/>
                <w:u w:val="none" w:color="auto"/>
                <w:lang w:val="en-US" w:eastAsia="zh-CN"/>
              </w:rPr>
              <w:t>建设项目</w:t>
            </w:r>
          </w:p>
          <w:p w14:paraId="5B4F4D5E">
            <w:pPr>
              <w:adjustRightInd w:val="0"/>
              <w:snapToGrid w:val="0"/>
              <w:jc w:val="center"/>
              <w:rPr>
                <w:rFonts w:hint="eastAsia" w:ascii="Times New Roman" w:hAnsi="Times New Roman" w:eastAsia="宋体" w:cs="宋体"/>
                <w:color w:val="auto"/>
                <w:kern w:val="2"/>
                <w:sz w:val="24"/>
                <w:szCs w:val="21"/>
                <w:highlight w:val="none"/>
                <w:u w:val="none" w:color="auto"/>
                <w:lang w:val="en-US" w:eastAsia="zh-CN" w:bidi="ar-SA"/>
              </w:rPr>
            </w:pPr>
            <w:r>
              <w:rPr>
                <w:rFonts w:hint="eastAsia" w:ascii="Times New Roman" w:hAnsi="Times New Roman" w:cs="宋体"/>
                <w:color w:val="auto"/>
                <w:sz w:val="24"/>
                <w:szCs w:val="21"/>
                <w:highlight w:val="none"/>
                <w:u w:val="none" w:color="auto"/>
                <w:lang w:val="en-US" w:eastAsia="zh-CN"/>
              </w:rPr>
              <w:t>行业类别</w:t>
            </w:r>
          </w:p>
        </w:tc>
        <w:tc>
          <w:tcPr>
            <w:tcW w:w="2837" w:type="dxa"/>
            <w:shd w:val="clear" w:color="auto" w:fill="auto"/>
            <w:vAlign w:val="center"/>
          </w:tcPr>
          <w:p w14:paraId="6C3A7237">
            <w:pPr>
              <w:adjustRightInd w:val="0"/>
              <w:snapToGrid w:val="0"/>
              <w:jc w:val="center"/>
              <w:rPr>
                <w:rFonts w:hint="default" w:ascii="Times New Roman" w:hAnsi="Times New Roman" w:eastAsia="宋体" w:cs="宋体"/>
                <w:color w:val="auto"/>
                <w:kern w:val="2"/>
                <w:sz w:val="24"/>
                <w:szCs w:val="21"/>
                <w:highlight w:val="none"/>
                <w:u w:val="none" w:color="auto"/>
                <w:lang w:val="en-US" w:eastAsia="zh-CN" w:bidi="ar-SA"/>
              </w:rPr>
            </w:pPr>
            <w:r>
              <w:rPr>
                <w:rFonts w:hint="eastAsia" w:cs="宋体"/>
                <w:color w:val="auto"/>
                <w:sz w:val="24"/>
                <w:szCs w:val="21"/>
                <w:highlight w:val="none"/>
                <w:u w:val="none" w:color="auto"/>
                <w:lang w:val="en-US" w:eastAsia="zh-CN"/>
              </w:rPr>
              <w:t>五十二</w:t>
            </w:r>
            <w:r>
              <w:rPr>
                <w:rFonts w:hint="eastAsia" w:ascii="Times New Roman" w:hAnsi="Times New Roman" w:cs="宋体"/>
                <w:color w:val="auto"/>
                <w:sz w:val="24"/>
                <w:szCs w:val="21"/>
                <w:highlight w:val="none"/>
                <w:u w:val="none" w:color="auto"/>
                <w:lang w:val="en-US" w:eastAsia="zh-CN"/>
              </w:rPr>
              <w:t>、</w:t>
            </w:r>
            <w:r>
              <w:rPr>
                <w:rFonts w:hint="eastAsia" w:cs="宋体"/>
                <w:color w:val="auto"/>
                <w:sz w:val="24"/>
                <w:szCs w:val="21"/>
                <w:highlight w:val="none"/>
                <w:u w:val="none" w:color="auto"/>
                <w:lang w:val="en-US" w:eastAsia="zh-CN"/>
              </w:rPr>
              <w:t>交通运输业、管道运输业146.城市（（镇）管网及管廊建设（不含给水管道；不含光纤；不含1.6兆帕及以下的天然气管道）</w:t>
            </w:r>
          </w:p>
        </w:tc>
        <w:tc>
          <w:tcPr>
            <w:tcW w:w="2212" w:type="dxa"/>
            <w:vAlign w:val="center"/>
          </w:tcPr>
          <w:p w14:paraId="01D1618A">
            <w:pPr>
              <w:keepNext w:val="0"/>
              <w:keepLines w:val="0"/>
              <w:suppressLineNumbers w:val="0"/>
              <w:adjustRightInd w:val="0"/>
              <w:snapToGrid w:val="0"/>
              <w:spacing w:before="0" w:beforeAutospacing="0" w:after="0" w:afterAutospacing="0" w:line="240" w:lineRule="auto"/>
              <w:ind w:left="0" w:leftChars="0" w:right="0" w:rightChars="0"/>
              <w:jc w:val="center"/>
              <w:rPr>
                <w:rFonts w:hint="eastAsia" w:ascii="Times New Roman" w:hAnsi="Times New Roman" w:cs="宋体"/>
                <w:color w:val="auto"/>
                <w:sz w:val="24"/>
                <w:szCs w:val="21"/>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用地（用海）面积（m</w:t>
            </w:r>
            <w:r>
              <w:rPr>
                <w:rFonts w:hint="eastAsia" w:ascii="Times New Roman" w:hAnsi="Times New Roman" w:eastAsia="宋体" w:cs="Times New Roman"/>
                <w:color w:val="auto"/>
                <w:sz w:val="24"/>
                <w:highlight w:val="none"/>
                <w:u w:val="none" w:color="auto"/>
                <w:vertAlign w:val="superscript"/>
                <w:lang w:val="en-US" w:eastAsia="zh-CN"/>
              </w:rPr>
              <w:t>2</w:t>
            </w:r>
            <w:r>
              <w:rPr>
                <w:rFonts w:hint="eastAsia" w:ascii="Times New Roman" w:hAnsi="Times New Roman" w:eastAsia="宋体" w:cs="Times New Roman"/>
                <w:color w:val="auto"/>
                <w:sz w:val="24"/>
                <w:highlight w:val="none"/>
                <w:u w:val="none" w:color="auto"/>
                <w:lang w:val="en-US" w:eastAsia="zh-CN"/>
              </w:rPr>
              <w:t>）/长度（km）</w:t>
            </w:r>
          </w:p>
        </w:tc>
        <w:tc>
          <w:tcPr>
            <w:tcW w:w="2789" w:type="dxa"/>
            <w:vAlign w:val="center"/>
          </w:tcPr>
          <w:p w14:paraId="1D2FC342">
            <w:pPr>
              <w:jc w:val="left"/>
              <w:rPr>
                <w:rFonts w:hint="eastAsia" w:ascii="Times New Roman" w:hAnsi="Times New Roman" w:eastAsia="宋体" w:cs="宋体"/>
                <w:color w:val="auto"/>
                <w:sz w:val="24"/>
                <w:szCs w:val="21"/>
                <w:u w:val="none" w:color="auto"/>
                <w:lang w:val="en-US" w:eastAsia="zh-CN"/>
              </w:rPr>
            </w:pPr>
            <w:r>
              <w:rPr>
                <w:rFonts w:hint="eastAsia" w:ascii="Times New Roman" w:hAnsi="Times New Roman" w:eastAsia="宋体" w:cs="宋体"/>
                <w:color w:val="auto"/>
                <w:sz w:val="24"/>
                <w:szCs w:val="21"/>
                <w:u w:val="none" w:color="auto"/>
                <w:lang w:val="en-US" w:eastAsia="zh-CN"/>
              </w:rPr>
              <w:t>污水管网长度：1100.8m</w:t>
            </w:r>
          </w:p>
          <w:p w14:paraId="2ACDEAA2">
            <w:pPr>
              <w:jc w:val="left"/>
              <w:rPr>
                <w:rFonts w:hint="default" w:ascii="Times New Roman" w:hAnsi="Times New Roman" w:eastAsia="宋体" w:cs="宋体"/>
                <w:color w:val="auto"/>
                <w:sz w:val="24"/>
                <w:szCs w:val="21"/>
                <w:u w:val="none" w:color="auto"/>
                <w:lang w:val="en-US" w:eastAsia="zh-CN"/>
              </w:rPr>
            </w:pPr>
            <w:r>
              <w:rPr>
                <w:rFonts w:hint="eastAsia" w:ascii="Times New Roman" w:hAnsi="Times New Roman" w:eastAsia="宋体" w:cs="宋体"/>
                <w:color w:val="auto"/>
                <w:sz w:val="24"/>
                <w:szCs w:val="21"/>
                <w:u w:val="none" w:color="auto"/>
                <w:lang w:val="en-US" w:eastAsia="zh-CN"/>
              </w:rPr>
              <w:t>新建市政道路长度：2774.615m</w:t>
            </w:r>
          </w:p>
        </w:tc>
      </w:tr>
      <w:tr w14:paraId="1168C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82" w:type="dxa"/>
            <w:tcMar>
              <w:top w:w="16" w:type="dxa"/>
              <w:left w:w="16" w:type="dxa"/>
              <w:right w:w="16" w:type="dxa"/>
            </w:tcMar>
            <w:vAlign w:val="center"/>
          </w:tcPr>
          <w:p w14:paraId="70F4BE6C">
            <w:pPr>
              <w:adjustRightInd w:val="0"/>
              <w:snapToGrid w:val="0"/>
              <w:jc w:val="center"/>
              <w:rPr>
                <w:rFonts w:cs="宋体"/>
                <w:color w:val="auto"/>
                <w:sz w:val="24"/>
                <w:szCs w:val="21"/>
                <w:u w:val="none" w:color="auto"/>
              </w:rPr>
            </w:pPr>
            <w:r>
              <w:rPr>
                <w:rFonts w:hint="eastAsia" w:cs="宋体"/>
                <w:color w:val="auto"/>
                <w:sz w:val="24"/>
                <w:szCs w:val="21"/>
                <w:u w:val="none" w:color="auto"/>
              </w:rPr>
              <w:t>建设性质</w:t>
            </w:r>
          </w:p>
        </w:tc>
        <w:tc>
          <w:tcPr>
            <w:tcW w:w="2837" w:type="dxa"/>
            <w:vAlign w:val="center"/>
          </w:tcPr>
          <w:p w14:paraId="5CF90EC9">
            <w:pPr>
              <w:jc w:val="left"/>
              <w:rPr>
                <w:rFonts w:cs="宋体"/>
                <w:color w:val="auto"/>
                <w:sz w:val="24"/>
                <w:szCs w:val="21"/>
                <w:u w:val="none" w:color="auto"/>
              </w:rPr>
            </w:pPr>
            <w:r>
              <w:rPr>
                <w:rFonts w:hint="eastAsia" w:cs="宋体"/>
                <w:color w:val="auto"/>
                <w:sz w:val="24"/>
                <w:szCs w:val="21"/>
                <w:u w:val="none" w:color="auto"/>
              </w:rPr>
              <w:sym w:font="Wingdings 2" w:char="0052"/>
            </w:r>
            <w:r>
              <w:rPr>
                <w:rFonts w:hint="eastAsia" w:cs="宋体"/>
                <w:color w:val="auto"/>
                <w:sz w:val="24"/>
                <w:szCs w:val="21"/>
                <w:u w:val="none" w:color="auto"/>
              </w:rPr>
              <w:t>新建（迁建）</w:t>
            </w:r>
          </w:p>
          <w:p w14:paraId="71707F1F">
            <w:pPr>
              <w:jc w:val="left"/>
              <w:rPr>
                <w:rFonts w:cs="宋体"/>
                <w:color w:val="auto"/>
                <w:sz w:val="24"/>
                <w:szCs w:val="21"/>
                <w:u w:val="none" w:color="auto"/>
              </w:rPr>
            </w:pPr>
            <w:r>
              <w:rPr>
                <w:rFonts w:hint="eastAsia" w:cs="宋体"/>
                <w:color w:val="auto"/>
                <w:sz w:val="24"/>
                <w:szCs w:val="21"/>
                <w:u w:val="none" w:color="auto"/>
              </w:rPr>
              <w:t>□改建</w:t>
            </w:r>
          </w:p>
          <w:p w14:paraId="3C3DBF28">
            <w:pPr>
              <w:jc w:val="left"/>
              <w:rPr>
                <w:rFonts w:cs="宋体"/>
                <w:color w:val="auto"/>
                <w:sz w:val="24"/>
                <w:szCs w:val="21"/>
                <w:u w:val="none" w:color="auto"/>
              </w:rPr>
            </w:pPr>
            <w:r>
              <w:rPr>
                <w:rFonts w:hint="eastAsia" w:cs="宋体"/>
                <w:color w:val="auto"/>
                <w:sz w:val="24"/>
                <w:szCs w:val="21"/>
                <w:u w:val="none" w:color="auto"/>
              </w:rPr>
              <w:t>□扩建</w:t>
            </w:r>
          </w:p>
          <w:p w14:paraId="751F3D15">
            <w:pPr>
              <w:jc w:val="left"/>
              <w:rPr>
                <w:rFonts w:cs="宋体"/>
                <w:color w:val="auto"/>
                <w:sz w:val="24"/>
                <w:szCs w:val="21"/>
                <w:u w:val="none" w:color="auto"/>
              </w:rPr>
            </w:pPr>
            <w:r>
              <w:rPr>
                <w:rFonts w:hint="eastAsia" w:cs="宋体"/>
                <w:color w:val="auto"/>
                <w:sz w:val="24"/>
                <w:szCs w:val="21"/>
                <w:u w:val="none" w:color="auto"/>
              </w:rPr>
              <w:t>□技术改造</w:t>
            </w:r>
          </w:p>
        </w:tc>
        <w:tc>
          <w:tcPr>
            <w:tcW w:w="2212" w:type="dxa"/>
            <w:vAlign w:val="center"/>
          </w:tcPr>
          <w:p w14:paraId="24BBE1DC">
            <w:pPr>
              <w:adjustRightInd w:val="0"/>
              <w:snapToGrid w:val="0"/>
              <w:jc w:val="center"/>
              <w:rPr>
                <w:rFonts w:cs="宋体"/>
                <w:color w:val="auto"/>
                <w:sz w:val="24"/>
                <w:szCs w:val="21"/>
                <w:u w:val="none" w:color="auto"/>
              </w:rPr>
            </w:pPr>
            <w:r>
              <w:rPr>
                <w:rFonts w:hint="eastAsia" w:cs="宋体"/>
                <w:color w:val="auto"/>
                <w:sz w:val="24"/>
                <w:szCs w:val="21"/>
                <w:u w:val="none" w:color="auto"/>
              </w:rPr>
              <w:t>建设项目</w:t>
            </w:r>
          </w:p>
          <w:p w14:paraId="12611E3A">
            <w:pPr>
              <w:adjustRightInd w:val="0"/>
              <w:snapToGrid w:val="0"/>
              <w:jc w:val="center"/>
              <w:rPr>
                <w:rFonts w:cs="宋体"/>
                <w:color w:val="auto"/>
                <w:sz w:val="24"/>
                <w:szCs w:val="21"/>
                <w:u w:val="none" w:color="auto"/>
              </w:rPr>
            </w:pPr>
            <w:r>
              <w:rPr>
                <w:rFonts w:hint="eastAsia" w:cs="宋体"/>
                <w:color w:val="auto"/>
                <w:sz w:val="24"/>
                <w:szCs w:val="21"/>
                <w:u w:val="none" w:color="auto"/>
              </w:rPr>
              <w:t>申报情形</w:t>
            </w:r>
          </w:p>
        </w:tc>
        <w:tc>
          <w:tcPr>
            <w:tcW w:w="2789" w:type="dxa"/>
            <w:vAlign w:val="center"/>
          </w:tcPr>
          <w:p w14:paraId="1BCF9759">
            <w:pPr>
              <w:jc w:val="left"/>
              <w:rPr>
                <w:rFonts w:cs="宋体"/>
                <w:color w:val="auto"/>
                <w:sz w:val="24"/>
                <w:szCs w:val="21"/>
                <w:u w:val="none" w:color="auto"/>
              </w:rPr>
            </w:pPr>
            <w:r>
              <w:rPr>
                <w:rFonts w:hint="eastAsia" w:cs="宋体"/>
                <w:color w:val="auto"/>
                <w:sz w:val="24"/>
                <w:szCs w:val="21"/>
                <w:u w:val="none" w:color="auto"/>
              </w:rPr>
              <w:sym w:font="Wingdings 2" w:char="0052"/>
            </w:r>
            <w:r>
              <w:rPr>
                <w:rFonts w:hint="eastAsia" w:cs="宋体"/>
                <w:color w:val="auto"/>
                <w:sz w:val="24"/>
                <w:szCs w:val="21"/>
                <w:u w:val="none" w:color="auto"/>
              </w:rPr>
              <w:t>首次申报项目</w:t>
            </w:r>
            <w:r>
              <w:rPr>
                <w:rFonts w:cs="宋体"/>
                <w:color w:val="auto"/>
                <w:sz w:val="24"/>
                <w:szCs w:val="21"/>
                <w:u w:val="none" w:color="auto"/>
              </w:rPr>
              <w:t xml:space="preserve">             </w:t>
            </w:r>
          </w:p>
          <w:p w14:paraId="4D298C85">
            <w:pPr>
              <w:jc w:val="left"/>
              <w:rPr>
                <w:rFonts w:cs="宋体"/>
                <w:color w:val="auto"/>
                <w:sz w:val="24"/>
                <w:szCs w:val="21"/>
                <w:u w:val="none" w:color="auto"/>
              </w:rPr>
            </w:pPr>
            <w:r>
              <w:rPr>
                <w:rFonts w:hint="eastAsia" w:cs="宋体"/>
                <w:color w:val="auto"/>
                <w:sz w:val="24"/>
                <w:szCs w:val="21"/>
                <w:u w:val="none" w:color="auto"/>
                <w:lang w:eastAsia="zh-CN"/>
              </w:rPr>
              <w:t>□</w:t>
            </w:r>
            <w:r>
              <w:rPr>
                <w:rFonts w:hint="eastAsia" w:cs="宋体"/>
                <w:color w:val="auto"/>
                <w:sz w:val="24"/>
                <w:szCs w:val="21"/>
                <w:u w:val="none" w:color="auto"/>
              </w:rPr>
              <w:t>不予批准后再次申报项目</w:t>
            </w:r>
          </w:p>
          <w:p w14:paraId="584B36CE">
            <w:pPr>
              <w:jc w:val="left"/>
              <w:rPr>
                <w:rFonts w:cs="宋体"/>
                <w:color w:val="auto"/>
                <w:sz w:val="24"/>
                <w:szCs w:val="21"/>
                <w:u w:val="none" w:color="auto"/>
              </w:rPr>
            </w:pPr>
            <w:r>
              <w:rPr>
                <w:rFonts w:hint="eastAsia" w:cs="宋体"/>
                <w:color w:val="auto"/>
                <w:sz w:val="24"/>
                <w:szCs w:val="21"/>
                <w:u w:val="none" w:color="auto"/>
              </w:rPr>
              <w:sym w:font="Wingdings 2" w:char="00A3"/>
            </w:r>
            <w:r>
              <w:rPr>
                <w:rFonts w:hint="eastAsia" w:cs="宋体"/>
                <w:color w:val="auto"/>
                <w:sz w:val="24"/>
                <w:szCs w:val="21"/>
                <w:u w:val="none" w:color="auto"/>
              </w:rPr>
              <w:t>超五年重新审核项目</w:t>
            </w:r>
            <w:r>
              <w:rPr>
                <w:rFonts w:cs="宋体"/>
                <w:color w:val="auto"/>
                <w:sz w:val="24"/>
                <w:szCs w:val="21"/>
                <w:u w:val="none" w:color="auto"/>
              </w:rPr>
              <w:t xml:space="preserve">     </w:t>
            </w:r>
          </w:p>
          <w:p w14:paraId="5574DD0E">
            <w:pPr>
              <w:jc w:val="left"/>
              <w:rPr>
                <w:rFonts w:cs="宋体"/>
                <w:color w:val="auto"/>
                <w:sz w:val="24"/>
                <w:szCs w:val="21"/>
                <w:u w:val="none" w:color="auto"/>
              </w:rPr>
            </w:pPr>
            <w:r>
              <w:rPr>
                <w:rFonts w:hint="eastAsia" w:cs="宋体"/>
                <w:color w:val="auto"/>
                <w:sz w:val="24"/>
                <w:szCs w:val="21"/>
                <w:u w:val="none" w:color="auto"/>
              </w:rPr>
              <w:t>□重大变动重新报批项目</w:t>
            </w:r>
          </w:p>
        </w:tc>
      </w:tr>
      <w:tr w14:paraId="3529B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82" w:type="dxa"/>
            <w:tcMar>
              <w:top w:w="16" w:type="dxa"/>
              <w:left w:w="16" w:type="dxa"/>
              <w:right w:w="16" w:type="dxa"/>
            </w:tcMar>
            <w:vAlign w:val="center"/>
          </w:tcPr>
          <w:p w14:paraId="08D40DD0">
            <w:pPr>
              <w:adjustRightInd w:val="0"/>
              <w:snapToGrid w:val="0"/>
              <w:jc w:val="center"/>
              <w:rPr>
                <w:rFonts w:cs="宋体"/>
                <w:color w:val="auto"/>
                <w:sz w:val="24"/>
                <w:szCs w:val="21"/>
                <w:u w:val="none" w:color="auto"/>
              </w:rPr>
            </w:pPr>
            <w:r>
              <w:rPr>
                <w:rFonts w:hint="eastAsia" w:cs="宋体"/>
                <w:color w:val="auto"/>
                <w:sz w:val="24"/>
                <w:szCs w:val="21"/>
                <w:u w:val="none" w:color="auto"/>
              </w:rPr>
              <w:t>项目审批（核准</w:t>
            </w:r>
            <w:r>
              <w:rPr>
                <w:rFonts w:cs="宋体"/>
                <w:color w:val="auto"/>
                <w:sz w:val="24"/>
                <w:szCs w:val="21"/>
                <w:u w:val="none" w:color="auto"/>
              </w:rPr>
              <w:t>/</w:t>
            </w:r>
          </w:p>
          <w:p w14:paraId="42FF528B">
            <w:pPr>
              <w:adjustRightInd w:val="0"/>
              <w:snapToGrid w:val="0"/>
              <w:jc w:val="center"/>
              <w:rPr>
                <w:rFonts w:cs="宋体"/>
                <w:color w:val="auto"/>
                <w:sz w:val="24"/>
                <w:szCs w:val="21"/>
                <w:u w:val="none" w:color="auto"/>
              </w:rPr>
            </w:pPr>
            <w:r>
              <w:rPr>
                <w:rFonts w:hint="eastAsia" w:cs="宋体"/>
                <w:color w:val="auto"/>
                <w:sz w:val="24"/>
                <w:szCs w:val="21"/>
                <w:u w:val="none" w:color="auto"/>
              </w:rPr>
              <w:t>备案）</w:t>
            </w:r>
          </w:p>
          <w:p w14:paraId="1D3593BB">
            <w:pPr>
              <w:adjustRightInd w:val="0"/>
              <w:snapToGrid w:val="0"/>
              <w:jc w:val="center"/>
              <w:rPr>
                <w:rFonts w:cs="宋体"/>
                <w:color w:val="auto"/>
                <w:sz w:val="24"/>
                <w:szCs w:val="21"/>
                <w:u w:val="none" w:color="auto"/>
              </w:rPr>
            </w:pPr>
            <w:r>
              <w:rPr>
                <w:rFonts w:hint="eastAsia" w:cs="宋体"/>
                <w:color w:val="auto"/>
                <w:sz w:val="24"/>
                <w:szCs w:val="21"/>
                <w:u w:val="none" w:color="auto"/>
              </w:rPr>
              <w:t>部门（选填）</w:t>
            </w:r>
          </w:p>
        </w:tc>
        <w:tc>
          <w:tcPr>
            <w:tcW w:w="2837" w:type="dxa"/>
            <w:vAlign w:val="center"/>
          </w:tcPr>
          <w:p w14:paraId="0E5264DF">
            <w:pPr>
              <w:adjustRightInd w:val="0"/>
              <w:snapToGrid w:val="0"/>
              <w:jc w:val="center"/>
              <w:rPr>
                <w:rFonts w:cs="宋体"/>
                <w:color w:val="auto"/>
                <w:sz w:val="24"/>
                <w:szCs w:val="21"/>
                <w:u w:val="none" w:color="auto"/>
              </w:rPr>
            </w:pPr>
            <w:r>
              <w:rPr>
                <w:rFonts w:hint="default" w:ascii="Times New Roman" w:hAnsi="Times New Roman" w:cs="Times New Roman"/>
                <w:color w:val="auto"/>
                <w:kern w:val="21"/>
                <w:sz w:val="24"/>
                <w:szCs w:val="24"/>
                <w:u w:val="none" w:color="auto"/>
              </w:rPr>
              <w:t>华容县发展和改革局</w:t>
            </w:r>
          </w:p>
        </w:tc>
        <w:tc>
          <w:tcPr>
            <w:tcW w:w="2212" w:type="dxa"/>
            <w:vAlign w:val="center"/>
          </w:tcPr>
          <w:p w14:paraId="702B4F0C">
            <w:pPr>
              <w:adjustRightInd w:val="0"/>
              <w:snapToGrid w:val="0"/>
              <w:jc w:val="center"/>
              <w:rPr>
                <w:rFonts w:cs="宋体"/>
                <w:color w:val="auto"/>
                <w:sz w:val="24"/>
                <w:szCs w:val="21"/>
                <w:u w:val="none" w:color="auto"/>
              </w:rPr>
            </w:pPr>
            <w:r>
              <w:rPr>
                <w:rFonts w:hint="eastAsia" w:cs="宋体"/>
                <w:color w:val="auto"/>
                <w:sz w:val="24"/>
                <w:szCs w:val="21"/>
                <w:u w:val="none" w:color="auto"/>
              </w:rPr>
              <w:t>项目审批（核准</w:t>
            </w:r>
            <w:r>
              <w:rPr>
                <w:rFonts w:cs="宋体"/>
                <w:color w:val="auto"/>
                <w:sz w:val="24"/>
                <w:szCs w:val="21"/>
                <w:u w:val="none" w:color="auto"/>
              </w:rPr>
              <w:t>/</w:t>
            </w:r>
          </w:p>
          <w:p w14:paraId="7D06D575">
            <w:pPr>
              <w:adjustRightInd w:val="0"/>
              <w:snapToGrid w:val="0"/>
              <w:jc w:val="center"/>
              <w:rPr>
                <w:rFonts w:cs="宋体"/>
                <w:color w:val="auto"/>
                <w:sz w:val="24"/>
                <w:szCs w:val="21"/>
                <w:u w:val="none" w:color="auto"/>
              </w:rPr>
            </w:pPr>
            <w:r>
              <w:rPr>
                <w:rFonts w:hint="eastAsia" w:cs="宋体"/>
                <w:color w:val="auto"/>
                <w:sz w:val="24"/>
                <w:szCs w:val="21"/>
                <w:u w:val="none" w:color="auto"/>
              </w:rPr>
              <w:t>备案）文号（选填）</w:t>
            </w:r>
          </w:p>
        </w:tc>
        <w:tc>
          <w:tcPr>
            <w:tcW w:w="2789" w:type="dxa"/>
            <w:vAlign w:val="center"/>
          </w:tcPr>
          <w:p w14:paraId="61B7D579">
            <w:pPr>
              <w:adjustRightInd w:val="0"/>
              <w:snapToGrid w:val="0"/>
              <w:jc w:val="center"/>
              <w:rPr>
                <w:rFonts w:cs="宋体"/>
                <w:color w:val="auto"/>
                <w:sz w:val="24"/>
                <w:szCs w:val="21"/>
                <w:u w:val="none" w:color="auto"/>
              </w:rPr>
            </w:pPr>
            <w:r>
              <w:rPr>
                <w:rFonts w:hint="eastAsia" w:cs="宋体"/>
                <w:color w:val="auto"/>
                <w:sz w:val="24"/>
                <w:szCs w:val="21"/>
                <w:u w:val="none" w:color="auto"/>
                <w:lang w:val="en-US" w:eastAsia="zh-CN"/>
              </w:rPr>
              <w:t>华发改投审[2025]4号</w:t>
            </w:r>
          </w:p>
        </w:tc>
      </w:tr>
      <w:tr w14:paraId="6A2F4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182" w:type="dxa"/>
            <w:tcMar>
              <w:top w:w="16" w:type="dxa"/>
              <w:left w:w="16" w:type="dxa"/>
              <w:right w:w="16" w:type="dxa"/>
            </w:tcMar>
            <w:vAlign w:val="center"/>
          </w:tcPr>
          <w:p w14:paraId="50EA64FA">
            <w:pPr>
              <w:adjustRightInd w:val="0"/>
              <w:snapToGrid w:val="0"/>
              <w:jc w:val="center"/>
              <w:rPr>
                <w:rFonts w:cs="宋体"/>
                <w:color w:val="auto"/>
                <w:sz w:val="24"/>
                <w:szCs w:val="21"/>
                <w:u w:val="none" w:color="auto"/>
              </w:rPr>
            </w:pPr>
            <w:r>
              <w:rPr>
                <w:rFonts w:hint="eastAsia" w:cs="宋体"/>
                <w:color w:val="auto"/>
                <w:sz w:val="24"/>
                <w:szCs w:val="21"/>
                <w:u w:val="none" w:color="auto"/>
              </w:rPr>
              <w:t>总投资</w:t>
            </w:r>
          </w:p>
          <w:p w14:paraId="0A3D0371">
            <w:pPr>
              <w:adjustRightInd w:val="0"/>
              <w:snapToGrid w:val="0"/>
              <w:jc w:val="center"/>
              <w:rPr>
                <w:rFonts w:cs="宋体"/>
                <w:color w:val="auto"/>
                <w:sz w:val="24"/>
                <w:szCs w:val="21"/>
                <w:u w:val="none" w:color="auto"/>
              </w:rPr>
            </w:pPr>
            <w:r>
              <w:rPr>
                <w:rFonts w:hint="eastAsia" w:cs="宋体"/>
                <w:color w:val="auto"/>
                <w:sz w:val="24"/>
                <w:szCs w:val="21"/>
                <w:u w:val="none" w:color="auto"/>
              </w:rPr>
              <w:t>（万元）</w:t>
            </w:r>
          </w:p>
        </w:tc>
        <w:tc>
          <w:tcPr>
            <w:tcW w:w="2837" w:type="dxa"/>
            <w:vAlign w:val="center"/>
          </w:tcPr>
          <w:p w14:paraId="57225C03">
            <w:pPr>
              <w:adjustRightInd w:val="0"/>
              <w:snapToGrid w:val="0"/>
              <w:jc w:val="center"/>
              <w:rPr>
                <w:rFonts w:hint="default" w:eastAsia="宋体" w:cs="宋体"/>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7792.80</w:t>
            </w:r>
          </w:p>
        </w:tc>
        <w:tc>
          <w:tcPr>
            <w:tcW w:w="2212" w:type="dxa"/>
            <w:tcMar>
              <w:top w:w="16" w:type="dxa"/>
              <w:left w:w="16" w:type="dxa"/>
              <w:right w:w="16" w:type="dxa"/>
            </w:tcMar>
            <w:vAlign w:val="center"/>
          </w:tcPr>
          <w:p w14:paraId="0BD3D0EF">
            <w:pPr>
              <w:adjustRightInd w:val="0"/>
              <w:snapToGrid w:val="0"/>
              <w:jc w:val="center"/>
              <w:rPr>
                <w:rFonts w:cs="宋体"/>
                <w:color w:val="auto"/>
                <w:sz w:val="24"/>
                <w:szCs w:val="21"/>
                <w:highlight w:val="none"/>
                <w:u w:val="none" w:color="auto"/>
              </w:rPr>
            </w:pPr>
            <w:r>
              <w:rPr>
                <w:rFonts w:hint="eastAsia" w:cs="宋体"/>
                <w:color w:val="auto"/>
                <w:sz w:val="24"/>
                <w:szCs w:val="21"/>
                <w:highlight w:val="none"/>
                <w:u w:val="none" w:color="auto"/>
              </w:rPr>
              <w:t>环保投资（万元）</w:t>
            </w:r>
          </w:p>
        </w:tc>
        <w:tc>
          <w:tcPr>
            <w:tcW w:w="2789" w:type="dxa"/>
            <w:vAlign w:val="center"/>
          </w:tcPr>
          <w:p w14:paraId="5B0D03BA">
            <w:pPr>
              <w:adjustRightInd w:val="0"/>
              <w:snapToGrid w:val="0"/>
              <w:jc w:val="center"/>
              <w:rPr>
                <w:rFonts w:hint="default" w:eastAsia="宋体"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220</w:t>
            </w:r>
          </w:p>
        </w:tc>
      </w:tr>
      <w:tr w14:paraId="5E6F7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21D9B1B9">
            <w:pPr>
              <w:adjustRightInd w:val="0"/>
              <w:snapToGrid w:val="0"/>
              <w:jc w:val="center"/>
              <w:rPr>
                <w:rFonts w:cs="宋体"/>
                <w:color w:val="auto"/>
                <w:sz w:val="24"/>
                <w:szCs w:val="21"/>
                <w:u w:val="none" w:color="auto"/>
              </w:rPr>
            </w:pPr>
            <w:r>
              <w:rPr>
                <w:rFonts w:hint="eastAsia" w:cs="宋体"/>
                <w:color w:val="auto"/>
                <w:sz w:val="24"/>
                <w:szCs w:val="21"/>
                <w:u w:val="none" w:color="auto"/>
              </w:rPr>
              <w:t>环保投资</w:t>
            </w:r>
          </w:p>
          <w:p w14:paraId="49D1A33F">
            <w:pPr>
              <w:adjustRightInd w:val="0"/>
              <w:snapToGrid w:val="0"/>
              <w:jc w:val="center"/>
              <w:rPr>
                <w:rFonts w:cs="宋体"/>
                <w:color w:val="auto"/>
                <w:sz w:val="24"/>
                <w:szCs w:val="21"/>
                <w:u w:val="none" w:color="auto"/>
              </w:rPr>
            </w:pPr>
            <w:r>
              <w:rPr>
                <w:rFonts w:hint="eastAsia" w:cs="宋体"/>
                <w:color w:val="auto"/>
                <w:sz w:val="24"/>
                <w:szCs w:val="21"/>
                <w:u w:val="none" w:color="auto"/>
              </w:rPr>
              <w:t>占比（</w:t>
            </w:r>
            <w:r>
              <w:rPr>
                <w:rFonts w:cs="宋体"/>
                <w:color w:val="auto"/>
                <w:sz w:val="24"/>
                <w:szCs w:val="21"/>
                <w:u w:val="none" w:color="auto"/>
              </w:rPr>
              <w:t>%</w:t>
            </w:r>
            <w:r>
              <w:rPr>
                <w:rFonts w:hint="eastAsia" w:cs="宋体"/>
                <w:color w:val="auto"/>
                <w:sz w:val="24"/>
                <w:szCs w:val="21"/>
                <w:u w:val="none" w:color="auto"/>
              </w:rPr>
              <w:t>）</w:t>
            </w:r>
          </w:p>
        </w:tc>
        <w:tc>
          <w:tcPr>
            <w:tcW w:w="2837" w:type="dxa"/>
            <w:vAlign w:val="center"/>
          </w:tcPr>
          <w:p w14:paraId="5411A053">
            <w:pPr>
              <w:adjustRightInd w:val="0"/>
              <w:snapToGrid w:val="0"/>
              <w:jc w:val="center"/>
              <w:rPr>
                <w:rFonts w:hint="default" w:eastAsia="宋体"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2.82</w:t>
            </w:r>
          </w:p>
        </w:tc>
        <w:tc>
          <w:tcPr>
            <w:tcW w:w="2212" w:type="dxa"/>
            <w:tcMar>
              <w:top w:w="16" w:type="dxa"/>
              <w:left w:w="16" w:type="dxa"/>
              <w:right w:w="16" w:type="dxa"/>
            </w:tcMar>
            <w:vAlign w:val="center"/>
          </w:tcPr>
          <w:p w14:paraId="4F590ECC">
            <w:pPr>
              <w:adjustRightInd w:val="0"/>
              <w:snapToGrid w:val="0"/>
              <w:jc w:val="center"/>
              <w:rPr>
                <w:rFonts w:cs="宋体"/>
                <w:color w:val="auto"/>
                <w:sz w:val="24"/>
                <w:szCs w:val="21"/>
                <w:highlight w:val="none"/>
                <w:u w:val="none" w:color="auto"/>
              </w:rPr>
            </w:pPr>
            <w:r>
              <w:rPr>
                <w:rFonts w:hint="eastAsia" w:cs="宋体"/>
                <w:color w:val="auto"/>
                <w:sz w:val="24"/>
                <w:szCs w:val="21"/>
                <w:highlight w:val="none"/>
                <w:u w:val="none" w:color="auto"/>
              </w:rPr>
              <w:t>施工工期</w:t>
            </w:r>
          </w:p>
        </w:tc>
        <w:tc>
          <w:tcPr>
            <w:tcW w:w="2789" w:type="dxa"/>
            <w:vAlign w:val="center"/>
          </w:tcPr>
          <w:p w14:paraId="6CE935DA">
            <w:pPr>
              <w:adjustRightInd w:val="0"/>
              <w:snapToGrid w:val="0"/>
              <w:jc w:val="center"/>
              <w:rPr>
                <w:rFonts w:hint="default" w:eastAsia="宋体" w:cs="宋体"/>
                <w:color w:val="auto"/>
                <w:sz w:val="24"/>
                <w:szCs w:val="21"/>
                <w:highlight w:val="none"/>
                <w:u w:val="none" w:color="auto"/>
                <w:lang w:val="en-US" w:eastAsia="zh-CN"/>
              </w:rPr>
            </w:pPr>
            <w:r>
              <w:rPr>
                <w:rFonts w:hint="eastAsia" w:cs="宋体"/>
                <w:color w:val="auto"/>
                <w:sz w:val="24"/>
                <w:szCs w:val="21"/>
                <w:highlight w:val="none"/>
                <w:u w:val="none" w:color="auto"/>
                <w:lang w:val="en-US" w:eastAsia="zh-CN"/>
              </w:rPr>
              <w:t>5个月</w:t>
            </w:r>
          </w:p>
        </w:tc>
      </w:tr>
      <w:tr w14:paraId="16D81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14:paraId="49D8D5EF">
            <w:pPr>
              <w:adjustRightInd w:val="0"/>
              <w:snapToGrid w:val="0"/>
              <w:jc w:val="center"/>
              <w:rPr>
                <w:rFonts w:cs="宋体"/>
                <w:color w:val="auto"/>
                <w:sz w:val="24"/>
                <w:szCs w:val="21"/>
                <w:u w:val="none" w:color="auto"/>
              </w:rPr>
            </w:pPr>
            <w:r>
              <w:rPr>
                <w:rFonts w:hint="eastAsia" w:cs="宋体"/>
                <w:color w:val="auto"/>
                <w:sz w:val="24"/>
                <w:szCs w:val="21"/>
                <w:u w:val="none" w:color="auto"/>
              </w:rPr>
              <w:t>是否开工</w:t>
            </w:r>
          </w:p>
          <w:p w14:paraId="5F38AFB7">
            <w:pPr>
              <w:adjustRightInd w:val="0"/>
              <w:snapToGrid w:val="0"/>
              <w:jc w:val="center"/>
              <w:rPr>
                <w:rFonts w:cs="宋体"/>
                <w:color w:val="auto"/>
                <w:sz w:val="24"/>
                <w:szCs w:val="21"/>
                <w:u w:val="none" w:color="auto"/>
              </w:rPr>
            </w:pPr>
            <w:r>
              <w:rPr>
                <w:rFonts w:hint="eastAsia" w:cs="宋体"/>
                <w:color w:val="auto"/>
                <w:sz w:val="24"/>
                <w:szCs w:val="21"/>
                <w:u w:val="none" w:color="auto"/>
              </w:rPr>
              <w:t>建设</w:t>
            </w:r>
          </w:p>
        </w:tc>
        <w:tc>
          <w:tcPr>
            <w:tcW w:w="7838" w:type="dxa"/>
            <w:gridSpan w:val="3"/>
            <w:vAlign w:val="center"/>
          </w:tcPr>
          <w:p w14:paraId="4232DE44">
            <w:pPr>
              <w:adjustRightInd w:val="0"/>
              <w:snapToGrid w:val="0"/>
              <w:rPr>
                <w:rFonts w:cs="宋体"/>
                <w:color w:val="auto"/>
                <w:sz w:val="24"/>
                <w:szCs w:val="21"/>
                <w:highlight w:val="none"/>
                <w:u w:val="none" w:color="auto"/>
              </w:rPr>
            </w:pPr>
            <w:r>
              <w:rPr>
                <w:rFonts w:hint="eastAsia" w:cs="宋体"/>
                <w:color w:val="auto"/>
                <w:sz w:val="24"/>
                <w:szCs w:val="21"/>
                <w:highlight w:val="none"/>
                <w:u w:val="none" w:color="auto"/>
              </w:rPr>
              <w:sym w:font="Wingdings 2" w:char="0052"/>
            </w:r>
            <w:r>
              <w:rPr>
                <w:rFonts w:hint="eastAsia" w:cs="宋体"/>
                <w:color w:val="auto"/>
                <w:sz w:val="24"/>
                <w:szCs w:val="21"/>
                <w:highlight w:val="none"/>
                <w:u w:val="none" w:color="auto"/>
              </w:rPr>
              <w:t>否</w:t>
            </w:r>
          </w:p>
          <w:p w14:paraId="1F77DA55">
            <w:pPr>
              <w:adjustRightInd w:val="0"/>
              <w:snapToGrid w:val="0"/>
              <w:jc w:val="left"/>
              <w:rPr>
                <w:rFonts w:hint="default" w:eastAsia="宋体" w:cs="宋体"/>
                <w:color w:val="auto"/>
                <w:sz w:val="24"/>
                <w:szCs w:val="21"/>
                <w:highlight w:val="none"/>
                <w:u w:val="none" w:color="auto"/>
                <w:lang w:val="en-US" w:eastAsia="zh-CN"/>
              </w:rPr>
            </w:pPr>
            <w:r>
              <w:rPr>
                <w:rFonts w:hint="eastAsia" w:cs="宋体"/>
                <w:color w:val="auto"/>
                <w:sz w:val="24"/>
                <w:szCs w:val="21"/>
                <w:highlight w:val="none"/>
                <w:u w:val="none" w:color="auto"/>
              </w:rPr>
              <w:sym w:font="Wingdings 2" w:char="00A3"/>
            </w:r>
            <w:r>
              <w:rPr>
                <w:rFonts w:hint="eastAsia" w:cs="宋体"/>
                <w:color w:val="auto"/>
                <w:sz w:val="24"/>
                <w:szCs w:val="21"/>
                <w:highlight w:val="none"/>
                <w:u w:val="none" w:color="auto"/>
              </w:rPr>
              <w:t xml:space="preserve">是：          </w:t>
            </w:r>
          </w:p>
        </w:tc>
      </w:tr>
      <w:tr w14:paraId="6CBAA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14:paraId="086DD688">
            <w:pPr>
              <w:autoSpaceDE w:val="0"/>
              <w:autoSpaceDN w:val="0"/>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rPr>
              <w:t>专项评价设置情况</w:t>
            </w:r>
          </w:p>
        </w:tc>
        <w:tc>
          <w:tcPr>
            <w:tcW w:w="7838" w:type="dxa"/>
            <w:gridSpan w:val="3"/>
            <w:vAlign w:val="center"/>
          </w:tcPr>
          <w:p w14:paraId="410A92C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新宋体" w:cs="Times New Roman"/>
                <w:color w:val="auto"/>
                <w:kern w:val="0"/>
                <w:sz w:val="24"/>
                <w:szCs w:val="24"/>
                <w:u w:val="none" w:color="auto"/>
                <w:lang w:val="en-US" w:eastAsia="zh-CN"/>
              </w:rPr>
            </w:pPr>
            <w:r>
              <w:rPr>
                <w:rFonts w:hint="default" w:ascii="Times New Roman" w:hAnsi="Times New Roman" w:eastAsia="新宋体" w:cs="Times New Roman"/>
                <w:color w:val="auto"/>
                <w:kern w:val="0"/>
                <w:sz w:val="24"/>
                <w:szCs w:val="24"/>
                <w:u w:val="none" w:color="auto"/>
                <w:lang w:val="en-US" w:eastAsia="zh-CN"/>
              </w:rPr>
              <w:t>本项目</w:t>
            </w:r>
            <w:r>
              <w:rPr>
                <w:rFonts w:hint="eastAsia" w:eastAsia="新宋体" w:cs="Times New Roman"/>
                <w:color w:val="auto"/>
                <w:kern w:val="0"/>
                <w:sz w:val="24"/>
                <w:szCs w:val="24"/>
                <w:u w:val="none" w:color="auto"/>
                <w:lang w:val="en-US" w:eastAsia="zh-CN"/>
              </w:rPr>
              <w:t>为管道运输业</w:t>
            </w:r>
            <w:r>
              <w:rPr>
                <w:rFonts w:hint="default" w:ascii="Times New Roman" w:hAnsi="Times New Roman" w:eastAsia="新宋体" w:cs="Times New Roman"/>
                <w:color w:val="auto"/>
                <w:kern w:val="0"/>
                <w:sz w:val="24"/>
                <w:szCs w:val="24"/>
                <w:u w:val="none" w:color="auto"/>
                <w:lang w:val="en-US" w:eastAsia="zh-CN"/>
              </w:rPr>
              <w:t>，为生态影响类，参照</w:t>
            </w:r>
            <w:r>
              <w:rPr>
                <w:rFonts w:hint="default" w:ascii="Times New Roman" w:hAnsi="Times New Roman" w:eastAsia="新宋体" w:cs="Times New Roman"/>
                <w:color w:val="auto"/>
                <w:kern w:val="0"/>
                <w:sz w:val="24"/>
                <w:szCs w:val="24"/>
                <w:u w:val="none" w:color="auto"/>
              </w:rPr>
              <w:t>《建设项目环境影响报告表编制技术指南（</w:t>
            </w:r>
            <w:r>
              <w:rPr>
                <w:rFonts w:hint="default" w:ascii="Times New Roman" w:hAnsi="Times New Roman" w:eastAsia="新宋体" w:cs="Times New Roman"/>
                <w:color w:val="auto"/>
                <w:kern w:val="0"/>
                <w:sz w:val="24"/>
                <w:szCs w:val="24"/>
                <w:u w:val="none" w:color="auto"/>
                <w:lang w:val="en-US" w:eastAsia="zh-CN"/>
              </w:rPr>
              <w:t>生态</w:t>
            </w:r>
            <w:r>
              <w:rPr>
                <w:rFonts w:hint="default" w:ascii="Times New Roman" w:hAnsi="Times New Roman" w:eastAsia="新宋体" w:cs="Times New Roman"/>
                <w:color w:val="auto"/>
                <w:kern w:val="0"/>
                <w:sz w:val="24"/>
                <w:szCs w:val="24"/>
                <w:u w:val="none" w:color="auto"/>
              </w:rPr>
              <w:t>影响类）（试行）》</w:t>
            </w:r>
            <w:r>
              <w:rPr>
                <w:rFonts w:hint="default" w:ascii="Times New Roman" w:hAnsi="Times New Roman" w:eastAsia="新宋体" w:cs="Times New Roman"/>
                <w:color w:val="auto"/>
                <w:kern w:val="0"/>
                <w:sz w:val="24"/>
                <w:szCs w:val="24"/>
                <w:u w:val="none" w:color="auto"/>
                <w:lang w:val="en-US" w:eastAsia="zh-CN"/>
              </w:rPr>
              <w:t>进行</w:t>
            </w:r>
            <w:r>
              <w:rPr>
                <w:rFonts w:hint="default" w:ascii="Times New Roman" w:hAnsi="Times New Roman" w:eastAsia="新宋体" w:cs="Times New Roman"/>
                <w:color w:val="auto"/>
                <w:kern w:val="0"/>
                <w:sz w:val="24"/>
                <w:szCs w:val="24"/>
                <w:u w:val="none" w:color="auto"/>
              </w:rPr>
              <w:t>专项评价设置情况</w:t>
            </w:r>
            <w:r>
              <w:rPr>
                <w:rFonts w:hint="default" w:ascii="Times New Roman" w:hAnsi="Times New Roman" w:eastAsia="新宋体" w:cs="Times New Roman"/>
                <w:color w:val="auto"/>
                <w:kern w:val="0"/>
                <w:sz w:val="24"/>
                <w:szCs w:val="24"/>
                <w:u w:val="none" w:color="auto"/>
                <w:lang w:val="en-US" w:eastAsia="zh-CN"/>
              </w:rPr>
              <w:t>的分析，</w:t>
            </w:r>
            <w:r>
              <w:rPr>
                <w:rFonts w:hint="eastAsia" w:ascii="Times New Roman" w:hAnsi="Times New Roman" w:eastAsia="新宋体" w:cs="Times New Roman"/>
                <w:color w:val="auto"/>
                <w:kern w:val="0"/>
                <w:sz w:val="24"/>
                <w:szCs w:val="24"/>
                <w:u w:val="none" w:color="auto"/>
                <w:lang w:val="en-US" w:eastAsia="zh-CN"/>
              </w:rPr>
              <w:t>专题设置判定</w:t>
            </w:r>
            <w:r>
              <w:rPr>
                <w:rFonts w:hint="default" w:ascii="Times New Roman" w:hAnsi="Times New Roman" w:eastAsia="新宋体" w:cs="Times New Roman"/>
                <w:color w:val="auto"/>
                <w:kern w:val="0"/>
                <w:sz w:val="24"/>
                <w:szCs w:val="24"/>
                <w:u w:val="none" w:color="auto"/>
                <w:lang w:val="en-US" w:eastAsia="zh-CN"/>
              </w:rPr>
              <w:t>详见</w:t>
            </w:r>
            <w:r>
              <w:rPr>
                <w:rFonts w:hint="default" w:ascii="Times New Roman" w:hAnsi="Times New Roman" w:eastAsia="新宋体" w:cs="Times New Roman"/>
                <w:color w:val="auto"/>
                <w:kern w:val="0"/>
                <w:sz w:val="24"/>
                <w:szCs w:val="24"/>
                <w:u w:val="none" w:color="auto"/>
              </w:rPr>
              <w:t>下</w:t>
            </w:r>
            <w:r>
              <w:rPr>
                <w:rFonts w:hint="default" w:ascii="Times New Roman" w:hAnsi="Times New Roman" w:eastAsia="新宋体" w:cs="Times New Roman"/>
                <w:color w:val="auto"/>
                <w:kern w:val="0"/>
                <w:sz w:val="24"/>
                <w:szCs w:val="24"/>
                <w:u w:val="none" w:color="auto"/>
                <w:lang w:val="en-US" w:eastAsia="zh-CN"/>
              </w:rPr>
              <w:t>表1-1</w:t>
            </w:r>
            <w:r>
              <w:rPr>
                <w:rFonts w:hint="eastAsia" w:ascii="Times New Roman" w:hAnsi="Times New Roman" w:eastAsia="新宋体" w:cs="Times New Roman"/>
                <w:color w:val="auto"/>
                <w:kern w:val="0"/>
                <w:sz w:val="24"/>
                <w:szCs w:val="24"/>
                <w:u w:val="none" w:color="auto"/>
                <w:lang w:val="en-US" w:eastAsia="zh-CN"/>
              </w:rPr>
              <w:t>所示</w:t>
            </w:r>
            <w:r>
              <w:rPr>
                <w:rFonts w:hint="default" w:ascii="Times New Roman" w:hAnsi="Times New Roman" w:eastAsia="新宋体" w:cs="Times New Roman"/>
                <w:color w:val="auto"/>
                <w:kern w:val="0"/>
                <w:sz w:val="24"/>
                <w:szCs w:val="24"/>
                <w:u w:val="none" w:color="auto"/>
                <w:lang w:eastAsia="zh-CN"/>
              </w:rPr>
              <w:t>。</w:t>
            </w:r>
          </w:p>
          <w:p w14:paraId="3392198C">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u w:val="none" w:color="auto"/>
                <w:lang w:eastAsia="zh-CN"/>
              </w:rPr>
            </w:pPr>
            <w:r>
              <w:rPr>
                <w:rFonts w:hint="default" w:ascii="Times New Roman" w:hAnsi="Times New Roman" w:cs="Times New Roman"/>
                <w:color w:val="auto"/>
                <w:sz w:val="21"/>
                <w:szCs w:val="21"/>
                <w:u w:val="none" w:color="auto"/>
              </w:rPr>
              <w:t>表1-1专项评价设置原则表</w:t>
            </w:r>
            <w:r>
              <w:rPr>
                <w:rFonts w:hint="eastAsia" w:cs="Times New Roman"/>
                <w:color w:val="auto"/>
                <w:sz w:val="21"/>
                <w:szCs w:val="21"/>
                <w:u w:val="none" w:color="auto"/>
                <w:lang w:eastAsia="zh-CN"/>
              </w:rPr>
              <w:t>（</w:t>
            </w:r>
            <w:r>
              <w:rPr>
                <w:rFonts w:hint="eastAsia" w:cs="Times New Roman"/>
                <w:color w:val="auto"/>
                <w:sz w:val="21"/>
                <w:szCs w:val="21"/>
                <w:u w:val="none" w:color="auto"/>
                <w:lang w:val="en-US" w:eastAsia="zh-CN"/>
              </w:rPr>
              <w:t>生态影响类</w:t>
            </w:r>
            <w:r>
              <w:rPr>
                <w:rFonts w:hint="eastAsia" w:cs="Times New Roman"/>
                <w:color w:val="auto"/>
                <w:sz w:val="21"/>
                <w:szCs w:val="21"/>
                <w:u w:val="none" w:color="auto"/>
                <w:lang w:eastAsia="zh-CN"/>
              </w:rPr>
              <w:t>）</w:t>
            </w:r>
          </w:p>
          <w:tbl>
            <w:tblPr>
              <w:tblStyle w:val="25"/>
              <w:tblW w:w="507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0" w:type="dxa"/>
                <w:bottom w:w="28" w:type="dxa"/>
                <w:right w:w="0" w:type="dxa"/>
              </w:tblCellMar>
            </w:tblPr>
            <w:tblGrid>
              <w:gridCol w:w="922"/>
              <w:gridCol w:w="3501"/>
              <w:gridCol w:w="2349"/>
              <w:gridCol w:w="938"/>
            </w:tblGrid>
            <w:tr w14:paraId="6ABB6E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8" w:hRule="atLeast"/>
                <w:jc w:val="center"/>
              </w:trPr>
              <w:tc>
                <w:tcPr>
                  <w:tcW w:w="597" w:type="pct"/>
                  <w:tcBorders>
                    <w:tl2br w:val="nil"/>
                    <w:tr2bl w:val="nil"/>
                  </w:tcBorders>
                  <w:noWrap w:val="0"/>
                  <w:vAlign w:val="center"/>
                </w:tcPr>
                <w:p w14:paraId="6DC697FB">
                  <w:pPr>
                    <w:jc w:val="center"/>
                    <w:rPr>
                      <w:rFonts w:hint="default" w:ascii="Times New Roman" w:hAnsi="Times New Roman" w:eastAsia="宋体" w:cs="Times New Roman"/>
                      <w:b/>
                      <w:color w:val="auto"/>
                      <w:sz w:val="21"/>
                      <w:szCs w:val="21"/>
                      <w:u w:val="none" w:color="auto"/>
                    </w:rPr>
                  </w:pPr>
                  <w:r>
                    <w:rPr>
                      <w:rFonts w:hint="default" w:ascii="Times New Roman" w:hAnsi="Times New Roman" w:eastAsia="宋体" w:cs="Times New Roman"/>
                      <w:b/>
                      <w:color w:val="auto"/>
                      <w:sz w:val="21"/>
                      <w:szCs w:val="21"/>
                      <w:u w:val="none" w:color="auto"/>
                    </w:rPr>
                    <w:t>专项评价的类别</w:t>
                  </w:r>
                </w:p>
              </w:tc>
              <w:tc>
                <w:tcPr>
                  <w:tcW w:w="2270" w:type="pct"/>
                  <w:tcBorders>
                    <w:tl2br w:val="nil"/>
                    <w:tr2bl w:val="nil"/>
                  </w:tcBorders>
                  <w:noWrap w:val="0"/>
                  <w:vAlign w:val="center"/>
                </w:tcPr>
                <w:p w14:paraId="19BF26E8">
                  <w:pPr>
                    <w:jc w:val="center"/>
                    <w:rPr>
                      <w:rFonts w:hint="default" w:ascii="Times New Roman" w:hAnsi="Times New Roman" w:eastAsia="宋体" w:cs="Times New Roman"/>
                      <w:b/>
                      <w:color w:val="auto"/>
                      <w:sz w:val="21"/>
                      <w:szCs w:val="21"/>
                      <w:u w:val="none" w:color="auto"/>
                    </w:rPr>
                  </w:pPr>
                  <w:r>
                    <w:rPr>
                      <w:rFonts w:hint="default" w:ascii="Times New Roman" w:hAnsi="Times New Roman" w:eastAsia="宋体" w:cs="Times New Roman"/>
                      <w:b/>
                      <w:color w:val="auto"/>
                      <w:sz w:val="21"/>
                      <w:szCs w:val="21"/>
                      <w:u w:val="none" w:color="auto"/>
                    </w:rPr>
                    <w:t>涉及项目类别</w:t>
                  </w:r>
                </w:p>
              </w:tc>
              <w:tc>
                <w:tcPr>
                  <w:tcW w:w="1523" w:type="pct"/>
                  <w:tcBorders>
                    <w:tl2br w:val="nil"/>
                    <w:tr2bl w:val="nil"/>
                  </w:tcBorders>
                  <w:noWrap w:val="0"/>
                  <w:vAlign w:val="center"/>
                </w:tcPr>
                <w:p w14:paraId="136D18A5">
                  <w:pPr>
                    <w:jc w:val="center"/>
                    <w:rPr>
                      <w:rFonts w:hint="default" w:ascii="Times New Roman" w:hAnsi="Times New Roman" w:eastAsia="宋体" w:cs="Times New Roman"/>
                      <w:b/>
                      <w:color w:val="auto"/>
                      <w:sz w:val="21"/>
                      <w:szCs w:val="21"/>
                      <w:u w:val="none" w:color="auto"/>
                    </w:rPr>
                  </w:pPr>
                  <w:r>
                    <w:rPr>
                      <w:rFonts w:hint="default" w:ascii="Times New Roman" w:hAnsi="Times New Roman" w:eastAsia="宋体" w:cs="Times New Roman"/>
                      <w:b/>
                      <w:color w:val="auto"/>
                      <w:sz w:val="21"/>
                      <w:szCs w:val="21"/>
                      <w:u w:val="none" w:color="auto"/>
                    </w:rPr>
                    <w:t>本项目情况</w:t>
                  </w:r>
                </w:p>
              </w:tc>
              <w:tc>
                <w:tcPr>
                  <w:tcW w:w="608" w:type="pct"/>
                  <w:tcBorders>
                    <w:tl2br w:val="nil"/>
                    <w:tr2bl w:val="nil"/>
                  </w:tcBorders>
                  <w:noWrap w:val="0"/>
                  <w:vAlign w:val="center"/>
                </w:tcPr>
                <w:p w14:paraId="3C7C1AF5">
                  <w:pPr>
                    <w:jc w:val="center"/>
                    <w:rPr>
                      <w:rFonts w:hint="default" w:ascii="Times New Roman" w:hAnsi="Times New Roman" w:eastAsia="宋体" w:cs="Times New Roman"/>
                      <w:b/>
                      <w:color w:val="auto"/>
                      <w:sz w:val="21"/>
                      <w:szCs w:val="21"/>
                      <w:u w:val="none" w:color="auto"/>
                    </w:rPr>
                  </w:pPr>
                  <w:r>
                    <w:rPr>
                      <w:rFonts w:hint="default" w:ascii="Times New Roman" w:hAnsi="Times New Roman" w:eastAsia="宋体" w:cs="Times New Roman"/>
                      <w:b/>
                      <w:color w:val="auto"/>
                      <w:sz w:val="21"/>
                      <w:szCs w:val="21"/>
                      <w:u w:val="none" w:color="auto"/>
                    </w:rPr>
                    <w:t>是否设置专项评价</w:t>
                  </w:r>
                </w:p>
              </w:tc>
            </w:tr>
            <w:tr w14:paraId="11B008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34" w:hRule="atLeast"/>
                <w:jc w:val="center"/>
              </w:trPr>
              <w:tc>
                <w:tcPr>
                  <w:tcW w:w="597" w:type="pct"/>
                  <w:tcBorders>
                    <w:tl2br w:val="nil"/>
                    <w:tr2bl w:val="nil"/>
                  </w:tcBorders>
                  <w:noWrap w:val="0"/>
                  <w:vAlign w:val="center"/>
                </w:tcPr>
                <w:p w14:paraId="05D5CFF7">
                  <w:pPr>
                    <w:autoSpaceDE w:val="0"/>
                    <w:autoSpaceDN w:val="0"/>
                    <w:adjustRightInd w:val="0"/>
                    <w:snapToGrid w:val="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地表水</w:t>
                  </w:r>
                </w:p>
              </w:tc>
              <w:tc>
                <w:tcPr>
                  <w:tcW w:w="2270" w:type="pct"/>
                  <w:tcBorders>
                    <w:tl2br w:val="nil"/>
                    <w:tr2bl w:val="nil"/>
                  </w:tcBorders>
                  <w:noWrap w:val="0"/>
                  <w:vAlign w:val="center"/>
                </w:tcPr>
                <w:p w14:paraId="29D6B212">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水力发电：引水式发电、涉及发电的项目；</w:t>
                  </w:r>
                </w:p>
                <w:p w14:paraId="1E7E93C4">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人工湖、人工湿地：全部水库：全部；</w:t>
                  </w:r>
                </w:p>
                <w:p w14:paraId="430E9CBA">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引水工程：全部（配套的管线工程等除外）；</w:t>
                  </w:r>
                </w:p>
                <w:p w14:paraId="3F0A5A65">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防洪除涝工程：包含水库的项目；</w:t>
                  </w:r>
                </w:p>
                <w:p w14:paraId="0288C8A0">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河湖整治：涉及清淤且底泥存在重金属污染的项目</w:t>
                  </w:r>
                </w:p>
              </w:tc>
              <w:tc>
                <w:tcPr>
                  <w:tcW w:w="1523" w:type="pct"/>
                  <w:tcBorders>
                    <w:tl2br w:val="nil"/>
                    <w:tr2bl w:val="nil"/>
                  </w:tcBorders>
                  <w:noWrap w:val="0"/>
                  <w:vAlign w:val="center"/>
                </w:tcPr>
                <w:p w14:paraId="0A5407F1">
                  <w:pPr>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bCs/>
                      <w:color w:val="auto"/>
                      <w:sz w:val="21"/>
                      <w:szCs w:val="21"/>
                      <w:u w:val="none" w:color="auto"/>
                      <w:lang w:val="en-US" w:eastAsia="zh-CN"/>
                    </w:rPr>
                    <w:t>本项目</w:t>
                  </w:r>
                  <w:r>
                    <w:rPr>
                      <w:rFonts w:hint="eastAsia" w:eastAsia="宋体" w:cs="Times New Roman"/>
                      <w:bCs/>
                      <w:color w:val="auto"/>
                      <w:sz w:val="21"/>
                      <w:szCs w:val="21"/>
                      <w:u w:val="none" w:color="auto"/>
                      <w:lang w:val="en-US" w:eastAsia="zh-CN"/>
                    </w:rPr>
                    <w:t>不涉及左述项目类别</w:t>
                  </w:r>
                </w:p>
              </w:tc>
              <w:tc>
                <w:tcPr>
                  <w:tcW w:w="608" w:type="pct"/>
                  <w:tcBorders>
                    <w:tl2br w:val="nil"/>
                    <w:tr2bl w:val="nil"/>
                  </w:tcBorders>
                  <w:noWrap w:val="0"/>
                  <w:vAlign w:val="center"/>
                </w:tcPr>
                <w:p w14:paraId="7F319661">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否</w:t>
                  </w:r>
                </w:p>
              </w:tc>
            </w:tr>
            <w:tr w14:paraId="6F212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076" w:hRule="atLeast"/>
                <w:jc w:val="center"/>
              </w:trPr>
              <w:tc>
                <w:tcPr>
                  <w:tcW w:w="597" w:type="pct"/>
                  <w:tcBorders>
                    <w:tl2br w:val="nil"/>
                    <w:tr2bl w:val="nil"/>
                  </w:tcBorders>
                  <w:noWrap w:val="0"/>
                  <w:vAlign w:val="center"/>
                </w:tcPr>
                <w:p w14:paraId="377D5203">
                  <w:pPr>
                    <w:autoSpaceDE w:val="0"/>
                    <w:autoSpaceDN w:val="0"/>
                    <w:adjustRightInd w:val="0"/>
                    <w:snapToGrid w:val="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地下水</w:t>
                  </w:r>
                </w:p>
              </w:tc>
              <w:tc>
                <w:tcPr>
                  <w:tcW w:w="2270" w:type="pct"/>
                  <w:tcBorders>
                    <w:tl2br w:val="nil"/>
                    <w:tr2bl w:val="nil"/>
                  </w:tcBorders>
                  <w:noWrap w:val="0"/>
                  <w:vAlign w:val="center"/>
                </w:tcPr>
                <w:p w14:paraId="46FD9E2B">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陆地石油和天然气开采：全部；</w:t>
                  </w:r>
                </w:p>
                <w:p w14:paraId="7B272B6D">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地下水（含矿泉水）开采：全部；</w:t>
                  </w:r>
                </w:p>
                <w:p w14:paraId="2A0A4D41">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水利、水电、交通等：含穿越可溶岩地层隧道的项目</w:t>
                  </w:r>
                </w:p>
              </w:tc>
              <w:tc>
                <w:tcPr>
                  <w:tcW w:w="1523" w:type="pct"/>
                  <w:tcBorders>
                    <w:tl2br w:val="nil"/>
                    <w:tr2bl w:val="nil"/>
                  </w:tcBorders>
                  <w:noWrap w:val="0"/>
                  <w:vAlign w:val="center"/>
                </w:tcPr>
                <w:p w14:paraId="3B894481">
                  <w:pPr>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bCs/>
                      <w:color w:val="auto"/>
                      <w:sz w:val="21"/>
                      <w:szCs w:val="21"/>
                      <w:u w:val="none" w:color="auto"/>
                      <w:lang w:val="en-US" w:eastAsia="zh-CN"/>
                    </w:rPr>
                    <w:t>本项目</w:t>
                  </w:r>
                  <w:r>
                    <w:rPr>
                      <w:rFonts w:hint="eastAsia" w:eastAsia="宋体" w:cs="Times New Roman"/>
                      <w:bCs/>
                      <w:color w:val="auto"/>
                      <w:sz w:val="21"/>
                      <w:szCs w:val="21"/>
                      <w:u w:val="none" w:color="auto"/>
                      <w:lang w:val="en-US" w:eastAsia="zh-CN"/>
                    </w:rPr>
                    <w:t>不涉及左述项目类别</w:t>
                  </w:r>
                </w:p>
              </w:tc>
              <w:tc>
                <w:tcPr>
                  <w:tcW w:w="608" w:type="pct"/>
                  <w:tcBorders>
                    <w:tl2br w:val="nil"/>
                    <w:tr2bl w:val="nil"/>
                  </w:tcBorders>
                  <w:noWrap w:val="0"/>
                  <w:vAlign w:val="center"/>
                </w:tcPr>
                <w:p w14:paraId="429C54A5">
                  <w:pPr>
                    <w:jc w:val="center"/>
                    <w:rPr>
                      <w:rFonts w:hint="default" w:ascii="Times New Roman" w:hAnsi="Times New Roman" w:eastAsia="宋体" w:cs="Times New Roman"/>
                      <w:color w:val="auto"/>
                      <w:sz w:val="21"/>
                      <w:szCs w:val="21"/>
                      <w:u w:val="none" w:color="auto"/>
                      <w:lang w:val="en-US" w:eastAsia="zh-CN"/>
                    </w:rPr>
                  </w:pPr>
                  <w:r>
                    <w:rPr>
                      <w:rFonts w:hint="eastAsia" w:eastAsia="宋体" w:cs="Times New Roman"/>
                      <w:color w:val="auto"/>
                      <w:sz w:val="21"/>
                      <w:szCs w:val="21"/>
                      <w:u w:val="none" w:color="auto"/>
                      <w:lang w:val="en-US" w:eastAsia="zh-CN"/>
                    </w:rPr>
                    <w:t>否</w:t>
                  </w:r>
                </w:p>
              </w:tc>
            </w:tr>
            <w:tr w14:paraId="398E8D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3" w:hRule="atLeast"/>
                <w:jc w:val="center"/>
              </w:trPr>
              <w:tc>
                <w:tcPr>
                  <w:tcW w:w="597" w:type="pct"/>
                  <w:tcBorders>
                    <w:tl2br w:val="nil"/>
                    <w:tr2bl w:val="nil"/>
                  </w:tcBorders>
                  <w:noWrap w:val="0"/>
                  <w:vAlign w:val="center"/>
                </w:tcPr>
                <w:p w14:paraId="3F62A83A">
                  <w:pPr>
                    <w:autoSpaceDE w:val="0"/>
                    <w:autoSpaceDN w:val="0"/>
                    <w:adjustRightInd w:val="0"/>
                    <w:snapToGrid w:val="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生态</w:t>
                  </w:r>
                </w:p>
              </w:tc>
              <w:tc>
                <w:tcPr>
                  <w:tcW w:w="2270" w:type="pct"/>
                  <w:tcBorders>
                    <w:tl2br w:val="nil"/>
                    <w:tr2bl w:val="nil"/>
                  </w:tcBorders>
                  <w:noWrap w:val="0"/>
                  <w:vAlign w:val="center"/>
                </w:tcPr>
                <w:p w14:paraId="1FE5444D">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涉及环境敏感区（不包括饮用水水源保护区、以居住、医疗卫生、文化教育、科研、行政办公为主要功能的区域，以及文物保护单位）的项目</w:t>
                  </w:r>
                </w:p>
              </w:tc>
              <w:tc>
                <w:tcPr>
                  <w:tcW w:w="1523" w:type="pct"/>
                  <w:tcBorders>
                    <w:tl2br w:val="nil"/>
                    <w:tr2bl w:val="nil"/>
                  </w:tcBorders>
                  <w:noWrap w:val="0"/>
                  <w:vAlign w:val="center"/>
                </w:tcPr>
                <w:p w14:paraId="62B71FC5">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bCs/>
                      <w:color w:val="auto"/>
                      <w:sz w:val="21"/>
                      <w:szCs w:val="21"/>
                      <w:u w:val="none" w:color="auto"/>
                      <w:lang w:val="en-US" w:eastAsia="zh-CN"/>
                    </w:rPr>
                    <w:t>本项目</w:t>
                  </w:r>
                  <w:r>
                    <w:rPr>
                      <w:rFonts w:hint="eastAsia" w:eastAsia="宋体" w:cs="Times New Roman"/>
                      <w:bCs/>
                      <w:color w:val="auto"/>
                      <w:sz w:val="21"/>
                      <w:szCs w:val="21"/>
                      <w:u w:val="none" w:color="auto"/>
                      <w:lang w:val="en-US" w:eastAsia="zh-CN"/>
                    </w:rPr>
                    <w:t>涉及</w:t>
                  </w:r>
                  <w:r>
                    <w:rPr>
                      <w:rFonts w:hint="eastAsia" w:ascii="Times New Roman" w:hAnsi="Times New Roman" w:eastAsia="宋体" w:cs="Times New Roman"/>
                      <w:color w:val="auto"/>
                      <w:u w:val="none" w:color="auto"/>
                      <w:lang w:val="en-US" w:eastAsia="zh-CN"/>
                    </w:rPr>
                    <w:t>湖南东洞庭湖国家级自然保护区</w:t>
                  </w:r>
                </w:p>
              </w:tc>
              <w:tc>
                <w:tcPr>
                  <w:tcW w:w="608" w:type="pct"/>
                  <w:tcBorders>
                    <w:tl2br w:val="nil"/>
                    <w:tr2bl w:val="nil"/>
                  </w:tcBorders>
                  <w:noWrap w:val="0"/>
                  <w:vAlign w:val="center"/>
                </w:tcPr>
                <w:p w14:paraId="70A6A995">
                  <w:pPr>
                    <w:jc w:val="center"/>
                    <w:rPr>
                      <w:rFonts w:hint="eastAsia" w:ascii="Times New Roman" w:hAnsi="Times New Roman" w:eastAsia="宋体" w:cs="Times New Roman"/>
                      <w:color w:val="auto"/>
                      <w:sz w:val="21"/>
                      <w:szCs w:val="21"/>
                      <w:u w:val="none" w:color="auto"/>
                      <w:lang w:val="en-US" w:eastAsia="zh-CN"/>
                    </w:rPr>
                  </w:pPr>
                  <w:r>
                    <w:rPr>
                      <w:rFonts w:hint="eastAsia" w:eastAsia="宋体" w:cs="Times New Roman"/>
                      <w:color w:val="auto"/>
                      <w:sz w:val="21"/>
                      <w:szCs w:val="21"/>
                      <w:u w:val="none" w:color="auto"/>
                      <w:lang w:val="en-US" w:eastAsia="zh-CN"/>
                    </w:rPr>
                    <w:t>是</w:t>
                  </w:r>
                </w:p>
              </w:tc>
            </w:tr>
            <w:tr w14:paraId="737906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10" w:hRule="atLeast"/>
                <w:jc w:val="center"/>
              </w:trPr>
              <w:tc>
                <w:tcPr>
                  <w:tcW w:w="597" w:type="pct"/>
                  <w:tcBorders>
                    <w:tl2br w:val="nil"/>
                    <w:tr2bl w:val="nil"/>
                  </w:tcBorders>
                  <w:noWrap w:val="0"/>
                  <w:vAlign w:val="center"/>
                </w:tcPr>
                <w:p w14:paraId="2722B7F2">
                  <w:pPr>
                    <w:autoSpaceDE w:val="0"/>
                    <w:autoSpaceDN w:val="0"/>
                    <w:adjustRightInd w:val="0"/>
                    <w:snapToGrid w:val="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大气</w:t>
                  </w:r>
                </w:p>
              </w:tc>
              <w:tc>
                <w:tcPr>
                  <w:tcW w:w="2270" w:type="pct"/>
                  <w:tcBorders>
                    <w:tl2br w:val="nil"/>
                    <w:tr2bl w:val="nil"/>
                  </w:tcBorders>
                  <w:noWrap w:val="0"/>
                  <w:vAlign w:val="center"/>
                </w:tcPr>
                <w:p w14:paraId="052C2B81">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油气、液体化工码头：全部；</w:t>
                  </w:r>
                </w:p>
                <w:p w14:paraId="0C70886D">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干散货（含煤炭、矿石）、件杂、多用途、通用码头：涉及粉尘、挥发性有机物排放的项目</w:t>
                  </w:r>
                </w:p>
              </w:tc>
              <w:tc>
                <w:tcPr>
                  <w:tcW w:w="1523" w:type="pct"/>
                  <w:tcBorders>
                    <w:tl2br w:val="nil"/>
                    <w:tr2bl w:val="nil"/>
                  </w:tcBorders>
                  <w:noWrap w:val="0"/>
                  <w:vAlign w:val="center"/>
                </w:tcPr>
                <w:p w14:paraId="1AD3E6AD">
                  <w:pPr>
                    <w:jc w:val="center"/>
                    <w:rPr>
                      <w:rFonts w:hint="default" w:ascii="Times New Roman" w:hAnsi="Times New Roman" w:eastAsia="宋体" w:cs="Times New Roman"/>
                      <w:color w:val="auto"/>
                      <w:sz w:val="21"/>
                      <w:szCs w:val="21"/>
                      <w:u w:val="none" w:color="auto"/>
                      <w:lang w:val="en-US"/>
                    </w:rPr>
                  </w:pPr>
                  <w:r>
                    <w:rPr>
                      <w:rFonts w:hint="default" w:ascii="Times New Roman" w:hAnsi="Times New Roman" w:eastAsia="宋体" w:cs="Times New Roman"/>
                      <w:bCs/>
                      <w:color w:val="auto"/>
                      <w:sz w:val="21"/>
                      <w:szCs w:val="21"/>
                      <w:u w:val="none" w:color="auto"/>
                      <w:lang w:val="en-US" w:eastAsia="zh-CN"/>
                    </w:rPr>
                    <w:t>本项目</w:t>
                  </w:r>
                  <w:r>
                    <w:rPr>
                      <w:rFonts w:hint="eastAsia" w:eastAsia="宋体" w:cs="Times New Roman"/>
                      <w:bCs/>
                      <w:color w:val="auto"/>
                      <w:sz w:val="21"/>
                      <w:szCs w:val="21"/>
                      <w:u w:val="none" w:color="auto"/>
                      <w:lang w:val="en-US" w:eastAsia="zh-CN"/>
                    </w:rPr>
                    <w:t>不涉及左述项目类别</w:t>
                  </w:r>
                </w:p>
              </w:tc>
              <w:tc>
                <w:tcPr>
                  <w:tcW w:w="608" w:type="pct"/>
                  <w:tcBorders>
                    <w:tl2br w:val="nil"/>
                    <w:tr2bl w:val="nil"/>
                  </w:tcBorders>
                  <w:noWrap w:val="0"/>
                  <w:vAlign w:val="center"/>
                </w:tcPr>
                <w:p w14:paraId="1EC69ADE">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否</w:t>
                  </w:r>
                </w:p>
              </w:tc>
            </w:tr>
            <w:tr w14:paraId="2C9C9D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342" w:hRule="atLeast"/>
                <w:jc w:val="center"/>
              </w:trPr>
              <w:tc>
                <w:tcPr>
                  <w:tcW w:w="597" w:type="pct"/>
                  <w:tcBorders>
                    <w:tl2br w:val="nil"/>
                    <w:tr2bl w:val="nil"/>
                  </w:tcBorders>
                  <w:noWrap w:val="0"/>
                  <w:vAlign w:val="center"/>
                </w:tcPr>
                <w:p w14:paraId="030612F7">
                  <w:pPr>
                    <w:autoSpaceDE w:val="0"/>
                    <w:autoSpaceDN w:val="0"/>
                    <w:adjustRightInd w:val="0"/>
                    <w:snapToGrid w:val="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噪声</w:t>
                  </w:r>
                </w:p>
              </w:tc>
              <w:tc>
                <w:tcPr>
                  <w:tcW w:w="2270" w:type="pct"/>
                  <w:tcBorders>
                    <w:tl2br w:val="nil"/>
                    <w:tr2bl w:val="nil"/>
                  </w:tcBorders>
                  <w:noWrap w:val="0"/>
                  <w:vAlign w:val="center"/>
                </w:tcPr>
                <w:p w14:paraId="4144275F">
                  <w:pPr>
                    <w:autoSpaceDE w:val="0"/>
                    <w:autoSpaceDN w:val="0"/>
                    <w:adjustRightInd w:val="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公路、铁路、机场等交通运输业涉及环境敏感区（以居住、医疗卫生、文化教育、科研、行政办公为主要功能的区域）的项目；</w:t>
                  </w:r>
                </w:p>
                <w:p w14:paraId="07A8697D">
                  <w:pPr>
                    <w:autoSpaceDE w:val="0"/>
                    <w:autoSpaceDN w:val="0"/>
                    <w:adjustRightInd w:val="0"/>
                    <w:snapToGrid w:val="0"/>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rPr>
                    <w:t>城市道路（不含维护，不含支路、人行天桥、人行地道）：全部</w:t>
                  </w:r>
                </w:p>
              </w:tc>
              <w:tc>
                <w:tcPr>
                  <w:tcW w:w="1523" w:type="pct"/>
                  <w:tcBorders>
                    <w:tl2br w:val="nil"/>
                    <w:tr2bl w:val="nil"/>
                  </w:tcBorders>
                  <w:noWrap w:val="0"/>
                  <w:vAlign w:val="center"/>
                </w:tcPr>
                <w:p w14:paraId="730E9207">
                  <w:pPr>
                    <w:jc w:val="center"/>
                    <w:rPr>
                      <w:rFonts w:hint="default" w:ascii="Times New Roman" w:hAnsi="Times New Roman" w:eastAsia="宋体" w:cs="Times New Roman"/>
                      <w:color w:val="auto"/>
                      <w:sz w:val="21"/>
                      <w:szCs w:val="21"/>
                      <w:u w:val="none" w:color="auto"/>
                      <w:lang w:val="en-US"/>
                    </w:rPr>
                  </w:pPr>
                  <w:r>
                    <w:rPr>
                      <w:rFonts w:hint="default" w:ascii="Times New Roman" w:hAnsi="Times New Roman" w:eastAsia="宋体" w:cs="Times New Roman"/>
                      <w:bCs/>
                      <w:color w:val="auto"/>
                      <w:sz w:val="21"/>
                      <w:szCs w:val="21"/>
                      <w:u w:val="none" w:color="auto"/>
                      <w:lang w:val="en-US" w:eastAsia="zh-CN"/>
                    </w:rPr>
                    <w:t>本项目</w:t>
                  </w:r>
                  <w:r>
                    <w:rPr>
                      <w:rFonts w:hint="eastAsia" w:cs="Times New Roman"/>
                      <w:bCs/>
                      <w:color w:val="auto"/>
                      <w:sz w:val="21"/>
                      <w:szCs w:val="21"/>
                      <w:u w:val="none" w:color="auto"/>
                      <w:lang w:val="en-US" w:eastAsia="zh-CN"/>
                    </w:rPr>
                    <w:t>为城市道路支路，不涉及</w:t>
                  </w:r>
                  <w:r>
                    <w:rPr>
                      <w:rFonts w:hint="eastAsia" w:eastAsia="宋体" w:cs="Times New Roman"/>
                      <w:bCs/>
                      <w:color w:val="auto"/>
                      <w:sz w:val="21"/>
                      <w:szCs w:val="21"/>
                      <w:u w:val="none" w:color="auto"/>
                      <w:lang w:val="en-US" w:eastAsia="zh-CN"/>
                    </w:rPr>
                    <w:t>左述项目类别</w:t>
                  </w:r>
                </w:p>
              </w:tc>
              <w:tc>
                <w:tcPr>
                  <w:tcW w:w="608" w:type="pct"/>
                  <w:tcBorders>
                    <w:tl2br w:val="nil"/>
                    <w:tr2bl w:val="nil"/>
                  </w:tcBorders>
                  <w:noWrap w:val="0"/>
                  <w:vAlign w:val="center"/>
                </w:tcPr>
                <w:p w14:paraId="24971121">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否</w:t>
                  </w:r>
                </w:p>
              </w:tc>
            </w:tr>
            <w:tr w14:paraId="072843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337" w:hRule="atLeast"/>
                <w:jc w:val="center"/>
              </w:trPr>
              <w:tc>
                <w:tcPr>
                  <w:tcW w:w="597" w:type="pct"/>
                  <w:tcBorders>
                    <w:tl2br w:val="nil"/>
                    <w:tr2bl w:val="nil"/>
                  </w:tcBorders>
                  <w:noWrap w:val="0"/>
                  <w:vAlign w:val="center"/>
                </w:tcPr>
                <w:p w14:paraId="5FD5D9B6">
                  <w:pPr>
                    <w:autoSpaceDE w:val="0"/>
                    <w:autoSpaceDN w:val="0"/>
                    <w:adjustRightInd w:val="0"/>
                    <w:snapToGrid w:val="0"/>
                    <w:jc w:val="center"/>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环境风险</w:t>
                  </w:r>
                </w:p>
              </w:tc>
              <w:tc>
                <w:tcPr>
                  <w:tcW w:w="2270" w:type="pct"/>
                  <w:tcBorders>
                    <w:tl2br w:val="nil"/>
                    <w:tr2bl w:val="nil"/>
                  </w:tcBorders>
                  <w:noWrap w:val="0"/>
                  <w:vAlign w:val="center"/>
                </w:tcPr>
                <w:p w14:paraId="15ED823A">
                  <w:pPr>
                    <w:autoSpaceDE w:val="0"/>
                    <w:autoSpaceDN w:val="0"/>
                    <w:adjustRightInd w:val="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石油和天然气开采：全部；</w:t>
                  </w:r>
                </w:p>
                <w:p w14:paraId="6BDB694F">
                  <w:pPr>
                    <w:autoSpaceDE w:val="0"/>
                    <w:autoSpaceDN w:val="0"/>
                    <w:adjustRightInd w:val="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油气、液体化工码头：全部；</w:t>
                  </w:r>
                </w:p>
                <w:p w14:paraId="21ABA7DD">
                  <w:pPr>
                    <w:autoSpaceDE w:val="0"/>
                    <w:autoSpaceDN w:val="0"/>
                    <w:adjustRightInd w:val="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原油、成品油、天然气管线（不含城镇天然气管线、企业厂区内管线），危险化学品输送管线（不含企业厂区内管线）：全部</w:t>
                  </w:r>
                </w:p>
              </w:tc>
              <w:tc>
                <w:tcPr>
                  <w:tcW w:w="1523" w:type="pct"/>
                  <w:tcBorders>
                    <w:tl2br w:val="nil"/>
                    <w:tr2bl w:val="nil"/>
                  </w:tcBorders>
                  <w:noWrap w:val="0"/>
                  <w:vAlign w:val="center"/>
                </w:tcPr>
                <w:p w14:paraId="24E03F37">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bCs/>
                      <w:color w:val="auto"/>
                      <w:sz w:val="21"/>
                      <w:szCs w:val="21"/>
                      <w:u w:val="none" w:color="auto"/>
                      <w:lang w:val="en-US" w:eastAsia="zh-CN"/>
                    </w:rPr>
                    <w:t>本项目</w:t>
                  </w:r>
                  <w:r>
                    <w:rPr>
                      <w:rFonts w:hint="eastAsia" w:eastAsia="宋体" w:cs="Times New Roman"/>
                      <w:bCs/>
                      <w:color w:val="auto"/>
                      <w:sz w:val="21"/>
                      <w:szCs w:val="21"/>
                      <w:u w:val="none" w:color="auto"/>
                      <w:lang w:val="en-US" w:eastAsia="zh-CN"/>
                    </w:rPr>
                    <w:t>不涉及左述项目类别</w:t>
                  </w:r>
                </w:p>
              </w:tc>
              <w:tc>
                <w:tcPr>
                  <w:tcW w:w="608" w:type="pct"/>
                  <w:tcBorders>
                    <w:tl2br w:val="nil"/>
                    <w:tr2bl w:val="nil"/>
                  </w:tcBorders>
                  <w:noWrap w:val="0"/>
                  <w:vAlign w:val="center"/>
                </w:tcPr>
                <w:p w14:paraId="015389E8">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否</w:t>
                  </w:r>
                </w:p>
              </w:tc>
            </w:tr>
            <w:tr w14:paraId="1FE1F2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25" w:hRule="atLeast"/>
                <w:jc w:val="center"/>
              </w:trPr>
              <w:tc>
                <w:tcPr>
                  <w:tcW w:w="5000" w:type="pct"/>
                  <w:gridSpan w:val="4"/>
                  <w:tcBorders>
                    <w:tl2br w:val="nil"/>
                    <w:tr2bl w:val="nil"/>
                  </w:tcBorders>
                  <w:noWrap w:val="0"/>
                  <w:vAlign w:val="center"/>
                </w:tcPr>
                <w:p w14:paraId="1D704DD0">
                  <w:pPr>
                    <w:autoSpaceDE w:val="0"/>
                    <w:autoSpaceDN w:val="0"/>
                    <w:adjustRightInd w:val="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注</w:t>
                  </w:r>
                  <w:r>
                    <w:rPr>
                      <w:rFonts w:hint="default" w:ascii="Times New Roman" w:hAnsi="Times New Roman" w:eastAsia="宋体" w:cs="Times New Roman"/>
                      <w:color w:val="auto"/>
                      <w:kern w:val="0"/>
                      <w:sz w:val="21"/>
                      <w:szCs w:val="21"/>
                      <w:u w:val="none" w:color="auto"/>
                    </w:rPr>
                    <w:t>：</w:t>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rPr>
                    <w:t>涉及环境敏感区</w:t>
                  </w:r>
                  <w:r>
                    <w:rPr>
                      <w:rFonts w:hint="default" w:ascii="Times New Roman" w:hAnsi="Times New Roman" w:eastAsia="宋体" w:cs="Times New Roman"/>
                      <w:color w:val="auto"/>
                      <w:kern w:val="0"/>
                      <w:sz w:val="21"/>
                      <w:szCs w:val="21"/>
                      <w:u w:val="none" w:color="auto"/>
                      <w:lang w:val="en-US" w:eastAsia="zh-CN"/>
                    </w:rPr>
                    <w:t>”</w:t>
                  </w:r>
                  <w:r>
                    <w:rPr>
                      <w:rFonts w:hint="default" w:ascii="Times New Roman" w:hAnsi="Times New Roman" w:eastAsia="宋体" w:cs="Times New Roman"/>
                      <w:color w:val="auto"/>
                      <w:kern w:val="0"/>
                      <w:sz w:val="21"/>
                      <w:szCs w:val="21"/>
                      <w:u w:val="none" w:color="auto"/>
                    </w:rPr>
                    <w:t>是指建设项目位于、穿（跨）越（无害化通过的除外）环境敏感区，或环境影响范围涵盖环境敏感区。环境敏感区是指《建设项目环境影响评价分类管理名录》中针对该类项目所列的敏感区。</w:t>
                  </w:r>
                </w:p>
              </w:tc>
            </w:tr>
          </w:tbl>
          <w:p w14:paraId="5D46ED0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u w:val="none" w:color="auto"/>
                <w:lang w:eastAsia="zh-CN"/>
              </w:rPr>
            </w:pPr>
            <w:r>
              <w:rPr>
                <w:rFonts w:hint="default" w:ascii="Times New Roman" w:hAnsi="Times New Roman" w:cs="Times New Roman"/>
                <w:color w:val="auto"/>
                <w:kern w:val="0"/>
                <w:sz w:val="24"/>
                <w:u w:val="none" w:color="auto"/>
              </w:rPr>
              <w:t>综上所述，本项目</w:t>
            </w:r>
            <w:r>
              <w:rPr>
                <w:rFonts w:hint="default" w:ascii="Times New Roman" w:hAnsi="Times New Roman" w:cs="Times New Roman"/>
                <w:color w:val="auto"/>
                <w:kern w:val="0"/>
                <w:sz w:val="24"/>
                <w:u w:val="none" w:color="auto"/>
                <w:lang w:val="en-US" w:eastAsia="zh-CN"/>
              </w:rPr>
              <w:t>需</w:t>
            </w:r>
            <w:r>
              <w:rPr>
                <w:rFonts w:hint="default" w:ascii="Times New Roman" w:hAnsi="Times New Roman" w:cs="Times New Roman"/>
                <w:color w:val="auto"/>
                <w:kern w:val="0"/>
                <w:sz w:val="24"/>
                <w:u w:val="none" w:color="auto"/>
              </w:rPr>
              <w:t>设置</w:t>
            </w:r>
            <w:r>
              <w:rPr>
                <w:rFonts w:hint="eastAsia" w:cs="Times New Roman"/>
                <w:color w:val="auto"/>
                <w:kern w:val="0"/>
                <w:sz w:val="24"/>
                <w:u w:val="none" w:color="auto"/>
                <w:lang w:val="en-US" w:eastAsia="zh-CN"/>
              </w:rPr>
              <w:t>噪声和生态</w:t>
            </w:r>
            <w:r>
              <w:rPr>
                <w:rFonts w:hint="default" w:ascii="Times New Roman" w:hAnsi="Times New Roman" w:cs="Times New Roman"/>
                <w:color w:val="auto"/>
                <w:kern w:val="0"/>
                <w:sz w:val="24"/>
                <w:u w:val="none" w:color="auto"/>
              </w:rPr>
              <w:t>专项评价</w:t>
            </w:r>
            <w:r>
              <w:rPr>
                <w:rFonts w:hint="eastAsia" w:cs="Times New Roman"/>
                <w:color w:val="auto"/>
                <w:kern w:val="0"/>
                <w:sz w:val="24"/>
                <w:szCs w:val="24"/>
                <w:u w:val="none" w:color="auto"/>
                <w:lang w:eastAsia="zh-CN"/>
              </w:rPr>
              <w:t>。</w:t>
            </w:r>
          </w:p>
        </w:tc>
      </w:tr>
      <w:tr w14:paraId="72A11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82" w:type="dxa"/>
            <w:vAlign w:val="center"/>
          </w:tcPr>
          <w:p w14:paraId="093991C5">
            <w:pPr>
              <w:autoSpaceDE w:val="0"/>
              <w:autoSpaceDN w:val="0"/>
              <w:adjustRightInd w:val="0"/>
              <w:snapToGrid w:val="0"/>
              <w:jc w:val="center"/>
              <w:rPr>
                <w:rFonts w:cs="宋体"/>
                <w:color w:val="auto"/>
                <w:kern w:val="0"/>
                <w:sz w:val="24"/>
                <w:szCs w:val="21"/>
                <w:u w:val="none" w:color="auto"/>
              </w:rPr>
            </w:pPr>
            <w:r>
              <w:rPr>
                <w:rFonts w:hint="eastAsia" w:cs="宋体"/>
                <w:color w:val="auto"/>
                <w:sz w:val="24"/>
                <w:szCs w:val="21"/>
                <w:u w:val="none" w:color="auto"/>
              </w:rPr>
              <w:t>规划情况</w:t>
            </w:r>
          </w:p>
        </w:tc>
        <w:tc>
          <w:tcPr>
            <w:tcW w:w="7838" w:type="dxa"/>
            <w:gridSpan w:val="3"/>
            <w:vAlign w:val="center"/>
          </w:tcPr>
          <w:p w14:paraId="344BA06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u w:val="none" w:color="auto"/>
                <w:lang w:val="en-US" w:eastAsia="zh-CN"/>
              </w:rPr>
            </w:pPr>
            <w:r>
              <w:rPr>
                <w:rFonts w:hint="default" w:ascii="Times New Roman" w:hAnsi="Times New Roman" w:eastAsia="宋体" w:cs="Times New Roman"/>
                <w:color w:val="auto"/>
                <w:kern w:val="0"/>
                <w:sz w:val="24"/>
                <w:u w:val="none" w:color="auto"/>
                <w:lang w:val="en-US" w:eastAsia="zh-CN"/>
              </w:rPr>
              <w:t>《华容县国土空间总体规划（2021-2035年）》</w:t>
            </w:r>
            <w:r>
              <w:rPr>
                <w:rFonts w:hint="eastAsia" w:ascii="Times New Roman" w:hAnsi="Times New Roman" w:eastAsia="宋体" w:cs="Times New Roman"/>
                <w:color w:val="auto"/>
                <w:kern w:val="0"/>
                <w:sz w:val="24"/>
                <w:u w:val="none" w:color="auto"/>
                <w:lang w:val="en-US" w:eastAsia="zh-CN"/>
              </w:rPr>
              <w:t>，审批机关：湖南省人民政府；审批文件：</w:t>
            </w:r>
            <w:r>
              <w:rPr>
                <w:rFonts w:hint="default" w:ascii="Times New Roman" w:hAnsi="Times New Roman" w:eastAsia="宋体" w:cs="Times New Roman"/>
                <w:color w:val="auto"/>
                <w:kern w:val="0"/>
                <w:sz w:val="24"/>
                <w:u w:val="none" w:color="auto"/>
                <w:lang w:val="en-US" w:eastAsia="zh-CN"/>
              </w:rPr>
              <w:t>《关于岳阳市岳阳县等6个县级国土空间 总体规划（2021—2035年）的批复》</w:t>
            </w:r>
            <w:r>
              <w:rPr>
                <w:rFonts w:hint="eastAsia" w:ascii="Times New Roman" w:hAnsi="Times New Roman" w:eastAsia="宋体" w:cs="Times New Roman"/>
                <w:color w:val="auto"/>
                <w:kern w:val="0"/>
                <w:sz w:val="24"/>
                <w:u w:val="none" w:color="auto"/>
                <w:lang w:val="en-US" w:eastAsia="zh-CN"/>
              </w:rPr>
              <w:t>文号：湘政函〔2</w:t>
            </w:r>
            <w:r>
              <w:rPr>
                <w:rFonts w:hint="default" w:ascii="Times New Roman" w:hAnsi="Times New Roman" w:eastAsia="宋体" w:cs="Times New Roman"/>
                <w:color w:val="auto"/>
                <w:kern w:val="0"/>
                <w:sz w:val="24"/>
                <w:u w:val="none" w:color="auto"/>
                <w:lang w:val="en-US" w:eastAsia="zh-CN"/>
              </w:rPr>
              <w:t>024〕75号</w:t>
            </w:r>
            <w:r>
              <w:rPr>
                <w:rFonts w:hint="eastAsia" w:ascii="Times New Roman" w:hAnsi="Times New Roman" w:eastAsia="宋体" w:cs="Times New Roman"/>
                <w:color w:val="auto"/>
                <w:kern w:val="0"/>
                <w:sz w:val="24"/>
                <w:u w:val="none" w:color="auto"/>
                <w:lang w:val="en-US" w:eastAsia="zh-CN"/>
              </w:rPr>
              <w:t>。</w:t>
            </w:r>
          </w:p>
        </w:tc>
      </w:tr>
      <w:tr w14:paraId="4C014B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14:paraId="58A69B28">
            <w:pPr>
              <w:adjustRightInd w:val="0"/>
              <w:snapToGrid w:val="0"/>
              <w:jc w:val="center"/>
              <w:rPr>
                <w:rFonts w:cs="宋体"/>
                <w:color w:val="auto"/>
                <w:sz w:val="24"/>
                <w:szCs w:val="21"/>
                <w:u w:val="none" w:color="auto"/>
              </w:rPr>
            </w:pPr>
            <w:r>
              <w:rPr>
                <w:rFonts w:hint="eastAsia" w:cs="宋体"/>
                <w:color w:val="auto"/>
                <w:sz w:val="24"/>
                <w:szCs w:val="21"/>
                <w:u w:val="none" w:color="auto"/>
              </w:rPr>
              <w:t>规划环境影响</w:t>
            </w:r>
          </w:p>
          <w:p w14:paraId="2E3DAC08">
            <w:pPr>
              <w:adjustRightInd w:val="0"/>
              <w:snapToGrid w:val="0"/>
              <w:jc w:val="center"/>
              <w:rPr>
                <w:rFonts w:cs="宋体"/>
                <w:color w:val="auto"/>
                <w:kern w:val="0"/>
                <w:sz w:val="24"/>
                <w:szCs w:val="21"/>
                <w:u w:val="none" w:color="auto"/>
              </w:rPr>
            </w:pPr>
            <w:r>
              <w:rPr>
                <w:rFonts w:hint="eastAsia" w:cs="宋体"/>
                <w:color w:val="auto"/>
                <w:sz w:val="24"/>
                <w:szCs w:val="21"/>
                <w:u w:val="none" w:color="auto"/>
              </w:rPr>
              <w:t>评价情况</w:t>
            </w:r>
          </w:p>
        </w:tc>
        <w:tc>
          <w:tcPr>
            <w:tcW w:w="7838" w:type="dxa"/>
            <w:gridSpan w:val="3"/>
            <w:vAlign w:val="center"/>
          </w:tcPr>
          <w:p w14:paraId="6770E05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u w:val="none" w:color="auto"/>
                <w:lang w:eastAsia="zh-CN"/>
              </w:rPr>
            </w:pPr>
            <w:r>
              <w:rPr>
                <w:rFonts w:hint="eastAsia" w:cs="宋体"/>
                <w:color w:val="auto"/>
                <w:kern w:val="0"/>
                <w:sz w:val="24"/>
                <w:szCs w:val="21"/>
                <w:u w:val="none" w:color="auto"/>
                <w:lang w:val="en-US" w:eastAsia="zh-CN"/>
              </w:rPr>
              <w:t>无</w:t>
            </w:r>
          </w:p>
        </w:tc>
      </w:tr>
      <w:tr w14:paraId="3E0C2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14:paraId="7ECEA1B5">
            <w:pPr>
              <w:autoSpaceDE w:val="0"/>
              <w:autoSpaceDN w:val="0"/>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rPr>
              <w:t>规划及规划环境</w:t>
            </w:r>
          </w:p>
          <w:p w14:paraId="22FEC351">
            <w:pPr>
              <w:autoSpaceDE w:val="0"/>
              <w:autoSpaceDN w:val="0"/>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rPr>
              <w:t>影响评价符合性分析</w:t>
            </w:r>
          </w:p>
        </w:tc>
        <w:tc>
          <w:tcPr>
            <w:tcW w:w="7838" w:type="dxa"/>
            <w:gridSpan w:val="3"/>
            <w:vAlign w:val="center"/>
          </w:tcPr>
          <w:p w14:paraId="359B8F1E">
            <w:pPr>
              <w:pStyle w:val="68"/>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与《华容县国土空间总体规划（2021-2035年）》的符合性分析</w:t>
            </w:r>
          </w:p>
          <w:p w14:paraId="0DB4D4A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olor w:val="auto"/>
                <w:u w:val="none" w:color="auto"/>
                <w:lang w:val="en-US" w:eastAsia="zh-CN"/>
              </w:rPr>
            </w:pPr>
            <w:r>
              <w:rPr>
                <w:rFonts w:hint="eastAsia" w:ascii="Times New Roman" w:hAnsi="Times New Roman" w:cs="Times New Roman"/>
                <w:color w:val="auto"/>
                <w:kern w:val="0"/>
                <w:sz w:val="24"/>
                <w:u w:val="none" w:color="auto"/>
                <w:lang w:val="en-US" w:eastAsia="zh-CN"/>
              </w:rPr>
              <w:t>依据</w:t>
            </w:r>
            <w:r>
              <w:rPr>
                <w:rFonts w:hint="default" w:ascii="Times New Roman" w:hAnsi="Times New Roman" w:cs="Times New Roman"/>
                <w:color w:val="auto"/>
                <w:kern w:val="0"/>
                <w:sz w:val="24"/>
                <w:u w:val="none" w:color="auto"/>
              </w:rPr>
              <w:t>《华容县国土空间总体规划（2021-2035年）》</w:t>
            </w:r>
            <w:r>
              <w:rPr>
                <w:rFonts w:hint="eastAsia" w:ascii="Times New Roman" w:hAnsi="Times New Roman" w:cs="Times New Roman"/>
                <w:color w:val="auto"/>
                <w:kern w:val="0"/>
                <w:sz w:val="24"/>
                <w:u w:val="none" w:color="auto"/>
                <w:lang w:val="en-US" w:eastAsia="zh-CN"/>
              </w:rPr>
              <w:t>第三章，第四节统筹区域协同发展 “</w:t>
            </w:r>
            <w:r>
              <w:rPr>
                <w:rFonts w:ascii="宋体" w:hAnsi="宋体" w:eastAsia="宋体" w:cs="宋体"/>
                <w:color w:val="auto"/>
                <w:sz w:val="24"/>
                <w:szCs w:val="24"/>
                <w:u w:val="none" w:color="auto"/>
              </w:rPr>
              <w:t>城乡一体化发展规划。引领县域城乡一体化发展，推进城乡空间布局、城乡基础设施建设、城乡产业发展、城乡劳动就业与社会保障建设、城乡公共服务共享、城乡生态环境建设与保护“六个统筹”，深化户籍制度、农村产权制度、社会保障制度、用地制度“四项改革”，形成城镇体系完善、空间分布合理、经济全面发展、城镇功能健全、资源优化配置、生态环境宜居、人口转移顺畅、公共服务共享的县域城乡发展新格局</w:t>
            </w:r>
            <w:r>
              <w:rPr>
                <w:rFonts w:hint="eastAsia" w:ascii="Times New Roman" w:hAnsi="Times New Roman" w:cs="Times New Roman"/>
                <w:color w:val="auto"/>
                <w:kern w:val="0"/>
                <w:sz w:val="24"/>
                <w:u w:val="none" w:color="auto"/>
                <w:lang w:val="en-US" w:eastAsia="zh-CN"/>
              </w:rPr>
              <w:t>。”，本项目属于</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eastAsia" w:ascii="Times New Roman" w:hAnsi="Times New Roman" w:eastAsia="宋体" w:cs="Times New Roman"/>
                <w:color w:val="auto"/>
                <w:sz w:val="24"/>
                <w:szCs w:val="24"/>
                <w:u w:val="none" w:color="auto"/>
                <w:lang w:val="en-US" w:eastAsia="zh-CN"/>
              </w:rPr>
              <w:t>项目</w:t>
            </w:r>
            <w:r>
              <w:rPr>
                <w:rFonts w:hint="eastAsia" w:ascii="Times New Roman" w:hAnsi="Times New Roman" w:cs="Times New Roman"/>
                <w:color w:val="auto"/>
                <w:kern w:val="0"/>
                <w:sz w:val="24"/>
                <w:u w:val="none" w:color="auto"/>
                <w:lang w:val="en-US" w:eastAsia="zh-CN"/>
              </w:rPr>
              <w:t>，属于</w:t>
            </w:r>
            <w:r>
              <w:rPr>
                <w:rFonts w:ascii="宋体" w:hAnsi="宋体" w:eastAsia="宋体" w:cs="宋体"/>
                <w:color w:val="auto"/>
                <w:sz w:val="24"/>
                <w:szCs w:val="24"/>
                <w:u w:val="none" w:color="auto"/>
              </w:rPr>
              <w:t>城乡基础设施建设</w:t>
            </w:r>
            <w:r>
              <w:rPr>
                <w:rFonts w:hint="eastAsia" w:ascii="宋体" w:hAnsi="宋体" w:eastAsia="宋体" w:cs="宋体"/>
                <w:color w:val="auto"/>
                <w:sz w:val="24"/>
                <w:szCs w:val="24"/>
                <w:u w:val="none" w:color="auto"/>
                <w:lang w:eastAsia="zh-CN"/>
              </w:rPr>
              <w:t>，</w:t>
            </w:r>
            <w:r>
              <w:rPr>
                <w:rFonts w:hint="eastAsia" w:ascii="Times New Roman" w:hAnsi="Times New Roman" w:cs="Times New Roman"/>
                <w:color w:val="auto"/>
                <w:kern w:val="0"/>
                <w:sz w:val="24"/>
                <w:u w:val="none" w:color="auto"/>
                <w:lang w:val="en-US" w:eastAsia="zh-CN"/>
              </w:rPr>
              <w:t>项目建成后可为居民提供温馨舒适、服务完善、交通便捷的生活氛围</w:t>
            </w:r>
            <w:r>
              <w:rPr>
                <w:rFonts w:hint="eastAsia" w:cs="Times New Roman"/>
                <w:color w:val="auto"/>
                <w:kern w:val="0"/>
                <w:sz w:val="24"/>
                <w:u w:val="none" w:color="auto"/>
                <w:lang w:val="en-US" w:eastAsia="zh-CN"/>
              </w:rPr>
              <w:t>，故本项目的建设符合</w:t>
            </w:r>
            <w:r>
              <w:rPr>
                <w:rFonts w:hint="default" w:ascii="Times New Roman" w:hAnsi="Times New Roman" w:cs="Times New Roman"/>
                <w:color w:val="auto"/>
                <w:kern w:val="0"/>
                <w:sz w:val="24"/>
                <w:u w:val="none" w:color="auto"/>
              </w:rPr>
              <w:t>《华容县国土空间总体规划（2021-2035年）》</w:t>
            </w:r>
            <w:r>
              <w:rPr>
                <w:rFonts w:hint="eastAsia" w:ascii="Times New Roman" w:hAnsi="Times New Roman" w:cs="Times New Roman"/>
                <w:color w:val="auto"/>
                <w:kern w:val="0"/>
                <w:sz w:val="24"/>
                <w:u w:val="none" w:color="auto"/>
                <w:lang w:val="en-US" w:eastAsia="zh-CN"/>
              </w:rPr>
              <w:t>。</w:t>
            </w:r>
          </w:p>
        </w:tc>
      </w:tr>
      <w:tr w14:paraId="7D42DD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14:paraId="0B8FE030">
            <w:pPr>
              <w:autoSpaceDE w:val="0"/>
              <w:autoSpaceDN w:val="0"/>
              <w:adjustRightInd w:val="0"/>
              <w:snapToGrid w:val="0"/>
              <w:jc w:val="center"/>
              <w:rPr>
                <w:rFonts w:hint="eastAsia" w:cs="宋体"/>
                <w:color w:val="auto"/>
                <w:kern w:val="0"/>
                <w:sz w:val="24"/>
                <w:szCs w:val="21"/>
                <w:u w:val="none" w:color="auto"/>
              </w:rPr>
            </w:pPr>
            <w:r>
              <w:rPr>
                <w:rFonts w:hint="eastAsia" w:cs="宋体"/>
                <w:color w:val="auto"/>
                <w:kern w:val="0"/>
                <w:sz w:val="24"/>
                <w:szCs w:val="21"/>
                <w:u w:val="none" w:color="auto"/>
              </w:rPr>
              <w:t>其他符合性分析</w:t>
            </w:r>
          </w:p>
        </w:tc>
        <w:tc>
          <w:tcPr>
            <w:tcW w:w="7838" w:type="dxa"/>
            <w:gridSpan w:val="3"/>
            <w:vAlign w:val="center"/>
          </w:tcPr>
          <w:p w14:paraId="23E98AB6">
            <w:pPr>
              <w:adjustRightInd w:val="0"/>
              <w:snapToGrid w:val="0"/>
              <w:spacing w:line="360" w:lineRule="auto"/>
              <w:ind w:firstLine="482" w:firstLineChars="200"/>
              <w:jc w:val="left"/>
              <w:rPr>
                <w:rFonts w:hint="default"/>
                <w:b/>
                <w:bCs/>
                <w:color w:val="auto"/>
                <w:sz w:val="24"/>
                <w:u w:val="none" w:color="auto"/>
              </w:rPr>
            </w:pPr>
            <w:r>
              <w:rPr>
                <w:rFonts w:hint="eastAsia"/>
                <w:b/>
                <w:bCs/>
                <w:color w:val="auto"/>
                <w:sz w:val="24"/>
                <w:u w:val="none" w:color="auto"/>
              </w:rPr>
              <w:t>（1）产业政策相符性</w:t>
            </w:r>
          </w:p>
          <w:p w14:paraId="76CCD64B">
            <w:pPr>
              <w:topLinePunct/>
              <w:adjustRightInd w:val="0"/>
              <w:snapToGrid w:val="0"/>
              <w:spacing w:line="360" w:lineRule="auto"/>
              <w:ind w:firstLine="480" w:firstLineChars="200"/>
              <w:rPr>
                <w:color w:val="auto"/>
                <w:sz w:val="24"/>
                <w:u w:val="none" w:color="auto"/>
              </w:rPr>
            </w:pPr>
            <w:r>
              <w:rPr>
                <w:rFonts w:hint="eastAsia" w:ascii="Times New Roman" w:hAnsi="Times New Roman" w:eastAsia="宋体" w:cs="Times New Roman"/>
                <w:color w:val="auto"/>
                <w:kern w:val="0"/>
                <w:sz w:val="24"/>
                <w:u w:val="none" w:color="auto"/>
              </w:rPr>
              <w:t>建设项目</w:t>
            </w:r>
            <w:r>
              <w:rPr>
                <w:rFonts w:hint="eastAsia" w:cs="Times New Roman"/>
                <w:color w:val="auto"/>
                <w:kern w:val="0"/>
                <w:sz w:val="24"/>
                <w:u w:val="none" w:color="auto"/>
                <w:lang w:val="en-US" w:eastAsia="zh-CN"/>
              </w:rPr>
              <w:t>属于交通运输业和</w:t>
            </w:r>
            <w:r>
              <w:rPr>
                <w:rFonts w:hint="eastAsia" w:eastAsia="新宋体" w:cs="Times New Roman"/>
                <w:color w:val="auto"/>
                <w:kern w:val="0"/>
                <w:sz w:val="24"/>
                <w:szCs w:val="24"/>
                <w:u w:val="none" w:color="auto"/>
                <w:lang w:val="en-US" w:eastAsia="zh-CN"/>
              </w:rPr>
              <w:t>管道运输业</w:t>
            </w:r>
            <w:r>
              <w:rPr>
                <w:rFonts w:hint="eastAsia" w:ascii="Times New Roman" w:hAnsi="Times New Roman" w:eastAsia="宋体" w:cs="Times New Roman"/>
                <w:color w:val="auto"/>
                <w:kern w:val="0"/>
                <w:sz w:val="24"/>
                <w:u w:val="none" w:color="auto"/>
              </w:rPr>
              <w:t>，</w:t>
            </w:r>
            <w:r>
              <w:rPr>
                <w:rFonts w:hint="eastAsia" w:cs="Times New Roman"/>
                <w:color w:val="auto"/>
                <w:kern w:val="0"/>
                <w:sz w:val="24"/>
                <w:u w:val="none" w:color="auto"/>
                <w:lang w:val="en-US" w:eastAsia="zh-CN"/>
              </w:rPr>
              <w:t>为</w:t>
            </w:r>
            <w:r>
              <w:rPr>
                <w:rFonts w:hint="eastAsia" w:ascii="Times New Roman" w:hAnsi="Times New Roman" w:eastAsia="宋体" w:cs="宋体"/>
                <w:color w:val="auto"/>
                <w:sz w:val="24"/>
                <w:szCs w:val="21"/>
                <w:u w:val="none" w:color="auto"/>
                <w:lang w:val="en-US" w:eastAsia="zh-CN"/>
              </w:rPr>
              <w:t>团洲垸灾后重建安置房配套基础设施建设项目，</w:t>
            </w:r>
            <w:r>
              <w:rPr>
                <w:rFonts w:hint="eastAsia" w:ascii="Times New Roman" w:hAnsi="Times New Roman" w:eastAsia="宋体" w:cs="Times New Roman"/>
                <w:color w:val="auto"/>
                <w:kern w:val="0"/>
                <w:sz w:val="24"/>
                <w:u w:val="none" w:color="auto"/>
              </w:rPr>
              <w:t>根据《产业结构调整指导目录（20</w:t>
            </w:r>
            <w:r>
              <w:rPr>
                <w:rFonts w:hint="eastAsia" w:ascii="Times New Roman" w:hAnsi="Times New Roman" w:eastAsia="宋体" w:cs="Times New Roman"/>
                <w:color w:val="auto"/>
                <w:kern w:val="0"/>
                <w:sz w:val="24"/>
                <w:u w:val="none" w:color="auto"/>
                <w:lang w:val="en-US" w:eastAsia="zh-CN"/>
              </w:rPr>
              <w:t>24</w:t>
            </w:r>
            <w:r>
              <w:rPr>
                <w:rFonts w:hint="eastAsia" w:ascii="Times New Roman" w:hAnsi="Times New Roman" w:eastAsia="宋体" w:cs="Times New Roman"/>
                <w:color w:val="auto"/>
                <w:kern w:val="0"/>
                <w:sz w:val="24"/>
                <w:u w:val="none" w:color="auto"/>
              </w:rPr>
              <w:t>年本）》，项目</w:t>
            </w:r>
            <w:r>
              <w:rPr>
                <w:rFonts w:hint="eastAsia" w:ascii="Times New Roman" w:hAnsi="Times New Roman" w:eastAsia="宋体" w:cs="Times New Roman"/>
                <w:color w:val="auto"/>
                <w:kern w:val="0"/>
                <w:sz w:val="24"/>
                <w:u w:val="none" w:color="auto"/>
                <w:lang w:val="en-US" w:eastAsia="zh-CN"/>
              </w:rPr>
              <w:t>不</w:t>
            </w:r>
            <w:r>
              <w:rPr>
                <w:rFonts w:hint="eastAsia" w:ascii="Times New Roman" w:hAnsi="Times New Roman" w:eastAsia="宋体" w:cs="Times New Roman"/>
                <w:color w:val="auto"/>
                <w:kern w:val="0"/>
                <w:sz w:val="24"/>
                <w:u w:val="none" w:color="auto"/>
              </w:rPr>
              <w:t>属于“鼓励类”</w:t>
            </w:r>
            <w:r>
              <w:rPr>
                <w:rFonts w:hint="eastAsia" w:ascii="Times New Roman" w:hAnsi="Times New Roman" w:eastAsia="宋体" w:cs="Times New Roman"/>
                <w:color w:val="auto"/>
                <w:kern w:val="0"/>
                <w:sz w:val="24"/>
                <w:u w:val="none" w:color="auto"/>
                <w:lang w:eastAsia="zh-CN"/>
              </w:rPr>
              <w:t>“</w:t>
            </w:r>
            <w:r>
              <w:rPr>
                <w:rFonts w:hint="eastAsia" w:ascii="Times New Roman" w:hAnsi="Times New Roman" w:eastAsia="宋体" w:cs="Times New Roman"/>
                <w:color w:val="auto"/>
                <w:kern w:val="0"/>
                <w:sz w:val="24"/>
                <w:u w:val="none" w:color="auto"/>
                <w:lang w:val="en-US" w:eastAsia="zh-CN"/>
              </w:rPr>
              <w:t>淘汰类</w:t>
            </w:r>
            <w:r>
              <w:rPr>
                <w:rFonts w:hint="eastAsia" w:ascii="Times New Roman" w:hAnsi="Times New Roman" w:eastAsia="宋体" w:cs="Times New Roman"/>
                <w:color w:val="auto"/>
                <w:kern w:val="0"/>
                <w:sz w:val="24"/>
                <w:u w:val="none" w:color="auto"/>
                <w:lang w:eastAsia="zh-CN"/>
              </w:rPr>
              <w:t>”</w:t>
            </w:r>
            <w:r>
              <w:rPr>
                <w:rFonts w:hint="eastAsia" w:ascii="Times New Roman" w:hAnsi="Times New Roman" w:eastAsia="宋体" w:cs="Times New Roman"/>
                <w:color w:val="auto"/>
                <w:kern w:val="0"/>
                <w:sz w:val="24"/>
                <w:u w:val="none" w:color="auto"/>
                <w:lang w:val="en-US" w:eastAsia="zh-CN"/>
              </w:rPr>
              <w:t>以及“限制类”项目，属于允许类项目；项目不属于《市场准入负面清单（</w:t>
            </w:r>
            <w:r>
              <w:rPr>
                <w:rFonts w:hint="default" w:ascii="Times New Roman" w:hAnsi="Times New Roman" w:eastAsia="宋体" w:cs="Times New Roman"/>
                <w:color w:val="auto"/>
                <w:kern w:val="0"/>
                <w:sz w:val="24"/>
                <w:u w:val="none" w:color="auto"/>
                <w:lang w:val="en-US" w:eastAsia="zh-CN"/>
              </w:rPr>
              <w:t>2022</w:t>
            </w:r>
            <w:r>
              <w:rPr>
                <w:rFonts w:hint="eastAsia" w:ascii="Times New Roman" w:hAnsi="Times New Roman" w:eastAsia="宋体" w:cs="Times New Roman"/>
                <w:color w:val="auto"/>
                <w:kern w:val="0"/>
                <w:sz w:val="24"/>
                <w:u w:val="none" w:color="auto"/>
                <w:lang w:val="en-US" w:eastAsia="zh-CN"/>
              </w:rPr>
              <w:t>年版）》中的项目</w:t>
            </w:r>
            <w:r>
              <w:rPr>
                <w:rFonts w:hint="eastAsia" w:ascii="Times New Roman" w:hAnsi="Times New Roman" w:eastAsia="宋体" w:cs="Times New Roman"/>
                <w:color w:val="auto"/>
                <w:kern w:val="0"/>
                <w:sz w:val="24"/>
                <w:u w:val="none" w:color="auto"/>
              </w:rPr>
              <w:t>。因此，项目建设符合国家产业政策。</w:t>
            </w:r>
          </w:p>
          <w:p w14:paraId="3248CECA">
            <w:pPr>
              <w:adjustRightInd w:val="0"/>
              <w:snapToGrid w:val="0"/>
              <w:spacing w:line="360" w:lineRule="auto"/>
              <w:ind w:firstLine="482" w:firstLineChars="200"/>
              <w:jc w:val="left"/>
              <w:rPr>
                <w:b/>
                <w:bCs/>
                <w:color w:val="auto"/>
                <w:sz w:val="24"/>
                <w:u w:val="none" w:color="auto"/>
              </w:rPr>
            </w:pPr>
            <w:r>
              <w:rPr>
                <w:rFonts w:hint="eastAsia"/>
                <w:b/>
                <w:bCs/>
                <w:color w:val="auto"/>
                <w:sz w:val="24"/>
                <w:u w:val="none" w:color="auto"/>
              </w:rPr>
              <w:t>（2）规划及选址合理性分析</w:t>
            </w:r>
          </w:p>
          <w:p w14:paraId="0321C7F9">
            <w:pPr>
              <w:topLinePunct/>
              <w:adjustRightInd w:val="0"/>
              <w:snapToGrid w:val="0"/>
              <w:spacing w:line="360" w:lineRule="auto"/>
              <w:ind w:firstLine="480" w:firstLineChars="200"/>
              <w:rPr>
                <w:rFonts w:hint="default" w:ascii="Times New Roman" w:hAnsi="Times New Roman" w:eastAsia="宋体" w:cs="Times New Roman"/>
                <w:color w:val="auto"/>
                <w:kern w:val="0"/>
                <w:sz w:val="24"/>
                <w:u w:val="none" w:color="auto"/>
              </w:rPr>
            </w:pPr>
            <w:r>
              <w:rPr>
                <w:rFonts w:hint="default" w:ascii="Times New Roman" w:hAnsi="Times New Roman" w:eastAsia="宋体" w:cs="Times New Roman"/>
                <w:color w:val="auto"/>
                <w:kern w:val="0"/>
                <w:sz w:val="24"/>
                <w:u w:val="none" w:color="auto"/>
              </w:rPr>
              <w:t>本项目位于</w:t>
            </w:r>
            <w:r>
              <w:rPr>
                <w:rFonts w:hint="eastAsia" w:ascii="Times New Roman" w:hAnsi="Times New Roman" w:eastAsia="宋体" w:cs="Times New Roman"/>
                <w:color w:val="auto"/>
                <w:kern w:val="0"/>
                <w:sz w:val="24"/>
                <w:u w:val="none" w:color="auto"/>
                <w:lang w:val="en-US" w:eastAsia="zh-CN"/>
              </w:rPr>
              <w:t>项目建设地点位于</w:t>
            </w:r>
            <w:r>
              <w:rPr>
                <w:rFonts w:hint="eastAsia" w:ascii="Times New Roman" w:hAnsi="Times New Roman" w:eastAsia="宋体" w:cs="Times New Roman"/>
                <w:color w:val="auto"/>
                <w:sz w:val="24"/>
                <w:szCs w:val="21"/>
                <w:highlight w:val="none"/>
                <w:u w:val="none" w:color="auto"/>
                <w:lang w:val="en-US" w:eastAsia="zh-CN"/>
              </w:rPr>
              <w:t>华容县团洲乡</w:t>
            </w:r>
            <w:r>
              <w:rPr>
                <w:rFonts w:hint="default" w:ascii="Times New Roman" w:hAnsi="Times New Roman" w:eastAsia="宋体" w:cs="Times New Roman"/>
                <w:color w:val="auto"/>
                <w:sz w:val="24"/>
                <w:szCs w:val="21"/>
                <w:highlight w:val="none"/>
                <w:u w:val="none" w:color="auto"/>
                <w:lang w:val="en-US" w:eastAsia="zh-CN"/>
              </w:rPr>
              <w:t>团洲新村</w:t>
            </w:r>
            <w:r>
              <w:rPr>
                <w:rFonts w:hint="eastAsia" w:ascii="Times New Roman" w:hAnsi="Times New Roman" w:eastAsia="宋体" w:cs="Times New Roman"/>
                <w:color w:val="auto"/>
                <w:kern w:val="0"/>
                <w:sz w:val="24"/>
                <w:u w:val="none" w:color="auto"/>
                <w:lang w:val="en-US" w:eastAsia="zh-CN"/>
              </w:rPr>
              <w:t>，</w:t>
            </w:r>
            <w:r>
              <w:rPr>
                <w:rFonts w:hint="eastAsia" w:eastAsia="宋体" w:cs="Times New Roman"/>
                <w:color w:val="auto"/>
                <w:kern w:val="0"/>
                <w:sz w:val="24"/>
                <w:u w:val="none" w:color="auto"/>
                <w:lang w:val="en-US" w:eastAsia="zh-CN"/>
              </w:rPr>
              <w:t>项目已取得华容县自然资源局出具的《</w:t>
            </w:r>
            <w:r>
              <w:rPr>
                <w:rFonts w:hint="eastAsia" w:eastAsia="宋体" w:cs="Times New Roman"/>
                <w:color w:val="auto"/>
                <w:kern w:val="0"/>
                <w:sz w:val="24"/>
                <w:u w:val="none" w:color="auto"/>
                <w:lang w:val="en-US" w:eastAsia="zh-CN"/>
              </w:rPr>
              <w:t>建设项目用地预审与选址意见书</w:t>
            </w:r>
            <w:r>
              <w:rPr>
                <w:rFonts w:hint="eastAsia" w:eastAsia="宋体" w:cs="Times New Roman"/>
                <w:color w:val="auto"/>
                <w:kern w:val="0"/>
                <w:sz w:val="24"/>
                <w:u w:val="none" w:color="auto"/>
                <w:lang w:val="en-US" w:eastAsia="zh-CN"/>
              </w:rPr>
              <w:t>》</w:t>
            </w:r>
            <w:r>
              <w:rPr>
                <w:rFonts w:hint="eastAsia" w:cs="Times New Roman"/>
                <w:color w:val="auto"/>
                <w:kern w:val="0"/>
                <w:sz w:val="24"/>
                <w:u w:val="none" w:color="auto"/>
                <w:lang w:val="en-US" w:eastAsia="zh-CN"/>
              </w:rPr>
              <w:t>，</w:t>
            </w:r>
            <w:r>
              <w:rPr>
                <w:rFonts w:ascii="Times New Roman" w:hAnsi="Times New Roman" w:eastAsia="宋体" w:cs="Times New Roman"/>
                <w:color w:val="auto"/>
                <w:kern w:val="0"/>
                <w:sz w:val="24"/>
                <w:u w:val="none" w:color="auto"/>
              </w:rPr>
              <w:t>项目建设符合国土空间用途管制要</w:t>
            </w:r>
            <w:r>
              <w:rPr>
                <w:rFonts w:hint="eastAsia" w:ascii="Times New Roman" w:hAnsi="Times New Roman" w:eastAsia="宋体" w:cs="Times New Roman"/>
                <w:color w:val="auto"/>
                <w:kern w:val="0"/>
                <w:sz w:val="24"/>
                <w:u w:val="none" w:color="auto"/>
                <w:lang w:val="en-US" w:eastAsia="zh-CN"/>
              </w:rPr>
              <w:t>；该区域</w:t>
            </w:r>
            <w:r>
              <w:rPr>
                <w:rFonts w:hint="eastAsia" w:eastAsia="宋体" w:cs="Times New Roman"/>
                <w:color w:val="auto"/>
                <w:kern w:val="0"/>
                <w:sz w:val="24"/>
                <w:u w:val="none" w:color="auto"/>
                <w:lang w:val="en-US" w:eastAsia="zh-CN"/>
              </w:rPr>
              <w:t>位于</w:t>
            </w:r>
            <w:r>
              <w:rPr>
                <w:rFonts w:hint="eastAsia" w:ascii="Times New Roman" w:hAnsi="Times New Roman" w:eastAsia="宋体" w:cs="Times New Roman"/>
                <w:color w:val="auto"/>
                <w:kern w:val="0"/>
                <w:sz w:val="24"/>
                <w:u w:val="none" w:color="auto"/>
                <w:lang w:val="en-US" w:eastAsia="zh-CN"/>
              </w:rPr>
              <w:t>华容县团洲安全垸内，</w:t>
            </w:r>
            <w:r>
              <w:rPr>
                <w:rFonts w:hint="default" w:ascii="Times New Roman" w:hAnsi="Times New Roman" w:eastAsia="宋体" w:cs="Times New Roman"/>
                <w:color w:val="auto"/>
                <w:kern w:val="0"/>
                <w:sz w:val="24"/>
                <w:u w:val="none" w:color="auto"/>
              </w:rPr>
              <w:t>项目周边供电、供水、排水、交通道路等基础设施较完善，有利于本项目的建设和实施；</w:t>
            </w:r>
            <w:r>
              <w:rPr>
                <w:rFonts w:hint="eastAsia" w:ascii="Times New Roman" w:hAnsi="Times New Roman" w:eastAsia="宋体" w:cs="Times New Roman"/>
                <w:color w:val="auto"/>
                <w:kern w:val="0"/>
                <w:sz w:val="24"/>
                <w:u w:val="none" w:color="auto"/>
                <w:lang w:val="en-US" w:eastAsia="zh-CN"/>
              </w:rPr>
              <w:t>项目周边无大型工业企业、采矿企业，</w:t>
            </w:r>
            <w:r>
              <w:rPr>
                <w:rFonts w:hint="default" w:ascii="Times New Roman" w:hAnsi="Times New Roman" w:eastAsia="宋体" w:cs="Times New Roman"/>
                <w:color w:val="auto"/>
                <w:kern w:val="0"/>
                <w:sz w:val="24"/>
                <w:u w:val="none" w:color="auto"/>
              </w:rPr>
              <w:t>评价区域内环境空气质量、周围水体环境质量、声环境质量能满足相应功能区要求。因此，从项目区域场地条件、市政基础设施条件、环境可行性等方面综合分析，评价认为，项目选址是可行的。</w:t>
            </w:r>
          </w:p>
          <w:p w14:paraId="3897D67B">
            <w:pPr>
              <w:pStyle w:val="68"/>
              <w:ind w:firstLine="482"/>
              <w:rPr>
                <w:rFonts w:hint="default" w:ascii="Times New Roman" w:hAnsi="Times New Roman" w:cs="Times New Roman"/>
                <w:b/>
                <w:bCs/>
                <w:color w:val="auto"/>
                <w:u w:val="none" w:color="auto"/>
              </w:rPr>
            </w:pPr>
            <w:r>
              <w:rPr>
                <w:rFonts w:hint="eastAsia" w:cs="Times New Roman"/>
                <w:b/>
                <w:bCs/>
                <w:color w:val="auto"/>
                <w:u w:val="none" w:color="auto"/>
                <w:lang w:eastAsia="zh-CN"/>
              </w:rPr>
              <w:t>（</w:t>
            </w:r>
            <w:r>
              <w:rPr>
                <w:rFonts w:hint="eastAsia" w:cs="Times New Roman"/>
                <w:b/>
                <w:bCs/>
                <w:color w:val="auto"/>
                <w:u w:val="none" w:color="auto"/>
                <w:lang w:val="en-US" w:eastAsia="zh-CN"/>
              </w:rPr>
              <w:t>3</w:t>
            </w:r>
            <w:r>
              <w:rPr>
                <w:rFonts w:hint="eastAsia" w:cs="Times New Roman"/>
                <w:b/>
                <w:bCs/>
                <w:color w:val="auto"/>
                <w:u w:val="none" w:color="auto"/>
                <w:lang w:eastAsia="zh-CN"/>
              </w:rPr>
              <w:t>）</w:t>
            </w:r>
            <w:r>
              <w:rPr>
                <w:rFonts w:hint="default" w:ascii="Times New Roman" w:hAnsi="Times New Roman" w:cs="Times New Roman"/>
                <w:b/>
                <w:bCs/>
                <w:color w:val="auto"/>
                <w:u w:val="none" w:color="auto"/>
              </w:rPr>
              <w:t>与岳阳市生态环境分区管控基本要求（2023年版）符合性分析</w:t>
            </w:r>
          </w:p>
          <w:p w14:paraId="4A86A79C">
            <w:pPr>
              <w:pStyle w:val="68"/>
              <w:ind w:firstLine="480"/>
              <w:rPr>
                <w:rFonts w:hint="default" w:ascii="Times New Roman" w:hAnsi="Times New Roman" w:cs="Times New Roman"/>
                <w:color w:val="auto"/>
                <w:u w:val="none" w:color="auto"/>
              </w:rPr>
            </w:pPr>
            <w:r>
              <w:rPr>
                <w:rFonts w:hint="default" w:ascii="Times New Roman" w:hAnsi="Times New Roman" w:cs="Times New Roman"/>
                <w:bCs/>
                <w:color w:val="auto"/>
                <w:u w:val="none" w:color="auto"/>
              </w:rPr>
              <w:t>项目位于</w:t>
            </w:r>
            <w:r>
              <w:rPr>
                <w:rFonts w:hint="eastAsia" w:ascii="Times New Roman" w:hAnsi="Times New Roman" w:cs="Times New Roman"/>
                <w:bCs/>
                <w:color w:val="auto"/>
                <w:u w:val="none" w:color="auto"/>
                <w:lang w:val="en-US" w:eastAsia="zh-CN"/>
              </w:rPr>
              <w:t>华容县团洲乡，</w:t>
            </w:r>
            <w:r>
              <w:rPr>
                <w:rFonts w:hint="default" w:ascii="Times New Roman" w:hAnsi="Times New Roman" w:cs="Times New Roman"/>
                <w:bCs/>
                <w:color w:val="auto"/>
                <w:u w:val="none" w:color="auto"/>
              </w:rPr>
              <w:t>其所在区域属于：“优先保护单元”，环境管控单元编码为：ZH43062310002，本项目相关符合性情况</w:t>
            </w:r>
            <w:r>
              <w:rPr>
                <w:rFonts w:hint="default" w:ascii="Times New Roman" w:hAnsi="Times New Roman" w:cs="Times New Roman"/>
                <w:bCs/>
                <w:color w:val="auto"/>
                <w:u w:val="none" w:color="auto"/>
                <w:lang w:val="en-US" w:eastAsia="zh-CN"/>
              </w:rPr>
              <w:t>详</w:t>
            </w:r>
            <w:r>
              <w:rPr>
                <w:rFonts w:hint="default" w:ascii="Times New Roman" w:hAnsi="Times New Roman" w:cs="Times New Roman"/>
                <w:bCs/>
                <w:color w:val="auto"/>
                <w:u w:val="none" w:color="auto"/>
              </w:rPr>
              <w:t>见下表</w:t>
            </w:r>
            <w:r>
              <w:rPr>
                <w:rFonts w:hint="default" w:ascii="Times New Roman" w:hAnsi="Times New Roman" w:cs="Times New Roman"/>
                <w:color w:val="auto"/>
                <w:u w:val="none" w:color="auto"/>
              </w:rPr>
              <w:t>：</w:t>
            </w:r>
          </w:p>
          <w:p w14:paraId="5308AC55">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u w:val="none" w:color="auto"/>
              </w:rPr>
            </w:pPr>
            <w:r>
              <w:rPr>
                <w:rFonts w:hint="default" w:ascii="Times New Roman" w:hAnsi="Times New Roman" w:cs="Times New Roman"/>
                <w:color w:val="auto"/>
                <w:sz w:val="21"/>
                <w:szCs w:val="21"/>
                <w:u w:val="none" w:color="auto"/>
              </w:rPr>
              <w:t>表1-</w:t>
            </w:r>
            <w:r>
              <w:rPr>
                <w:rFonts w:hint="eastAsia" w:cs="Times New Roman"/>
                <w:color w:val="auto"/>
                <w:sz w:val="21"/>
                <w:szCs w:val="21"/>
                <w:u w:val="none" w:color="auto"/>
                <w:lang w:val="en-US" w:eastAsia="zh-CN"/>
              </w:rPr>
              <w:t>2</w:t>
            </w:r>
            <w:r>
              <w:rPr>
                <w:rFonts w:hint="default" w:ascii="Times New Roman" w:hAnsi="Times New Roman" w:cs="Times New Roman"/>
                <w:color w:val="auto"/>
                <w:sz w:val="21"/>
                <w:szCs w:val="21"/>
                <w:u w:val="none" w:color="auto"/>
                <w:lang w:val="en-US" w:eastAsia="zh-CN"/>
              </w:rPr>
              <w:t xml:space="preserve">  </w:t>
            </w:r>
            <w:r>
              <w:rPr>
                <w:rFonts w:hint="default" w:ascii="Times New Roman" w:hAnsi="Times New Roman" w:cs="Times New Roman"/>
                <w:color w:val="auto"/>
                <w:sz w:val="21"/>
                <w:szCs w:val="21"/>
                <w:u w:val="none" w:color="auto"/>
              </w:rPr>
              <w:t>项目所在地“三线一单”分区管控要求</w:t>
            </w:r>
          </w:p>
          <w:tbl>
            <w:tblPr>
              <w:tblStyle w:val="25"/>
              <w:tblW w:w="77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28" w:type="dxa"/>
                <w:left w:w="0" w:type="dxa"/>
                <w:bottom w:w="28" w:type="dxa"/>
                <w:right w:w="0" w:type="dxa"/>
              </w:tblCellMar>
            </w:tblPr>
            <w:tblGrid>
              <w:gridCol w:w="1240"/>
              <w:gridCol w:w="3375"/>
              <w:gridCol w:w="2349"/>
              <w:gridCol w:w="746"/>
            </w:tblGrid>
            <w:tr w14:paraId="3BB575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7588DDA7">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环境管控单元编码</w:t>
                  </w:r>
                </w:p>
              </w:tc>
              <w:tc>
                <w:tcPr>
                  <w:tcW w:w="2188" w:type="pct"/>
                  <w:tcBorders>
                    <w:tl2br w:val="nil"/>
                    <w:tr2bl w:val="nil"/>
                  </w:tcBorders>
                  <w:shd w:val="clear" w:color="auto" w:fill="auto"/>
                  <w:noWrap w:val="0"/>
                  <w:tcMar>
                    <w:left w:w="108" w:type="dxa"/>
                    <w:right w:w="108" w:type="dxa"/>
                  </w:tcMar>
                  <w:vAlign w:val="center"/>
                </w:tcPr>
                <w:p w14:paraId="3CA66A37">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单元名称</w:t>
                  </w:r>
                </w:p>
              </w:tc>
              <w:tc>
                <w:tcPr>
                  <w:tcW w:w="1523" w:type="pct"/>
                  <w:tcBorders>
                    <w:tl2br w:val="nil"/>
                    <w:tr2bl w:val="nil"/>
                  </w:tcBorders>
                  <w:shd w:val="clear" w:color="auto" w:fill="auto"/>
                  <w:noWrap w:val="0"/>
                  <w:tcMar>
                    <w:left w:w="108" w:type="dxa"/>
                    <w:right w:w="108" w:type="dxa"/>
                  </w:tcMar>
                  <w:vAlign w:val="center"/>
                </w:tcPr>
                <w:p w14:paraId="7A67317A">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单元分类</w:t>
                  </w:r>
                </w:p>
              </w:tc>
              <w:tc>
                <w:tcPr>
                  <w:tcW w:w="483" w:type="pct"/>
                  <w:tcBorders>
                    <w:tl2br w:val="nil"/>
                    <w:tr2bl w:val="nil"/>
                  </w:tcBorders>
                  <w:shd w:val="clear" w:color="auto" w:fill="auto"/>
                  <w:noWrap w:val="0"/>
                  <w:vAlign w:val="center"/>
                </w:tcPr>
                <w:p w14:paraId="44461213">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主体功能定位</w:t>
                  </w:r>
                </w:p>
              </w:tc>
            </w:tr>
            <w:tr w14:paraId="053F6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166FB253">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ZH43062310002</w:t>
                  </w:r>
                </w:p>
              </w:tc>
              <w:tc>
                <w:tcPr>
                  <w:tcW w:w="2188" w:type="pct"/>
                  <w:tcBorders>
                    <w:tl2br w:val="nil"/>
                    <w:tr2bl w:val="nil"/>
                  </w:tcBorders>
                  <w:shd w:val="clear" w:color="auto" w:fill="auto"/>
                  <w:noWrap w:val="0"/>
                  <w:tcMar>
                    <w:left w:w="108" w:type="dxa"/>
                    <w:right w:w="108" w:type="dxa"/>
                  </w:tcMar>
                  <w:vAlign w:val="center"/>
                </w:tcPr>
                <w:p w14:paraId="5D68DD5B">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插旗镇/ 团洲乡/ 禹山镇/ 注滋口镇</w:t>
                  </w:r>
                </w:p>
              </w:tc>
              <w:tc>
                <w:tcPr>
                  <w:tcW w:w="1523" w:type="pct"/>
                  <w:tcBorders>
                    <w:tl2br w:val="nil"/>
                    <w:tr2bl w:val="nil"/>
                  </w:tcBorders>
                  <w:shd w:val="clear" w:color="auto" w:fill="auto"/>
                  <w:noWrap w:val="0"/>
                  <w:tcMar>
                    <w:left w:w="108" w:type="dxa"/>
                    <w:right w:w="108" w:type="dxa"/>
                  </w:tcMar>
                  <w:vAlign w:val="center"/>
                </w:tcPr>
                <w:p w14:paraId="0A67E16B">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优先保护单元</w:t>
                  </w:r>
                </w:p>
              </w:tc>
              <w:tc>
                <w:tcPr>
                  <w:tcW w:w="483" w:type="pct"/>
                  <w:tcBorders>
                    <w:tl2br w:val="nil"/>
                    <w:tr2bl w:val="nil"/>
                  </w:tcBorders>
                  <w:shd w:val="clear" w:color="auto" w:fill="auto"/>
                  <w:noWrap w:val="0"/>
                  <w:vAlign w:val="center"/>
                </w:tcPr>
                <w:p w14:paraId="40CFE661">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农产品主产区</w:t>
                  </w:r>
                </w:p>
              </w:tc>
            </w:tr>
            <w:tr w14:paraId="422FC0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1F4E6E71">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u w:val="none" w:color="auto"/>
                      <w:lang w:val="en-US" w:eastAsia="zh-CN"/>
                    </w:rPr>
                    <w:t>经济产业布局</w:t>
                  </w:r>
                </w:p>
              </w:tc>
              <w:tc>
                <w:tcPr>
                  <w:tcW w:w="2188" w:type="pct"/>
                  <w:tcBorders>
                    <w:tl2br w:val="nil"/>
                    <w:tr2bl w:val="nil"/>
                  </w:tcBorders>
                  <w:shd w:val="clear" w:color="auto" w:fill="auto"/>
                  <w:noWrap w:val="0"/>
                  <w:tcMar>
                    <w:left w:w="108" w:type="dxa"/>
                    <w:right w:w="108" w:type="dxa"/>
                  </w:tcMar>
                  <w:vAlign w:val="center"/>
                </w:tcPr>
                <w:p w14:paraId="68360DB6">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u w:val="none" w:color="auto"/>
                      <w:lang w:val="en-US" w:eastAsia="zh-CN"/>
                    </w:rPr>
                    <w:t>重要敏感目标和主要环境问题</w:t>
                  </w:r>
                </w:p>
              </w:tc>
              <w:tc>
                <w:tcPr>
                  <w:tcW w:w="2007" w:type="pct"/>
                  <w:gridSpan w:val="2"/>
                  <w:tcBorders>
                    <w:tl2br w:val="nil"/>
                    <w:tr2bl w:val="nil"/>
                  </w:tcBorders>
                  <w:shd w:val="clear" w:color="auto" w:fill="auto"/>
                  <w:noWrap w:val="0"/>
                  <w:tcMar>
                    <w:left w:w="108" w:type="dxa"/>
                    <w:right w:w="108" w:type="dxa"/>
                  </w:tcMar>
                  <w:vAlign w:val="center"/>
                </w:tcPr>
                <w:p w14:paraId="63559331">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主要属性</w:t>
                  </w:r>
                </w:p>
              </w:tc>
            </w:tr>
            <w:tr w14:paraId="7F54E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2DFA6BEE">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农业种植、中药材种植、水产养殖、畜禽养殖、农副产品加工等其他食品加工业</w:t>
                  </w:r>
                </w:p>
              </w:tc>
              <w:tc>
                <w:tcPr>
                  <w:tcW w:w="2188" w:type="pct"/>
                  <w:tcBorders>
                    <w:tl2br w:val="nil"/>
                    <w:tr2bl w:val="nil"/>
                  </w:tcBorders>
                  <w:shd w:val="clear" w:color="auto" w:fill="auto"/>
                  <w:noWrap w:val="0"/>
                  <w:tcMar>
                    <w:left w:w="108" w:type="dxa"/>
                    <w:right w:w="108" w:type="dxa"/>
                  </w:tcMar>
                  <w:vAlign w:val="center"/>
                </w:tcPr>
                <w:p w14:paraId="0E855FC3">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团洲乡、注滋口镇：湖南东洞庭湖国家级自然保护区</w:t>
                  </w:r>
                </w:p>
                <w:p w14:paraId="2DFA6A7E">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p>
              </w:tc>
              <w:tc>
                <w:tcPr>
                  <w:tcW w:w="2007" w:type="pct"/>
                  <w:gridSpan w:val="2"/>
                  <w:tcBorders>
                    <w:tl2br w:val="nil"/>
                    <w:tr2bl w:val="nil"/>
                  </w:tcBorders>
                  <w:shd w:val="clear" w:color="auto" w:fill="auto"/>
                  <w:noWrap w:val="0"/>
                  <w:tcMar>
                    <w:left w:w="108" w:type="dxa"/>
                    <w:right w:w="108" w:type="dxa"/>
                  </w:tcMar>
                  <w:vAlign w:val="center"/>
                </w:tcPr>
                <w:p w14:paraId="2889FE59">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红线</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一般生态空间</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原生态红线</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自然保护区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生物多样性保护功能重要区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三区三线生态红线</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水源涵养重要区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水环境优先保护区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水产种质（国家级）</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东洞庭湖中国圆田螺国家级水产种质资源保护区、东洞庭湖鲤鲫黄颡国家级水产种质资源保护区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大气环境优先保护区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大气环境受体敏感重点管控区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湖南东洞庭湖国家级自然保护区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农用地优先保护区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建设用地重点管控区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一般管控区</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中高风险企业用地</w:t>
                  </w:r>
                  <w:r>
                    <w:rPr>
                      <w:rFonts w:hint="default" w:ascii="Times New Roman" w:hAnsi="Times New Roman" w:eastAsia="宋体" w:cs="Times New Roman"/>
                      <w:color w:val="auto"/>
                      <w:u w:val="none" w:color="auto"/>
                      <w:lang w:val="en-US" w:eastAsia="zh-CN"/>
                    </w:rPr>
                    <w:t>/</w:t>
                  </w:r>
                  <w:r>
                    <w:rPr>
                      <w:rFonts w:hint="eastAsia" w:ascii="Times New Roman" w:hAnsi="Times New Roman" w:eastAsia="宋体" w:cs="Times New Roman"/>
                      <w:color w:val="auto"/>
                      <w:u w:val="none" w:color="auto"/>
                      <w:lang w:val="en-US" w:eastAsia="zh-CN"/>
                    </w:rPr>
                    <w:t>农产品主产区</w:t>
                  </w:r>
                </w:p>
              </w:tc>
            </w:tr>
            <w:tr w14:paraId="122A0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0AB2A7B8">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管控维度</w:t>
                  </w:r>
                </w:p>
              </w:tc>
              <w:tc>
                <w:tcPr>
                  <w:tcW w:w="2188" w:type="pct"/>
                  <w:tcBorders>
                    <w:tl2br w:val="nil"/>
                    <w:tr2bl w:val="nil"/>
                  </w:tcBorders>
                  <w:shd w:val="clear" w:color="auto" w:fill="auto"/>
                  <w:noWrap w:val="0"/>
                  <w:tcMar>
                    <w:left w:w="108" w:type="dxa"/>
                    <w:right w:w="108" w:type="dxa"/>
                  </w:tcMar>
                  <w:vAlign w:val="center"/>
                </w:tcPr>
                <w:p w14:paraId="3C151890">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管控要求</w:t>
                  </w:r>
                </w:p>
              </w:tc>
              <w:tc>
                <w:tcPr>
                  <w:tcW w:w="1523" w:type="pct"/>
                  <w:tcBorders>
                    <w:tl2br w:val="nil"/>
                    <w:tr2bl w:val="nil"/>
                  </w:tcBorders>
                  <w:shd w:val="clear" w:color="auto" w:fill="auto"/>
                  <w:noWrap w:val="0"/>
                  <w:tcMar>
                    <w:left w:w="108" w:type="dxa"/>
                    <w:right w:w="108" w:type="dxa"/>
                  </w:tcMar>
                  <w:vAlign w:val="center"/>
                </w:tcPr>
                <w:p w14:paraId="57070374">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本项目情况</w:t>
                  </w:r>
                </w:p>
              </w:tc>
              <w:tc>
                <w:tcPr>
                  <w:tcW w:w="483" w:type="pct"/>
                  <w:tcBorders>
                    <w:tl2br w:val="nil"/>
                    <w:tr2bl w:val="nil"/>
                  </w:tcBorders>
                  <w:shd w:val="clear" w:color="auto" w:fill="auto"/>
                  <w:noWrap w:val="0"/>
                  <w:vAlign w:val="center"/>
                </w:tcPr>
                <w:p w14:paraId="460B3720">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符合性</w:t>
                  </w:r>
                </w:p>
              </w:tc>
            </w:tr>
            <w:tr w14:paraId="6C6AA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0239E15D">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空间布局约束</w:t>
                  </w:r>
                </w:p>
              </w:tc>
              <w:tc>
                <w:tcPr>
                  <w:tcW w:w="2188" w:type="pct"/>
                  <w:tcBorders>
                    <w:tl2br w:val="nil"/>
                    <w:tr2bl w:val="nil"/>
                  </w:tcBorders>
                  <w:shd w:val="clear" w:color="auto" w:fill="auto"/>
                  <w:noWrap w:val="0"/>
                  <w:tcMar>
                    <w:left w:w="108" w:type="dxa"/>
                    <w:right w:w="108" w:type="dxa"/>
                  </w:tcMar>
                  <w:vAlign w:val="center"/>
                </w:tcPr>
                <w:p w14:paraId="16C3D0C9">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（1.1）持续开展河湖岸线生态修护，认真实施“十年禁渔”，有效恢复水生生物多样性。禁止在天然水域（开放性湖泊和常水位面积1500亩及以上的水域）投肥投饵养殖等破坏水生态行为。</w:t>
                  </w:r>
                </w:p>
                <w:p w14:paraId="63269A84">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1.2）禁养区内畜禽养殖场立即关停退养，禁养区外沿江、河、湖、库、排（干）渠岸线500米内实施限养管理，禁止新增养殖场和扩大养殖规模，引导现有养殖场逐步退出；根据养殖规模配套粪污处理设施装备，坚决取缔一切外排粪污的养殖场（户）。</w:t>
                  </w:r>
                </w:p>
                <w:p w14:paraId="7588FCF0">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（1.3）严禁秸秆、垃圾露天焚烧。提高秸秆综合利用率，严格管控烟花爆竹运输、销售、燃放，及餐饮油烟、露天烧烤。</w:t>
                  </w:r>
                </w:p>
                <w:p w14:paraId="1CA344DA">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（1.4）加快建设完善城镇生活污水收集管网，更新修复混接、漏接、老旧破损管网，推进初期雨水污染控制；推进农村生活污水治理，强化农户生活污水分类处理处置，提高农村生活污水治理率。</w:t>
                  </w:r>
                </w:p>
                <w:p w14:paraId="07B29A1A">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（1.5）禁止在国、省考断面和饮用水水源保护区上游三公里、下游0.3公里范围内进行非法采砂。</w:t>
                  </w:r>
                </w:p>
                <w:p w14:paraId="2D347632">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1.6）禁止在自然保护区核心区、缓冲区开展旅游和其他生产经营活动，禁止建设任何生产设施，禁止引进、放生外来物种，缓冲区从事科学研究、教学实习标本采集活动等，应避免对保护区生态环境产生不利影响，及时清除活动产生废弃物。</w:t>
                  </w:r>
                </w:p>
              </w:tc>
              <w:tc>
                <w:tcPr>
                  <w:tcW w:w="1523" w:type="pct"/>
                  <w:tcBorders>
                    <w:tl2br w:val="nil"/>
                    <w:tr2bl w:val="nil"/>
                  </w:tcBorders>
                  <w:shd w:val="clear" w:color="auto" w:fill="auto"/>
                  <w:noWrap w:val="0"/>
                  <w:tcMar>
                    <w:left w:w="108" w:type="dxa"/>
                    <w:right w:w="108" w:type="dxa"/>
                  </w:tcMar>
                  <w:vAlign w:val="center"/>
                </w:tcPr>
                <w:p w14:paraId="4ACA4189">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rPr>
                    <w:t>本项目</w:t>
                  </w:r>
                  <w:r>
                    <w:rPr>
                      <w:rFonts w:hint="default" w:ascii="Times New Roman" w:hAnsi="Times New Roman" w:eastAsia="宋体" w:cs="Times New Roman"/>
                      <w:color w:val="auto"/>
                      <w:u w:val="none" w:color="auto"/>
                      <w:lang w:val="en-US" w:eastAsia="zh-CN"/>
                    </w:rPr>
                    <w:t>为</w:t>
                  </w:r>
                  <w:r>
                    <w:rPr>
                      <w:rFonts w:hint="eastAsia" w:ascii="Times New Roman" w:hAnsi="Times New Roman" w:eastAsia="宋体" w:cs="Times New Roman"/>
                      <w:color w:val="auto"/>
                      <w:u w:val="none" w:color="auto"/>
                      <w:lang w:val="en-US" w:eastAsia="zh-CN"/>
                    </w:rPr>
                    <w:t>团洲垸灾后重建安置房配套基础设施建设项目，</w:t>
                  </w:r>
                  <w:r>
                    <w:rPr>
                      <w:rFonts w:hint="default" w:ascii="Times New Roman" w:hAnsi="Times New Roman" w:eastAsia="宋体" w:cs="Times New Roman"/>
                      <w:color w:val="auto"/>
                      <w:u w:val="none" w:color="auto"/>
                      <w:lang w:val="en-US" w:eastAsia="zh-CN"/>
                    </w:rPr>
                    <w:t>属于民生</w:t>
                  </w:r>
                  <w:r>
                    <w:rPr>
                      <w:rFonts w:hint="default" w:ascii="Times New Roman" w:hAnsi="Times New Roman" w:eastAsia="宋体" w:cs="Times New Roman"/>
                      <w:color w:val="auto"/>
                      <w:u w:val="none" w:color="auto"/>
                    </w:rPr>
                    <w:t>工程</w:t>
                  </w:r>
                  <w:r>
                    <w:rPr>
                      <w:rFonts w:hint="default" w:ascii="Times New Roman" w:hAnsi="Times New Roman" w:eastAsia="宋体" w:cs="Times New Roman"/>
                      <w:color w:val="auto"/>
                      <w:u w:val="none" w:color="auto"/>
                      <w:lang w:val="en-US" w:eastAsia="zh-CN"/>
                    </w:rPr>
                    <w:t>，</w:t>
                  </w:r>
                  <w:r>
                    <w:rPr>
                      <w:rFonts w:hint="default" w:ascii="Times New Roman" w:hAnsi="Times New Roman" w:eastAsia="宋体" w:cs="Times New Roman"/>
                      <w:color w:val="auto"/>
                      <w:u w:val="none" w:color="auto"/>
                    </w:rPr>
                    <w:t>不涉及渔业、畜禽养殖、秸秆焚烧</w:t>
                  </w:r>
                  <w:r>
                    <w:rPr>
                      <w:rFonts w:hint="default" w:ascii="Times New Roman" w:hAnsi="Times New Roman" w:eastAsia="宋体" w:cs="Times New Roman"/>
                      <w:color w:val="auto"/>
                      <w:u w:val="none" w:color="auto"/>
                      <w:lang w:eastAsia="zh-CN"/>
                    </w:rPr>
                    <w:t>、</w:t>
                  </w:r>
                  <w:r>
                    <w:rPr>
                      <w:rFonts w:hint="default" w:ascii="Times New Roman" w:hAnsi="Times New Roman" w:eastAsia="宋体" w:cs="Times New Roman"/>
                      <w:color w:val="auto"/>
                      <w:u w:val="none" w:color="auto"/>
                      <w:lang w:val="en-US" w:eastAsia="zh-CN"/>
                    </w:rPr>
                    <w:t>采砂、污水处理</w:t>
                  </w:r>
                  <w:r>
                    <w:rPr>
                      <w:rFonts w:hint="default" w:ascii="Times New Roman" w:hAnsi="Times New Roman" w:eastAsia="宋体" w:cs="Times New Roman"/>
                      <w:color w:val="auto"/>
                      <w:u w:val="none" w:color="auto"/>
                    </w:rPr>
                    <w:t>等行业</w:t>
                  </w:r>
                  <w:r>
                    <w:rPr>
                      <w:rFonts w:hint="default" w:ascii="Times New Roman" w:hAnsi="Times New Roman" w:eastAsia="宋体" w:cs="Times New Roman"/>
                      <w:color w:val="auto"/>
                      <w:u w:val="none" w:color="auto"/>
                      <w:lang w:eastAsia="zh-CN"/>
                    </w:rPr>
                    <w:t>；</w:t>
                  </w:r>
                  <w:r>
                    <w:rPr>
                      <w:rFonts w:hint="default" w:ascii="Times New Roman" w:hAnsi="Times New Roman" w:eastAsia="宋体" w:cs="Times New Roman"/>
                      <w:color w:val="auto"/>
                      <w:u w:val="none" w:color="auto"/>
                      <w:lang w:val="en-US" w:eastAsia="zh-CN"/>
                    </w:rPr>
                    <w:t>项目位于</w:t>
                  </w:r>
                  <w:r>
                    <w:rPr>
                      <w:rFonts w:hint="eastAsia" w:ascii="Times New Roman" w:hAnsi="Times New Roman" w:eastAsia="宋体" w:cs="Times New Roman"/>
                      <w:color w:val="auto"/>
                      <w:u w:val="none" w:color="auto"/>
                      <w:lang w:val="en-US" w:eastAsia="zh-CN"/>
                    </w:rPr>
                    <w:t>团洲乡</w:t>
                  </w:r>
                  <w:r>
                    <w:rPr>
                      <w:rFonts w:hint="default" w:ascii="Times New Roman" w:hAnsi="Times New Roman" w:eastAsia="宋体" w:cs="Times New Roman"/>
                      <w:color w:val="auto"/>
                      <w:u w:val="none" w:color="auto"/>
                      <w:lang w:val="en-US" w:eastAsia="zh-CN"/>
                    </w:rPr>
                    <w:t>镇域范围内（</w:t>
                  </w:r>
                  <w:r>
                    <w:rPr>
                      <w:rFonts w:hint="eastAsia" w:ascii="Times New Roman" w:hAnsi="Times New Roman" w:eastAsia="宋体" w:cs="Times New Roman"/>
                      <w:color w:val="auto"/>
                      <w:u w:val="none" w:color="auto"/>
                      <w:lang w:val="en-US" w:eastAsia="zh-CN"/>
                    </w:rPr>
                    <w:t>位</w:t>
                  </w:r>
                  <w:r>
                    <w:rPr>
                      <w:rFonts w:hint="eastAsia" w:cs="Times New Roman"/>
                      <w:color w:val="auto"/>
                      <w:u w:val="none" w:color="auto"/>
                      <w:lang w:val="en-US" w:eastAsia="zh-CN"/>
                    </w:rPr>
                    <w:t>于</w:t>
                  </w:r>
                  <w:r>
                    <w:rPr>
                      <w:rFonts w:hint="default" w:ascii="Times New Roman" w:hAnsi="Times New Roman" w:cs="Times New Roman"/>
                      <w:color w:val="auto"/>
                      <w:u w:val="none" w:color="auto"/>
                      <w:lang w:val="en-US" w:eastAsia="zh-CN"/>
                    </w:rPr>
                    <w:t>湖南</w:t>
                  </w:r>
                  <w:r>
                    <w:rPr>
                      <w:rFonts w:hint="eastAsia" w:cs="Times New Roman"/>
                      <w:color w:val="auto"/>
                      <w:u w:val="none" w:color="auto"/>
                      <w:lang w:val="en-US" w:eastAsia="zh-CN"/>
                    </w:rPr>
                    <w:t>东洞庭湖国家级自然保护实验区范围内</w:t>
                  </w:r>
                  <w:r>
                    <w:rPr>
                      <w:rFonts w:hint="default" w:ascii="Times New Roman" w:hAnsi="Times New Roman" w:cs="Times New Roman"/>
                      <w:color w:val="auto"/>
                      <w:u w:val="none" w:color="auto"/>
                      <w:lang w:val="en-US" w:eastAsia="zh-CN"/>
                    </w:rPr>
                    <w:t>），不属于自然保护区核心区、缓冲区</w:t>
                  </w:r>
                </w:p>
              </w:tc>
              <w:tc>
                <w:tcPr>
                  <w:tcW w:w="483" w:type="pct"/>
                  <w:tcBorders>
                    <w:tl2br w:val="nil"/>
                    <w:tr2bl w:val="nil"/>
                  </w:tcBorders>
                  <w:shd w:val="clear" w:color="auto" w:fill="auto"/>
                  <w:noWrap w:val="0"/>
                  <w:vAlign w:val="center"/>
                </w:tcPr>
                <w:p w14:paraId="5364C516">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符合</w:t>
                  </w:r>
                </w:p>
              </w:tc>
            </w:tr>
            <w:tr w14:paraId="04B97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4EB3251C">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污染物排放管控</w:t>
                  </w:r>
                </w:p>
              </w:tc>
              <w:tc>
                <w:tcPr>
                  <w:tcW w:w="2188" w:type="pct"/>
                  <w:tcBorders>
                    <w:tl2br w:val="nil"/>
                    <w:tr2bl w:val="nil"/>
                  </w:tcBorders>
                  <w:shd w:val="clear" w:color="auto" w:fill="auto"/>
                  <w:noWrap w:val="0"/>
                  <w:tcMar>
                    <w:left w:w="108" w:type="dxa"/>
                    <w:right w:w="108" w:type="dxa"/>
                  </w:tcMar>
                  <w:vAlign w:val="center"/>
                </w:tcPr>
                <w:p w14:paraId="5CE44948">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（2.1）废气：强化建筑施工、道路及裸土扬尘污染治理，有效防尘降尘；严禁秸秆、垃圾露天焚烧，推进餐饮油烟污染治理，深化餐饮油烟专项整治。</w:t>
                  </w:r>
                </w:p>
                <w:p w14:paraId="26E84CCF">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（2.2）废水：</w:t>
                  </w:r>
                </w:p>
                <w:p w14:paraId="6DA3497E">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2.2.1）加快建设完善城镇生活污水收集管网，更新修复老旧破损管网；推进农村生活污水治理，推进农村户用厕所建设和改造，强化农户生活污水分类处理处置；加速城乡黑臭水体整治，2025年底基本消除农村较大面积黑臭水体。</w:t>
                  </w:r>
                </w:p>
                <w:p w14:paraId="1D80C84D">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2.2.2）按水功能区划和水体纳污能力及洞庭湖总磷控制和削减要求，从严控制新增入河（湖）排污口的数量，严格落实总磷等重点污染物特别排放限值和总量指标。落实水质管控要求，外排废水特别是枯水期外排水质总磷浓度必须达标排放。</w:t>
                  </w:r>
                </w:p>
                <w:p w14:paraId="630FFE7B">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（2.3）固体废物：完善城乡一体化垃圾收集转运和处置体系建设，强化提升运维水平；以乡镇为单元统筹推进农村生活垃圾分类收集，加快推进农村生活垃圾源头分类减量，减少来及出村量。</w:t>
                  </w:r>
                </w:p>
                <w:p w14:paraId="70EBC368">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2.4）畜禽养殖：畜禽养殖场（专业户）按养殖规模配套建设相应粪便污水贮存、处理、利用设施，杜绝外排粪污。全面推动畜禽养殖废弃物资源化利用。推进水产养殖尾水治理和综合利用，加强水产养殖尾水监测，规范工厂化水产养殖尾水排污口设置。</w:t>
                  </w:r>
                </w:p>
                <w:p w14:paraId="138B2907">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（2.5）农业面源：深入推进化肥农药减量增效，依法落实化肥使用总量控制，科学用药提高农药利用率。</w:t>
                  </w:r>
                </w:p>
              </w:tc>
              <w:tc>
                <w:tcPr>
                  <w:tcW w:w="1523" w:type="pct"/>
                  <w:tcBorders>
                    <w:tl2br w:val="nil"/>
                    <w:tr2bl w:val="nil"/>
                  </w:tcBorders>
                  <w:shd w:val="clear" w:color="auto" w:fill="auto"/>
                  <w:noWrap w:val="0"/>
                  <w:tcMar>
                    <w:left w:w="108" w:type="dxa"/>
                    <w:right w:w="108" w:type="dxa"/>
                  </w:tcMar>
                  <w:vAlign w:val="center"/>
                </w:tcPr>
                <w:p w14:paraId="629AEF54">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cs="Times New Roman"/>
                      <w:color w:val="auto"/>
                      <w:u w:val="none" w:color="auto"/>
                    </w:rPr>
                    <w:t>2.1本次评价要求建设单位严格落实本次环评提出各项环保措施</w:t>
                  </w:r>
                  <w:r>
                    <w:rPr>
                      <w:rFonts w:hint="default" w:ascii="Times New Roman" w:hAnsi="Times New Roman" w:cs="Times New Roman"/>
                      <w:color w:val="auto"/>
                      <w:u w:val="none" w:color="auto"/>
                      <w:lang w:eastAsia="zh-CN"/>
                    </w:rPr>
                    <w:t>，</w:t>
                  </w:r>
                  <w:r>
                    <w:rPr>
                      <w:rFonts w:hint="default" w:ascii="Times New Roman" w:hAnsi="Times New Roman" w:cs="Times New Roman"/>
                      <w:color w:val="auto"/>
                      <w:u w:val="none" w:color="auto"/>
                      <w:lang w:val="en-US" w:eastAsia="zh-CN"/>
                    </w:rPr>
                    <w:t>项目的建设不会对周边大气环境造成大的影响。</w:t>
                  </w:r>
                </w:p>
                <w:p w14:paraId="6AD017C7">
                  <w:pPr>
                    <w:pStyle w:val="70"/>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color w:val="auto"/>
                      <w:szCs w:val="21"/>
                      <w:u w:val="none" w:color="auto"/>
                      <w:lang w:eastAsia="zh-CN"/>
                    </w:rPr>
                  </w:pPr>
                  <w:r>
                    <w:rPr>
                      <w:rFonts w:hint="default" w:ascii="Times New Roman" w:hAnsi="Times New Roman" w:cs="Times New Roman"/>
                      <w:color w:val="auto"/>
                      <w:u w:val="none" w:color="auto"/>
                    </w:rPr>
                    <w:t>2.</w:t>
                  </w:r>
                  <w:r>
                    <w:rPr>
                      <w:rFonts w:hint="default" w:ascii="Times New Roman" w:hAnsi="Times New Roman" w:cs="Times New Roman"/>
                      <w:color w:val="auto"/>
                      <w:highlight w:val="none"/>
                      <w:u w:val="none" w:color="auto"/>
                    </w:rPr>
                    <w:t>2</w:t>
                  </w:r>
                  <w:r>
                    <w:rPr>
                      <w:rFonts w:hint="eastAsia" w:cs="Times New Roman"/>
                      <w:color w:val="auto"/>
                      <w:highlight w:val="none"/>
                      <w:u w:val="none" w:color="auto"/>
                      <w:lang w:val="en-US" w:eastAsia="zh-CN"/>
                    </w:rPr>
                    <w:t>本</w:t>
                  </w:r>
                  <w:r>
                    <w:rPr>
                      <w:rFonts w:hint="default" w:ascii="Times New Roman" w:hAnsi="Times New Roman" w:cs="Times New Roman"/>
                      <w:color w:val="auto"/>
                      <w:highlight w:val="none"/>
                      <w:u w:val="none" w:color="auto"/>
                    </w:rPr>
                    <w:t>项目</w:t>
                  </w:r>
                  <w:r>
                    <w:rPr>
                      <w:rFonts w:hint="eastAsia" w:cs="Times New Roman"/>
                      <w:color w:val="auto"/>
                      <w:highlight w:val="none"/>
                      <w:u w:val="none" w:color="auto"/>
                      <w:lang w:val="en-US" w:eastAsia="zh-CN"/>
                    </w:rPr>
                    <w:t>主要是</w:t>
                  </w:r>
                  <w:r>
                    <w:rPr>
                      <w:rFonts w:hint="default" w:ascii="Times New Roman" w:hAnsi="Times New Roman" w:cs="Times New Roman"/>
                      <w:color w:val="auto"/>
                      <w:szCs w:val="21"/>
                      <w:u w:val="none" w:color="auto"/>
                    </w:rPr>
                    <w:t>加快建设完善城镇生活污水收集管网，更新修复老旧破损管网</w:t>
                  </w:r>
                  <w:r>
                    <w:rPr>
                      <w:rFonts w:hint="eastAsia" w:ascii="Times New Roman" w:hAnsi="Times New Roman" w:cs="Times New Roman"/>
                      <w:color w:val="auto"/>
                      <w:szCs w:val="21"/>
                      <w:u w:val="none" w:color="auto"/>
                      <w:lang w:eastAsia="zh-CN"/>
                    </w:rPr>
                    <w:t>。</w:t>
                  </w:r>
                </w:p>
                <w:p w14:paraId="4F351B92">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2.3本项目施工期生活垃圾分类收集后委托环卫部门处置</w:t>
                  </w:r>
                </w:p>
                <w:p w14:paraId="3EDC7809">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2.4不涉及</w:t>
                  </w:r>
                </w:p>
                <w:p w14:paraId="7491C059">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2.5不涉及</w:t>
                  </w:r>
                </w:p>
              </w:tc>
              <w:tc>
                <w:tcPr>
                  <w:tcW w:w="483" w:type="pct"/>
                  <w:tcBorders>
                    <w:tl2br w:val="nil"/>
                    <w:tr2bl w:val="nil"/>
                  </w:tcBorders>
                  <w:shd w:val="clear" w:color="auto" w:fill="auto"/>
                  <w:noWrap w:val="0"/>
                  <w:vAlign w:val="center"/>
                </w:tcPr>
                <w:p w14:paraId="750BCD9F">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cs="Times New Roman"/>
                      <w:color w:val="auto"/>
                      <w:u w:val="none" w:color="auto"/>
                      <w:lang w:val="en-US" w:eastAsia="zh-CN"/>
                    </w:rPr>
                    <w:t>符合</w:t>
                  </w:r>
                </w:p>
              </w:tc>
            </w:tr>
            <w:tr w14:paraId="46FC1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14:paraId="12170E95">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环境风险防控</w:t>
                  </w:r>
                </w:p>
              </w:tc>
              <w:tc>
                <w:tcPr>
                  <w:tcW w:w="2188" w:type="pct"/>
                  <w:tcBorders>
                    <w:tl2br w:val="nil"/>
                    <w:tr2bl w:val="nil"/>
                  </w:tcBorders>
                  <w:shd w:val="clear" w:color="auto" w:fill="auto"/>
                  <w:noWrap w:val="0"/>
                  <w:tcMar>
                    <w:left w:w="108" w:type="dxa"/>
                    <w:right w:w="108" w:type="dxa"/>
                  </w:tcMar>
                  <w:vAlign w:val="center"/>
                </w:tcPr>
                <w:p w14:paraId="51A0BAB8">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（3.1）加强在产企业土壤和地下水污染源头管控，加强地下水环境监测监管能力，推进地下水污染预防、风险管控与修复试点，加强地下水型饮用水水源安全保障。</w:t>
                  </w:r>
                </w:p>
                <w:p w14:paraId="5EE4AC06">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（3.2）加强枯水期饮用水安全保障，保障农村集中式和分散供水用水，加密饮用水水源水质监测频次，监控水质变化，防止水污染事件。</w:t>
                  </w:r>
                </w:p>
                <w:p w14:paraId="3EBB9043">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u w:val="none" w:color="auto"/>
                    </w:rPr>
                  </w:pPr>
                  <w:r>
                    <w:rPr>
                      <w:rFonts w:hint="default" w:ascii="Times New Roman" w:hAnsi="Times New Roman" w:cs="Times New Roman"/>
                      <w:color w:val="auto"/>
                      <w:szCs w:val="21"/>
                      <w:u w:val="none" w:color="auto"/>
                    </w:rPr>
                    <w:t>（3.3）严格分类管理受污染耕地，确保受污染耕地安全利用率。</w:t>
                  </w:r>
                </w:p>
              </w:tc>
              <w:tc>
                <w:tcPr>
                  <w:tcW w:w="1523" w:type="pct"/>
                  <w:tcBorders>
                    <w:tl2br w:val="nil"/>
                    <w:tr2bl w:val="nil"/>
                  </w:tcBorders>
                  <w:shd w:val="clear" w:color="auto" w:fill="auto"/>
                  <w:noWrap w:val="0"/>
                  <w:tcMar>
                    <w:left w:w="108" w:type="dxa"/>
                    <w:right w:w="108" w:type="dxa"/>
                  </w:tcMar>
                  <w:vAlign w:val="center"/>
                </w:tcPr>
                <w:p w14:paraId="3BFBA946">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lang w:val="en-US" w:eastAsia="zh-CN"/>
                    </w:rPr>
                    <w:t>3.1</w:t>
                  </w:r>
                  <w:r>
                    <w:rPr>
                      <w:rFonts w:hint="default" w:ascii="Times New Roman" w:hAnsi="Times New Roman" w:cs="Times New Roman"/>
                      <w:color w:val="auto"/>
                      <w:highlight w:val="none"/>
                      <w:u w:val="none" w:color="auto"/>
                    </w:rPr>
                    <w:t>本项目</w:t>
                  </w:r>
                  <w:r>
                    <w:rPr>
                      <w:rFonts w:hint="default" w:ascii="Times New Roman" w:hAnsi="Times New Roman" w:cs="Times New Roman"/>
                      <w:color w:val="auto"/>
                      <w:highlight w:val="none"/>
                      <w:u w:val="none" w:color="auto"/>
                      <w:lang w:val="en-US" w:eastAsia="zh-CN"/>
                    </w:rPr>
                    <w:t>为</w:t>
                  </w:r>
                  <w:r>
                    <w:rPr>
                      <w:rFonts w:hint="eastAsia" w:ascii="Times New Roman" w:hAnsi="Times New Roman" w:eastAsia="宋体" w:cs="Times New Roman"/>
                      <w:color w:val="auto"/>
                      <w:u w:val="none" w:color="auto"/>
                      <w:lang w:val="en-US" w:eastAsia="zh-CN"/>
                    </w:rPr>
                    <w:t>团洲垸灾后重建安置房配套基础设施建设项目</w:t>
                  </w:r>
                  <w:r>
                    <w:rPr>
                      <w:rFonts w:hint="default" w:ascii="Times New Roman" w:hAnsi="Times New Roman" w:cs="Times New Roman"/>
                      <w:color w:val="auto"/>
                      <w:highlight w:val="none"/>
                      <w:u w:val="none" w:color="auto"/>
                      <w:lang w:val="en-US" w:eastAsia="zh-CN"/>
                    </w:rPr>
                    <w:t>，不属于工业项目，不涉及土壤和地下水污染存在；项目</w:t>
                  </w:r>
                  <w:r>
                    <w:rPr>
                      <w:rFonts w:hint="eastAsia" w:cs="Times New Roman"/>
                      <w:color w:val="auto"/>
                      <w:highlight w:val="none"/>
                      <w:u w:val="none" w:color="auto"/>
                      <w:lang w:val="en-US" w:eastAsia="zh-CN"/>
                    </w:rPr>
                    <w:t>不</w:t>
                  </w:r>
                  <w:r>
                    <w:rPr>
                      <w:rFonts w:hint="default" w:ascii="Times New Roman" w:hAnsi="Times New Roman" w:cs="Times New Roman"/>
                      <w:color w:val="auto"/>
                      <w:highlight w:val="none"/>
                      <w:u w:val="none" w:color="auto"/>
                      <w:lang w:val="en-US" w:eastAsia="zh-CN"/>
                    </w:rPr>
                    <w:t>涉及地下取水</w:t>
                  </w:r>
                  <w:r>
                    <w:rPr>
                      <w:rFonts w:hint="default" w:ascii="Times New Roman" w:hAnsi="Times New Roman" w:cs="Times New Roman"/>
                      <w:color w:val="auto"/>
                      <w:szCs w:val="21"/>
                      <w:highlight w:val="none"/>
                      <w:u w:val="none" w:color="auto"/>
                      <w:lang w:eastAsia="zh-CN"/>
                    </w:rPr>
                    <w:t>。</w:t>
                  </w:r>
                </w:p>
                <w:p w14:paraId="0FADCB83">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3.2</w:t>
                  </w:r>
                  <w:r>
                    <w:rPr>
                      <w:rFonts w:hint="eastAsia" w:cs="Times New Roman"/>
                      <w:color w:val="auto"/>
                      <w:highlight w:val="none"/>
                      <w:u w:val="none" w:color="auto"/>
                      <w:lang w:val="en-US" w:eastAsia="zh-CN"/>
                    </w:rPr>
                    <w:t>不涉及</w:t>
                  </w:r>
                  <w:r>
                    <w:rPr>
                      <w:rFonts w:hint="default" w:ascii="Times New Roman" w:hAnsi="Times New Roman" w:cs="Times New Roman"/>
                      <w:color w:val="auto"/>
                      <w:szCs w:val="21"/>
                      <w:highlight w:val="none"/>
                      <w:u w:val="none" w:color="auto"/>
                      <w:lang w:eastAsia="zh-CN"/>
                    </w:rPr>
                    <w:t>。</w:t>
                  </w:r>
                </w:p>
                <w:p w14:paraId="0CAB9457">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cs="Times New Roman"/>
                      <w:color w:val="auto"/>
                      <w:u w:val="none" w:color="auto"/>
                      <w:lang w:val="en-US" w:eastAsia="zh-CN"/>
                    </w:rPr>
                    <w:t>3.3</w:t>
                  </w:r>
                  <w:r>
                    <w:rPr>
                      <w:rFonts w:hint="eastAsia" w:cs="Times New Roman"/>
                      <w:color w:val="auto"/>
                      <w:u w:val="none" w:color="auto"/>
                      <w:lang w:val="en-US" w:eastAsia="zh-CN"/>
                    </w:rPr>
                    <w:t>不涉及</w:t>
                  </w:r>
                  <w:r>
                    <w:rPr>
                      <w:rFonts w:hint="default" w:ascii="Times New Roman" w:hAnsi="Times New Roman" w:cs="Times New Roman"/>
                      <w:color w:val="auto"/>
                      <w:u w:val="none" w:color="auto"/>
                      <w:lang w:val="en-US" w:eastAsia="zh-CN"/>
                    </w:rPr>
                    <w:t>。</w:t>
                  </w:r>
                </w:p>
              </w:tc>
              <w:tc>
                <w:tcPr>
                  <w:tcW w:w="483" w:type="pct"/>
                  <w:tcBorders>
                    <w:tl2br w:val="nil"/>
                    <w:tr2bl w:val="nil"/>
                  </w:tcBorders>
                  <w:shd w:val="clear" w:color="auto" w:fill="auto"/>
                  <w:noWrap w:val="0"/>
                  <w:vAlign w:val="center"/>
                </w:tcPr>
                <w:p w14:paraId="5F32C8A7">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符合</w:t>
                  </w:r>
                </w:p>
              </w:tc>
            </w:tr>
            <w:tr w14:paraId="407B3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4051" w:hRule="atLeast"/>
                <w:jc w:val="center"/>
              </w:trPr>
              <w:tc>
                <w:tcPr>
                  <w:tcW w:w="804" w:type="pct"/>
                  <w:tcBorders>
                    <w:tl2br w:val="nil"/>
                    <w:tr2bl w:val="nil"/>
                  </w:tcBorders>
                  <w:shd w:val="clear" w:color="auto" w:fill="auto"/>
                  <w:noWrap w:val="0"/>
                  <w:tcMar>
                    <w:left w:w="108" w:type="dxa"/>
                    <w:right w:w="108" w:type="dxa"/>
                  </w:tcMar>
                  <w:vAlign w:val="center"/>
                </w:tcPr>
                <w:p w14:paraId="0159D355">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kern w:val="0"/>
                      <w:szCs w:val="21"/>
                      <w:u w:val="none" w:color="auto"/>
                    </w:rPr>
                    <w:t>资源开发效率要求</w:t>
                  </w:r>
                </w:p>
              </w:tc>
              <w:tc>
                <w:tcPr>
                  <w:tcW w:w="2188" w:type="pct"/>
                  <w:tcBorders>
                    <w:tl2br w:val="nil"/>
                    <w:tr2bl w:val="nil"/>
                  </w:tcBorders>
                  <w:shd w:val="clear" w:color="auto" w:fill="auto"/>
                  <w:noWrap w:val="0"/>
                  <w:tcMar>
                    <w:left w:w="108" w:type="dxa"/>
                    <w:right w:w="108" w:type="dxa"/>
                  </w:tcMar>
                  <w:vAlign w:val="center"/>
                </w:tcPr>
                <w:p w14:paraId="31BC107C">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（4.1）水资源：2025年华容县用水总量4.10亿立方米，万元地区生产总值用水量比2020年下降16.31%，万元工业增加值用水量比2020年下降17.67%，农田灌溉水有效利用系数0.555。</w:t>
                  </w:r>
                </w:p>
                <w:p w14:paraId="38AF2044">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（4.2）能源：华容县“十四五”时期能耗强度降低基本目标16%，激励目标16.5%。</w:t>
                  </w:r>
                </w:p>
                <w:p w14:paraId="4C337E91">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（4.3）土地资源：</w:t>
                  </w:r>
                </w:p>
                <w:p w14:paraId="59B55C65">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插旗镇：耕地保有量3337.17公顷，基本农田保护面积2904.79公顷，生态保护红线面积172.75公顷，城镇开发边界规模83.80公顷，村庄建设用地510.05公顷。</w:t>
                  </w:r>
                </w:p>
              </w:tc>
              <w:tc>
                <w:tcPr>
                  <w:tcW w:w="1523" w:type="pct"/>
                  <w:tcBorders>
                    <w:tl2br w:val="nil"/>
                    <w:tr2bl w:val="nil"/>
                  </w:tcBorders>
                  <w:shd w:val="clear" w:color="auto" w:fill="auto"/>
                  <w:noWrap w:val="0"/>
                  <w:tcMar>
                    <w:left w:w="108" w:type="dxa"/>
                    <w:right w:w="108" w:type="dxa"/>
                  </w:tcMar>
                  <w:vAlign w:val="center"/>
                </w:tcPr>
                <w:p w14:paraId="6F935163">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4.1本项目属于</w:t>
                  </w:r>
                  <w:r>
                    <w:rPr>
                      <w:rFonts w:hint="eastAsia" w:cs="Times New Roman"/>
                      <w:color w:val="auto"/>
                      <w:u w:val="none" w:color="auto"/>
                      <w:lang w:val="en-US" w:eastAsia="zh-CN"/>
                    </w:rPr>
                    <w:t>民生</w:t>
                  </w:r>
                  <w:r>
                    <w:rPr>
                      <w:rFonts w:hint="default" w:ascii="Times New Roman" w:hAnsi="Times New Roman" w:cs="Times New Roman"/>
                      <w:color w:val="auto"/>
                      <w:u w:val="none" w:color="auto"/>
                      <w:lang w:val="en-US" w:eastAsia="zh-CN"/>
                    </w:rPr>
                    <w:t>工程</w:t>
                  </w:r>
                  <w:r>
                    <w:rPr>
                      <w:rFonts w:hint="eastAsia" w:cs="Times New Roman"/>
                      <w:color w:val="auto"/>
                      <w:u w:val="none" w:color="auto"/>
                      <w:lang w:val="en-US" w:eastAsia="zh-CN"/>
                    </w:rPr>
                    <w:t>，不涉及工业生产，施工过程中用水量较少</w:t>
                  </w:r>
                  <w:r>
                    <w:rPr>
                      <w:rFonts w:hint="default" w:ascii="Times New Roman" w:hAnsi="Times New Roman" w:cs="Times New Roman"/>
                      <w:color w:val="auto"/>
                      <w:u w:val="none" w:color="auto"/>
                    </w:rPr>
                    <w:t>；</w:t>
                  </w:r>
                </w:p>
                <w:p w14:paraId="6DA693EB">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4.2本项目运营期</w:t>
                  </w:r>
                  <w:r>
                    <w:rPr>
                      <w:rFonts w:hint="eastAsia" w:cs="Times New Roman"/>
                      <w:color w:val="auto"/>
                      <w:u w:val="none" w:color="auto"/>
                      <w:lang w:val="en-US" w:eastAsia="zh-CN"/>
                    </w:rPr>
                    <w:t>几乎无能源消耗</w:t>
                  </w:r>
                  <w:r>
                    <w:rPr>
                      <w:rFonts w:hint="default" w:ascii="Times New Roman" w:hAnsi="Times New Roman" w:cs="Times New Roman"/>
                      <w:color w:val="auto"/>
                      <w:u w:val="none" w:color="auto"/>
                    </w:rPr>
                    <w:t>；</w:t>
                  </w:r>
                </w:p>
                <w:p w14:paraId="4F0A277D">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cs="Times New Roman"/>
                      <w:color w:val="auto"/>
                      <w:u w:val="none" w:color="auto"/>
                    </w:rPr>
                    <w:t>4.3本项目永久用地</w:t>
                  </w:r>
                  <w:r>
                    <w:rPr>
                      <w:rFonts w:hint="default" w:ascii="Times New Roman" w:hAnsi="Times New Roman" w:cs="Times New Roman"/>
                      <w:color w:val="auto"/>
                      <w:u w:val="none" w:color="auto"/>
                      <w:lang w:val="en-US" w:eastAsia="zh-CN"/>
                    </w:rPr>
                    <w:t>位于城镇建设用地范围内</w:t>
                  </w:r>
                  <w:r>
                    <w:rPr>
                      <w:rFonts w:hint="default" w:ascii="Times New Roman" w:hAnsi="Times New Roman" w:cs="Times New Roman"/>
                      <w:color w:val="auto"/>
                      <w:u w:val="none" w:color="auto"/>
                    </w:rPr>
                    <w:t>，</w:t>
                  </w:r>
                  <w:r>
                    <w:rPr>
                      <w:rFonts w:hint="eastAsia" w:cs="Times New Roman"/>
                      <w:color w:val="auto"/>
                      <w:u w:val="none" w:color="auto"/>
                      <w:lang w:val="en-US" w:eastAsia="zh-CN"/>
                    </w:rPr>
                    <w:t>项目</w:t>
                  </w:r>
                  <w:r>
                    <w:rPr>
                      <w:rFonts w:hint="default" w:ascii="Times New Roman" w:hAnsi="Times New Roman" w:cs="Times New Roman"/>
                      <w:color w:val="auto"/>
                      <w:u w:val="none" w:color="auto"/>
                    </w:rPr>
                    <w:t>不涉及</w:t>
                  </w:r>
                  <w:r>
                    <w:rPr>
                      <w:rFonts w:hint="default" w:ascii="Times New Roman" w:hAnsi="Times New Roman" w:cs="Times New Roman"/>
                      <w:color w:val="auto"/>
                      <w:u w:val="none" w:color="auto"/>
                      <w:lang w:val="en-US" w:eastAsia="zh-CN"/>
                    </w:rPr>
                    <w:t>永久占用基本农田、生态红线等敏感地区</w:t>
                  </w:r>
                  <w:r>
                    <w:rPr>
                      <w:rFonts w:hint="eastAsia" w:ascii="Times New Roman" w:hAnsi="Times New Roman" w:cs="Times New Roman"/>
                      <w:color w:val="auto"/>
                      <w:u w:val="none" w:color="auto"/>
                      <w:lang w:val="en-US" w:eastAsia="zh-CN"/>
                    </w:rPr>
                    <w:t>，项目用地已取得《建设项目用地预审与选址意见书》</w:t>
                  </w:r>
                </w:p>
              </w:tc>
              <w:tc>
                <w:tcPr>
                  <w:tcW w:w="483" w:type="pct"/>
                  <w:tcBorders>
                    <w:tl2br w:val="nil"/>
                    <w:tr2bl w:val="nil"/>
                  </w:tcBorders>
                  <w:shd w:val="clear" w:color="auto" w:fill="auto"/>
                  <w:noWrap w:val="0"/>
                  <w:vAlign w:val="center"/>
                </w:tcPr>
                <w:p w14:paraId="64C477C6">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符合</w:t>
                  </w:r>
                </w:p>
              </w:tc>
            </w:tr>
          </w:tbl>
          <w:p w14:paraId="18909DDD">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由上表可知，本项目与空间布局约束各项管控要求不相冲突。本项目与污染物排放管控要求不相冲突。本项目所在地非污染地块，满足环境风险防控要求。总体而言，本项目污染排放可控、不需开发自然资源、项目用地无遗留污染、不涉及管控要求中的相关禁止项，符合当地“三线一单”分区管控要求。</w:t>
            </w:r>
          </w:p>
          <w:p w14:paraId="4C3246E8">
            <w:pPr>
              <w:pStyle w:val="68"/>
              <w:numPr>
                <w:ilvl w:val="0"/>
                <w:numId w:val="0"/>
              </w:numPr>
              <w:ind w:leftChars="200"/>
              <w:rPr>
                <w:rFonts w:hint="default" w:ascii="Times New Roman" w:hAnsi="Times New Roman" w:cs="Times New Roman"/>
                <w:b/>
                <w:bCs/>
                <w:color w:val="auto"/>
                <w:u w:val="none" w:color="auto"/>
                <w:lang w:val="en-US" w:eastAsia="zh-CN"/>
              </w:rPr>
            </w:pPr>
            <w:r>
              <w:rPr>
                <w:rFonts w:hint="eastAsia" w:cs="Times New Roman"/>
                <w:b/>
                <w:bCs/>
                <w:color w:val="auto"/>
                <w:u w:val="none" w:color="auto"/>
                <w:lang w:val="en-US" w:eastAsia="zh-CN"/>
              </w:rPr>
              <w:t>（4）</w:t>
            </w:r>
            <w:r>
              <w:rPr>
                <w:rFonts w:hint="default" w:ascii="Times New Roman" w:hAnsi="Times New Roman" w:cs="Times New Roman"/>
                <w:b/>
                <w:bCs/>
                <w:color w:val="auto"/>
                <w:u w:val="none" w:color="auto"/>
                <w:lang w:val="en-US" w:eastAsia="zh-CN"/>
              </w:rPr>
              <w:t>与《中华人民共和国长江保护法》符合性分析</w:t>
            </w:r>
          </w:p>
          <w:p w14:paraId="615BBA37">
            <w:pPr>
              <w:pStyle w:val="68"/>
              <w:ind w:firstLine="480"/>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本项目建设内容与《中华人民共和国长江保护法》相关要求对比分析 见下表。</w:t>
            </w:r>
          </w:p>
          <w:p w14:paraId="6452195F">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表</w:t>
            </w:r>
            <w:r>
              <w:rPr>
                <w:rFonts w:hint="default" w:ascii="Times New Roman" w:hAnsi="Times New Roman" w:eastAsia="宋体" w:cs="Times New Roman"/>
                <w:color w:val="auto"/>
                <w:sz w:val="21"/>
                <w:szCs w:val="21"/>
                <w:u w:val="none" w:color="auto"/>
              </w:rPr>
              <w:t>1-</w:t>
            </w:r>
            <w:r>
              <w:rPr>
                <w:rFonts w:hint="eastAsia" w:cs="Times New Roman"/>
                <w:color w:val="auto"/>
                <w:sz w:val="21"/>
                <w:szCs w:val="21"/>
                <w:u w:val="none" w:color="auto"/>
                <w:lang w:val="en-US" w:eastAsia="zh-CN"/>
              </w:rPr>
              <w:t>3</w:t>
            </w:r>
            <w:r>
              <w:rPr>
                <w:rFonts w:hint="default" w:ascii="Times New Roman" w:hAnsi="Times New Roman" w:eastAsia="宋体" w:cs="Times New Roman"/>
                <w:color w:val="auto"/>
                <w:sz w:val="21"/>
                <w:szCs w:val="21"/>
                <w:u w:val="none" w:color="auto"/>
                <w:lang w:val="en-US" w:eastAsia="zh-CN"/>
              </w:rPr>
              <w:t xml:space="preserve">   </w:t>
            </w:r>
            <w:r>
              <w:rPr>
                <w:rFonts w:hint="default" w:ascii="Times New Roman" w:hAnsi="Times New Roman" w:eastAsia="宋体" w:cs="Times New Roman"/>
                <w:color w:val="auto"/>
                <w:sz w:val="21"/>
                <w:szCs w:val="21"/>
                <w:u w:val="none" w:color="auto"/>
              </w:rPr>
              <w:t>与《中华人民共和国长江保护法》符合性分析一览表</w:t>
            </w:r>
          </w:p>
          <w:tbl>
            <w:tblPr>
              <w:tblStyle w:val="25"/>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97"/>
              <w:gridCol w:w="4557"/>
              <w:gridCol w:w="2206"/>
              <w:gridCol w:w="493"/>
            </w:tblGrid>
            <w:tr w14:paraId="7EF43C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525" w:hRule="atLeast"/>
                <w:jc w:val="center"/>
              </w:trPr>
              <w:tc>
                <w:tcPr>
                  <w:tcW w:w="397" w:type="dxa"/>
                  <w:tcBorders>
                    <w:tl2br w:val="nil"/>
                    <w:tr2bl w:val="nil"/>
                  </w:tcBorders>
                  <w:noWrap w:val="0"/>
                  <w:vAlign w:val="center"/>
                </w:tcPr>
                <w:p w14:paraId="06F358E6">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序号</w:t>
                  </w:r>
                </w:p>
              </w:tc>
              <w:tc>
                <w:tcPr>
                  <w:tcW w:w="4557" w:type="dxa"/>
                  <w:tcBorders>
                    <w:tl2br w:val="nil"/>
                    <w:tr2bl w:val="nil"/>
                  </w:tcBorders>
                  <w:noWrap w:val="0"/>
                  <w:vAlign w:val="center"/>
                </w:tcPr>
                <w:p w14:paraId="2D668EE7">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要求内容</w:t>
                  </w:r>
                </w:p>
              </w:tc>
              <w:tc>
                <w:tcPr>
                  <w:tcW w:w="2206" w:type="dxa"/>
                  <w:tcBorders>
                    <w:tl2br w:val="nil"/>
                    <w:tr2bl w:val="nil"/>
                  </w:tcBorders>
                  <w:noWrap w:val="0"/>
                  <w:vAlign w:val="center"/>
                </w:tcPr>
                <w:p w14:paraId="01A5AB9C">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本项目情况</w:t>
                  </w:r>
                </w:p>
              </w:tc>
              <w:tc>
                <w:tcPr>
                  <w:tcW w:w="493" w:type="dxa"/>
                  <w:tcBorders>
                    <w:tl2br w:val="nil"/>
                    <w:tr2bl w:val="nil"/>
                  </w:tcBorders>
                  <w:noWrap w:val="0"/>
                  <w:vAlign w:val="center"/>
                </w:tcPr>
                <w:p w14:paraId="4359D65D">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符合</w:t>
                  </w:r>
                </w:p>
                <w:p w14:paraId="4B22794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性</w:t>
                  </w:r>
                </w:p>
              </w:tc>
            </w:tr>
            <w:tr w14:paraId="2D2968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30" w:hRule="atLeast"/>
                <w:jc w:val="center"/>
              </w:trPr>
              <w:tc>
                <w:tcPr>
                  <w:tcW w:w="397" w:type="dxa"/>
                  <w:tcBorders>
                    <w:tl2br w:val="nil"/>
                    <w:tr2bl w:val="nil"/>
                  </w:tcBorders>
                  <w:noWrap w:val="0"/>
                  <w:vAlign w:val="center"/>
                </w:tcPr>
                <w:p w14:paraId="345023D2">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1</w:t>
                  </w:r>
                </w:p>
              </w:tc>
              <w:tc>
                <w:tcPr>
                  <w:tcW w:w="4557" w:type="dxa"/>
                  <w:tcBorders>
                    <w:tl2br w:val="nil"/>
                    <w:tr2bl w:val="nil"/>
                  </w:tcBorders>
                  <w:noWrap w:val="0"/>
                  <w:vAlign w:val="center"/>
                </w:tcPr>
                <w:p w14:paraId="7B2091D1">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第二十九条 长江流域水资源保护与利用，应当根据流域综合规划，优先满足城乡居民生活用水，保障基本生态用水，并统筹农业、工业用水以及航运等需要。</w:t>
                  </w:r>
                </w:p>
              </w:tc>
              <w:tc>
                <w:tcPr>
                  <w:tcW w:w="2206" w:type="dxa"/>
                  <w:tcBorders>
                    <w:tl2br w:val="nil"/>
                    <w:tr2bl w:val="nil"/>
                  </w:tcBorders>
                  <w:noWrap w:val="0"/>
                  <w:vAlign w:val="center"/>
                </w:tcPr>
                <w:p w14:paraId="15D23A7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本项目</w:t>
                  </w:r>
                  <w:r>
                    <w:rPr>
                      <w:rFonts w:hint="eastAsia" w:cs="Times New Roman"/>
                      <w:color w:val="auto"/>
                      <w:highlight w:val="none"/>
                      <w:u w:val="none" w:color="auto"/>
                      <w:lang w:val="en-US" w:eastAsia="zh-CN"/>
                    </w:rPr>
                    <w:t>用水来</w:t>
                  </w:r>
                  <w:r>
                    <w:rPr>
                      <w:rFonts w:hint="default" w:ascii="Times New Roman" w:hAnsi="Times New Roman" w:eastAsia="宋体" w:cs="Times New Roman"/>
                      <w:color w:val="auto"/>
                      <w:highlight w:val="none"/>
                      <w:u w:val="none" w:color="auto"/>
                      <w:lang w:val="en-US" w:eastAsia="zh-CN"/>
                    </w:rPr>
                    <w:t>自于</w:t>
                  </w:r>
                  <w:r>
                    <w:rPr>
                      <w:rFonts w:hint="eastAsia" w:cs="Times New Roman"/>
                      <w:color w:val="auto"/>
                      <w:highlight w:val="none"/>
                      <w:u w:val="none" w:color="auto"/>
                      <w:lang w:val="en-US" w:eastAsia="zh-CN"/>
                    </w:rPr>
                    <w:t>幸福水厂，水厂取水来自于地下水，</w:t>
                  </w:r>
                  <w:r>
                    <w:rPr>
                      <w:rFonts w:hint="default" w:ascii="Times New Roman" w:hAnsi="Times New Roman" w:eastAsia="宋体" w:cs="Times New Roman"/>
                      <w:color w:val="auto"/>
                      <w:highlight w:val="none"/>
                      <w:u w:val="none" w:color="auto"/>
                      <w:lang w:val="en-US" w:eastAsia="zh-CN"/>
                    </w:rPr>
                    <w:t>不涉及从长江取水</w:t>
                  </w:r>
                </w:p>
              </w:tc>
              <w:tc>
                <w:tcPr>
                  <w:tcW w:w="493" w:type="dxa"/>
                  <w:tcBorders>
                    <w:tl2br w:val="nil"/>
                    <w:tr2bl w:val="nil"/>
                  </w:tcBorders>
                  <w:noWrap w:val="0"/>
                  <w:vAlign w:val="center"/>
                </w:tcPr>
                <w:p w14:paraId="7DA7054F">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4C73FC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97" w:type="dxa"/>
                  <w:tcBorders>
                    <w:tl2br w:val="nil"/>
                    <w:tr2bl w:val="nil"/>
                  </w:tcBorders>
                  <w:noWrap w:val="0"/>
                  <w:vAlign w:val="center"/>
                </w:tcPr>
                <w:p w14:paraId="76418EB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2</w:t>
                  </w:r>
                </w:p>
              </w:tc>
              <w:tc>
                <w:tcPr>
                  <w:tcW w:w="4557" w:type="dxa"/>
                  <w:tcBorders>
                    <w:tl2br w:val="nil"/>
                    <w:tr2bl w:val="nil"/>
                  </w:tcBorders>
                  <w:noWrap w:val="0"/>
                  <w:vAlign w:val="center"/>
                </w:tcPr>
                <w:p w14:paraId="7367470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第四十七条 在长江流域江河、湖泊新设、改设或者扩大排污口，应当按照国家有关规定报经有管辖权的生态环境主管部门或者长江流域生态场境监督管理机构同意。对未达到水质目标的水功能区，除污水集中处理设施排污口外，应当严格控制新设，改设或者扩大排污口。</w:t>
                  </w:r>
                </w:p>
              </w:tc>
              <w:tc>
                <w:tcPr>
                  <w:tcW w:w="2206" w:type="dxa"/>
                  <w:tcBorders>
                    <w:tl2br w:val="nil"/>
                    <w:tr2bl w:val="nil"/>
                  </w:tcBorders>
                  <w:noWrap w:val="0"/>
                  <w:vAlign w:val="center"/>
                </w:tcPr>
                <w:p w14:paraId="018AC227">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本项目未在长江流域江河、湖泊新设、改设或者扩大排污口</w:t>
                  </w:r>
                </w:p>
              </w:tc>
              <w:tc>
                <w:tcPr>
                  <w:tcW w:w="493" w:type="dxa"/>
                  <w:tcBorders>
                    <w:tl2br w:val="nil"/>
                    <w:tr2bl w:val="nil"/>
                  </w:tcBorders>
                  <w:noWrap w:val="0"/>
                  <w:vAlign w:val="center"/>
                </w:tcPr>
                <w:p w14:paraId="1D7B9FDD">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6475EE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97" w:type="dxa"/>
                  <w:tcBorders>
                    <w:tl2br w:val="nil"/>
                    <w:tr2bl w:val="nil"/>
                  </w:tcBorders>
                  <w:noWrap w:val="0"/>
                  <w:vAlign w:val="center"/>
                </w:tcPr>
                <w:p w14:paraId="2441356E">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3</w:t>
                  </w:r>
                </w:p>
              </w:tc>
              <w:tc>
                <w:tcPr>
                  <w:tcW w:w="4557" w:type="dxa"/>
                  <w:tcBorders>
                    <w:tl2br w:val="nil"/>
                    <w:tr2bl w:val="nil"/>
                  </w:tcBorders>
                  <w:noWrap w:val="0"/>
                  <w:vAlign w:val="center"/>
                </w:tcPr>
                <w:p w14:paraId="1FD21FAF">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2206" w:type="dxa"/>
                  <w:tcBorders>
                    <w:tl2br w:val="nil"/>
                    <w:tr2bl w:val="nil"/>
                  </w:tcBorders>
                  <w:noWrap w:val="0"/>
                  <w:vAlign w:val="center"/>
                </w:tcPr>
                <w:p w14:paraId="12F37910">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本项目不属于垃圾填埋场、加油站、矿山、尾矿库、危险废物处置场、化工园区和化工项目等</w:t>
                  </w:r>
                </w:p>
              </w:tc>
              <w:tc>
                <w:tcPr>
                  <w:tcW w:w="493" w:type="dxa"/>
                  <w:tcBorders>
                    <w:tl2br w:val="nil"/>
                    <w:tr2bl w:val="nil"/>
                  </w:tcBorders>
                  <w:noWrap w:val="0"/>
                  <w:vAlign w:val="center"/>
                </w:tcPr>
                <w:p w14:paraId="6B8565D9">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bl>
          <w:p w14:paraId="49A60F8A">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综上，项目与《中华人民共和国长江保护法》中相关条款并不冲突。</w:t>
            </w:r>
          </w:p>
          <w:p w14:paraId="364540C3">
            <w:pPr>
              <w:pStyle w:val="68"/>
              <w:ind w:firstLine="482"/>
              <w:rPr>
                <w:rFonts w:hint="default" w:ascii="Times New Roman" w:hAnsi="Times New Roman" w:cs="Times New Roman"/>
                <w:b/>
                <w:bCs/>
                <w:color w:val="auto"/>
                <w:u w:val="none" w:color="auto"/>
              </w:rPr>
            </w:pPr>
            <w:r>
              <w:rPr>
                <w:rFonts w:hint="eastAsia" w:cs="Times New Roman"/>
                <w:b/>
                <w:bCs/>
                <w:color w:val="auto"/>
                <w:u w:val="none" w:color="auto"/>
                <w:lang w:eastAsia="zh-CN"/>
              </w:rPr>
              <w:t>（</w:t>
            </w:r>
            <w:r>
              <w:rPr>
                <w:rFonts w:hint="eastAsia" w:cs="Times New Roman"/>
                <w:b/>
                <w:bCs/>
                <w:color w:val="auto"/>
                <w:u w:val="none" w:color="auto"/>
                <w:lang w:val="en-US" w:eastAsia="zh-CN"/>
              </w:rPr>
              <w:t>5</w:t>
            </w:r>
            <w:r>
              <w:rPr>
                <w:rFonts w:hint="eastAsia" w:cs="Times New Roman"/>
                <w:b/>
                <w:bCs/>
                <w:color w:val="auto"/>
                <w:u w:val="none" w:color="auto"/>
                <w:lang w:eastAsia="zh-CN"/>
              </w:rPr>
              <w:t>）</w:t>
            </w:r>
            <w:r>
              <w:rPr>
                <w:rFonts w:hint="default" w:ascii="Times New Roman" w:hAnsi="Times New Roman" w:cs="Times New Roman"/>
                <w:b/>
                <w:bCs/>
                <w:color w:val="auto"/>
                <w:u w:val="none" w:color="auto"/>
              </w:rPr>
              <w:t>与《湖南省长江经济带发展负面清单实施细则（试行，2022年版）》的符合性分析</w:t>
            </w:r>
          </w:p>
          <w:p w14:paraId="45FFF450">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2022年6月30日湖南省推动长江经济带发展领导小组办公室发布第70号文</w:t>
            </w:r>
            <w:r>
              <w:rPr>
                <w:rFonts w:hint="default" w:ascii="Times New Roman" w:hAnsi="Times New Roman" w:eastAsia="宋体" w:cs="Times New Roman"/>
                <w:color w:val="auto"/>
                <w:u w:val="none" w:color="auto"/>
                <w:lang w:val="en-US" w:eastAsia="zh-CN"/>
              </w:rPr>
              <w:t>件《湖南省长江经济带发展负面清单实施细则（试行，2022年版）》，本项目与其相关要求对比分析情况详见下表：</w:t>
            </w:r>
          </w:p>
          <w:p w14:paraId="601B42BA">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表1-</w:t>
            </w:r>
            <w:r>
              <w:rPr>
                <w:rFonts w:hint="eastAsia" w:cs="Times New Roman"/>
                <w:color w:val="auto"/>
                <w:sz w:val="21"/>
                <w:szCs w:val="21"/>
                <w:u w:val="none" w:color="auto"/>
                <w:lang w:val="en-US" w:eastAsia="zh-CN"/>
              </w:rPr>
              <w:t>4</w:t>
            </w:r>
            <w:r>
              <w:rPr>
                <w:rFonts w:hint="default" w:ascii="Times New Roman" w:hAnsi="Times New Roman" w:eastAsia="宋体" w:cs="Times New Roman"/>
                <w:color w:val="auto"/>
                <w:sz w:val="21"/>
                <w:szCs w:val="21"/>
                <w:u w:val="none" w:color="auto"/>
                <w:lang w:val="en-US" w:eastAsia="zh-CN"/>
              </w:rPr>
              <w:t xml:space="preserve">  与《湖南省长江经济带发展负面清单实施细则（试行，2022 年版）》符合性分析一览表</w:t>
            </w:r>
          </w:p>
          <w:tbl>
            <w:tblPr>
              <w:tblStyle w:val="25"/>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61"/>
              <w:gridCol w:w="5036"/>
              <w:gridCol w:w="1815"/>
              <w:gridCol w:w="441"/>
            </w:tblGrid>
            <w:tr w14:paraId="4E3BC9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6B18D32B">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序号</w:t>
                  </w:r>
                </w:p>
              </w:tc>
              <w:tc>
                <w:tcPr>
                  <w:tcW w:w="5112" w:type="dxa"/>
                  <w:tcBorders>
                    <w:tl2br w:val="nil"/>
                    <w:tr2bl w:val="nil"/>
                  </w:tcBorders>
                  <w:noWrap w:val="0"/>
                  <w:vAlign w:val="center"/>
                </w:tcPr>
                <w:p w14:paraId="7CB21A45">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要求内容</w:t>
                  </w:r>
                </w:p>
              </w:tc>
              <w:tc>
                <w:tcPr>
                  <w:tcW w:w="1842" w:type="dxa"/>
                  <w:tcBorders>
                    <w:tl2br w:val="nil"/>
                    <w:tr2bl w:val="nil"/>
                  </w:tcBorders>
                  <w:noWrap w:val="0"/>
                  <w:vAlign w:val="center"/>
                </w:tcPr>
                <w:p w14:paraId="0E96C4E2">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本项目情况</w:t>
                  </w:r>
                </w:p>
              </w:tc>
              <w:tc>
                <w:tcPr>
                  <w:tcW w:w="447" w:type="dxa"/>
                  <w:tcBorders>
                    <w:tl2br w:val="nil"/>
                    <w:tr2bl w:val="nil"/>
                  </w:tcBorders>
                  <w:noWrap w:val="0"/>
                  <w:vAlign w:val="center"/>
                </w:tcPr>
                <w:p w14:paraId="0FA6ACF7">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符合</w:t>
                  </w:r>
                </w:p>
                <w:p w14:paraId="2891655E">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val="en-US" w:eastAsia="zh-CN"/>
                    </w:rPr>
                    <w:t>性</w:t>
                  </w:r>
                </w:p>
              </w:tc>
            </w:tr>
            <w:tr w14:paraId="2C2192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1FF418BF">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1</w:t>
                  </w:r>
                </w:p>
              </w:tc>
              <w:tc>
                <w:tcPr>
                  <w:tcW w:w="5112" w:type="dxa"/>
                  <w:tcBorders>
                    <w:tl2br w:val="nil"/>
                    <w:tr2bl w:val="nil"/>
                  </w:tcBorders>
                  <w:noWrap w:val="0"/>
                  <w:vAlign w:val="center"/>
                </w:tcPr>
                <w:p w14:paraId="57C84E3A">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第三条 禁止建设不符合全国和省级港口布局规划以及港口总体规划的码头项目。对不符合港口总体规划的新建、改建和扩建的码头工程（含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千线过江通道布局规划（2020-2035年）》的过长江通道项目。</w:t>
                  </w:r>
                </w:p>
              </w:tc>
              <w:tc>
                <w:tcPr>
                  <w:tcW w:w="1842" w:type="dxa"/>
                  <w:tcBorders>
                    <w:tl2br w:val="nil"/>
                    <w:tr2bl w:val="nil"/>
                  </w:tcBorders>
                  <w:noWrap w:val="0"/>
                  <w:vAlign w:val="center"/>
                </w:tcPr>
                <w:p w14:paraId="4EC755A5">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项目不属于码头项目，不属于长江通道项目。</w:t>
                  </w:r>
                </w:p>
              </w:tc>
              <w:tc>
                <w:tcPr>
                  <w:tcW w:w="447" w:type="dxa"/>
                  <w:tcBorders>
                    <w:tl2br w:val="nil"/>
                    <w:tr2bl w:val="nil"/>
                  </w:tcBorders>
                  <w:noWrap w:val="0"/>
                  <w:vAlign w:val="center"/>
                </w:tcPr>
                <w:p w14:paraId="70DC528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52B062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218B57A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2</w:t>
                  </w:r>
                </w:p>
              </w:tc>
              <w:tc>
                <w:tcPr>
                  <w:tcW w:w="5112" w:type="dxa"/>
                  <w:tcBorders>
                    <w:tl2br w:val="nil"/>
                    <w:tr2bl w:val="nil"/>
                  </w:tcBorders>
                  <w:noWrap w:val="0"/>
                  <w:vAlign w:val="center"/>
                </w:tcPr>
                <w:p w14:paraId="21696DA0">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842" w:type="dxa"/>
                  <w:tcBorders>
                    <w:tl2br w:val="nil"/>
                    <w:tr2bl w:val="nil"/>
                  </w:tcBorders>
                  <w:noWrap w:val="0"/>
                  <w:vAlign w:val="center"/>
                </w:tcPr>
                <w:p w14:paraId="7E3DCC75">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本项目不在自然保护区核心区、缓冲区的岸线和河段范围。</w:t>
                  </w:r>
                </w:p>
              </w:tc>
              <w:tc>
                <w:tcPr>
                  <w:tcW w:w="447" w:type="dxa"/>
                  <w:tcBorders>
                    <w:tl2br w:val="nil"/>
                    <w:tr2bl w:val="nil"/>
                  </w:tcBorders>
                  <w:noWrap w:val="0"/>
                  <w:vAlign w:val="center"/>
                </w:tcPr>
                <w:p w14:paraId="41F0F466">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30077C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6E2C7178">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3</w:t>
                  </w:r>
                </w:p>
              </w:tc>
              <w:tc>
                <w:tcPr>
                  <w:tcW w:w="5112" w:type="dxa"/>
                  <w:tcBorders>
                    <w:tl2br w:val="nil"/>
                    <w:tr2bl w:val="nil"/>
                  </w:tcBorders>
                  <w:noWrap w:val="0"/>
                  <w:vAlign w:val="center"/>
                </w:tcPr>
                <w:p w14:paraId="2DF8550C">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第六条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2" w:type="dxa"/>
                  <w:tcBorders>
                    <w:tl2br w:val="nil"/>
                    <w:tr2bl w:val="nil"/>
                  </w:tcBorders>
                  <w:noWrap w:val="0"/>
                  <w:vAlign w:val="center"/>
                </w:tcPr>
                <w:p w14:paraId="67A719F5">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本项目不在风景名胜区内。</w:t>
                  </w:r>
                </w:p>
              </w:tc>
              <w:tc>
                <w:tcPr>
                  <w:tcW w:w="447" w:type="dxa"/>
                  <w:tcBorders>
                    <w:tl2br w:val="nil"/>
                    <w:tr2bl w:val="nil"/>
                  </w:tcBorders>
                  <w:noWrap w:val="0"/>
                  <w:vAlign w:val="center"/>
                </w:tcPr>
                <w:p w14:paraId="24ABF289">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02C065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2420" w:hRule="atLeast"/>
                <w:jc w:val="center"/>
              </w:trPr>
              <w:tc>
                <w:tcPr>
                  <w:tcW w:w="366" w:type="dxa"/>
                  <w:tcBorders>
                    <w:tl2br w:val="nil"/>
                    <w:tr2bl w:val="nil"/>
                  </w:tcBorders>
                  <w:noWrap w:val="0"/>
                  <w:vAlign w:val="center"/>
                </w:tcPr>
                <w:p w14:paraId="6009A635">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4</w:t>
                  </w:r>
                </w:p>
              </w:tc>
              <w:tc>
                <w:tcPr>
                  <w:tcW w:w="5112" w:type="dxa"/>
                  <w:tcBorders>
                    <w:tl2br w:val="nil"/>
                    <w:tr2bl w:val="nil"/>
                  </w:tcBorders>
                  <w:noWrap w:val="0"/>
                  <w:vAlign w:val="center"/>
                </w:tcPr>
                <w:p w14:paraId="4DD1CBAD">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第七条 饮用水水源一级保护区内禁止新建、改建，扩建与供水设施和保护水源无关的建设项日：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842" w:type="dxa"/>
                  <w:vMerge w:val="restart"/>
                  <w:tcBorders>
                    <w:tl2br w:val="nil"/>
                    <w:tr2bl w:val="nil"/>
                  </w:tcBorders>
                  <w:noWrap w:val="0"/>
                  <w:vAlign w:val="center"/>
                </w:tcPr>
                <w:p w14:paraId="5DF1C3CC">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w:t>
                  </w:r>
                  <w:r>
                    <w:rPr>
                      <w:rFonts w:hint="eastAsia" w:cs="Times New Roman"/>
                      <w:color w:val="auto"/>
                      <w:u w:val="none" w:color="auto"/>
                      <w:lang w:val="en-US" w:eastAsia="zh-CN"/>
                    </w:rPr>
                    <w:t>不涉及</w:t>
                  </w:r>
                  <w:r>
                    <w:rPr>
                      <w:rFonts w:hint="default" w:ascii="Times New Roman" w:hAnsi="Times New Roman" w:eastAsia="宋体" w:cs="Times New Roman"/>
                      <w:color w:val="auto"/>
                      <w:u w:val="none" w:color="auto"/>
                      <w:lang w:val="en-US" w:eastAsia="zh-CN"/>
                    </w:rPr>
                    <w:t>饮用水水源保护区。</w:t>
                  </w:r>
                </w:p>
              </w:tc>
              <w:tc>
                <w:tcPr>
                  <w:tcW w:w="447" w:type="dxa"/>
                  <w:tcBorders>
                    <w:tl2br w:val="nil"/>
                    <w:tr2bl w:val="nil"/>
                  </w:tcBorders>
                  <w:noWrap w:val="0"/>
                  <w:vAlign w:val="center"/>
                </w:tcPr>
                <w:p w14:paraId="32C064DD">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2D2181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253851EF">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5</w:t>
                  </w:r>
                </w:p>
              </w:tc>
              <w:tc>
                <w:tcPr>
                  <w:tcW w:w="5112" w:type="dxa"/>
                  <w:tcBorders>
                    <w:tl2br w:val="nil"/>
                    <w:tr2bl w:val="nil"/>
                  </w:tcBorders>
                  <w:noWrap w:val="0"/>
                  <w:vAlign w:val="center"/>
                </w:tcPr>
                <w:p w14:paraId="170FB30C">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第八条 饮用水水源二级保护区内禁止新建、改建、扩建向水体排放污染物的投资建设项目。原有排污口依法拆除或关闭。禁止设立装卸垃圾、粪便、油类和有毒物品的码头。</w:t>
                  </w:r>
                </w:p>
              </w:tc>
              <w:tc>
                <w:tcPr>
                  <w:tcW w:w="1842" w:type="dxa"/>
                  <w:vMerge w:val="continue"/>
                  <w:tcBorders>
                    <w:tl2br w:val="nil"/>
                    <w:tr2bl w:val="nil"/>
                  </w:tcBorders>
                  <w:noWrap w:val="0"/>
                  <w:vAlign w:val="center"/>
                </w:tcPr>
                <w:p w14:paraId="0916444D">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p>
              </w:tc>
              <w:tc>
                <w:tcPr>
                  <w:tcW w:w="447" w:type="dxa"/>
                  <w:tcBorders>
                    <w:tl2br w:val="nil"/>
                    <w:tr2bl w:val="nil"/>
                  </w:tcBorders>
                  <w:noWrap w:val="0"/>
                  <w:vAlign w:val="center"/>
                </w:tcPr>
                <w:p w14:paraId="7B9E8B5D">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4F86CC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4FF9E59A">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6</w:t>
                  </w:r>
                </w:p>
              </w:tc>
              <w:tc>
                <w:tcPr>
                  <w:tcW w:w="5112" w:type="dxa"/>
                  <w:tcBorders>
                    <w:tl2br w:val="nil"/>
                    <w:tr2bl w:val="nil"/>
                  </w:tcBorders>
                  <w:noWrap w:val="0"/>
                  <w:vAlign w:val="center"/>
                </w:tcPr>
                <w:p w14:paraId="501C1F9C">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第九条 禁止在水产种质资源保护区内新建排污口、从事围湖造田造地等投资建设项目。</w:t>
                  </w:r>
                </w:p>
              </w:tc>
              <w:tc>
                <w:tcPr>
                  <w:tcW w:w="1842" w:type="dxa"/>
                  <w:tcBorders>
                    <w:tl2br w:val="nil"/>
                    <w:tr2bl w:val="nil"/>
                  </w:tcBorders>
                  <w:noWrap w:val="0"/>
                  <w:vAlign w:val="center"/>
                </w:tcPr>
                <w:p w14:paraId="3756E0F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本项目不在水产种质资源保护区内。</w:t>
                  </w:r>
                </w:p>
              </w:tc>
              <w:tc>
                <w:tcPr>
                  <w:tcW w:w="447" w:type="dxa"/>
                  <w:tcBorders>
                    <w:tl2br w:val="nil"/>
                    <w:tr2bl w:val="nil"/>
                  </w:tcBorders>
                  <w:noWrap w:val="0"/>
                  <w:vAlign w:val="center"/>
                </w:tcPr>
                <w:p w14:paraId="030D323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6F7DF7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37564408">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7</w:t>
                  </w:r>
                </w:p>
              </w:tc>
              <w:tc>
                <w:tcPr>
                  <w:tcW w:w="5112" w:type="dxa"/>
                  <w:tcBorders>
                    <w:tl2br w:val="nil"/>
                    <w:tr2bl w:val="nil"/>
                  </w:tcBorders>
                  <w:noWrap w:val="0"/>
                  <w:vAlign w:val="center"/>
                </w:tcPr>
                <w:p w14:paraId="2A84C61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第十条 除《中华人民共和国防洪法》规定的紧急防汛期采取的紧急措施外，禁止在国家湿地公园的岸线和河段范围内、挖沙、采矿等不符合主体功能定位的行为和活动。</w:t>
                  </w:r>
                </w:p>
              </w:tc>
              <w:tc>
                <w:tcPr>
                  <w:tcW w:w="1842" w:type="dxa"/>
                  <w:tcBorders>
                    <w:tl2br w:val="nil"/>
                    <w:tr2bl w:val="nil"/>
                  </w:tcBorders>
                  <w:noWrap w:val="0"/>
                  <w:vAlign w:val="center"/>
                </w:tcPr>
                <w:p w14:paraId="5E88220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本项目用地不在国家湿地公园的岸线和河段范围内。</w:t>
                  </w:r>
                </w:p>
              </w:tc>
              <w:tc>
                <w:tcPr>
                  <w:tcW w:w="447" w:type="dxa"/>
                  <w:tcBorders>
                    <w:tl2br w:val="nil"/>
                    <w:tr2bl w:val="nil"/>
                  </w:tcBorders>
                  <w:noWrap w:val="0"/>
                  <w:vAlign w:val="center"/>
                </w:tcPr>
                <w:p w14:paraId="2ABFB4A8">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07A3BC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61356C54">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8</w:t>
                  </w:r>
                </w:p>
              </w:tc>
              <w:tc>
                <w:tcPr>
                  <w:tcW w:w="5112" w:type="dxa"/>
                  <w:tcBorders>
                    <w:tl2br w:val="nil"/>
                    <w:tr2bl w:val="nil"/>
                  </w:tcBorders>
                  <w:noWrap w:val="0"/>
                  <w:vAlign w:val="center"/>
                </w:tcPr>
                <w:p w14:paraId="6F69CED2">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第十一条 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14:paraId="78B5FFF3">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禁止填湖造地、围湖造田及非法围垦河道，禁止非法建设矮围网围，填理湿地等段占河湖水域或者违法利用，古用河湖岸线的行为。</w:t>
                  </w:r>
                </w:p>
              </w:tc>
              <w:tc>
                <w:tcPr>
                  <w:tcW w:w="1842" w:type="dxa"/>
                  <w:tcBorders>
                    <w:tl2br w:val="nil"/>
                    <w:tr2bl w:val="nil"/>
                  </w:tcBorders>
                  <w:noWrap w:val="0"/>
                  <w:vAlign w:val="center"/>
                </w:tcPr>
                <w:p w14:paraId="2FF43ACF">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本项目未利用、占用长江流域河湖岸线。本项目未填湖造地、围湖造田及非法围垦河道。</w:t>
                  </w:r>
                </w:p>
              </w:tc>
              <w:tc>
                <w:tcPr>
                  <w:tcW w:w="447" w:type="dxa"/>
                  <w:tcBorders>
                    <w:tl2br w:val="nil"/>
                    <w:tr2bl w:val="nil"/>
                  </w:tcBorders>
                  <w:noWrap w:val="0"/>
                  <w:vAlign w:val="center"/>
                </w:tcPr>
                <w:p w14:paraId="7A29E2C6">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604E2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00F99672">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9</w:t>
                  </w:r>
                </w:p>
              </w:tc>
              <w:tc>
                <w:tcPr>
                  <w:tcW w:w="5112" w:type="dxa"/>
                  <w:tcBorders>
                    <w:tl2br w:val="nil"/>
                    <w:tr2bl w:val="nil"/>
                  </w:tcBorders>
                  <w:noWrap w:val="0"/>
                  <w:vAlign w:val="center"/>
                </w:tcPr>
                <w:p w14:paraId="7658DBB6">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第十二条 禁止在《全国重要江河湖泊水功能区划》划定的河段及湖泊保护区、保留区内投资建设不利于水资源及自然生态保护的项目。</w:t>
                  </w:r>
                </w:p>
              </w:tc>
              <w:tc>
                <w:tcPr>
                  <w:tcW w:w="1842" w:type="dxa"/>
                  <w:tcBorders>
                    <w:tl2br w:val="nil"/>
                    <w:tr2bl w:val="nil"/>
                  </w:tcBorders>
                  <w:noWrap w:val="0"/>
                  <w:vAlign w:val="center"/>
                </w:tcPr>
                <w:p w14:paraId="662DCF6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本项目不在《全国重要江河湖泊水功能区划》划定的河段及湖泊保护区、保留区内。</w:t>
                  </w:r>
                </w:p>
              </w:tc>
              <w:tc>
                <w:tcPr>
                  <w:tcW w:w="447" w:type="dxa"/>
                  <w:tcBorders>
                    <w:tl2br w:val="nil"/>
                    <w:tr2bl w:val="nil"/>
                  </w:tcBorders>
                  <w:noWrap w:val="0"/>
                  <w:vAlign w:val="center"/>
                </w:tcPr>
                <w:p w14:paraId="0CB0E8B9">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6A617B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7B19746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10</w:t>
                  </w:r>
                </w:p>
              </w:tc>
              <w:tc>
                <w:tcPr>
                  <w:tcW w:w="5112" w:type="dxa"/>
                  <w:tcBorders>
                    <w:tl2br w:val="nil"/>
                    <w:tr2bl w:val="nil"/>
                  </w:tcBorders>
                  <w:noWrap w:val="0"/>
                  <w:vAlign w:val="center"/>
                </w:tcPr>
                <w:p w14:paraId="4B48D75F">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第十三条 禁止未经许可在长江干支流及湖泊新设、改设或扩大排污口。</w:t>
                  </w:r>
                </w:p>
              </w:tc>
              <w:tc>
                <w:tcPr>
                  <w:tcW w:w="1842" w:type="dxa"/>
                  <w:tcBorders>
                    <w:tl2br w:val="nil"/>
                    <w:tr2bl w:val="nil"/>
                  </w:tcBorders>
                  <w:noWrap w:val="0"/>
                  <w:vAlign w:val="center"/>
                </w:tcPr>
                <w:p w14:paraId="5AD10CCE">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本项目未在长江干支流及湖泊新设、改设或扩大排污口。</w:t>
                  </w:r>
                </w:p>
              </w:tc>
              <w:tc>
                <w:tcPr>
                  <w:tcW w:w="447" w:type="dxa"/>
                  <w:tcBorders>
                    <w:tl2br w:val="nil"/>
                    <w:tr2bl w:val="nil"/>
                  </w:tcBorders>
                  <w:noWrap w:val="0"/>
                  <w:vAlign w:val="center"/>
                </w:tcPr>
                <w:p w14:paraId="78A911D6">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2DBF62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0C970B7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11</w:t>
                  </w:r>
                </w:p>
              </w:tc>
              <w:tc>
                <w:tcPr>
                  <w:tcW w:w="5112" w:type="dxa"/>
                  <w:tcBorders>
                    <w:tl2br w:val="nil"/>
                    <w:tr2bl w:val="nil"/>
                  </w:tcBorders>
                  <w:noWrap w:val="0"/>
                  <w:vAlign w:val="center"/>
                </w:tcPr>
                <w:p w14:paraId="3DD7DE21">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第十四条 禁止在洞庭湖、湘江、资江、沅江、遭水干流和45个水生生物保护区开展生产性捕捞。在相关自然保护区域和禁猎（渔）区、禁猎（渔）期内，禁止猎捕以及其他妨碍野生动物生息繁衍的活动，但法律法规另有规定的除外。</w:t>
                  </w:r>
                </w:p>
              </w:tc>
              <w:tc>
                <w:tcPr>
                  <w:tcW w:w="1842" w:type="dxa"/>
                  <w:tcBorders>
                    <w:tl2br w:val="nil"/>
                    <w:tr2bl w:val="nil"/>
                  </w:tcBorders>
                  <w:noWrap w:val="0"/>
                  <w:vAlign w:val="center"/>
                </w:tcPr>
                <w:p w14:paraId="25E3A80E">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本项目未开展生产性捕捞。</w:t>
                  </w:r>
                </w:p>
              </w:tc>
              <w:tc>
                <w:tcPr>
                  <w:tcW w:w="447" w:type="dxa"/>
                  <w:tcBorders>
                    <w:tl2br w:val="nil"/>
                    <w:tr2bl w:val="nil"/>
                  </w:tcBorders>
                  <w:noWrap w:val="0"/>
                  <w:vAlign w:val="center"/>
                </w:tcPr>
                <w:p w14:paraId="300E77EC">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42FC8A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5C04FDB7">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12</w:t>
                  </w:r>
                </w:p>
              </w:tc>
              <w:tc>
                <w:tcPr>
                  <w:tcW w:w="5112" w:type="dxa"/>
                  <w:tcBorders>
                    <w:tl2br w:val="nil"/>
                    <w:tr2bl w:val="nil"/>
                  </w:tcBorders>
                  <w:noWrap w:val="0"/>
                  <w:vAlign w:val="center"/>
                </w:tcPr>
                <w:p w14:paraId="23074BA3">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第十五条 禁止在长江湖南段和洞庭湖、湘江、资江、沅江，遭水干流岸线一公里范围内新建、扩建化工园区和化工项目。禁止在长江湖南段岸线二公里范围内和湘江、资江、沅江遭水岸线一公里范围内新建、改建、扩建尾矿库、冶炼渣库和磷石膏库，以提升安全，生态环境保护水平为目的的改建除外。</w:t>
                  </w:r>
                </w:p>
              </w:tc>
              <w:tc>
                <w:tcPr>
                  <w:tcW w:w="1842" w:type="dxa"/>
                  <w:tcBorders>
                    <w:tl2br w:val="nil"/>
                    <w:tr2bl w:val="nil"/>
                  </w:tcBorders>
                  <w:noWrap w:val="0"/>
                  <w:vAlign w:val="center"/>
                </w:tcPr>
                <w:p w14:paraId="66DB0E50">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本项目不属于化工园区和化工项目：本项目不属于尾矿库、冶炼渣库和磷右膏库。</w:t>
                  </w:r>
                </w:p>
              </w:tc>
              <w:tc>
                <w:tcPr>
                  <w:tcW w:w="447" w:type="dxa"/>
                  <w:tcBorders>
                    <w:tl2br w:val="nil"/>
                    <w:tr2bl w:val="nil"/>
                  </w:tcBorders>
                  <w:noWrap w:val="0"/>
                  <w:vAlign w:val="center"/>
                </w:tcPr>
                <w:p w14:paraId="6AED6B49">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7A67F7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20F2977E">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eastAsia="宋体" w:cs="Times New Roman"/>
                      <w:color w:val="auto"/>
                      <w:u w:val="none" w:color="auto"/>
                      <w:lang w:val="en-US" w:eastAsia="zh-CN"/>
                    </w:rPr>
                    <w:t>13</w:t>
                  </w:r>
                </w:p>
              </w:tc>
              <w:tc>
                <w:tcPr>
                  <w:tcW w:w="5112" w:type="dxa"/>
                  <w:tcBorders>
                    <w:tl2br w:val="nil"/>
                    <w:tr2bl w:val="nil"/>
                  </w:tcBorders>
                  <w:noWrap w:val="0"/>
                  <w:vAlign w:val="center"/>
                </w:tcPr>
                <w:p w14:paraId="78D70457">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第十六条 禁止在合规园区外新建、扩建钢铁、石化、化工、焦化、建材、有色、制浆造纸等高污染项目。高污染项目严格按照生态环境部《环境保护综合名录（2021年版）》有关要求执行。</w:t>
                  </w:r>
                </w:p>
              </w:tc>
              <w:tc>
                <w:tcPr>
                  <w:tcW w:w="1842" w:type="dxa"/>
                  <w:tcBorders>
                    <w:tl2br w:val="nil"/>
                    <w:tr2bl w:val="nil"/>
                  </w:tcBorders>
                  <w:noWrap w:val="0"/>
                  <w:vAlign w:val="center"/>
                </w:tcPr>
                <w:p w14:paraId="5F10473A">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本项目不属于钢铁、石化、化工、焦化、建材、有色、制浆造纸等高污染项目。</w:t>
                  </w:r>
                </w:p>
              </w:tc>
              <w:tc>
                <w:tcPr>
                  <w:tcW w:w="447" w:type="dxa"/>
                  <w:tcBorders>
                    <w:tl2br w:val="nil"/>
                    <w:tr2bl w:val="nil"/>
                  </w:tcBorders>
                  <w:noWrap w:val="0"/>
                  <w:vAlign w:val="center"/>
                </w:tcPr>
                <w:p w14:paraId="7646B19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219D9C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0207E793">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eastAsia="宋体" w:cs="Times New Roman"/>
                      <w:color w:val="auto"/>
                      <w:u w:val="none" w:color="auto"/>
                      <w:lang w:val="en-US" w:eastAsia="zh-CN"/>
                    </w:rPr>
                    <w:t>14</w:t>
                  </w:r>
                </w:p>
              </w:tc>
              <w:tc>
                <w:tcPr>
                  <w:tcW w:w="5112" w:type="dxa"/>
                  <w:tcBorders>
                    <w:tl2br w:val="nil"/>
                    <w:tr2bl w:val="nil"/>
                  </w:tcBorders>
                  <w:noWrap w:val="0"/>
                  <w:vAlign w:val="center"/>
                </w:tcPr>
                <w:p w14:paraId="76AC6E83">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第十七条 禁止新建、扩建不符合国家石化、现代煤化工等产业布局规划的项目。未通过认定的化工园区，不得新建改扩建化工项目（安全、环保、节能和智能化改造项目除外）。</w:t>
                  </w:r>
                </w:p>
              </w:tc>
              <w:tc>
                <w:tcPr>
                  <w:tcW w:w="1842" w:type="dxa"/>
                  <w:tcBorders>
                    <w:tl2br w:val="nil"/>
                    <w:tr2bl w:val="nil"/>
                  </w:tcBorders>
                  <w:noWrap w:val="0"/>
                  <w:vAlign w:val="center"/>
                </w:tcPr>
                <w:p w14:paraId="662877D1">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本项目不属于石化、现代煤化工等项目。</w:t>
                  </w:r>
                </w:p>
              </w:tc>
              <w:tc>
                <w:tcPr>
                  <w:tcW w:w="447" w:type="dxa"/>
                  <w:tcBorders>
                    <w:tl2br w:val="nil"/>
                    <w:tr2bl w:val="nil"/>
                  </w:tcBorders>
                  <w:noWrap w:val="0"/>
                  <w:vAlign w:val="center"/>
                </w:tcPr>
                <w:p w14:paraId="6E6495F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0CB237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14:paraId="77C752F8">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u w:val="none" w:color="auto"/>
                      <w:lang w:val="en-US" w:eastAsia="zh-CN" w:bidi="ar-SA"/>
                    </w:rPr>
                  </w:pPr>
                  <w:r>
                    <w:rPr>
                      <w:rFonts w:hint="default" w:ascii="Times New Roman" w:hAnsi="Times New Roman" w:eastAsia="宋体" w:cs="Times New Roman"/>
                      <w:color w:val="auto"/>
                      <w:u w:val="none" w:color="auto"/>
                      <w:lang w:val="en-US" w:eastAsia="zh-CN"/>
                    </w:rPr>
                    <w:t>15</w:t>
                  </w:r>
                </w:p>
              </w:tc>
              <w:tc>
                <w:tcPr>
                  <w:tcW w:w="5112" w:type="dxa"/>
                  <w:tcBorders>
                    <w:tl2br w:val="nil"/>
                    <w:tr2bl w:val="nil"/>
                  </w:tcBorders>
                  <w:noWrap w:val="0"/>
                  <w:vAlign w:val="center"/>
                </w:tcPr>
                <w:p w14:paraId="5AE2330D">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u w:val="none" w:color="auto"/>
                      <w:lang w:val="en-US" w:eastAsia="zh-CN" w:bidi="ar-SA"/>
                    </w:rPr>
                  </w:pPr>
                  <w:r>
                    <w:rPr>
                      <w:rFonts w:hint="default" w:ascii="Times New Roman" w:hAnsi="Times New Roman" w:eastAsia="宋体" w:cs="Times New Roman"/>
                      <w:color w:val="auto"/>
                      <w:u w:val="none" w:color="auto"/>
                      <w:lang w:val="en-US" w:eastAsia="zh-CN"/>
                    </w:rPr>
                    <w:t>第十八条 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842" w:type="dxa"/>
                  <w:tcBorders>
                    <w:tl2br w:val="nil"/>
                    <w:tr2bl w:val="nil"/>
                  </w:tcBorders>
                  <w:noWrap w:val="0"/>
                  <w:vAlign w:val="center"/>
                </w:tcPr>
                <w:p w14:paraId="4C701BD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u w:val="none" w:color="auto"/>
                      <w:lang w:val="en-US" w:eastAsia="zh-CN" w:bidi="ar-SA"/>
                    </w:rPr>
                  </w:pPr>
                  <w:r>
                    <w:rPr>
                      <w:rFonts w:hint="default" w:ascii="Times New Roman" w:hAnsi="Times New Roman" w:eastAsia="宋体" w:cs="Times New Roman"/>
                      <w:color w:val="auto"/>
                      <w:u w:val="none" w:color="auto"/>
                      <w:lang w:val="en-US" w:eastAsia="zh-CN"/>
                    </w:rPr>
                    <w:t>本项目不属于落后产能项目，不属于严重过剩产能行业，不属于高耗能高排放项目。</w:t>
                  </w:r>
                </w:p>
              </w:tc>
              <w:tc>
                <w:tcPr>
                  <w:tcW w:w="447" w:type="dxa"/>
                  <w:tcBorders>
                    <w:tl2br w:val="nil"/>
                    <w:tr2bl w:val="nil"/>
                  </w:tcBorders>
                  <w:noWrap w:val="0"/>
                  <w:vAlign w:val="center"/>
                </w:tcPr>
                <w:p w14:paraId="5F25A006">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u w:val="none" w:color="auto"/>
                      <w:lang w:val="en-US" w:eastAsia="zh-CN" w:bidi="ar-SA"/>
                    </w:rPr>
                  </w:pPr>
                  <w:r>
                    <w:rPr>
                      <w:rFonts w:hint="default" w:ascii="Times New Roman" w:hAnsi="Times New Roman" w:eastAsia="宋体" w:cs="Times New Roman"/>
                      <w:color w:val="auto"/>
                      <w:u w:val="none" w:color="auto"/>
                      <w:lang w:val="en-US" w:eastAsia="zh-CN"/>
                    </w:rPr>
                    <w:t>符合</w:t>
                  </w:r>
                </w:p>
              </w:tc>
            </w:tr>
          </w:tbl>
          <w:p w14:paraId="5478117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lang w:val="en-US" w:eastAsia="zh-CN"/>
              </w:rPr>
              <w:t>综上，</w:t>
            </w:r>
            <w:r>
              <w:rPr>
                <w:rFonts w:hint="default" w:ascii="Times New Roman" w:hAnsi="Times New Roman" w:cs="Times New Roman"/>
                <w:color w:val="auto"/>
                <w:sz w:val="24"/>
                <w:szCs w:val="24"/>
                <w:u w:val="none" w:color="auto"/>
              </w:rPr>
              <w:t>本项目不涉及相关自然保护区域、野生动物迁徙洄游通道，项目为</w:t>
            </w:r>
            <w:r>
              <w:rPr>
                <w:rFonts w:hint="default" w:ascii="Times New Roman" w:hAnsi="Times New Roman" w:cs="Times New Roman"/>
                <w:color w:val="auto"/>
                <w:sz w:val="24"/>
                <w:szCs w:val="24"/>
                <w:u w:val="none" w:color="auto"/>
                <w:lang w:val="en-US" w:eastAsia="zh-CN"/>
              </w:rPr>
              <w:t>民生工程，</w:t>
            </w:r>
            <w:r>
              <w:rPr>
                <w:rFonts w:hint="default" w:ascii="Times New Roman" w:hAnsi="Times New Roman" w:eastAsia="宋体" w:cs="Times New Roman"/>
                <w:color w:val="auto"/>
                <w:sz w:val="24"/>
                <w:szCs w:val="24"/>
                <w:u w:val="none" w:color="auto"/>
                <w:lang w:val="en-US" w:eastAsia="zh-CN"/>
              </w:rPr>
              <w:t>主要</w:t>
            </w:r>
            <w:r>
              <w:rPr>
                <w:rFonts w:hint="eastAsia" w:ascii="Times New Roman" w:hAnsi="Times New Roman" w:eastAsia="宋体" w:cs="Times New Roman"/>
                <w:color w:val="auto"/>
                <w:sz w:val="24"/>
                <w:szCs w:val="24"/>
                <w:u w:val="none" w:color="auto"/>
                <w:lang w:val="en-US" w:eastAsia="zh-CN"/>
              </w:rPr>
              <w:t>为</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default" w:ascii="Times New Roman" w:hAnsi="Times New Roman" w:eastAsia="宋体" w:cs="Times New Roman"/>
                <w:color w:val="auto"/>
                <w:sz w:val="24"/>
                <w:szCs w:val="24"/>
                <w:u w:val="none" w:color="auto"/>
              </w:rPr>
              <w:t>，不属于新建</w:t>
            </w:r>
            <w:r>
              <w:rPr>
                <w:rFonts w:hint="default" w:ascii="Times New Roman" w:hAnsi="Times New Roman" w:cs="Times New Roman"/>
                <w:color w:val="auto"/>
                <w:sz w:val="24"/>
                <w:szCs w:val="24"/>
                <w:u w:val="none" w:color="auto"/>
              </w:rPr>
              <w:t>排污口、非法围垦河道和围湖造田造地等投资建设项目、不开展生产线捕捞</w:t>
            </w:r>
            <w:r>
              <w:rPr>
                <w:rFonts w:hint="default" w:ascii="Times New Roman" w:hAnsi="Times New Roman" w:cs="Times New Roman"/>
                <w:color w:val="auto"/>
                <w:sz w:val="24"/>
                <w:szCs w:val="24"/>
                <w:u w:val="none" w:color="auto"/>
                <w:lang w:val="en-US" w:eastAsia="zh-CN"/>
              </w:rPr>
              <w:t>等</w:t>
            </w:r>
            <w:r>
              <w:rPr>
                <w:rFonts w:hint="default" w:ascii="Times New Roman" w:hAnsi="Times New Roman" w:cs="Times New Roman"/>
                <w:color w:val="auto"/>
                <w:sz w:val="24"/>
                <w:szCs w:val="24"/>
                <w:u w:val="none" w:color="auto"/>
              </w:rPr>
              <w:t>。因此，本项目符合《湖南省长江经济带发展负面清单实施细则（试行，2022年版）》的要求。</w:t>
            </w:r>
          </w:p>
          <w:p w14:paraId="6BF51B46">
            <w:pPr>
              <w:pStyle w:val="68"/>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w:t>
            </w:r>
            <w:r>
              <w:rPr>
                <w:rFonts w:hint="eastAsia" w:cs="Times New Roman"/>
                <w:b/>
                <w:bCs/>
                <w:color w:val="auto"/>
                <w:u w:val="none" w:color="auto"/>
                <w:lang w:val="en-US" w:eastAsia="zh-CN"/>
              </w:rPr>
              <w:t>6</w:t>
            </w:r>
            <w:r>
              <w:rPr>
                <w:rFonts w:hint="eastAsia" w:ascii="Times New Roman" w:hAnsi="Times New Roman" w:cs="Times New Roman"/>
                <w:b/>
                <w:bCs/>
                <w:color w:val="auto"/>
                <w:u w:val="none" w:color="auto"/>
                <w:lang w:val="en-US" w:eastAsia="zh-CN"/>
              </w:rPr>
              <w:t>）</w:t>
            </w:r>
            <w:r>
              <w:rPr>
                <w:rFonts w:hint="default" w:ascii="Times New Roman" w:hAnsi="Times New Roman" w:cs="Times New Roman"/>
                <w:b/>
                <w:bCs/>
                <w:color w:val="auto"/>
                <w:u w:val="none" w:color="auto"/>
                <w:lang w:val="en-US" w:eastAsia="zh-CN"/>
              </w:rPr>
              <w:t>与</w:t>
            </w:r>
            <w:r>
              <w:rPr>
                <w:rFonts w:hint="eastAsia" w:ascii="Times New Roman" w:hAnsi="Times New Roman" w:cs="Times New Roman"/>
                <w:b/>
                <w:bCs/>
                <w:color w:val="auto"/>
                <w:u w:val="none" w:color="auto"/>
                <w:lang w:val="en-US" w:eastAsia="zh-CN"/>
              </w:rPr>
              <w:t>《中华人民共和国自然保护区条例》</w:t>
            </w:r>
            <w:r>
              <w:rPr>
                <w:rFonts w:hint="default" w:ascii="Times New Roman" w:hAnsi="Times New Roman" w:cs="Times New Roman"/>
                <w:b/>
                <w:bCs/>
                <w:color w:val="auto"/>
                <w:u w:val="none" w:color="auto"/>
                <w:lang w:val="en-US" w:eastAsia="zh-CN"/>
              </w:rPr>
              <w:t>的符合性分析</w:t>
            </w:r>
          </w:p>
          <w:p w14:paraId="46DE619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 xml:space="preserve">根据《中华人民共和国自然保护区条例》中规定的“第三十二条  </w:t>
            </w:r>
            <w:r>
              <w:rPr>
                <w:rFonts w:hint="eastAsia" w:ascii="Times New Roman" w:hAnsi="Times New Roman" w:cs="Times New Roman"/>
                <w:color w:val="auto"/>
                <w:sz w:val="24"/>
                <w:szCs w:val="24"/>
                <w:u w:val="none" w:color="auto"/>
              </w:rPr>
              <w:t>在自然保护区的核心区和缓冲区内，不得建设任何生产设施。在自然保护区的实验区内，不得建设污染环境、破坏资源或者景观的生产设施；建设其他项目，其污染物排放不得超过国家和地方规定的污染物排放标准。在自然保护区的实验区内已经建成的设施，其污染物排放超过国家和地方规定的排放标准的，应当限期治理；造成损害的，必须采取补救措施。</w:t>
            </w:r>
            <w:r>
              <w:rPr>
                <w:rFonts w:hint="eastAsia" w:ascii="Times New Roman" w:hAnsi="Times New Roman" w:cs="Times New Roman"/>
                <w:color w:val="auto"/>
                <w:sz w:val="24"/>
                <w:szCs w:val="24"/>
                <w:u w:val="none" w:color="auto"/>
                <w:lang w:val="en-US" w:eastAsia="zh-CN"/>
              </w:rPr>
              <w:t>”，本项目位于岳阳市</w:t>
            </w:r>
            <w:r>
              <w:rPr>
                <w:rFonts w:hint="eastAsia" w:ascii="Times New Roman" w:hAnsi="Times New Roman" w:eastAsia="宋体" w:cs="Times New Roman"/>
                <w:color w:val="auto"/>
                <w:sz w:val="24"/>
                <w:szCs w:val="24"/>
                <w:u w:val="none" w:color="auto"/>
                <w:lang w:val="en-US" w:eastAsia="zh-CN"/>
              </w:rPr>
              <w:t>东洞庭湖国家级自然保护区试验区内，项目属于</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eastAsia" w:ascii="Times New Roman" w:hAnsi="Times New Roman" w:eastAsia="宋体" w:cs="Times New Roman"/>
                <w:color w:val="auto"/>
                <w:sz w:val="24"/>
                <w:szCs w:val="24"/>
                <w:u w:val="none" w:color="auto"/>
                <w:lang w:val="en-US" w:eastAsia="zh-CN"/>
              </w:rPr>
              <w:t>，建成后，无污染物产生，</w:t>
            </w:r>
            <w:r>
              <w:rPr>
                <w:rFonts w:hint="eastAsia" w:ascii="Times New Roman" w:hAnsi="Times New Roman" w:cs="Times New Roman"/>
                <w:color w:val="auto"/>
                <w:sz w:val="24"/>
                <w:szCs w:val="24"/>
                <w:u w:val="none" w:color="auto"/>
                <w:lang w:val="en-US" w:eastAsia="zh-CN"/>
              </w:rPr>
              <w:t>故，本项目的建设符合《中华人民共和国自然保护区条例》中相关规定。</w:t>
            </w:r>
          </w:p>
          <w:p w14:paraId="51C2C423">
            <w:pPr>
              <w:pStyle w:val="68"/>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w:t>
            </w:r>
            <w:r>
              <w:rPr>
                <w:rFonts w:hint="eastAsia" w:cs="Times New Roman"/>
                <w:b/>
                <w:bCs/>
                <w:color w:val="auto"/>
                <w:u w:val="none" w:color="auto"/>
                <w:lang w:val="en-US" w:eastAsia="zh-CN"/>
              </w:rPr>
              <w:t>7</w:t>
            </w:r>
            <w:r>
              <w:rPr>
                <w:rFonts w:hint="eastAsia" w:ascii="Times New Roman" w:hAnsi="Times New Roman" w:cs="Times New Roman"/>
                <w:b/>
                <w:bCs/>
                <w:color w:val="auto"/>
                <w:u w:val="none" w:color="auto"/>
                <w:lang w:val="en-US" w:eastAsia="zh-CN"/>
              </w:rPr>
              <w:t>）</w:t>
            </w:r>
            <w:r>
              <w:rPr>
                <w:rFonts w:hint="default" w:ascii="Times New Roman" w:hAnsi="Times New Roman" w:cs="Times New Roman"/>
                <w:b/>
                <w:bCs/>
                <w:color w:val="auto"/>
                <w:u w:val="none" w:color="auto"/>
                <w:lang w:val="en-US" w:eastAsia="zh-CN"/>
              </w:rPr>
              <w:t>与</w:t>
            </w:r>
            <w:r>
              <w:rPr>
                <w:rFonts w:hint="eastAsia" w:ascii="Times New Roman" w:hAnsi="Times New Roman" w:cs="Times New Roman"/>
                <w:b/>
                <w:bCs/>
                <w:color w:val="auto"/>
                <w:u w:val="none" w:color="auto"/>
                <w:lang w:val="en-US" w:eastAsia="zh-CN"/>
              </w:rPr>
              <w:t>《岳阳市东洞庭湖国家级自然保护区条例》</w:t>
            </w:r>
            <w:r>
              <w:rPr>
                <w:rFonts w:hint="default" w:ascii="Times New Roman" w:hAnsi="Times New Roman" w:cs="Times New Roman"/>
                <w:b/>
                <w:bCs/>
                <w:color w:val="auto"/>
                <w:u w:val="none" w:color="auto"/>
                <w:lang w:val="en-US" w:eastAsia="zh-CN"/>
              </w:rPr>
              <w:t>的符合性分析</w:t>
            </w:r>
          </w:p>
          <w:p w14:paraId="7FF6A579">
            <w:pPr>
              <w:pStyle w:val="68"/>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根据《岳阳市东洞庭湖国家级自然保护区条例》中规定的“第三十条  在实验区可以进行科学试验、教学实习、参观考察、旅游以及驯化、繁殖珍稀、濒危野生动植物和符合保护区保护方向与总体规划的生产经营活动以及经批准的基础设施和公益事业项目建设。”以及“第三十四条  实验区内不得建设污染环境、破坏资源或者景观的生产设施；建设其他项目以及实验区内已建成的设施，其污染物排放不得超过国家或者地方规定的污染物排放标准或者重点污染物排放总量控制指标。”，</w:t>
            </w:r>
            <w:r>
              <w:rPr>
                <w:rFonts w:hint="eastAsia" w:ascii="Times New Roman" w:hAnsi="Times New Roman" w:cs="Times New Roman"/>
                <w:color w:val="auto"/>
                <w:sz w:val="24"/>
                <w:szCs w:val="24"/>
                <w:u w:val="none" w:color="auto"/>
                <w:lang w:val="en-US" w:eastAsia="zh-CN"/>
              </w:rPr>
              <w:t>本项目位于岳阳市东洞庭湖国家级自然保护区试验</w:t>
            </w:r>
            <w:r>
              <w:rPr>
                <w:rFonts w:hint="eastAsia" w:ascii="Times New Roman" w:hAnsi="Times New Roman" w:eastAsia="宋体" w:cs="Times New Roman"/>
                <w:color w:val="auto"/>
                <w:sz w:val="24"/>
                <w:szCs w:val="24"/>
                <w:u w:val="none" w:color="auto"/>
                <w:lang w:val="en-US" w:eastAsia="zh-CN"/>
              </w:rPr>
              <w:t>区内，属于管道运输业，为</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eastAsia" w:ascii="Times New Roman" w:hAnsi="Times New Roman" w:eastAsia="宋体" w:cs="Times New Roman"/>
                <w:color w:val="auto"/>
                <w:sz w:val="24"/>
                <w:szCs w:val="24"/>
                <w:u w:val="none" w:color="auto"/>
                <w:lang w:val="en-US" w:eastAsia="zh-CN"/>
              </w:rPr>
              <w:t>，属</w:t>
            </w:r>
            <w:r>
              <w:rPr>
                <w:rFonts w:hint="eastAsia" w:ascii="Times New Roman" w:hAnsi="Times New Roman" w:cs="Times New Roman"/>
                <w:color w:val="auto"/>
                <w:sz w:val="24"/>
                <w:szCs w:val="24"/>
                <w:u w:val="none" w:color="auto"/>
                <w:lang w:val="en-US" w:eastAsia="zh-CN"/>
              </w:rPr>
              <w:t>于</w:t>
            </w:r>
            <w:r>
              <w:rPr>
                <w:rFonts w:hint="eastAsia" w:cs="Times New Roman"/>
                <w:color w:val="auto"/>
                <w:sz w:val="24"/>
                <w:szCs w:val="24"/>
                <w:u w:val="none" w:color="auto"/>
                <w:lang w:val="en-US" w:eastAsia="zh-CN"/>
              </w:rPr>
              <w:t>民生项目</w:t>
            </w:r>
            <w:r>
              <w:rPr>
                <w:rFonts w:hint="eastAsia" w:ascii="Times New Roman" w:hAnsi="Times New Roman" w:cs="Times New Roman"/>
                <w:color w:val="auto"/>
                <w:sz w:val="24"/>
                <w:szCs w:val="24"/>
                <w:u w:val="none" w:color="auto"/>
                <w:lang w:val="en-US" w:eastAsia="zh-CN"/>
              </w:rPr>
              <w:t>建设，项目建成后，</w:t>
            </w:r>
            <w:r>
              <w:rPr>
                <w:rFonts w:hint="eastAsia" w:cs="Times New Roman"/>
                <w:color w:val="auto"/>
                <w:sz w:val="24"/>
                <w:szCs w:val="24"/>
                <w:u w:val="none" w:color="auto"/>
                <w:lang w:val="en-US" w:eastAsia="zh-CN"/>
              </w:rPr>
              <w:t>无污染物产生和排放</w:t>
            </w:r>
            <w:r>
              <w:rPr>
                <w:rFonts w:hint="eastAsia" w:ascii="Times New Roman" w:hAnsi="Times New Roman" w:cs="Times New Roman"/>
                <w:color w:val="auto"/>
                <w:sz w:val="24"/>
                <w:szCs w:val="24"/>
                <w:u w:val="none" w:color="auto"/>
                <w:lang w:val="en-US" w:eastAsia="zh-CN"/>
              </w:rPr>
              <w:t>，</w:t>
            </w:r>
            <w:r>
              <w:rPr>
                <w:rFonts w:hint="eastAsia" w:cs="Times New Roman"/>
                <w:color w:val="auto"/>
                <w:sz w:val="24"/>
                <w:szCs w:val="24"/>
                <w:u w:val="none" w:color="auto"/>
                <w:lang w:val="en-US" w:eastAsia="zh-CN"/>
              </w:rPr>
              <w:t>且已取得湖南省林业局关于在湖南东洞庭湖国家级自然保护区建设华容县团洲境灾后农村居民集中安置房项目（包括市政基础设施配套和交通道路），具体见附件，</w:t>
            </w:r>
            <w:r>
              <w:rPr>
                <w:rFonts w:hint="eastAsia" w:ascii="Times New Roman" w:hAnsi="Times New Roman" w:cs="Times New Roman"/>
                <w:color w:val="auto"/>
                <w:sz w:val="24"/>
                <w:szCs w:val="24"/>
                <w:u w:val="none" w:color="auto"/>
                <w:lang w:val="en-US" w:eastAsia="zh-CN"/>
              </w:rPr>
              <w:t>故，本项目的建设符合《岳阳市东洞庭湖国家级自然保护区条例》中相关规定。</w:t>
            </w:r>
          </w:p>
          <w:p w14:paraId="1193C53C">
            <w:pPr>
              <w:pStyle w:val="68"/>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w:t>
            </w:r>
            <w:r>
              <w:rPr>
                <w:rFonts w:hint="eastAsia" w:cs="Times New Roman"/>
                <w:b/>
                <w:bCs/>
                <w:color w:val="auto"/>
                <w:u w:val="none" w:color="auto"/>
                <w:lang w:val="en-US" w:eastAsia="zh-CN"/>
              </w:rPr>
              <w:t>8</w:t>
            </w:r>
            <w:r>
              <w:rPr>
                <w:rFonts w:hint="eastAsia" w:ascii="Times New Roman" w:hAnsi="Times New Roman" w:cs="Times New Roman"/>
                <w:b/>
                <w:bCs/>
                <w:color w:val="auto"/>
                <w:u w:val="none" w:color="auto"/>
                <w:lang w:val="en-US" w:eastAsia="zh-CN"/>
              </w:rPr>
              <w:t>）</w:t>
            </w:r>
            <w:r>
              <w:rPr>
                <w:rFonts w:hint="default" w:ascii="Times New Roman" w:hAnsi="Times New Roman" w:cs="Times New Roman"/>
                <w:b/>
                <w:bCs/>
                <w:color w:val="auto"/>
                <w:u w:val="none" w:color="auto"/>
                <w:lang w:val="en-US" w:eastAsia="zh-CN"/>
              </w:rPr>
              <w:t>与</w:t>
            </w:r>
            <w:r>
              <w:rPr>
                <w:rFonts w:hint="eastAsia" w:ascii="Times New Roman" w:hAnsi="Times New Roman" w:cs="Times New Roman"/>
                <w:b/>
                <w:bCs/>
                <w:color w:val="auto"/>
                <w:u w:val="none" w:color="auto"/>
                <w:lang w:val="en-US" w:eastAsia="zh-CN"/>
              </w:rPr>
              <w:t>《湖南省洞庭湖保护条例》</w:t>
            </w:r>
            <w:r>
              <w:rPr>
                <w:rFonts w:hint="default" w:ascii="Times New Roman" w:hAnsi="Times New Roman" w:cs="Times New Roman"/>
                <w:b/>
                <w:bCs/>
                <w:color w:val="auto"/>
                <w:u w:val="none" w:color="auto"/>
                <w:lang w:val="en-US" w:eastAsia="zh-CN"/>
              </w:rPr>
              <w:t>的符合性分析</w:t>
            </w:r>
          </w:p>
          <w:p w14:paraId="458DFD0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color w:val="auto"/>
                <w:u w:val="none" w:color="auto"/>
                <w:lang w:val="en-US" w:eastAsia="zh-CN"/>
              </w:rPr>
            </w:pPr>
            <w:r>
              <w:rPr>
                <w:rFonts w:hint="eastAsia" w:ascii="Times New Roman" w:hAnsi="Times New Roman" w:cs="Times New Roman"/>
                <w:color w:val="auto"/>
                <w:sz w:val="24"/>
                <w:szCs w:val="24"/>
                <w:u w:val="none" w:color="auto"/>
                <w:lang w:val="en-US" w:eastAsia="zh-CN"/>
              </w:rPr>
              <w:t>根据《湖南省洞庭湖保护条例》中规定的“第二十八条 湖区市、县（市、区）人民政府应当按照国家、省有关标准统筹安排城乡排水与污水收集处理管网建设、改造和运行，确保生产生活污水全面收集，达标排放。”以及“第二十九条 湖区市、县（市、区）人民政府应当实施生活废弃物分类处理制度，建设生活废弃物分类投放、收集、中转和运输设施，完善城乡垃圾收集转运体系，推进城乡垃圾一体化处理，实行综合利用和无害化处理。”，本项目位于岳阳市东洞庭湖国家级自然保护区试验区内，</w:t>
            </w:r>
            <w:r>
              <w:rPr>
                <w:rFonts w:hint="eastAsia" w:ascii="Times New Roman" w:hAnsi="Times New Roman" w:eastAsia="宋体" w:cs="Times New Roman"/>
                <w:color w:val="auto"/>
                <w:sz w:val="24"/>
                <w:szCs w:val="24"/>
                <w:u w:val="none" w:color="auto"/>
                <w:lang w:val="en-US" w:eastAsia="zh-CN"/>
              </w:rPr>
              <w:t>属于管道运输业，为</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eastAsia" w:ascii="Times New Roman" w:hAnsi="Times New Roman" w:cs="Times New Roman"/>
                <w:color w:val="auto"/>
                <w:sz w:val="24"/>
                <w:szCs w:val="24"/>
                <w:u w:val="none" w:color="auto"/>
                <w:lang w:val="en-US" w:eastAsia="zh-CN"/>
              </w:rPr>
              <w:t>，属于公益事业项目建设，项目建成后，</w:t>
            </w:r>
            <w:r>
              <w:rPr>
                <w:rFonts w:hint="eastAsia" w:cs="Times New Roman"/>
                <w:color w:val="auto"/>
                <w:sz w:val="24"/>
                <w:szCs w:val="24"/>
                <w:u w:val="none" w:color="auto"/>
                <w:lang w:val="en-US" w:eastAsia="zh-CN"/>
              </w:rPr>
              <w:t>无污染物产生和排放</w:t>
            </w:r>
            <w:r>
              <w:rPr>
                <w:rFonts w:hint="eastAsia" w:ascii="Times New Roman" w:hAnsi="Times New Roman" w:cs="Times New Roman"/>
                <w:color w:val="auto"/>
                <w:sz w:val="24"/>
                <w:szCs w:val="24"/>
                <w:u w:val="none" w:color="auto"/>
                <w:lang w:val="en-US" w:eastAsia="zh-CN"/>
              </w:rPr>
              <w:t>，故，本项目的建设符合《湖南省洞庭湖保护条例》中相关规定。</w:t>
            </w:r>
          </w:p>
          <w:p w14:paraId="1DB60E19">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u w:val="none" w:color="auto"/>
              </w:rPr>
            </w:pPr>
          </w:p>
        </w:tc>
      </w:tr>
    </w:tbl>
    <w:p w14:paraId="177557A9">
      <w:pPr>
        <w:spacing w:line="360" w:lineRule="auto"/>
        <w:outlineLvl w:val="0"/>
        <w:rPr>
          <w:rFonts w:eastAsia="黑体"/>
          <w:color w:val="auto"/>
          <w:sz w:val="30"/>
          <w:u w:val="none" w:color="auto"/>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589A7D8">
      <w:pPr>
        <w:pStyle w:val="21"/>
        <w:jc w:val="center"/>
        <w:outlineLvl w:val="0"/>
        <w:rPr>
          <w:rFonts w:hint="eastAsia" w:ascii="黑体" w:hAnsi="黑体" w:eastAsia="黑体"/>
          <w:snapToGrid w:val="0"/>
          <w:color w:val="auto"/>
          <w:sz w:val="30"/>
          <w:szCs w:val="30"/>
          <w:u w:val="none" w:color="auto"/>
          <w:lang w:val="en-US" w:eastAsia="zh-CN"/>
        </w:rPr>
      </w:pPr>
      <w:bookmarkStart w:id="5" w:name="_Toc27846"/>
      <w:bookmarkStart w:id="6" w:name="_Toc7578"/>
      <w:bookmarkStart w:id="7" w:name="_Toc19135"/>
      <w:bookmarkStart w:id="8" w:name="_Toc536"/>
      <w:r>
        <w:rPr>
          <w:rFonts w:hint="eastAsia" w:ascii="黑体" w:hAnsi="黑体" w:eastAsia="黑体"/>
          <w:snapToGrid w:val="0"/>
          <w:color w:val="auto"/>
          <w:sz w:val="30"/>
          <w:szCs w:val="30"/>
          <w:u w:val="none" w:color="auto"/>
        </w:rPr>
        <w:t>二、建设</w:t>
      </w:r>
      <w:bookmarkEnd w:id="5"/>
      <w:r>
        <w:rPr>
          <w:rFonts w:hint="eastAsia" w:ascii="黑体" w:hAnsi="黑体" w:eastAsia="黑体"/>
          <w:snapToGrid w:val="0"/>
          <w:color w:val="auto"/>
          <w:sz w:val="30"/>
          <w:szCs w:val="30"/>
          <w:u w:val="none" w:color="auto"/>
          <w:lang w:val="en-US" w:eastAsia="zh-CN"/>
        </w:rPr>
        <w:t>内容</w:t>
      </w:r>
      <w:bookmarkEnd w:id="6"/>
      <w:bookmarkEnd w:id="7"/>
      <w:bookmarkEnd w:id="8"/>
    </w:p>
    <w:tbl>
      <w:tblPr>
        <w:tblStyle w:val="25"/>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730BA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14:paraId="02C96C4F">
            <w:pPr>
              <w:pStyle w:val="21"/>
              <w:adjustRightInd w:val="0"/>
              <w:snapToGrid w:val="0"/>
              <w:spacing w:before="0" w:beforeAutospacing="0" w:after="0" w:afterAutospacing="0"/>
              <w:jc w:val="center"/>
              <w:rPr>
                <w:rFonts w:hint="eastAsia" w:ascii="Times New Roman" w:hAnsi="Times New Roman" w:cs="宋体"/>
                <w:color w:val="auto"/>
                <w:szCs w:val="21"/>
                <w:u w:val="none" w:color="auto"/>
              </w:rPr>
            </w:pPr>
            <w:r>
              <w:rPr>
                <w:rFonts w:hint="eastAsia" w:ascii="Times New Roman" w:hAnsi="Times New Roman" w:cs="宋体"/>
                <w:color w:val="auto"/>
                <w:szCs w:val="21"/>
                <w:u w:val="none" w:color="auto"/>
                <w:lang w:val="en-US" w:eastAsia="zh-CN"/>
              </w:rPr>
              <w:t>地理位置</w:t>
            </w:r>
          </w:p>
        </w:tc>
        <w:tc>
          <w:tcPr>
            <w:tcW w:w="8161" w:type="dxa"/>
            <w:vAlign w:val="top"/>
          </w:tcPr>
          <w:p w14:paraId="4A1BB4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本项目为</w:t>
            </w:r>
            <w:r>
              <w:rPr>
                <w:rFonts w:hint="default" w:ascii="Times New Roman" w:hAnsi="Times New Roman" w:eastAsia="宋体" w:cs="宋体"/>
                <w:bCs/>
                <w:color w:val="auto"/>
                <w:sz w:val="24"/>
                <w:szCs w:val="21"/>
                <w:u w:val="none" w:color="auto"/>
                <w:lang w:val="en-US" w:eastAsia="zh-CN"/>
              </w:rPr>
              <w:t>华容县团洲垸灾后重建安置房配套基础设施建设项目</w:t>
            </w:r>
            <w:r>
              <w:rPr>
                <w:rFonts w:hint="eastAsia" w:ascii="Times New Roman" w:hAnsi="Times New Roman" w:eastAsia="宋体" w:cs="宋体"/>
                <w:bCs/>
                <w:color w:val="auto"/>
                <w:sz w:val="24"/>
                <w:szCs w:val="21"/>
                <w:u w:val="none" w:color="auto"/>
                <w:lang w:val="en-US" w:eastAsia="zh-CN"/>
              </w:rPr>
              <w:t>，项目建设地点位于华容县团洲乡</w:t>
            </w:r>
            <w:r>
              <w:rPr>
                <w:rFonts w:hint="default" w:ascii="Times New Roman" w:hAnsi="Times New Roman" w:eastAsia="宋体" w:cs="宋体"/>
                <w:bCs/>
                <w:color w:val="auto"/>
                <w:sz w:val="24"/>
                <w:szCs w:val="21"/>
                <w:u w:val="none" w:color="auto"/>
                <w:lang w:val="en-US" w:eastAsia="zh-CN"/>
              </w:rPr>
              <w:t>团洲新村</w:t>
            </w:r>
            <w:r>
              <w:rPr>
                <w:rFonts w:hint="eastAsia" w:ascii="Times New Roman" w:hAnsi="Times New Roman" w:eastAsia="宋体" w:cs="宋体"/>
                <w:bCs/>
                <w:color w:val="auto"/>
                <w:sz w:val="24"/>
                <w:szCs w:val="21"/>
                <w:u w:val="none" w:color="auto"/>
                <w:lang w:val="en-US" w:eastAsia="zh-CN"/>
              </w:rPr>
              <w:t>。</w:t>
            </w:r>
          </w:p>
          <w:p w14:paraId="1651032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宋体"/>
                <w:bCs/>
                <w:color w:val="auto"/>
                <w:sz w:val="24"/>
                <w:szCs w:val="21"/>
                <w:u w:val="none" w:color="auto"/>
                <w:lang w:val="en-US" w:eastAsia="zh-CN"/>
              </w:rPr>
            </w:pPr>
            <w:r>
              <w:rPr>
                <w:color w:val="auto"/>
                <w:sz w:val="21"/>
                <w:u w:val="none" w:color="auto"/>
              </w:rPr>
              <mc:AlternateContent>
                <mc:Choice Requires="wps">
                  <w:drawing>
                    <wp:anchor distT="0" distB="0" distL="114300" distR="114300" simplePos="0" relativeHeight="251680768" behindDoc="0" locked="0" layoutInCell="1" allowOverlap="1">
                      <wp:simplePos x="0" y="0"/>
                      <wp:positionH relativeFrom="column">
                        <wp:posOffset>2697480</wp:posOffset>
                      </wp:positionH>
                      <wp:positionV relativeFrom="paragraph">
                        <wp:posOffset>1605280</wp:posOffset>
                      </wp:positionV>
                      <wp:extent cx="251460" cy="1010285"/>
                      <wp:effectExtent l="12065" t="3175" r="22225" b="15240"/>
                      <wp:wrapNone/>
                      <wp:docPr id="50" name="直接连接符 50"/>
                      <wp:cNvGraphicFramePr/>
                      <a:graphic xmlns:a="http://schemas.openxmlformats.org/drawingml/2006/main">
                        <a:graphicData uri="http://schemas.microsoft.com/office/word/2010/wordprocessingShape">
                          <wps:wsp>
                            <wps:cNvCnPr/>
                            <wps:spPr>
                              <a:xfrm flipH="1">
                                <a:off x="0" y="0"/>
                                <a:ext cx="251460" cy="1010285"/>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2.4pt;margin-top:126.4pt;height:79.55pt;width:19.8pt;z-index:251680768;mso-width-relative:page;mso-height-relative:page;" filled="f" stroked="t" coordsize="21600,21600" o:gfxdata="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ZXT0NcAAAAL&#10;AQAADwAAAAAAAAABACAAAAAiAAAAZHJzL2Rvd25yZXYueG1sUEsBAhQAFAAAAAgAh07iQGFpSZ7k&#10;AQAArAMAAA4AAAAAAAAAAQAgAAAAJgEAAGRycy9lMm9Eb2MueG1sUEsFBgAAAAAGAAYAWQEAAHwF&#10;AAAAAA==&#10;">
                      <v:fill on="f" focussize="0,0"/>
                      <v:stroke weight="2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79744" behindDoc="0" locked="0" layoutInCell="1" allowOverlap="1">
                      <wp:simplePos x="0" y="0"/>
                      <wp:positionH relativeFrom="column">
                        <wp:posOffset>2068830</wp:posOffset>
                      </wp:positionH>
                      <wp:positionV relativeFrom="paragraph">
                        <wp:posOffset>1082040</wp:posOffset>
                      </wp:positionV>
                      <wp:extent cx="400050" cy="1628775"/>
                      <wp:effectExtent l="12065" t="3175" r="26035" b="6350"/>
                      <wp:wrapNone/>
                      <wp:docPr id="49" name="直接连接符 49"/>
                      <wp:cNvGraphicFramePr/>
                      <a:graphic xmlns:a="http://schemas.openxmlformats.org/drawingml/2006/main">
                        <a:graphicData uri="http://schemas.microsoft.com/office/word/2010/wordprocessingShape">
                          <wps:wsp>
                            <wps:cNvCnPr/>
                            <wps:spPr>
                              <a:xfrm flipH="1">
                                <a:off x="3987800" y="3369945"/>
                                <a:ext cx="400050" cy="1628775"/>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62.9pt;margin-top:85.2pt;height:128.25pt;width:31.5pt;z-index:251679744;mso-width-relative:page;mso-height-relative:page;" filled="f" stroked="t" coordsize="21600,21600" o:gfxdata="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K/ol9cAAAALAQAADwAAAAAAAAABACAAAAAiAAAAZHJzL2Rvd25yZXYueG1sUEsB&#10;AhQAFAAAAAgAh07iQK+i+Jf2AQAAuAMAAA4AAAAAAAAAAQAgAAAAJgEAAGRycy9lMm9Eb2MueG1s&#10;UEsFBgAAAAAGAAYAWQEAAI4FAAAAAA==&#10;">
                      <v:fill on="f" focussize="0,0"/>
                      <v:stroke weight="2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78720" behindDoc="0" locked="0" layoutInCell="1" allowOverlap="1">
                      <wp:simplePos x="0" y="0"/>
                      <wp:positionH relativeFrom="column">
                        <wp:posOffset>1335405</wp:posOffset>
                      </wp:positionH>
                      <wp:positionV relativeFrom="paragraph">
                        <wp:posOffset>1215390</wp:posOffset>
                      </wp:positionV>
                      <wp:extent cx="2000250" cy="495300"/>
                      <wp:effectExtent l="3175" t="12065" r="15875" b="26035"/>
                      <wp:wrapNone/>
                      <wp:docPr id="4" name="直接连接符 4"/>
                      <wp:cNvGraphicFramePr/>
                      <a:graphic xmlns:a="http://schemas.openxmlformats.org/drawingml/2006/main">
                        <a:graphicData uri="http://schemas.microsoft.com/office/word/2010/wordprocessingShape">
                          <wps:wsp>
                            <wps:cNvCnPr/>
                            <wps:spPr>
                              <a:xfrm>
                                <a:off x="2854325" y="3503295"/>
                                <a:ext cx="2000250" cy="49530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5.15pt;margin-top:95.7pt;height:39pt;width:157.5pt;z-index:251678720;mso-width-relative:page;mso-height-relative:page;" filled="f" stroked="t" coordsize="21600,21600" o:gfxdata="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kN40bYAAAACwEAAA8AAAAAAAAAAQAgAAAAIgAAAGRycy9kb3ducmV2LnhtbFBLAQIUABQAAAAI&#10;AIdO4kASy1eV7QEAAKwDAAAOAAAAAAAAAAEAIAAAACcBAABkcnMvZTJvRG9jLnhtbFBLBQYAAAAA&#10;BgAGAFkBAACGBQAAAAA=&#10;">
                      <v:fill on="f" focussize="0,0"/>
                      <v:stroke weight="2pt" color="#FF0000 [3204]" joinstyle="round"/>
                      <v:imagedata o:title=""/>
                      <o:lock v:ext="edit" aspectratio="f"/>
                    </v:line>
                  </w:pict>
                </mc:Fallback>
              </mc:AlternateContent>
            </w:r>
            <w:r>
              <w:rPr>
                <w:color w:val="auto"/>
                <w:u w:val="none" w:color="auto"/>
              </w:rPr>
              <w:drawing>
                <wp:inline distT="0" distB="0" distL="114300" distR="114300">
                  <wp:extent cx="5038090" cy="3257550"/>
                  <wp:effectExtent l="0" t="0" r="1016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25"/>
                          <a:stretch>
                            <a:fillRect/>
                          </a:stretch>
                        </pic:blipFill>
                        <pic:spPr>
                          <a:xfrm>
                            <a:off x="0" y="0"/>
                            <a:ext cx="5038090" cy="3257550"/>
                          </a:xfrm>
                          <a:prstGeom prst="rect">
                            <a:avLst/>
                          </a:prstGeom>
                          <a:noFill/>
                          <a:ln>
                            <a:noFill/>
                          </a:ln>
                        </pic:spPr>
                      </pic:pic>
                    </a:graphicData>
                  </a:graphic>
                </wp:inline>
              </w:drawing>
            </w:r>
          </w:p>
          <w:p w14:paraId="2746CFF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highlight w:val="none"/>
                <w:u w:val="none" w:color="auto"/>
                <w:lang w:val="en-US" w:eastAsia="zh-CN"/>
              </w:rPr>
            </w:pPr>
            <w:r>
              <w:rPr>
                <w:rFonts w:hint="default" w:ascii="Times New Roman" w:hAnsi="Times New Roman" w:eastAsia="宋体" w:cs="Times New Roman"/>
                <w:b/>
                <w:bCs/>
                <w:color w:val="auto"/>
                <w:sz w:val="24"/>
                <w:szCs w:val="24"/>
                <w:highlight w:val="none"/>
                <w:u w:val="none" w:color="auto"/>
                <w:lang w:val="en-US" w:eastAsia="zh-CN"/>
              </w:rPr>
              <w:t>图2.1   项目</w:t>
            </w:r>
            <w:r>
              <w:rPr>
                <w:rFonts w:hint="eastAsia" w:cs="Times New Roman"/>
                <w:b/>
                <w:bCs/>
                <w:color w:val="auto"/>
                <w:sz w:val="24"/>
                <w:szCs w:val="24"/>
                <w:highlight w:val="none"/>
                <w:u w:val="none" w:color="auto"/>
                <w:lang w:val="en-US" w:eastAsia="zh-CN"/>
              </w:rPr>
              <w:t>城市道路</w:t>
            </w:r>
            <w:r>
              <w:rPr>
                <w:rFonts w:hint="default" w:ascii="Times New Roman" w:hAnsi="Times New Roman" w:eastAsia="宋体" w:cs="Times New Roman"/>
                <w:b/>
                <w:bCs/>
                <w:color w:val="auto"/>
                <w:sz w:val="24"/>
                <w:szCs w:val="24"/>
                <w:highlight w:val="none"/>
                <w:u w:val="none" w:color="auto"/>
                <w:lang w:val="en-US" w:eastAsia="zh-CN"/>
              </w:rPr>
              <w:t>地理位置示意图</w:t>
            </w:r>
          </w:p>
          <w:p w14:paraId="7B2130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highlight w:val="yellow"/>
                <w:u w:val="none" w:color="auto"/>
                <w:lang w:val="en-US" w:eastAsia="zh-CN"/>
              </w:rPr>
            </w:pPr>
            <w:r>
              <w:rPr>
                <w:color w:val="auto"/>
                <w:sz w:val="21"/>
                <w:u w:val="none" w:color="auto"/>
              </w:rPr>
              <mc:AlternateContent>
                <mc:Choice Requires="wps">
                  <w:drawing>
                    <wp:anchor distT="0" distB="0" distL="114300" distR="114300" simplePos="0" relativeHeight="251682816" behindDoc="0" locked="0" layoutInCell="1" allowOverlap="1">
                      <wp:simplePos x="0" y="0"/>
                      <wp:positionH relativeFrom="column">
                        <wp:posOffset>2687955</wp:posOffset>
                      </wp:positionH>
                      <wp:positionV relativeFrom="paragraph">
                        <wp:posOffset>1552575</wp:posOffset>
                      </wp:positionV>
                      <wp:extent cx="266700" cy="1031240"/>
                      <wp:effectExtent l="12065" t="3175" r="26035" b="13335"/>
                      <wp:wrapNone/>
                      <wp:docPr id="91" name="直接连接符 91"/>
                      <wp:cNvGraphicFramePr/>
                      <a:graphic xmlns:a="http://schemas.openxmlformats.org/drawingml/2006/main">
                        <a:graphicData uri="http://schemas.microsoft.com/office/word/2010/wordprocessingShape">
                          <wps:wsp>
                            <wps:cNvCnPr/>
                            <wps:spPr>
                              <a:xfrm flipH="1">
                                <a:off x="0" y="0"/>
                                <a:ext cx="266700" cy="103124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1.65pt;margin-top:122.25pt;height:81.2pt;width:21pt;z-index:251682816;mso-width-relative:page;mso-height-relative:page;" filled="f" stroked="t" coordsize="21600,21600" o:gfxdata="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M39SPW&#10;AAAACwEAAA8AAAAAAAAAAQAgAAAAIgAAAGRycy9kb3ducmV2LnhtbFBLAQIUABQAAAAIAIdO4kCi&#10;WnTy6QEAAKwDAAAOAAAAAAAAAAEAIAAAACUBAABkcnMvZTJvRG9jLnhtbFBLBQYAAAAABgAGAFkB&#10;AACABQAAAAA=&#10;">
                      <v:fill on="f" focussize="0,0"/>
                      <v:stroke weight="2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81792" behindDoc="0" locked="0" layoutInCell="1" allowOverlap="1">
                      <wp:simplePos x="0" y="0"/>
                      <wp:positionH relativeFrom="column">
                        <wp:posOffset>1363980</wp:posOffset>
                      </wp:positionH>
                      <wp:positionV relativeFrom="paragraph">
                        <wp:posOffset>1174115</wp:posOffset>
                      </wp:positionV>
                      <wp:extent cx="2000250" cy="495300"/>
                      <wp:effectExtent l="3175" t="12065" r="15875" b="26035"/>
                      <wp:wrapNone/>
                      <wp:docPr id="82" name="直接连接符 82"/>
                      <wp:cNvGraphicFramePr/>
                      <a:graphic xmlns:a="http://schemas.openxmlformats.org/drawingml/2006/main">
                        <a:graphicData uri="http://schemas.microsoft.com/office/word/2010/wordprocessingShape">
                          <wps:wsp>
                            <wps:cNvCnPr/>
                            <wps:spPr>
                              <a:xfrm>
                                <a:off x="0" y="0"/>
                                <a:ext cx="2000250" cy="49530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7.4pt;margin-top:92.45pt;height:39pt;width:157.5pt;z-index:251681792;mso-width-relative:page;mso-height-relative:page;" filled="f" stroked="t" coordsize="21600,21600" o:gfxdata="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v6sqdgAAAALAQAA&#10;DwAAAAAAAAABACAAAAAiAAAAZHJzL2Rvd25yZXYueG1sUEsBAhQAFAAAAAgAh07iQNJ4NHzgAQAA&#10;ogMAAA4AAAAAAAAAAQAgAAAAJwEAAGRycy9lMm9Eb2MueG1sUEsFBgAAAAAGAAYAWQEAAHkFAAAA&#10;AA==&#10;">
                      <v:fill on="f" focussize="0,0"/>
                      <v:stroke weight="2pt" color="#FF0000 [3204]" joinstyle="round"/>
                      <v:imagedata o:title=""/>
                      <o:lock v:ext="edit" aspectratio="f"/>
                    </v:line>
                  </w:pict>
                </mc:Fallback>
              </mc:AlternateContent>
            </w:r>
            <w:r>
              <w:rPr>
                <w:color w:val="auto"/>
                <w:u w:val="none" w:color="auto"/>
              </w:rPr>
              <w:drawing>
                <wp:inline distT="0" distB="0" distL="114300" distR="114300">
                  <wp:extent cx="5038090" cy="3257550"/>
                  <wp:effectExtent l="0" t="0" r="10160" b="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25"/>
                          <a:stretch>
                            <a:fillRect/>
                          </a:stretch>
                        </pic:blipFill>
                        <pic:spPr>
                          <a:xfrm>
                            <a:off x="0" y="0"/>
                            <a:ext cx="5038090" cy="3257550"/>
                          </a:xfrm>
                          <a:prstGeom prst="rect">
                            <a:avLst/>
                          </a:prstGeom>
                          <a:noFill/>
                          <a:ln>
                            <a:noFill/>
                          </a:ln>
                        </pic:spPr>
                      </pic:pic>
                    </a:graphicData>
                  </a:graphic>
                </wp:inline>
              </w:drawing>
            </w:r>
            <w:r>
              <w:rPr>
                <w:rFonts w:hint="default" w:ascii="Times New Roman" w:hAnsi="Times New Roman" w:eastAsia="宋体" w:cs="Times New Roman"/>
                <w:b/>
                <w:bCs/>
                <w:color w:val="auto"/>
                <w:sz w:val="24"/>
                <w:szCs w:val="24"/>
                <w:highlight w:val="none"/>
                <w:u w:val="none" w:color="auto"/>
                <w:lang w:val="en-US" w:eastAsia="zh-CN"/>
              </w:rPr>
              <w:t>图2.</w:t>
            </w:r>
            <w:r>
              <w:rPr>
                <w:rFonts w:hint="eastAsia" w:cs="Times New Roman"/>
                <w:b/>
                <w:bCs/>
                <w:color w:val="auto"/>
                <w:sz w:val="24"/>
                <w:szCs w:val="24"/>
                <w:highlight w:val="none"/>
                <w:u w:val="none" w:color="auto"/>
                <w:lang w:val="en-US" w:eastAsia="zh-CN"/>
              </w:rPr>
              <w:t>2</w:t>
            </w:r>
            <w:r>
              <w:rPr>
                <w:rFonts w:hint="default" w:ascii="Times New Roman" w:hAnsi="Times New Roman" w:eastAsia="宋体" w:cs="Times New Roman"/>
                <w:b/>
                <w:bCs/>
                <w:color w:val="auto"/>
                <w:sz w:val="24"/>
                <w:szCs w:val="24"/>
                <w:highlight w:val="none"/>
                <w:u w:val="none" w:color="auto"/>
                <w:lang w:val="en-US" w:eastAsia="zh-CN"/>
              </w:rPr>
              <w:t xml:space="preserve">   项目</w:t>
            </w:r>
            <w:r>
              <w:rPr>
                <w:rFonts w:hint="eastAsia" w:cs="Times New Roman"/>
                <w:b/>
                <w:bCs/>
                <w:color w:val="auto"/>
                <w:sz w:val="24"/>
                <w:szCs w:val="24"/>
                <w:highlight w:val="none"/>
                <w:u w:val="none" w:color="auto"/>
                <w:lang w:val="en-US" w:eastAsia="zh-CN"/>
              </w:rPr>
              <w:t>排水工程</w:t>
            </w:r>
            <w:r>
              <w:rPr>
                <w:rFonts w:hint="default" w:ascii="Times New Roman" w:hAnsi="Times New Roman" w:eastAsia="宋体" w:cs="Times New Roman"/>
                <w:b/>
                <w:bCs/>
                <w:color w:val="auto"/>
                <w:sz w:val="24"/>
                <w:szCs w:val="24"/>
                <w:highlight w:val="none"/>
                <w:u w:val="none" w:color="auto"/>
                <w:lang w:val="en-US" w:eastAsia="zh-CN"/>
              </w:rPr>
              <w:t>地理位置示意图</w:t>
            </w:r>
          </w:p>
        </w:tc>
      </w:tr>
      <w:tr w14:paraId="5C1ED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2" w:hRule="atLeast"/>
          <w:jc w:val="center"/>
        </w:trPr>
        <w:tc>
          <w:tcPr>
            <w:tcW w:w="823" w:type="dxa"/>
            <w:vAlign w:val="center"/>
          </w:tcPr>
          <w:p w14:paraId="23087195">
            <w:pPr>
              <w:pStyle w:val="21"/>
              <w:adjustRightInd w:val="0"/>
              <w:snapToGrid w:val="0"/>
              <w:spacing w:before="0" w:beforeAutospacing="0" w:after="0" w:afterAutospacing="0"/>
              <w:jc w:val="center"/>
              <w:rPr>
                <w:rFonts w:hint="default" w:ascii="Times New Roman" w:hAnsi="Times New Roman" w:eastAsia="宋体" w:cs="宋体"/>
                <w:color w:val="auto"/>
                <w:szCs w:val="21"/>
                <w:u w:val="none" w:color="auto"/>
                <w:lang w:val="en-US" w:eastAsia="zh-CN"/>
              </w:rPr>
            </w:pPr>
            <w:r>
              <w:rPr>
                <w:rFonts w:hint="eastAsia" w:ascii="Times New Roman" w:hAnsi="Times New Roman" w:cs="宋体"/>
                <w:color w:val="auto"/>
                <w:szCs w:val="21"/>
                <w:u w:val="none" w:color="auto"/>
                <w:lang w:val="en-US" w:eastAsia="zh-CN"/>
              </w:rPr>
              <w:t>项目组成及规模</w:t>
            </w:r>
          </w:p>
        </w:tc>
        <w:tc>
          <w:tcPr>
            <w:tcW w:w="8161" w:type="dxa"/>
          </w:tcPr>
          <w:p w14:paraId="0F21A2F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宋体"/>
                <w:b/>
                <w:bCs w:val="0"/>
                <w:color w:val="auto"/>
                <w:sz w:val="24"/>
                <w:szCs w:val="21"/>
                <w:u w:val="none" w:color="auto"/>
                <w:lang w:val="en-US" w:eastAsia="zh-CN"/>
              </w:rPr>
            </w:pPr>
            <w:r>
              <w:rPr>
                <w:rFonts w:hint="eastAsia" w:cs="宋体"/>
                <w:b/>
                <w:bCs w:val="0"/>
                <w:color w:val="auto"/>
                <w:sz w:val="24"/>
                <w:szCs w:val="21"/>
                <w:u w:val="none" w:color="auto"/>
                <w:lang w:val="en-US" w:eastAsia="zh-CN"/>
              </w:rPr>
              <w:t>1、项目建设背景</w:t>
            </w:r>
          </w:p>
          <w:p w14:paraId="76157A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2024年7月5日下午，团洲乡团北村团洲垸洞庭湖一线堤防不幸发生严重决口事件，这场突如其来的自然灾害对当地社区造成了深远影响。团洲垸作为华容县的重要农业生产区域，其92.5%的面积迅速被洪水淹没，平均水深达到约5米，不仅直接威胁到居民的生命安全，更对当地农业生产和基础设施造成了毁灭性打击。面对这一严峻形势，根据国务院及省市级政府关于加强自然灾害防治和灾后恢复重建工作的指导意见，结合华容县具体灾情及发展规划，本项目得到了上级政府部门的明确批复，旨在迅速恢复受灾群众的正常生活秩序，保障基本民生需求，并为未来可持续发展奠定坚实基础。</w:t>
            </w:r>
          </w:p>
          <w:p w14:paraId="2563C7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本项目依据《华容县人民政府关于实施团洲垸灾后重建安置房基础设施配套建设项目的批复》，以及《华容县国民经济和社会发展第十四个五年规划》相关精神，结合</w:t>
            </w:r>
            <w:r>
              <w:rPr>
                <w:rFonts w:hint="eastAsia" w:ascii="Times New Roman" w:hAnsi="Times New Roman" w:eastAsia="宋体" w:cs="宋体"/>
                <w:bCs/>
                <w:color w:val="auto"/>
                <w:sz w:val="24"/>
                <w:szCs w:val="21"/>
                <w:u w:val="none" w:color="auto"/>
                <w:lang w:val="en-US" w:eastAsia="zh-CN"/>
              </w:rPr>
              <w:t>《华容县团洲乡灾后重建总体规划》</w:t>
            </w:r>
            <w:r>
              <w:rPr>
                <w:rFonts w:hint="eastAsia" w:ascii="Times New Roman" w:hAnsi="Times New Roman" w:eastAsia="宋体" w:cs="宋体"/>
                <w:bCs/>
                <w:color w:val="auto"/>
                <w:sz w:val="24"/>
                <w:szCs w:val="21"/>
                <w:u w:val="none" w:color="auto"/>
                <w:lang w:val="en-US" w:eastAsia="zh-CN"/>
              </w:rPr>
              <w:t>提出并批准进行灾后重建安置房基础设施建设工作。项目的实施旨在为灾后重建的居民提供安全、便捷、舒适的居住环境，确保灾后安置房小区的基础设施配套完善，为居民的日常生活和生产提供良好的保障。</w:t>
            </w:r>
          </w:p>
          <w:p w14:paraId="4E795413">
            <w:pPr>
              <w:numPr>
                <w:ilvl w:val="0"/>
                <w:numId w:val="0"/>
              </w:numPr>
              <w:adjustRightInd w:val="0"/>
              <w:snapToGrid w:val="0"/>
              <w:spacing w:line="360" w:lineRule="auto"/>
              <w:jc w:val="left"/>
              <w:rPr>
                <w:rFonts w:cs="宋体"/>
                <w:b/>
                <w:color w:val="auto"/>
                <w:sz w:val="24"/>
                <w:szCs w:val="21"/>
                <w:u w:val="none" w:color="auto"/>
              </w:rPr>
            </w:pPr>
            <w:r>
              <w:rPr>
                <w:rFonts w:hint="eastAsia" w:cs="宋体"/>
                <w:b/>
                <w:color w:val="auto"/>
                <w:sz w:val="24"/>
                <w:szCs w:val="21"/>
                <w:u w:val="none" w:color="auto"/>
                <w:lang w:val="en-US" w:eastAsia="zh-CN"/>
              </w:rPr>
              <w:t>2、</w:t>
            </w:r>
            <w:r>
              <w:rPr>
                <w:rFonts w:hint="eastAsia" w:cs="宋体"/>
                <w:b/>
                <w:color w:val="auto"/>
                <w:sz w:val="24"/>
                <w:szCs w:val="21"/>
                <w:u w:val="none" w:color="auto"/>
              </w:rPr>
              <w:t>工程规模及内容</w:t>
            </w:r>
          </w:p>
          <w:p w14:paraId="4EFCAE81">
            <w:pPr>
              <w:adjustRightInd w:val="0"/>
              <w:snapToGrid w:val="0"/>
              <w:spacing w:line="360" w:lineRule="auto"/>
              <w:ind w:firstLine="482" w:firstLineChars="200"/>
              <w:jc w:val="left"/>
              <w:rPr>
                <w:rFonts w:cs="宋体"/>
                <w:b/>
                <w:color w:val="auto"/>
                <w:sz w:val="24"/>
                <w:szCs w:val="21"/>
                <w:u w:val="none" w:color="auto"/>
              </w:rPr>
            </w:pPr>
            <w:r>
              <w:rPr>
                <w:rFonts w:hint="eastAsia" w:cs="宋体"/>
                <w:b/>
                <w:color w:val="auto"/>
                <w:sz w:val="24"/>
                <w:szCs w:val="21"/>
                <w:u w:val="none" w:color="auto"/>
                <w:lang w:val="en-US" w:eastAsia="zh-CN"/>
              </w:rPr>
              <w:t>2</w:t>
            </w:r>
            <w:r>
              <w:rPr>
                <w:rFonts w:hint="eastAsia" w:cs="宋体"/>
                <w:b/>
                <w:color w:val="auto"/>
                <w:sz w:val="24"/>
                <w:szCs w:val="21"/>
                <w:u w:val="none" w:color="auto"/>
              </w:rPr>
              <w:t>.1 项目基本情况</w:t>
            </w:r>
          </w:p>
          <w:p w14:paraId="6B31E6C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u w:val="none" w:color="auto"/>
                <w:lang w:val="en-US" w:eastAsia="zh-CN" w:bidi="ar"/>
              </w:rPr>
            </w:pPr>
            <w:r>
              <w:rPr>
                <w:rFonts w:hint="eastAsia" w:cs="宋体"/>
                <w:bCs/>
                <w:color w:val="auto"/>
                <w:sz w:val="24"/>
                <w:szCs w:val="21"/>
                <w:u w:val="none" w:color="auto"/>
              </w:rPr>
              <w:t>项目名称：</w:t>
            </w:r>
            <w:r>
              <w:rPr>
                <w:rFonts w:hint="eastAsia" w:ascii="Times New Roman" w:hAnsi="Times New Roman" w:eastAsia="宋体" w:cs="宋体"/>
                <w:color w:val="auto"/>
                <w:sz w:val="24"/>
                <w:szCs w:val="21"/>
                <w:u w:val="none" w:color="auto"/>
                <w:lang w:val="en-US" w:eastAsia="zh-CN"/>
              </w:rPr>
              <w:t>华容县团洲垸灾后重建安置房配套基础设施建设项目</w:t>
            </w:r>
            <w:r>
              <w:rPr>
                <w:rFonts w:hint="eastAsia" w:cs="宋体"/>
                <w:bCs/>
                <w:color w:val="auto"/>
                <w:sz w:val="24"/>
                <w:szCs w:val="28"/>
                <w:u w:val="none" w:color="auto"/>
                <w:vertAlign w:val="baseline"/>
                <w:lang w:eastAsia="zh-CN"/>
              </w:rPr>
              <w:t>。</w:t>
            </w:r>
          </w:p>
          <w:p w14:paraId="612F52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highlight w:val="none"/>
                <w:u w:val="none" w:color="auto"/>
              </w:rPr>
            </w:pPr>
            <w:r>
              <w:rPr>
                <w:rFonts w:hint="eastAsia" w:cs="宋体"/>
                <w:bCs/>
                <w:color w:val="auto"/>
                <w:sz w:val="24"/>
                <w:szCs w:val="21"/>
                <w:highlight w:val="none"/>
                <w:u w:val="none" w:color="auto"/>
              </w:rPr>
              <w:t>建设性质：新建</w:t>
            </w:r>
            <w:r>
              <w:rPr>
                <w:rFonts w:hint="eastAsia" w:cs="宋体"/>
                <w:bCs/>
                <w:color w:val="auto"/>
                <w:sz w:val="24"/>
                <w:szCs w:val="28"/>
                <w:highlight w:val="none"/>
                <w:u w:val="none" w:color="auto"/>
                <w:vertAlign w:val="baseline"/>
                <w:lang w:eastAsia="zh-CN"/>
              </w:rPr>
              <w:t>。</w:t>
            </w:r>
          </w:p>
          <w:p w14:paraId="25513D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highlight w:val="none"/>
                <w:u w:val="none" w:color="auto"/>
                <w:lang w:val="en-US" w:eastAsia="zh-CN"/>
              </w:rPr>
            </w:pPr>
            <w:r>
              <w:rPr>
                <w:rFonts w:hint="eastAsia" w:cs="宋体"/>
                <w:bCs/>
                <w:color w:val="auto"/>
                <w:sz w:val="24"/>
                <w:szCs w:val="21"/>
                <w:highlight w:val="none"/>
                <w:u w:val="none" w:color="auto"/>
              </w:rPr>
              <w:t>建设</w:t>
            </w:r>
            <w:r>
              <w:rPr>
                <w:rFonts w:hint="eastAsia" w:ascii="Times New Roman" w:hAnsi="Times New Roman" w:eastAsia="宋体" w:cs="宋体"/>
                <w:bCs/>
                <w:color w:val="auto"/>
                <w:sz w:val="24"/>
                <w:szCs w:val="21"/>
                <w:highlight w:val="none"/>
                <w:u w:val="none" w:color="auto"/>
              </w:rPr>
              <w:t>单</w:t>
            </w:r>
            <w:r>
              <w:rPr>
                <w:rFonts w:hint="eastAsia" w:ascii="Times New Roman" w:hAnsi="Times New Roman" w:eastAsia="宋体" w:cs="宋体"/>
                <w:bCs/>
                <w:color w:val="auto"/>
                <w:sz w:val="24"/>
                <w:szCs w:val="21"/>
                <w:highlight w:val="none"/>
                <w:u w:val="none" w:color="auto"/>
                <w:lang w:val="en-US" w:eastAsia="zh-CN"/>
              </w:rPr>
              <w:t>位：</w:t>
            </w:r>
            <w:r>
              <w:rPr>
                <w:rFonts w:hint="default" w:ascii="Times New Roman" w:hAnsi="Times New Roman" w:eastAsia="宋体" w:cs="宋体"/>
                <w:bCs/>
                <w:color w:val="auto"/>
                <w:sz w:val="24"/>
                <w:szCs w:val="21"/>
                <w:highlight w:val="none"/>
                <w:u w:val="none" w:color="auto"/>
                <w:lang w:val="en-US" w:eastAsia="zh-CN"/>
              </w:rPr>
              <w:t>华容县城乡建设事务中心</w:t>
            </w:r>
            <w:r>
              <w:rPr>
                <w:rFonts w:hint="eastAsia" w:ascii="Times New Roman" w:hAnsi="Times New Roman" w:eastAsia="宋体" w:cs="宋体"/>
                <w:bCs/>
                <w:color w:val="auto"/>
                <w:sz w:val="24"/>
                <w:szCs w:val="21"/>
                <w:highlight w:val="none"/>
                <w:u w:val="none" w:color="auto"/>
                <w:lang w:val="en-US" w:eastAsia="zh-CN"/>
              </w:rPr>
              <w:t>。</w:t>
            </w:r>
          </w:p>
          <w:p w14:paraId="1BF870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highlight w:val="none"/>
                <w:u w:val="none" w:color="auto"/>
                <w:lang w:val="en-US" w:eastAsia="zh-CN"/>
              </w:rPr>
            </w:pPr>
            <w:r>
              <w:rPr>
                <w:rFonts w:hint="eastAsia" w:ascii="Times New Roman" w:hAnsi="Times New Roman" w:eastAsia="宋体" w:cs="宋体"/>
                <w:bCs/>
                <w:color w:val="auto"/>
                <w:sz w:val="24"/>
                <w:szCs w:val="21"/>
                <w:highlight w:val="none"/>
                <w:u w:val="none" w:color="auto"/>
                <w:lang w:val="en-US" w:eastAsia="zh-CN"/>
              </w:rPr>
              <w:t>建设地点：项目建设地点位于</w:t>
            </w:r>
            <w:r>
              <w:rPr>
                <w:rFonts w:hint="eastAsia" w:ascii="Times New Roman" w:hAnsi="Times New Roman" w:eastAsia="宋体" w:cs="Times New Roman"/>
                <w:color w:val="auto"/>
                <w:sz w:val="24"/>
                <w:szCs w:val="21"/>
                <w:highlight w:val="none"/>
                <w:u w:val="none" w:color="auto"/>
                <w:lang w:val="en-US" w:eastAsia="zh-CN"/>
              </w:rPr>
              <w:t>华容县团洲乡</w:t>
            </w:r>
            <w:r>
              <w:rPr>
                <w:rFonts w:hint="default" w:ascii="Times New Roman" w:hAnsi="Times New Roman" w:eastAsia="宋体" w:cs="Times New Roman"/>
                <w:color w:val="auto"/>
                <w:sz w:val="24"/>
                <w:szCs w:val="21"/>
                <w:highlight w:val="none"/>
                <w:u w:val="none" w:color="auto"/>
                <w:lang w:val="en-US" w:eastAsia="zh-CN"/>
              </w:rPr>
              <w:t>团洲新村</w:t>
            </w:r>
            <w:r>
              <w:rPr>
                <w:rFonts w:hint="eastAsia" w:cs="宋体"/>
                <w:bCs/>
                <w:color w:val="auto"/>
                <w:sz w:val="24"/>
                <w:szCs w:val="28"/>
                <w:highlight w:val="none"/>
                <w:u w:val="none" w:color="auto"/>
                <w:vertAlign w:val="baseline"/>
                <w:lang w:eastAsia="zh-CN"/>
              </w:rPr>
              <w:t>。</w:t>
            </w:r>
          </w:p>
          <w:p w14:paraId="235F7D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城市道路：</w:t>
            </w:r>
          </w:p>
          <w:p w14:paraId="6C9C03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月牙湖大道</w:t>
            </w:r>
            <w:r>
              <w:rPr>
                <w:rFonts w:hint="eastAsia" w:ascii="Times New Roman" w:hAnsi="Times New Roman" w:eastAsia="宋体" w:cs="宋体"/>
                <w:bCs/>
                <w:color w:val="auto"/>
                <w:sz w:val="24"/>
                <w:szCs w:val="21"/>
                <w:highlight w:val="none"/>
                <w:u w:val="none" w:color="auto"/>
                <w:lang w:val="en-US" w:eastAsia="zh-CN"/>
              </w:rPr>
              <w:t>坐标</w:t>
            </w:r>
            <w:r>
              <w:rPr>
                <w:rFonts w:hint="eastAsia" w:cs="宋体"/>
                <w:bCs/>
                <w:color w:val="auto"/>
                <w:sz w:val="24"/>
                <w:szCs w:val="21"/>
                <w:highlight w:val="none"/>
                <w:u w:val="none" w:color="auto"/>
                <w:lang w:val="en-US" w:eastAsia="zh-CN"/>
              </w:rPr>
              <w:t>：</w:t>
            </w:r>
          </w:p>
          <w:p w14:paraId="36CC5A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1"/>
                <w:highlight w:val="none"/>
                <w:u w:val="none" w:color="auto"/>
                <w:lang w:val="en-US" w:eastAsia="zh-CN"/>
              </w:rPr>
              <w:t>起点：</w:t>
            </w:r>
            <w:r>
              <w:rPr>
                <w:rFonts w:hint="default" w:ascii="Times New Roman" w:hAnsi="Times New Roman" w:eastAsia="宋体" w:cs="Times New Roman"/>
                <w:color w:val="auto"/>
                <w:sz w:val="24"/>
                <w:szCs w:val="21"/>
                <w:highlight w:val="none"/>
                <w:u w:val="none" w:color="auto"/>
                <w:lang w:val="en-US" w:eastAsia="zh-CN"/>
              </w:rPr>
              <w:t>东经：112°47'46.4501"；北纬：</w:t>
            </w:r>
            <w:r>
              <w:rPr>
                <w:rFonts w:hint="eastAsia" w:ascii="Times New Roman" w:hAnsi="Times New Roman" w:eastAsia="宋体" w:cs="Times New Roman"/>
                <w:color w:val="auto"/>
                <w:sz w:val="24"/>
                <w:szCs w:val="21"/>
                <w:highlight w:val="none"/>
                <w:u w:val="none" w:color="auto"/>
                <w:lang w:val="en-US" w:eastAsia="zh-CN"/>
              </w:rPr>
              <w:t>29°20'03.3759"</w:t>
            </w:r>
            <w:r>
              <w:rPr>
                <w:rFonts w:hint="eastAsia" w:cs="宋体"/>
                <w:bCs/>
                <w:color w:val="auto"/>
                <w:sz w:val="24"/>
                <w:szCs w:val="28"/>
                <w:highlight w:val="none"/>
                <w:u w:val="none" w:color="auto"/>
                <w:vertAlign w:val="baseline"/>
                <w:lang w:eastAsia="zh-CN"/>
              </w:rPr>
              <w:t>。</w:t>
            </w:r>
          </w:p>
          <w:p w14:paraId="305C3F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cs="宋体"/>
                <w:bCs/>
                <w:color w:val="auto"/>
                <w:sz w:val="24"/>
                <w:szCs w:val="28"/>
                <w:highlight w:val="none"/>
                <w:u w:val="none" w:color="auto"/>
                <w:vertAlign w:val="baseline"/>
                <w:lang w:val="en-US" w:eastAsia="zh-CN"/>
              </w:rPr>
            </w:pPr>
            <w:r>
              <w:rPr>
                <w:rFonts w:hint="eastAsia" w:cs="宋体"/>
                <w:bCs/>
                <w:color w:val="auto"/>
                <w:sz w:val="24"/>
                <w:szCs w:val="28"/>
                <w:highlight w:val="none"/>
                <w:u w:val="none" w:color="auto"/>
                <w:vertAlign w:val="baseline"/>
                <w:lang w:val="en-US" w:eastAsia="zh-CN"/>
              </w:rPr>
              <w:t>终点：</w:t>
            </w:r>
            <w:r>
              <w:rPr>
                <w:rFonts w:hint="default" w:ascii="Times New Roman" w:hAnsi="Times New Roman" w:eastAsia="宋体" w:cs="Times New Roman"/>
                <w:color w:val="auto"/>
                <w:sz w:val="24"/>
                <w:szCs w:val="21"/>
                <w:highlight w:val="none"/>
                <w:u w:val="none" w:color="auto"/>
                <w:lang w:val="en-US" w:eastAsia="zh-CN"/>
              </w:rPr>
              <w:t>东经：112°48'22.3961"；北纬：</w:t>
            </w:r>
            <w:r>
              <w:rPr>
                <w:rFonts w:hint="eastAsia" w:ascii="Times New Roman" w:hAnsi="Times New Roman" w:eastAsia="宋体" w:cs="Times New Roman"/>
                <w:color w:val="auto"/>
                <w:sz w:val="24"/>
                <w:szCs w:val="21"/>
                <w:highlight w:val="none"/>
                <w:u w:val="none" w:color="auto"/>
                <w:lang w:val="en-US" w:eastAsia="zh-CN"/>
              </w:rPr>
              <w:t>29°19'55.6405"</w:t>
            </w:r>
            <w:r>
              <w:rPr>
                <w:rFonts w:hint="eastAsia" w:cs="宋体"/>
                <w:bCs/>
                <w:color w:val="auto"/>
                <w:sz w:val="24"/>
                <w:szCs w:val="28"/>
                <w:highlight w:val="none"/>
                <w:u w:val="none" w:color="auto"/>
                <w:vertAlign w:val="baseline"/>
                <w:lang w:eastAsia="zh-CN"/>
              </w:rPr>
              <w:t>。</w:t>
            </w:r>
          </w:p>
          <w:p w14:paraId="522063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团结路</w:t>
            </w:r>
            <w:r>
              <w:rPr>
                <w:rFonts w:hint="eastAsia" w:ascii="Times New Roman" w:hAnsi="Times New Roman" w:eastAsia="宋体" w:cs="宋体"/>
                <w:bCs/>
                <w:color w:val="auto"/>
                <w:sz w:val="24"/>
                <w:szCs w:val="21"/>
                <w:highlight w:val="none"/>
                <w:u w:val="none" w:color="auto"/>
                <w:lang w:val="en-US" w:eastAsia="zh-CN"/>
              </w:rPr>
              <w:t>坐标</w:t>
            </w:r>
            <w:r>
              <w:rPr>
                <w:rFonts w:hint="eastAsia" w:cs="宋体"/>
                <w:bCs/>
                <w:color w:val="auto"/>
                <w:sz w:val="24"/>
                <w:szCs w:val="21"/>
                <w:highlight w:val="none"/>
                <w:u w:val="none" w:color="auto"/>
                <w:lang w:val="en-US" w:eastAsia="zh-CN"/>
              </w:rPr>
              <w:t>：</w:t>
            </w:r>
          </w:p>
          <w:p w14:paraId="2C66DF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1"/>
                <w:highlight w:val="none"/>
                <w:u w:val="none" w:color="auto"/>
                <w:lang w:val="en-US" w:eastAsia="zh-CN"/>
              </w:rPr>
              <w:t>起点：</w:t>
            </w:r>
            <w:r>
              <w:rPr>
                <w:rFonts w:hint="default" w:ascii="Times New Roman" w:hAnsi="Times New Roman" w:eastAsia="宋体" w:cs="Times New Roman"/>
                <w:color w:val="auto"/>
                <w:sz w:val="24"/>
                <w:szCs w:val="21"/>
                <w:highlight w:val="none"/>
                <w:u w:val="none" w:color="auto"/>
                <w:lang w:val="en-US" w:eastAsia="zh-CN"/>
              </w:rPr>
              <w:t>东经：112°48'06.3146"；北纬：</w:t>
            </w:r>
            <w:r>
              <w:rPr>
                <w:rFonts w:hint="eastAsia" w:ascii="Times New Roman" w:hAnsi="Times New Roman" w:eastAsia="宋体" w:cs="Times New Roman"/>
                <w:color w:val="auto"/>
                <w:sz w:val="24"/>
                <w:szCs w:val="21"/>
                <w:highlight w:val="none"/>
                <w:u w:val="none" w:color="auto"/>
                <w:lang w:val="en-US" w:eastAsia="zh-CN"/>
              </w:rPr>
              <w:t>29°20'05.0655"</w:t>
            </w:r>
            <w:r>
              <w:rPr>
                <w:rFonts w:hint="eastAsia" w:cs="宋体"/>
                <w:bCs/>
                <w:color w:val="auto"/>
                <w:sz w:val="24"/>
                <w:szCs w:val="28"/>
                <w:highlight w:val="none"/>
                <w:u w:val="none" w:color="auto"/>
                <w:vertAlign w:val="baseline"/>
                <w:lang w:eastAsia="zh-CN"/>
              </w:rPr>
              <w:t>。</w:t>
            </w:r>
          </w:p>
          <w:p w14:paraId="578471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8"/>
                <w:highlight w:val="none"/>
                <w:u w:val="none" w:color="auto"/>
                <w:vertAlign w:val="baseline"/>
                <w:lang w:val="en-US" w:eastAsia="zh-CN"/>
              </w:rPr>
              <w:t>终点：</w:t>
            </w:r>
            <w:r>
              <w:rPr>
                <w:rFonts w:hint="default" w:ascii="Times New Roman" w:hAnsi="Times New Roman" w:eastAsia="宋体" w:cs="Times New Roman"/>
                <w:color w:val="auto"/>
                <w:sz w:val="24"/>
                <w:szCs w:val="21"/>
                <w:highlight w:val="none"/>
                <w:u w:val="none" w:color="auto"/>
                <w:lang w:val="en-US" w:eastAsia="zh-CN"/>
              </w:rPr>
              <w:t>东经：112°47'59.2543"；北纬：</w:t>
            </w:r>
            <w:r>
              <w:rPr>
                <w:rFonts w:hint="eastAsia" w:ascii="Times New Roman" w:hAnsi="Times New Roman" w:eastAsia="宋体" w:cs="Times New Roman"/>
                <w:color w:val="auto"/>
                <w:sz w:val="24"/>
                <w:szCs w:val="21"/>
                <w:highlight w:val="none"/>
                <w:u w:val="none" w:color="auto"/>
                <w:lang w:val="en-US" w:eastAsia="zh-CN"/>
              </w:rPr>
              <w:t>29°19'40.6826"</w:t>
            </w:r>
            <w:r>
              <w:rPr>
                <w:rFonts w:hint="eastAsia" w:cs="宋体"/>
                <w:bCs/>
                <w:color w:val="auto"/>
                <w:sz w:val="24"/>
                <w:szCs w:val="28"/>
                <w:highlight w:val="none"/>
                <w:u w:val="none" w:color="auto"/>
                <w:vertAlign w:val="baseline"/>
                <w:lang w:eastAsia="zh-CN"/>
              </w:rPr>
              <w:t>。</w:t>
            </w:r>
          </w:p>
          <w:p w14:paraId="32EDF9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团胜路</w:t>
            </w:r>
            <w:r>
              <w:rPr>
                <w:rFonts w:hint="eastAsia" w:ascii="Times New Roman" w:hAnsi="Times New Roman" w:eastAsia="宋体" w:cs="宋体"/>
                <w:bCs/>
                <w:color w:val="auto"/>
                <w:sz w:val="24"/>
                <w:szCs w:val="21"/>
                <w:highlight w:val="none"/>
                <w:u w:val="none" w:color="auto"/>
                <w:lang w:val="en-US" w:eastAsia="zh-CN"/>
              </w:rPr>
              <w:t>坐标</w:t>
            </w:r>
            <w:r>
              <w:rPr>
                <w:rFonts w:hint="eastAsia" w:cs="宋体"/>
                <w:bCs/>
                <w:color w:val="auto"/>
                <w:sz w:val="24"/>
                <w:szCs w:val="21"/>
                <w:highlight w:val="none"/>
                <w:u w:val="none" w:color="auto"/>
                <w:lang w:val="en-US" w:eastAsia="zh-CN"/>
              </w:rPr>
              <w:t>：</w:t>
            </w:r>
          </w:p>
          <w:p w14:paraId="4C0A11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1"/>
                <w:highlight w:val="none"/>
                <w:u w:val="none" w:color="auto"/>
                <w:lang w:val="en-US" w:eastAsia="zh-CN"/>
              </w:rPr>
              <w:t>起点：</w:t>
            </w:r>
            <w:r>
              <w:rPr>
                <w:rFonts w:hint="default" w:ascii="Times New Roman" w:hAnsi="Times New Roman" w:eastAsia="宋体" w:cs="Times New Roman"/>
                <w:color w:val="auto"/>
                <w:sz w:val="24"/>
                <w:szCs w:val="21"/>
                <w:highlight w:val="none"/>
                <w:u w:val="none" w:color="auto"/>
                <w:lang w:val="en-US" w:eastAsia="zh-CN"/>
              </w:rPr>
              <w:t>东经：112°48'14.5674"；北纬：</w:t>
            </w:r>
            <w:r>
              <w:rPr>
                <w:rFonts w:hint="eastAsia" w:ascii="Times New Roman" w:hAnsi="Times New Roman" w:eastAsia="宋体" w:cs="Times New Roman"/>
                <w:color w:val="auto"/>
                <w:sz w:val="24"/>
                <w:szCs w:val="21"/>
                <w:highlight w:val="none"/>
                <w:u w:val="none" w:color="auto"/>
                <w:lang w:val="en-US" w:eastAsia="zh-CN"/>
              </w:rPr>
              <w:t>29°19'57.2364"</w:t>
            </w:r>
            <w:r>
              <w:rPr>
                <w:rFonts w:hint="eastAsia" w:cs="宋体"/>
                <w:bCs/>
                <w:color w:val="auto"/>
                <w:sz w:val="24"/>
                <w:szCs w:val="28"/>
                <w:highlight w:val="none"/>
                <w:u w:val="none" w:color="auto"/>
                <w:vertAlign w:val="baseline"/>
                <w:lang w:eastAsia="zh-CN"/>
              </w:rPr>
              <w:t>。</w:t>
            </w:r>
          </w:p>
          <w:p w14:paraId="34C7E9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rPr>
            </w:pPr>
            <w:r>
              <w:rPr>
                <w:rFonts w:hint="eastAsia" w:cs="宋体"/>
                <w:bCs/>
                <w:color w:val="auto"/>
                <w:sz w:val="24"/>
                <w:szCs w:val="28"/>
                <w:highlight w:val="none"/>
                <w:u w:val="none" w:color="auto"/>
                <w:vertAlign w:val="baseline"/>
                <w:lang w:val="en-US" w:eastAsia="zh-CN"/>
              </w:rPr>
              <w:t>终点：</w:t>
            </w:r>
            <w:r>
              <w:rPr>
                <w:rFonts w:hint="default" w:ascii="Times New Roman" w:hAnsi="Times New Roman" w:eastAsia="宋体" w:cs="Times New Roman"/>
                <w:color w:val="auto"/>
                <w:sz w:val="24"/>
                <w:szCs w:val="21"/>
                <w:highlight w:val="none"/>
                <w:u w:val="none" w:color="auto"/>
                <w:lang w:val="en-US" w:eastAsia="zh-CN"/>
              </w:rPr>
              <w:t>东经：112°48'11.0180"；北纬：</w:t>
            </w:r>
            <w:r>
              <w:rPr>
                <w:rFonts w:hint="eastAsia" w:ascii="Times New Roman" w:hAnsi="Times New Roman" w:eastAsia="宋体" w:cs="Times New Roman"/>
                <w:color w:val="auto"/>
                <w:sz w:val="24"/>
                <w:szCs w:val="21"/>
                <w:highlight w:val="none"/>
                <w:u w:val="none" w:color="auto"/>
                <w:lang w:val="en-US" w:eastAsia="zh-CN"/>
              </w:rPr>
              <w:t>29°19'42.1812"</w:t>
            </w:r>
            <w:r>
              <w:rPr>
                <w:rFonts w:hint="eastAsia" w:cs="宋体"/>
                <w:bCs/>
                <w:color w:val="auto"/>
                <w:sz w:val="24"/>
                <w:szCs w:val="28"/>
                <w:highlight w:val="none"/>
                <w:u w:val="none" w:color="auto"/>
                <w:vertAlign w:val="baseline"/>
                <w:lang w:eastAsia="zh-CN"/>
              </w:rPr>
              <w:t>。</w:t>
            </w:r>
          </w:p>
          <w:p w14:paraId="151003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排水工程：</w:t>
            </w:r>
          </w:p>
          <w:p w14:paraId="2B79FF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月牙湖大道</w:t>
            </w:r>
            <w:r>
              <w:rPr>
                <w:rFonts w:hint="eastAsia" w:ascii="Times New Roman" w:hAnsi="Times New Roman" w:eastAsia="宋体" w:cs="宋体"/>
                <w:bCs/>
                <w:color w:val="auto"/>
                <w:sz w:val="24"/>
                <w:szCs w:val="21"/>
                <w:highlight w:val="none"/>
                <w:u w:val="none" w:color="auto"/>
                <w:lang w:val="en-US" w:eastAsia="zh-CN"/>
              </w:rPr>
              <w:t>坐标</w:t>
            </w:r>
            <w:r>
              <w:rPr>
                <w:rFonts w:hint="eastAsia" w:cs="宋体"/>
                <w:bCs/>
                <w:color w:val="auto"/>
                <w:sz w:val="24"/>
                <w:szCs w:val="21"/>
                <w:highlight w:val="none"/>
                <w:u w:val="none" w:color="auto"/>
                <w:lang w:val="en-US" w:eastAsia="zh-CN"/>
              </w:rPr>
              <w:t>：</w:t>
            </w:r>
          </w:p>
          <w:p w14:paraId="297D5A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1"/>
                <w:highlight w:val="none"/>
                <w:u w:val="none" w:color="auto"/>
                <w:lang w:val="en-US" w:eastAsia="zh-CN"/>
              </w:rPr>
              <w:t>起点：</w:t>
            </w:r>
            <w:r>
              <w:rPr>
                <w:rFonts w:hint="default" w:ascii="Times New Roman" w:hAnsi="Times New Roman" w:eastAsia="宋体" w:cs="Times New Roman"/>
                <w:color w:val="auto"/>
                <w:sz w:val="24"/>
                <w:szCs w:val="21"/>
                <w:highlight w:val="none"/>
                <w:u w:val="none" w:color="auto"/>
                <w:lang w:val="en-US" w:eastAsia="zh-CN"/>
              </w:rPr>
              <w:t>东经：112°47'46.4501"；北纬：</w:t>
            </w:r>
            <w:r>
              <w:rPr>
                <w:rFonts w:hint="eastAsia" w:ascii="Times New Roman" w:hAnsi="Times New Roman" w:eastAsia="宋体" w:cs="Times New Roman"/>
                <w:color w:val="auto"/>
                <w:sz w:val="24"/>
                <w:szCs w:val="21"/>
                <w:highlight w:val="none"/>
                <w:u w:val="none" w:color="auto"/>
                <w:lang w:val="en-US" w:eastAsia="zh-CN"/>
              </w:rPr>
              <w:t>29°20'03.3759"</w:t>
            </w:r>
            <w:r>
              <w:rPr>
                <w:rFonts w:hint="eastAsia" w:cs="宋体"/>
                <w:bCs/>
                <w:color w:val="auto"/>
                <w:sz w:val="24"/>
                <w:szCs w:val="28"/>
                <w:highlight w:val="none"/>
                <w:u w:val="none" w:color="auto"/>
                <w:vertAlign w:val="baseline"/>
                <w:lang w:eastAsia="zh-CN"/>
              </w:rPr>
              <w:t>。</w:t>
            </w:r>
          </w:p>
          <w:p w14:paraId="0E59FF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cs="宋体"/>
                <w:bCs/>
                <w:color w:val="auto"/>
                <w:sz w:val="24"/>
                <w:szCs w:val="28"/>
                <w:highlight w:val="none"/>
                <w:u w:val="none" w:color="auto"/>
                <w:vertAlign w:val="baseline"/>
                <w:lang w:val="en-US" w:eastAsia="zh-CN"/>
              </w:rPr>
            </w:pPr>
            <w:r>
              <w:rPr>
                <w:rFonts w:hint="eastAsia" w:cs="宋体"/>
                <w:bCs/>
                <w:color w:val="auto"/>
                <w:sz w:val="24"/>
                <w:szCs w:val="28"/>
                <w:highlight w:val="none"/>
                <w:u w:val="none" w:color="auto"/>
                <w:vertAlign w:val="baseline"/>
                <w:lang w:val="en-US" w:eastAsia="zh-CN"/>
              </w:rPr>
              <w:t>终点：</w:t>
            </w:r>
            <w:r>
              <w:rPr>
                <w:rFonts w:hint="default" w:ascii="Times New Roman" w:hAnsi="Times New Roman" w:eastAsia="宋体" w:cs="Times New Roman"/>
                <w:color w:val="auto"/>
                <w:sz w:val="24"/>
                <w:szCs w:val="21"/>
                <w:highlight w:val="none"/>
                <w:u w:val="none" w:color="auto"/>
                <w:lang w:val="en-US" w:eastAsia="zh-CN"/>
              </w:rPr>
              <w:t>东经：112°48'22.3961"；北纬：</w:t>
            </w:r>
            <w:r>
              <w:rPr>
                <w:rFonts w:hint="eastAsia" w:ascii="Times New Roman" w:hAnsi="Times New Roman" w:eastAsia="宋体" w:cs="Times New Roman"/>
                <w:color w:val="auto"/>
                <w:sz w:val="24"/>
                <w:szCs w:val="21"/>
                <w:highlight w:val="none"/>
                <w:u w:val="none" w:color="auto"/>
                <w:lang w:val="en-US" w:eastAsia="zh-CN"/>
              </w:rPr>
              <w:t>29°19'55.6405"</w:t>
            </w:r>
            <w:r>
              <w:rPr>
                <w:rFonts w:hint="eastAsia" w:cs="宋体"/>
                <w:bCs/>
                <w:color w:val="auto"/>
                <w:sz w:val="24"/>
                <w:szCs w:val="28"/>
                <w:highlight w:val="none"/>
                <w:u w:val="none" w:color="auto"/>
                <w:vertAlign w:val="baseline"/>
                <w:lang w:eastAsia="zh-CN"/>
              </w:rPr>
              <w:t>。</w:t>
            </w:r>
          </w:p>
          <w:p w14:paraId="42B23B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团胜路</w:t>
            </w:r>
            <w:r>
              <w:rPr>
                <w:rFonts w:hint="eastAsia" w:ascii="Times New Roman" w:hAnsi="Times New Roman" w:eastAsia="宋体" w:cs="宋体"/>
                <w:bCs/>
                <w:color w:val="auto"/>
                <w:sz w:val="24"/>
                <w:szCs w:val="21"/>
                <w:highlight w:val="none"/>
                <w:u w:val="none" w:color="auto"/>
                <w:lang w:val="en-US" w:eastAsia="zh-CN"/>
              </w:rPr>
              <w:t>坐标</w:t>
            </w:r>
            <w:r>
              <w:rPr>
                <w:rFonts w:hint="eastAsia" w:cs="宋体"/>
                <w:bCs/>
                <w:color w:val="auto"/>
                <w:sz w:val="24"/>
                <w:szCs w:val="21"/>
                <w:highlight w:val="none"/>
                <w:u w:val="none" w:color="auto"/>
                <w:lang w:val="en-US" w:eastAsia="zh-CN"/>
              </w:rPr>
              <w:t>：</w:t>
            </w:r>
          </w:p>
          <w:p w14:paraId="379D82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8"/>
                <w:highlight w:val="none"/>
                <w:u w:val="none" w:color="auto"/>
                <w:vertAlign w:val="baseline"/>
                <w:lang w:eastAsia="zh-CN"/>
              </w:rPr>
            </w:pPr>
            <w:r>
              <w:rPr>
                <w:rFonts w:hint="eastAsia" w:cs="宋体"/>
                <w:bCs/>
                <w:color w:val="auto"/>
                <w:sz w:val="24"/>
                <w:szCs w:val="21"/>
                <w:highlight w:val="none"/>
                <w:u w:val="none" w:color="auto"/>
                <w:lang w:val="en-US" w:eastAsia="zh-CN"/>
              </w:rPr>
              <w:t>起点：</w:t>
            </w:r>
            <w:r>
              <w:rPr>
                <w:rFonts w:hint="default" w:ascii="Times New Roman" w:hAnsi="Times New Roman" w:eastAsia="宋体" w:cs="Times New Roman"/>
                <w:color w:val="auto"/>
                <w:sz w:val="24"/>
                <w:szCs w:val="21"/>
                <w:highlight w:val="none"/>
                <w:u w:val="none" w:color="auto"/>
                <w:lang w:val="en-US" w:eastAsia="zh-CN"/>
              </w:rPr>
              <w:t>东经：112°48'14.5674"；北纬：</w:t>
            </w:r>
            <w:r>
              <w:rPr>
                <w:rFonts w:hint="eastAsia" w:ascii="Times New Roman" w:hAnsi="Times New Roman" w:eastAsia="宋体" w:cs="Times New Roman"/>
                <w:color w:val="auto"/>
                <w:sz w:val="24"/>
                <w:szCs w:val="21"/>
                <w:highlight w:val="none"/>
                <w:u w:val="none" w:color="auto"/>
                <w:lang w:val="en-US" w:eastAsia="zh-CN"/>
              </w:rPr>
              <w:t>29°19'57.2364"</w:t>
            </w:r>
            <w:r>
              <w:rPr>
                <w:rFonts w:hint="eastAsia" w:cs="宋体"/>
                <w:bCs/>
                <w:color w:val="auto"/>
                <w:sz w:val="24"/>
                <w:szCs w:val="28"/>
                <w:highlight w:val="none"/>
                <w:u w:val="none" w:color="auto"/>
                <w:vertAlign w:val="baseline"/>
                <w:lang w:eastAsia="zh-CN"/>
              </w:rPr>
              <w:t>。</w:t>
            </w:r>
          </w:p>
          <w:p w14:paraId="2EECF3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rPr>
            </w:pPr>
            <w:r>
              <w:rPr>
                <w:rFonts w:hint="eastAsia" w:cs="宋体"/>
                <w:bCs/>
                <w:color w:val="auto"/>
                <w:sz w:val="24"/>
                <w:szCs w:val="28"/>
                <w:highlight w:val="none"/>
                <w:u w:val="none" w:color="auto"/>
                <w:vertAlign w:val="baseline"/>
                <w:lang w:val="en-US" w:eastAsia="zh-CN"/>
              </w:rPr>
              <w:t>终点：</w:t>
            </w:r>
            <w:r>
              <w:rPr>
                <w:rFonts w:hint="default" w:ascii="Times New Roman" w:hAnsi="Times New Roman" w:eastAsia="宋体" w:cs="Times New Roman"/>
                <w:color w:val="auto"/>
                <w:sz w:val="24"/>
                <w:szCs w:val="21"/>
                <w:highlight w:val="none"/>
                <w:u w:val="none" w:color="auto"/>
                <w:lang w:val="en-US" w:eastAsia="zh-CN"/>
              </w:rPr>
              <w:t>东经：112°48'11.0180"；北纬：</w:t>
            </w:r>
            <w:r>
              <w:rPr>
                <w:rFonts w:hint="eastAsia" w:ascii="Times New Roman" w:hAnsi="Times New Roman" w:eastAsia="宋体" w:cs="Times New Roman"/>
                <w:color w:val="auto"/>
                <w:sz w:val="24"/>
                <w:szCs w:val="21"/>
                <w:highlight w:val="none"/>
                <w:u w:val="none" w:color="auto"/>
                <w:lang w:val="en-US" w:eastAsia="zh-CN"/>
              </w:rPr>
              <w:t>29°19'42.1812"</w:t>
            </w:r>
            <w:r>
              <w:rPr>
                <w:rFonts w:hint="eastAsia" w:cs="宋体"/>
                <w:bCs/>
                <w:color w:val="auto"/>
                <w:sz w:val="24"/>
                <w:szCs w:val="28"/>
                <w:highlight w:val="none"/>
                <w:u w:val="none" w:color="auto"/>
                <w:vertAlign w:val="baseline"/>
                <w:lang w:eastAsia="zh-CN"/>
              </w:rPr>
              <w:t>。</w:t>
            </w:r>
          </w:p>
          <w:p w14:paraId="673C5D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rPr>
            </w:pPr>
            <w:r>
              <w:rPr>
                <w:rFonts w:hint="eastAsia" w:cs="宋体"/>
                <w:bCs/>
                <w:color w:val="auto"/>
                <w:sz w:val="24"/>
                <w:szCs w:val="21"/>
                <w:highlight w:val="none"/>
                <w:u w:val="none" w:color="auto"/>
              </w:rPr>
              <w:t>项目投资：总投</w:t>
            </w:r>
            <w:r>
              <w:rPr>
                <w:rFonts w:hint="eastAsia" w:cs="宋体"/>
                <w:bCs/>
                <w:color w:val="auto"/>
                <w:sz w:val="24"/>
                <w:szCs w:val="21"/>
                <w:highlight w:val="none"/>
                <w:u w:val="none" w:color="auto"/>
                <w:lang w:val="en-US" w:eastAsia="zh-CN"/>
              </w:rPr>
              <w:t>资7792.80万元，其中环保投资200万元，占总投资的2.57%，本项目的资金来源为申请上级补助资金及建设单位自筹</w:t>
            </w:r>
            <w:r>
              <w:rPr>
                <w:rFonts w:hint="eastAsia" w:cs="宋体"/>
                <w:bCs/>
                <w:color w:val="auto"/>
                <w:sz w:val="24"/>
                <w:szCs w:val="28"/>
                <w:highlight w:val="none"/>
                <w:u w:val="none" w:color="auto"/>
                <w:vertAlign w:val="baseline"/>
                <w:lang w:eastAsia="zh-CN"/>
              </w:rPr>
              <w:t>。</w:t>
            </w:r>
          </w:p>
          <w:p w14:paraId="3FC3E9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highlight w:val="none"/>
                <w:u w:val="none" w:color="auto"/>
              </w:rPr>
            </w:pPr>
            <w:r>
              <w:rPr>
                <w:rFonts w:hint="eastAsia" w:cs="宋体"/>
                <w:bCs/>
                <w:color w:val="auto"/>
                <w:sz w:val="24"/>
                <w:szCs w:val="21"/>
                <w:highlight w:val="none"/>
                <w:u w:val="none" w:color="auto"/>
              </w:rPr>
              <w:t>占地面积：约</w:t>
            </w:r>
            <w:r>
              <w:rPr>
                <w:rFonts w:hint="eastAsia" w:cs="宋体"/>
                <w:bCs/>
                <w:color w:val="auto"/>
                <w:sz w:val="24"/>
                <w:szCs w:val="21"/>
                <w:highlight w:val="none"/>
                <w:u w:val="none" w:color="auto"/>
                <w:lang w:val="en-US" w:eastAsia="zh-CN"/>
              </w:rPr>
              <w:t>34444</w:t>
            </w:r>
            <w:r>
              <w:rPr>
                <w:rFonts w:hint="eastAsia" w:cs="宋体"/>
                <w:bCs/>
                <w:color w:val="auto"/>
                <w:sz w:val="24"/>
                <w:szCs w:val="21"/>
                <w:highlight w:val="none"/>
                <w:u w:val="none" w:color="auto"/>
              </w:rPr>
              <w:t>m</w:t>
            </w:r>
            <w:r>
              <w:rPr>
                <w:rFonts w:hint="eastAsia" w:cs="宋体"/>
                <w:bCs/>
                <w:color w:val="auto"/>
                <w:sz w:val="24"/>
                <w:szCs w:val="28"/>
                <w:highlight w:val="none"/>
                <w:u w:val="none" w:color="auto"/>
                <w:vertAlign w:val="superscript"/>
              </w:rPr>
              <w:t>2</w:t>
            </w:r>
            <w:r>
              <w:rPr>
                <w:rFonts w:hint="eastAsia" w:cs="宋体"/>
                <w:bCs/>
                <w:color w:val="auto"/>
                <w:sz w:val="24"/>
                <w:szCs w:val="28"/>
                <w:highlight w:val="none"/>
                <w:u w:val="none" w:color="auto"/>
                <w:vertAlign w:val="baseline"/>
                <w:lang w:eastAsia="zh-CN"/>
              </w:rPr>
              <w:t>。</w:t>
            </w:r>
          </w:p>
          <w:p w14:paraId="28AD6C7D">
            <w:pPr>
              <w:adjustRightInd w:val="0"/>
              <w:snapToGrid w:val="0"/>
              <w:spacing w:line="360" w:lineRule="auto"/>
              <w:ind w:firstLine="482" w:firstLineChars="200"/>
              <w:jc w:val="left"/>
              <w:rPr>
                <w:rFonts w:cs="宋体"/>
                <w:b/>
                <w:color w:val="auto"/>
                <w:sz w:val="24"/>
                <w:szCs w:val="21"/>
                <w:u w:val="none" w:color="auto"/>
              </w:rPr>
            </w:pPr>
            <w:r>
              <w:rPr>
                <w:rFonts w:hint="eastAsia" w:cs="宋体"/>
                <w:b/>
                <w:color w:val="auto"/>
                <w:sz w:val="24"/>
                <w:szCs w:val="21"/>
                <w:u w:val="none" w:color="auto"/>
                <w:lang w:val="en-US" w:eastAsia="zh-CN"/>
              </w:rPr>
              <w:t>2.2</w:t>
            </w:r>
            <w:r>
              <w:rPr>
                <w:rFonts w:hint="eastAsia" w:cs="宋体"/>
                <w:b/>
                <w:color w:val="auto"/>
                <w:sz w:val="24"/>
                <w:szCs w:val="21"/>
                <w:u w:val="none" w:color="auto"/>
              </w:rPr>
              <w:t>项目主要建设内容</w:t>
            </w:r>
          </w:p>
          <w:p w14:paraId="4583C34E">
            <w:pPr>
              <w:adjustRightInd w:val="0"/>
              <w:snapToGrid w:val="0"/>
              <w:ind w:firstLine="422" w:firstLineChars="200"/>
              <w:jc w:val="center"/>
              <w:rPr>
                <w:b/>
                <w:color w:val="auto"/>
                <w:sz w:val="21"/>
                <w:szCs w:val="21"/>
                <w:u w:val="none" w:color="auto"/>
              </w:rPr>
            </w:pPr>
            <w:r>
              <w:rPr>
                <w:b/>
                <w:color w:val="auto"/>
                <w:sz w:val="21"/>
                <w:szCs w:val="21"/>
                <w:u w:val="none" w:color="auto"/>
              </w:rPr>
              <w:t>表</w:t>
            </w:r>
            <w:r>
              <w:rPr>
                <w:rFonts w:hint="eastAsia"/>
                <w:b/>
                <w:color w:val="auto"/>
                <w:sz w:val="21"/>
                <w:szCs w:val="21"/>
                <w:u w:val="none" w:color="auto"/>
              </w:rPr>
              <w:t xml:space="preserve">2-1  </w:t>
            </w:r>
            <w:r>
              <w:rPr>
                <w:b/>
                <w:color w:val="auto"/>
                <w:sz w:val="21"/>
                <w:szCs w:val="21"/>
                <w:u w:val="none" w:color="auto"/>
              </w:rPr>
              <w:t>项目主要建设内容一览表</w:t>
            </w:r>
          </w:p>
          <w:tbl>
            <w:tblPr>
              <w:tblStyle w:val="25"/>
              <w:tblW w:w="78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184"/>
              <w:gridCol w:w="3"/>
              <w:gridCol w:w="4978"/>
              <w:gridCol w:w="1040"/>
            </w:tblGrid>
            <w:tr w14:paraId="24403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54" w:type="dxa"/>
                  <w:tcBorders>
                    <w:tl2br w:val="nil"/>
                    <w:tr2bl w:val="nil"/>
                  </w:tcBorders>
                  <w:shd w:val="clear" w:color="auto" w:fill="auto"/>
                  <w:vAlign w:val="center"/>
                </w:tcPr>
                <w:p w14:paraId="4ECFC372">
                  <w:pPr>
                    <w:pStyle w:val="53"/>
                    <w:spacing w:before="0" w:beforeLines="0" w:after="0" w:afterLines="0"/>
                    <w:rPr>
                      <w:color w:val="auto"/>
                      <w:sz w:val="21"/>
                      <w:szCs w:val="18"/>
                      <w:u w:val="none" w:color="auto"/>
                    </w:rPr>
                  </w:pPr>
                  <w:r>
                    <w:rPr>
                      <w:color w:val="auto"/>
                      <w:sz w:val="21"/>
                      <w:szCs w:val="18"/>
                      <w:u w:val="none" w:color="auto"/>
                    </w:rPr>
                    <w:t>工程</w:t>
                  </w:r>
                </w:p>
              </w:tc>
              <w:tc>
                <w:tcPr>
                  <w:tcW w:w="1187" w:type="dxa"/>
                  <w:gridSpan w:val="2"/>
                  <w:tcBorders>
                    <w:tl2br w:val="nil"/>
                    <w:tr2bl w:val="nil"/>
                  </w:tcBorders>
                  <w:shd w:val="clear" w:color="auto" w:fill="auto"/>
                  <w:vAlign w:val="center"/>
                </w:tcPr>
                <w:p w14:paraId="502DECD3">
                  <w:pPr>
                    <w:pStyle w:val="53"/>
                    <w:spacing w:before="0" w:beforeLines="0" w:after="0" w:afterLines="0"/>
                    <w:rPr>
                      <w:color w:val="auto"/>
                      <w:sz w:val="21"/>
                      <w:szCs w:val="18"/>
                      <w:u w:val="none" w:color="auto"/>
                    </w:rPr>
                  </w:pPr>
                  <w:r>
                    <w:rPr>
                      <w:color w:val="auto"/>
                      <w:sz w:val="21"/>
                      <w:szCs w:val="18"/>
                      <w:u w:val="none" w:color="auto"/>
                    </w:rPr>
                    <w:t>内容</w:t>
                  </w:r>
                </w:p>
              </w:tc>
              <w:tc>
                <w:tcPr>
                  <w:tcW w:w="4978" w:type="dxa"/>
                  <w:tcBorders>
                    <w:tl2br w:val="nil"/>
                    <w:tr2bl w:val="nil"/>
                  </w:tcBorders>
                  <w:shd w:val="clear" w:color="auto" w:fill="auto"/>
                  <w:vAlign w:val="center"/>
                </w:tcPr>
                <w:p w14:paraId="02108DD8">
                  <w:pPr>
                    <w:pStyle w:val="53"/>
                    <w:spacing w:before="0" w:beforeLines="0" w:after="0" w:afterLines="0"/>
                    <w:rPr>
                      <w:color w:val="auto"/>
                      <w:sz w:val="21"/>
                      <w:szCs w:val="18"/>
                      <w:u w:val="none" w:color="auto"/>
                    </w:rPr>
                  </w:pPr>
                  <w:r>
                    <w:rPr>
                      <w:color w:val="auto"/>
                      <w:sz w:val="21"/>
                      <w:szCs w:val="18"/>
                      <w:u w:val="none" w:color="auto"/>
                    </w:rPr>
                    <w:t>规模</w:t>
                  </w:r>
                </w:p>
              </w:tc>
              <w:tc>
                <w:tcPr>
                  <w:tcW w:w="1040" w:type="dxa"/>
                  <w:tcBorders>
                    <w:tl2br w:val="nil"/>
                    <w:tr2bl w:val="nil"/>
                  </w:tcBorders>
                  <w:shd w:val="clear" w:color="auto" w:fill="auto"/>
                  <w:vAlign w:val="center"/>
                </w:tcPr>
                <w:p w14:paraId="1BB1F4BC">
                  <w:pPr>
                    <w:pStyle w:val="53"/>
                    <w:spacing w:before="0" w:beforeLines="0" w:after="0" w:afterLines="0"/>
                    <w:rPr>
                      <w:rFonts w:hint="default" w:eastAsia="宋体"/>
                      <w:color w:val="auto"/>
                      <w:sz w:val="21"/>
                      <w:szCs w:val="18"/>
                      <w:u w:val="none" w:color="auto"/>
                      <w:lang w:val="en-US" w:eastAsia="zh-CN"/>
                    </w:rPr>
                  </w:pPr>
                  <w:r>
                    <w:rPr>
                      <w:rFonts w:hint="eastAsia"/>
                      <w:color w:val="auto"/>
                      <w:sz w:val="21"/>
                      <w:szCs w:val="18"/>
                      <w:u w:val="none" w:color="auto"/>
                      <w:lang w:val="en-US" w:eastAsia="zh-CN"/>
                    </w:rPr>
                    <w:t>建设情况</w:t>
                  </w:r>
                </w:p>
              </w:tc>
            </w:tr>
            <w:tr w14:paraId="4ACF3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restart"/>
                  <w:tcBorders>
                    <w:tl2br w:val="nil"/>
                    <w:tr2bl w:val="nil"/>
                  </w:tcBorders>
                  <w:vAlign w:val="center"/>
                </w:tcPr>
                <w:p w14:paraId="0FFD1869">
                  <w:pPr>
                    <w:pStyle w:val="53"/>
                    <w:spacing w:before="0" w:beforeLines="0" w:after="0" w:afterLines="0"/>
                    <w:rPr>
                      <w:b w:val="0"/>
                      <w:bCs/>
                      <w:color w:val="auto"/>
                      <w:sz w:val="21"/>
                      <w:szCs w:val="18"/>
                      <w:u w:val="none" w:color="auto"/>
                    </w:rPr>
                  </w:pPr>
                  <w:r>
                    <w:rPr>
                      <w:b w:val="0"/>
                      <w:bCs/>
                      <w:color w:val="auto"/>
                      <w:sz w:val="21"/>
                      <w:szCs w:val="18"/>
                      <w:u w:val="none" w:color="auto"/>
                    </w:rPr>
                    <w:t>主体工程</w:t>
                  </w:r>
                </w:p>
              </w:tc>
              <w:tc>
                <w:tcPr>
                  <w:tcW w:w="1184" w:type="dxa"/>
                  <w:tcBorders>
                    <w:tl2br w:val="nil"/>
                    <w:tr2bl w:val="nil"/>
                  </w:tcBorders>
                  <w:vAlign w:val="center"/>
                </w:tcPr>
                <w:p w14:paraId="4F2447D2">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污水管网工程</w:t>
                  </w:r>
                </w:p>
              </w:tc>
              <w:tc>
                <w:tcPr>
                  <w:tcW w:w="4981" w:type="dxa"/>
                  <w:gridSpan w:val="2"/>
                  <w:tcBorders>
                    <w:tl2br w:val="nil"/>
                    <w:tr2bl w:val="nil"/>
                  </w:tcBorders>
                  <w:vAlign w:val="center"/>
                </w:tcPr>
                <w:p w14:paraId="17740906">
                  <w:pPr>
                    <w:jc w:val="center"/>
                    <w:rPr>
                      <w:rFonts w:hint="default" w:ascii="Times New Roman" w:hAnsi="Times New Roman" w:eastAsia="宋体" w:cs="Times New Roman"/>
                      <w:bCs/>
                      <w:color w:val="auto"/>
                      <w:sz w:val="21"/>
                      <w:szCs w:val="18"/>
                      <w:u w:val="none" w:color="auto"/>
                      <w:lang w:val="en-US" w:eastAsia="zh-CN"/>
                    </w:rPr>
                  </w:pPr>
                  <w:r>
                    <w:rPr>
                      <w:rFonts w:hint="default" w:ascii="Times New Roman" w:hAnsi="Times New Roman" w:eastAsia="宋体" w:cs="Times New Roman"/>
                      <w:bCs/>
                      <w:color w:val="auto"/>
                      <w:sz w:val="21"/>
                      <w:szCs w:val="18"/>
                      <w:u w:val="none" w:color="auto"/>
                      <w:lang w:val="en-US" w:eastAsia="zh-CN"/>
                    </w:rPr>
                    <w:t>月牙湖大道及团洲花园铺设一组DN600双壁波纹管污水管道</w:t>
                  </w:r>
                  <w:r>
                    <w:rPr>
                      <w:rFonts w:hint="eastAsia" w:cs="Times New Roman"/>
                      <w:bCs/>
                      <w:color w:val="auto"/>
                      <w:sz w:val="21"/>
                      <w:szCs w:val="18"/>
                      <w:u w:val="none" w:color="auto"/>
                      <w:lang w:val="en-US" w:eastAsia="zh-CN"/>
                    </w:rPr>
                    <w:t>，长度</w:t>
                  </w:r>
                  <w:r>
                    <w:rPr>
                      <w:rFonts w:hint="eastAsia" w:cs="宋体"/>
                      <w:b w:val="0"/>
                      <w:bCs/>
                      <w:color w:val="auto"/>
                      <w:sz w:val="21"/>
                      <w:szCs w:val="21"/>
                      <w:u w:val="none" w:color="auto"/>
                      <w:vertAlign w:val="baseline"/>
                      <w:lang w:val="en-US" w:eastAsia="zh-CN"/>
                    </w:rPr>
                    <w:t>1100.80m</w:t>
                  </w:r>
                </w:p>
              </w:tc>
              <w:tc>
                <w:tcPr>
                  <w:tcW w:w="1040" w:type="dxa"/>
                  <w:tcBorders>
                    <w:tl2br w:val="nil"/>
                    <w:tr2bl w:val="nil"/>
                  </w:tcBorders>
                  <w:vAlign w:val="center"/>
                </w:tcPr>
                <w:p w14:paraId="4D3A2F67">
                  <w:pPr>
                    <w:pStyle w:val="53"/>
                    <w:spacing w:before="0" w:beforeLines="0" w:after="0" w:afterLines="0"/>
                    <w:jc w:val="center"/>
                    <w:rPr>
                      <w:rFonts w:hint="default"/>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2987B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7F386B54">
                  <w:pPr>
                    <w:pStyle w:val="53"/>
                    <w:spacing w:before="0" w:beforeLines="0" w:after="0" w:afterLines="0"/>
                    <w:rPr>
                      <w:b w:val="0"/>
                      <w:bCs/>
                      <w:color w:val="auto"/>
                      <w:sz w:val="21"/>
                      <w:szCs w:val="18"/>
                      <w:u w:val="none" w:color="auto"/>
                    </w:rPr>
                  </w:pPr>
                </w:p>
              </w:tc>
              <w:tc>
                <w:tcPr>
                  <w:tcW w:w="1184" w:type="dxa"/>
                  <w:tcBorders>
                    <w:tl2br w:val="nil"/>
                    <w:tr2bl w:val="nil"/>
                  </w:tcBorders>
                  <w:vAlign w:val="center"/>
                </w:tcPr>
                <w:p w14:paraId="4B20BDC6">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雨水管网工程</w:t>
                  </w:r>
                </w:p>
              </w:tc>
              <w:tc>
                <w:tcPr>
                  <w:tcW w:w="4981" w:type="dxa"/>
                  <w:gridSpan w:val="2"/>
                  <w:tcBorders>
                    <w:tl2br w:val="nil"/>
                    <w:tr2bl w:val="nil"/>
                  </w:tcBorders>
                  <w:vAlign w:val="center"/>
                </w:tcPr>
                <w:p w14:paraId="0BD525C0">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团洲花园内铺设一组DN600双壁波纹管雨水管道652.67m，及DN200一级钢筋混凝土雨水支管394.856m，新建检查井22，新建雨水口43座，更换落水管196m，接入月牙湖大道雨水主管网。</w:t>
                  </w:r>
                </w:p>
              </w:tc>
              <w:tc>
                <w:tcPr>
                  <w:tcW w:w="1040" w:type="dxa"/>
                  <w:tcBorders>
                    <w:tl2br w:val="nil"/>
                    <w:tr2bl w:val="nil"/>
                  </w:tcBorders>
                  <w:vAlign w:val="center"/>
                </w:tcPr>
                <w:p w14:paraId="4C2C91E9">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50B3A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27A312C5">
                  <w:pPr>
                    <w:pStyle w:val="53"/>
                    <w:spacing w:before="0" w:beforeLines="0" w:after="0" w:afterLines="0"/>
                    <w:rPr>
                      <w:b w:val="0"/>
                      <w:bCs/>
                      <w:color w:val="auto"/>
                      <w:sz w:val="21"/>
                      <w:szCs w:val="18"/>
                      <w:u w:val="none" w:color="auto"/>
                    </w:rPr>
                  </w:pPr>
                </w:p>
              </w:tc>
              <w:tc>
                <w:tcPr>
                  <w:tcW w:w="1184" w:type="dxa"/>
                  <w:vMerge w:val="restart"/>
                  <w:tcBorders>
                    <w:tl2br w:val="nil"/>
                    <w:tr2bl w:val="nil"/>
                  </w:tcBorders>
                  <w:vAlign w:val="center"/>
                </w:tcPr>
                <w:p w14:paraId="77AAAC46">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道路工程</w:t>
                  </w:r>
                </w:p>
              </w:tc>
              <w:tc>
                <w:tcPr>
                  <w:tcW w:w="4981" w:type="dxa"/>
                  <w:gridSpan w:val="2"/>
                  <w:tcBorders>
                    <w:tl2br w:val="nil"/>
                    <w:tr2bl w:val="nil"/>
                  </w:tcBorders>
                  <w:vAlign w:val="center"/>
                </w:tcPr>
                <w:p w14:paraId="3488A56E">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月牙湖大道原混凝土路面修补及黑化7331.57m</w:t>
                  </w:r>
                  <w:r>
                    <w:rPr>
                      <w:rFonts w:hint="eastAsia" w:ascii="Times New Roman" w:hAnsi="Times New Roman" w:eastAsia="宋体" w:cs="Times New Roman"/>
                      <w:bCs/>
                      <w:color w:val="auto"/>
                      <w:sz w:val="21"/>
                      <w:szCs w:val="18"/>
                      <w:u w:val="none" w:color="auto"/>
                      <w:vertAlign w:val="superscript"/>
                      <w:lang w:val="en-US" w:eastAsia="zh-CN"/>
                    </w:rPr>
                    <w:t>2</w:t>
                  </w:r>
                  <w:r>
                    <w:rPr>
                      <w:rFonts w:hint="eastAsia" w:ascii="Times New Roman" w:hAnsi="Times New Roman" w:eastAsia="宋体" w:cs="Times New Roman"/>
                      <w:bCs/>
                      <w:color w:val="auto"/>
                      <w:sz w:val="21"/>
                      <w:szCs w:val="18"/>
                      <w:u w:val="none" w:color="auto"/>
                      <w:lang w:val="en-US" w:eastAsia="zh-CN"/>
                    </w:rPr>
                    <w:t>，道路总长520.8m，宽12.5m。树池拆除重建149座。</w:t>
                  </w:r>
                </w:p>
              </w:tc>
              <w:tc>
                <w:tcPr>
                  <w:tcW w:w="1040" w:type="dxa"/>
                  <w:tcBorders>
                    <w:tl2br w:val="nil"/>
                    <w:tr2bl w:val="nil"/>
                  </w:tcBorders>
                  <w:vAlign w:val="center"/>
                </w:tcPr>
                <w:p w14:paraId="2B9ECF08">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386D5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58F37727">
                  <w:pPr>
                    <w:pStyle w:val="53"/>
                    <w:spacing w:before="0" w:beforeLines="0" w:after="0" w:afterLines="0"/>
                    <w:rPr>
                      <w:b w:val="0"/>
                      <w:bCs/>
                      <w:color w:val="auto"/>
                      <w:sz w:val="21"/>
                      <w:szCs w:val="18"/>
                      <w:u w:val="none" w:color="auto"/>
                    </w:rPr>
                  </w:pPr>
                </w:p>
              </w:tc>
              <w:tc>
                <w:tcPr>
                  <w:tcW w:w="1184" w:type="dxa"/>
                  <w:vMerge w:val="continue"/>
                  <w:tcBorders>
                    <w:tl2br w:val="nil"/>
                    <w:tr2bl w:val="nil"/>
                  </w:tcBorders>
                  <w:vAlign w:val="center"/>
                </w:tcPr>
                <w:p w14:paraId="4E910F3E">
                  <w:pPr>
                    <w:jc w:val="center"/>
                    <w:rPr>
                      <w:rFonts w:hint="default" w:ascii="Times New Roman" w:hAnsi="Times New Roman" w:eastAsia="宋体" w:cs="Times New Roman"/>
                      <w:bCs/>
                      <w:color w:val="auto"/>
                      <w:sz w:val="21"/>
                      <w:szCs w:val="18"/>
                      <w:u w:val="none" w:color="auto"/>
                      <w:lang w:val="en-US" w:eastAsia="zh-CN"/>
                    </w:rPr>
                  </w:pPr>
                </w:p>
              </w:tc>
              <w:tc>
                <w:tcPr>
                  <w:tcW w:w="4981" w:type="dxa"/>
                  <w:gridSpan w:val="2"/>
                  <w:tcBorders>
                    <w:tl2br w:val="nil"/>
                    <w:tr2bl w:val="nil"/>
                  </w:tcBorders>
                  <w:vAlign w:val="center"/>
                </w:tcPr>
                <w:p w14:paraId="07A76F78">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团洲花园内道路拆除重建沥青混凝土道路合计5395.48平方米。</w:t>
                  </w:r>
                </w:p>
              </w:tc>
              <w:tc>
                <w:tcPr>
                  <w:tcW w:w="1040" w:type="dxa"/>
                  <w:tcBorders>
                    <w:tl2br w:val="nil"/>
                    <w:tr2bl w:val="nil"/>
                  </w:tcBorders>
                  <w:vAlign w:val="center"/>
                </w:tcPr>
                <w:p w14:paraId="618BA77C">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4319C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4DF7E22C">
                  <w:pPr>
                    <w:pStyle w:val="53"/>
                    <w:spacing w:before="0" w:beforeLines="0" w:after="0" w:afterLines="0"/>
                    <w:rPr>
                      <w:b w:val="0"/>
                      <w:bCs/>
                      <w:color w:val="auto"/>
                      <w:sz w:val="21"/>
                      <w:szCs w:val="18"/>
                      <w:u w:val="none" w:color="auto"/>
                    </w:rPr>
                  </w:pPr>
                </w:p>
              </w:tc>
              <w:tc>
                <w:tcPr>
                  <w:tcW w:w="1184" w:type="dxa"/>
                  <w:vMerge w:val="continue"/>
                  <w:tcBorders>
                    <w:tl2br w:val="nil"/>
                    <w:tr2bl w:val="nil"/>
                  </w:tcBorders>
                  <w:vAlign w:val="center"/>
                </w:tcPr>
                <w:p w14:paraId="086BD2F4">
                  <w:pPr>
                    <w:jc w:val="center"/>
                    <w:rPr>
                      <w:rFonts w:hint="default" w:ascii="Times New Roman" w:hAnsi="Times New Roman" w:eastAsia="宋体" w:cs="Times New Roman"/>
                      <w:bCs/>
                      <w:color w:val="auto"/>
                      <w:sz w:val="21"/>
                      <w:szCs w:val="18"/>
                      <w:u w:val="none" w:color="auto"/>
                      <w:lang w:val="en-US" w:eastAsia="zh-CN"/>
                    </w:rPr>
                  </w:pPr>
                </w:p>
              </w:tc>
              <w:tc>
                <w:tcPr>
                  <w:tcW w:w="4981" w:type="dxa"/>
                  <w:gridSpan w:val="2"/>
                  <w:tcBorders>
                    <w:tl2br w:val="nil"/>
                    <w:tr2bl w:val="nil"/>
                  </w:tcBorders>
                  <w:vAlign w:val="center"/>
                </w:tcPr>
                <w:p w14:paraId="6AB9221C">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月牙湖大道原破损人行道拆除重建，北侧宽5m，南侧宽2.5m，计2407.61m。</w:t>
                  </w:r>
                </w:p>
              </w:tc>
              <w:tc>
                <w:tcPr>
                  <w:tcW w:w="1040" w:type="dxa"/>
                  <w:tcBorders>
                    <w:tl2br w:val="nil"/>
                    <w:tr2bl w:val="nil"/>
                  </w:tcBorders>
                  <w:vAlign w:val="center"/>
                </w:tcPr>
                <w:p w14:paraId="366675A6">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1B66A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4" w:type="dxa"/>
                  <w:vMerge w:val="continue"/>
                  <w:tcBorders>
                    <w:tl2br w:val="nil"/>
                    <w:tr2bl w:val="nil"/>
                  </w:tcBorders>
                  <w:vAlign w:val="center"/>
                </w:tcPr>
                <w:p w14:paraId="59496B1A">
                  <w:pPr>
                    <w:pStyle w:val="53"/>
                    <w:spacing w:before="0" w:beforeLines="0" w:after="0" w:afterLines="0"/>
                    <w:rPr>
                      <w:b w:val="0"/>
                      <w:bCs/>
                      <w:color w:val="auto"/>
                      <w:sz w:val="21"/>
                      <w:szCs w:val="18"/>
                      <w:u w:val="none" w:color="auto"/>
                    </w:rPr>
                  </w:pPr>
                </w:p>
              </w:tc>
              <w:tc>
                <w:tcPr>
                  <w:tcW w:w="1184" w:type="dxa"/>
                  <w:tcBorders>
                    <w:tl2br w:val="nil"/>
                    <w:tr2bl w:val="nil"/>
                  </w:tcBorders>
                  <w:vAlign w:val="center"/>
                </w:tcPr>
                <w:p w14:paraId="0B21D1BB">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景观及零星配套工程</w:t>
                  </w:r>
                </w:p>
              </w:tc>
              <w:tc>
                <w:tcPr>
                  <w:tcW w:w="4981" w:type="dxa"/>
                  <w:gridSpan w:val="2"/>
                  <w:tcBorders>
                    <w:tl2br w:val="nil"/>
                    <w:tr2bl w:val="nil"/>
                  </w:tcBorders>
                  <w:vAlign w:val="center"/>
                </w:tcPr>
                <w:p w14:paraId="42A02EC9">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团洲花园内景观及铺装拆除重建。</w:t>
                  </w:r>
                </w:p>
              </w:tc>
              <w:tc>
                <w:tcPr>
                  <w:tcW w:w="1040" w:type="dxa"/>
                  <w:tcBorders>
                    <w:tl2br w:val="nil"/>
                    <w:tr2bl w:val="nil"/>
                  </w:tcBorders>
                  <w:vAlign w:val="center"/>
                </w:tcPr>
                <w:p w14:paraId="084E3BAA">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19480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196EBDAE">
                  <w:pPr>
                    <w:pStyle w:val="53"/>
                    <w:spacing w:before="0" w:beforeLines="0" w:after="0" w:afterLines="0"/>
                    <w:rPr>
                      <w:b w:val="0"/>
                      <w:bCs/>
                      <w:color w:val="auto"/>
                      <w:sz w:val="21"/>
                      <w:szCs w:val="18"/>
                      <w:u w:val="none" w:color="auto"/>
                    </w:rPr>
                  </w:pPr>
                </w:p>
              </w:tc>
              <w:tc>
                <w:tcPr>
                  <w:tcW w:w="1184" w:type="dxa"/>
                  <w:tcBorders>
                    <w:tl2br w:val="nil"/>
                    <w:tr2bl w:val="nil"/>
                  </w:tcBorders>
                  <w:vAlign w:val="center"/>
                </w:tcPr>
                <w:p w14:paraId="7DE3A07F">
                  <w:pPr>
                    <w:jc w:val="center"/>
                    <w:rPr>
                      <w:rFonts w:hint="eastAsia"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小区外配套工程及配套设施</w:t>
                  </w:r>
                </w:p>
              </w:tc>
              <w:tc>
                <w:tcPr>
                  <w:tcW w:w="4981" w:type="dxa"/>
                  <w:gridSpan w:val="2"/>
                  <w:tcBorders>
                    <w:tl2br w:val="nil"/>
                    <w:tr2bl w:val="nil"/>
                  </w:tcBorders>
                  <w:vAlign w:val="center"/>
                </w:tcPr>
                <w:p w14:paraId="263FB52F">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安置房小区外建设市政道路2774.615m，并配套安置房小区外绿化人行道两侧行道树925棵，树池草皮2081.3m</w:t>
                  </w:r>
                  <w:r>
                    <w:rPr>
                      <w:rFonts w:hint="eastAsia" w:ascii="Times New Roman" w:hAnsi="Times New Roman" w:eastAsia="宋体" w:cs="Times New Roman"/>
                      <w:bCs/>
                      <w:color w:val="auto"/>
                      <w:sz w:val="21"/>
                      <w:szCs w:val="18"/>
                      <w:u w:val="none" w:color="auto"/>
                      <w:vertAlign w:val="superscript"/>
                      <w:lang w:val="en-US" w:eastAsia="zh-CN"/>
                    </w:rPr>
                    <w:t>2</w:t>
                  </w:r>
                  <w:r>
                    <w:rPr>
                      <w:rFonts w:hint="eastAsia" w:ascii="Times New Roman" w:hAnsi="Times New Roman" w:eastAsia="宋体" w:cs="Times New Roman"/>
                      <w:bCs/>
                      <w:color w:val="auto"/>
                      <w:sz w:val="21"/>
                      <w:szCs w:val="18"/>
                      <w:u w:val="none" w:color="auto"/>
                      <w:lang w:val="en-US" w:eastAsia="zh-CN"/>
                    </w:rPr>
                    <w:t>。建设DN800雨水管5110.6m，DN300雨水管1171m，DN800污水管5110.6m，铺设2400m给水管，燃气管2200m，并配套建设照明、供配电、监控及标识标牌等基础设施。</w:t>
                  </w:r>
                </w:p>
              </w:tc>
              <w:tc>
                <w:tcPr>
                  <w:tcW w:w="1040" w:type="dxa"/>
                  <w:tcBorders>
                    <w:tl2br w:val="nil"/>
                    <w:tr2bl w:val="nil"/>
                  </w:tcBorders>
                  <w:vAlign w:val="center"/>
                </w:tcPr>
                <w:p w14:paraId="586F68F3">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3513E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tcBorders>
                    <w:tl2br w:val="nil"/>
                    <w:tr2bl w:val="nil"/>
                  </w:tcBorders>
                  <w:vAlign w:val="center"/>
                </w:tcPr>
                <w:p w14:paraId="1C01CA59">
                  <w:pPr>
                    <w:pStyle w:val="53"/>
                    <w:spacing w:before="0" w:beforeLines="0" w:after="0" w:afterLines="0"/>
                    <w:rPr>
                      <w:b w:val="0"/>
                      <w:bCs/>
                      <w:color w:val="auto"/>
                      <w:sz w:val="21"/>
                      <w:szCs w:val="18"/>
                      <w:u w:val="none" w:color="auto"/>
                    </w:rPr>
                  </w:pPr>
                  <w:r>
                    <w:rPr>
                      <w:b w:val="0"/>
                      <w:bCs/>
                      <w:color w:val="auto"/>
                      <w:sz w:val="21"/>
                      <w:szCs w:val="18"/>
                      <w:u w:val="none" w:color="auto"/>
                    </w:rPr>
                    <w:t>辅助工程</w:t>
                  </w:r>
                </w:p>
              </w:tc>
              <w:tc>
                <w:tcPr>
                  <w:tcW w:w="1187" w:type="dxa"/>
                  <w:gridSpan w:val="2"/>
                  <w:tcBorders>
                    <w:tl2br w:val="nil"/>
                    <w:tr2bl w:val="nil"/>
                  </w:tcBorders>
                  <w:vAlign w:val="center"/>
                </w:tcPr>
                <w:p w14:paraId="4929DC74">
                  <w:pPr>
                    <w:pStyle w:val="53"/>
                    <w:spacing w:before="0" w:beforeLines="0" w:after="0" w:afterLines="0"/>
                    <w:rPr>
                      <w:rFonts w:hint="default" w:eastAsia="宋体"/>
                      <w:b w:val="0"/>
                      <w:bCs/>
                      <w:color w:val="auto"/>
                      <w:sz w:val="21"/>
                      <w:szCs w:val="18"/>
                      <w:u w:val="none" w:color="auto"/>
                      <w:lang w:val="en-US" w:eastAsia="zh-CN"/>
                    </w:rPr>
                  </w:pPr>
                  <w:r>
                    <w:rPr>
                      <w:rFonts w:hint="eastAsia"/>
                      <w:b w:val="0"/>
                      <w:bCs/>
                      <w:color w:val="auto"/>
                      <w:sz w:val="21"/>
                      <w:szCs w:val="18"/>
                      <w:u w:val="none" w:color="auto"/>
                      <w:lang w:val="en-US" w:eastAsia="zh-CN"/>
                    </w:rPr>
                    <w:t>施工营地</w:t>
                  </w:r>
                </w:p>
              </w:tc>
              <w:tc>
                <w:tcPr>
                  <w:tcW w:w="4978" w:type="dxa"/>
                  <w:tcBorders>
                    <w:tl2br w:val="nil"/>
                    <w:tr2bl w:val="nil"/>
                  </w:tcBorders>
                  <w:vAlign w:val="center"/>
                </w:tcPr>
                <w:p w14:paraId="7D8DD31B">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本项目</w:t>
                  </w:r>
                  <w:r>
                    <w:rPr>
                      <w:rFonts w:hint="eastAsia" w:cs="Times New Roman"/>
                      <w:bCs/>
                      <w:color w:val="auto"/>
                      <w:sz w:val="21"/>
                      <w:szCs w:val="18"/>
                      <w:u w:val="none" w:color="auto"/>
                      <w:lang w:val="en-US" w:eastAsia="zh-CN"/>
                    </w:rPr>
                    <w:t>不设置施工营地</w:t>
                  </w:r>
                </w:p>
              </w:tc>
              <w:tc>
                <w:tcPr>
                  <w:tcW w:w="1040" w:type="dxa"/>
                  <w:tcBorders>
                    <w:tl2br w:val="nil"/>
                    <w:tr2bl w:val="nil"/>
                  </w:tcBorders>
                  <w:vAlign w:val="center"/>
                </w:tcPr>
                <w:p w14:paraId="4C07402F">
                  <w:pPr>
                    <w:pStyle w:val="53"/>
                    <w:spacing w:before="0" w:beforeLines="0" w:after="0" w:afterLines="0"/>
                    <w:jc w:val="center"/>
                    <w:rPr>
                      <w:rFonts w:hint="default"/>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069FA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restart"/>
                  <w:tcBorders>
                    <w:tl2br w:val="nil"/>
                    <w:tr2bl w:val="nil"/>
                  </w:tcBorders>
                  <w:vAlign w:val="center"/>
                </w:tcPr>
                <w:p w14:paraId="23B42F1C">
                  <w:pPr>
                    <w:pStyle w:val="53"/>
                    <w:spacing w:before="0" w:beforeLines="0" w:after="0" w:afterLines="0"/>
                    <w:rPr>
                      <w:rFonts w:hint="eastAsia" w:eastAsia="宋体"/>
                      <w:b w:val="0"/>
                      <w:bCs/>
                      <w:color w:val="auto"/>
                      <w:sz w:val="21"/>
                      <w:szCs w:val="18"/>
                      <w:u w:val="none" w:color="auto"/>
                      <w:lang w:eastAsia="zh-CN"/>
                    </w:rPr>
                  </w:pPr>
                  <w:r>
                    <w:rPr>
                      <w:b w:val="0"/>
                      <w:bCs/>
                      <w:color w:val="auto"/>
                      <w:sz w:val="21"/>
                      <w:szCs w:val="18"/>
                      <w:u w:val="none" w:color="auto"/>
                    </w:rPr>
                    <w:t>公用工程</w:t>
                  </w:r>
                  <w:r>
                    <w:rPr>
                      <w:rFonts w:hint="eastAsia"/>
                      <w:b w:val="0"/>
                      <w:bCs/>
                      <w:color w:val="auto"/>
                      <w:sz w:val="21"/>
                      <w:szCs w:val="18"/>
                      <w:u w:val="none" w:color="auto"/>
                      <w:lang w:eastAsia="zh-CN"/>
                    </w:rPr>
                    <w:t>（</w:t>
                  </w:r>
                  <w:r>
                    <w:rPr>
                      <w:rFonts w:hint="eastAsia"/>
                      <w:b w:val="0"/>
                      <w:bCs/>
                      <w:color w:val="auto"/>
                      <w:sz w:val="21"/>
                      <w:szCs w:val="18"/>
                      <w:u w:val="none" w:color="auto"/>
                      <w:lang w:val="en-US" w:eastAsia="zh-CN"/>
                    </w:rPr>
                    <w:t>施工期</w:t>
                  </w:r>
                  <w:r>
                    <w:rPr>
                      <w:rFonts w:hint="eastAsia"/>
                      <w:b w:val="0"/>
                      <w:bCs/>
                      <w:color w:val="auto"/>
                      <w:sz w:val="21"/>
                      <w:szCs w:val="18"/>
                      <w:u w:val="none" w:color="auto"/>
                      <w:lang w:eastAsia="zh-CN"/>
                    </w:rPr>
                    <w:t>）</w:t>
                  </w:r>
                </w:p>
              </w:tc>
              <w:tc>
                <w:tcPr>
                  <w:tcW w:w="1187" w:type="dxa"/>
                  <w:gridSpan w:val="2"/>
                  <w:tcBorders>
                    <w:tl2br w:val="nil"/>
                    <w:tr2bl w:val="nil"/>
                  </w:tcBorders>
                  <w:vAlign w:val="center"/>
                </w:tcPr>
                <w:p w14:paraId="01E85881">
                  <w:pPr>
                    <w:pStyle w:val="53"/>
                    <w:spacing w:before="0" w:beforeLines="0" w:after="0" w:afterLines="0"/>
                    <w:rPr>
                      <w:b w:val="0"/>
                      <w:bCs/>
                      <w:color w:val="auto"/>
                      <w:sz w:val="21"/>
                      <w:szCs w:val="18"/>
                      <w:u w:val="none" w:color="auto"/>
                    </w:rPr>
                  </w:pPr>
                  <w:r>
                    <w:rPr>
                      <w:b w:val="0"/>
                      <w:bCs/>
                      <w:color w:val="auto"/>
                      <w:sz w:val="21"/>
                      <w:szCs w:val="18"/>
                      <w:u w:val="none" w:color="auto"/>
                    </w:rPr>
                    <w:t>供水</w:t>
                  </w:r>
                </w:p>
              </w:tc>
              <w:tc>
                <w:tcPr>
                  <w:tcW w:w="4978" w:type="dxa"/>
                  <w:tcBorders>
                    <w:tl2br w:val="nil"/>
                    <w:tr2bl w:val="nil"/>
                  </w:tcBorders>
                  <w:vAlign w:val="center"/>
                </w:tcPr>
                <w:p w14:paraId="0DD002F0">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市政自来水</w:t>
                  </w:r>
                </w:p>
              </w:tc>
              <w:tc>
                <w:tcPr>
                  <w:tcW w:w="1040" w:type="dxa"/>
                  <w:tcBorders>
                    <w:tl2br w:val="nil"/>
                    <w:tr2bl w:val="nil"/>
                  </w:tcBorders>
                  <w:vAlign w:val="center"/>
                </w:tcPr>
                <w:p w14:paraId="1BF837D3">
                  <w:pPr>
                    <w:spacing w:before="0" w:beforeLines="0" w:after="0" w:afterLines="0"/>
                    <w:jc w:val="center"/>
                    <w:rPr>
                      <w:rFonts w:hint="default"/>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3AACC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54" w:type="dxa"/>
                  <w:vMerge w:val="continue"/>
                  <w:tcBorders>
                    <w:tl2br w:val="nil"/>
                    <w:tr2bl w:val="nil"/>
                  </w:tcBorders>
                  <w:vAlign w:val="center"/>
                </w:tcPr>
                <w:p w14:paraId="7500FEA3">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22A35BBE">
                  <w:pPr>
                    <w:pStyle w:val="53"/>
                    <w:spacing w:before="0" w:beforeLines="0" w:after="0" w:afterLines="0"/>
                    <w:rPr>
                      <w:b w:val="0"/>
                      <w:bCs/>
                      <w:color w:val="auto"/>
                      <w:sz w:val="21"/>
                      <w:szCs w:val="18"/>
                      <w:u w:val="none" w:color="auto"/>
                    </w:rPr>
                  </w:pPr>
                  <w:r>
                    <w:rPr>
                      <w:b w:val="0"/>
                      <w:bCs/>
                      <w:color w:val="auto"/>
                      <w:sz w:val="21"/>
                      <w:szCs w:val="18"/>
                      <w:u w:val="none" w:color="auto"/>
                    </w:rPr>
                    <w:t>排水</w:t>
                  </w:r>
                </w:p>
              </w:tc>
              <w:tc>
                <w:tcPr>
                  <w:tcW w:w="4978" w:type="dxa"/>
                  <w:tcBorders>
                    <w:tl2br w:val="nil"/>
                    <w:tr2bl w:val="nil"/>
                  </w:tcBorders>
                  <w:vAlign w:val="center"/>
                </w:tcPr>
                <w:p w14:paraId="31C57F08">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无废水排放</w:t>
                  </w:r>
                </w:p>
              </w:tc>
              <w:tc>
                <w:tcPr>
                  <w:tcW w:w="1040" w:type="dxa"/>
                  <w:tcBorders>
                    <w:tl2br w:val="nil"/>
                    <w:tr2bl w:val="nil"/>
                  </w:tcBorders>
                  <w:vAlign w:val="center"/>
                </w:tcPr>
                <w:p w14:paraId="58739448">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4C2F4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33CA7A14">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0016C415">
                  <w:pPr>
                    <w:pStyle w:val="53"/>
                    <w:spacing w:before="0" w:beforeLines="0" w:after="0" w:afterLines="0"/>
                    <w:rPr>
                      <w:b w:val="0"/>
                      <w:bCs/>
                      <w:color w:val="auto"/>
                      <w:sz w:val="21"/>
                      <w:szCs w:val="18"/>
                      <w:u w:val="none" w:color="auto"/>
                    </w:rPr>
                  </w:pPr>
                  <w:r>
                    <w:rPr>
                      <w:b w:val="0"/>
                      <w:bCs/>
                      <w:color w:val="auto"/>
                      <w:sz w:val="21"/>
                      <w:szCs w:val="18"/>
                      <w:u w:val="none" w:color="auto"/>
                    </w:rPr>
                    <w:t>供电</w:t>
                  </w:r>
                </w:p>
              </w:tc>
              <w:tc>
                <w:tcPr>
                  <w:tcW w:w="4978" w:type="dxa"/>
                  <w:tcBorders>
                    <w:tl2br w:val="nil"/>
                    <w:tr2bl w:val="nil"/>
                  </w:tcBorders>
                  <w:vAlign w:val="center"/>
                </w:tcPr>
                <w:p w14:paraId="2141F919">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当地电网供给</w:t>
                  </w:r>
                </w:p>
              </w:tc>
              <w:tc>
                <w:tcPr>
                  <w:tcW w:w="1040" w:type="dxa"/>
                  <w:tcBorders>
                    <w:tl2br w:val="nil"/>
                    <w:tr2bl w:val="nil"/>
                  </w:tcBorders>
                  <w:vAlign w:val="center"/>
                </w:tcPr>
                <w:p w14:paraId="7F06FA31">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5FDE2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restart"/>
                  <w:tcBorders>
                    <w:tl2br w:val="nil"/>
                    <w:tr2bl w:val="nil"/>
                  </w:tcBorders>
                  <w:vAlign w:val="center"/>
                </w:tcPr>
                <w:p w14:paraId="75CC89EA">
                  <w:pPr>
                    <w:pStyle w:val="53"/>
                    <w:spacing w:before="0" w:beforeLines="0" w:after="0" w:afterLines="0"/>
                    <w:rPr>
                      <w:rFonts w:hint="eastAsia" w:eastAsia="宋体"/>
                      <w:b w:val="0"/>
                      <w:bCs/>
                      <w:color w:val="auto"/>
                      <w:sz w:val="21"/>
                      <w:szCs w:val="18"/>
                      <w:u w:val="none" w:color="auto"/>
                      <w:lang w:eastAsia="zh-CN"/>
                    </w:rPr>
                  </w:pPr>
                  <w:r>
                    <w:rPr>
                      <w:b w:val="0"/>
                      <w:bCs/>
                      <w:color w:val="auto"/>
                      <w:sz w:val="21"/>
                      <w:szCs w:val="18"/>
                      <w:u w:val="none" w:color="auto"/>
                    </w:rPr>
                    <w:t>公用工程</w:t>
                  </w:r>
                  <w:r>
                    <w:rPr>
                      <w:rFonts w:hint="eastAsia"/>
                      <w:b w:val="0"/>
                      <w:bCs/>
                      <w:color w:val="auto"/>
                      <w:sz w:val="21"/>
                      <w:szCs w:val="18"/>
                      <w:u w:val="none" w:color="auto"/>
                      <w:lang w:eastAsia="zh-CN"/>
                    </w:rPr>
                    <w:t>（</w:t>
                  </w:r>
                  <w:r>
                    <w:rPr>
                      <w:rFonts w:hint="eastAsia"/>
                      <w:b w:val="0"/>
                      <w:bCs/>
                      <w:color w:val="auto"/>
                      <w:sz w:val="21"/>
                      <w:szCs w:val="18"/>
                      <w:u w:val="none" w:color="auto"/>
                      <w:lang w:val="en-US" w:eastAsia="zh-CN"/>
                    </w:rPr>
                    <w:t>营运期</w:t>
                  </w:r>
                  <w:r>
                    <w:rPr>
                      <w:rFonts w:hint="eastAsia"/>
                      <w:b w:val="0"/>
                      <w:bCs/>
                      <w:color w:val="auto"/>
                      <w:sz w:val="21"/>
                      <w:szCs w:val="18"/>
                      <w:u w:val="none" w:color="auto"/>
                      <w:lang w:eastAsia="zh-CN"/>
                    </w:rPr>
                    <w:t>）</w:t>
                  </w:r>
                </w:p>
              </w:tc>
              <w:tc>
                <w:tcPr>
                  <w:tcW w:w="1187" w:type="dxa"/>
                  <w:gridSpan w:val="2"/>
                  <w:tcBorders>
                    <w:tl2br w:val="nil"/>
                    <w:tr2bl w:val="nil"/>
                  </w:tcBorders>
                  <w:vAlign w:val="center"/>
                </w:tcPr>
                <w:p w14:paraId="541AE85A">
                  <w:pPr>
                    <w:pStyle w:val="53"/>
                    <w:spacing w:before="0" w:beforeLines="0" w:after="0" w:afterLines="0"/>
                    <w:rPr>
                      <w:b w:val="0"/>
                      <w:bCs/>
                      <w:color w:val="auto"/>
                      <w:sz w:val="21"/>
                      <w:szCs w:val="18"/>
                      <w:u w:val="none" w:color="auto"/>
                    </w:rPr>
                  </w:pPr>
                  <w:r>
                    <w:rPr>
                      <w:b w:val="0"/>
                      <w:bCs/>
                      <w:color w:val="auto"/>
                      <w:sz w:val="21"/>
                      <w:szCs w:val="18"/>
                      <w:u w:val="none" w:color="auto"/>
                    </w:rPr>
                    <w:t>供水</w:t>
                  </w:r>
                </w:p>
              </w:tc>
              <w:tc>
                <w:tcPr>
                  <w:tcW w:w="4978" w:type="dxa"/>
                  <w:tcBorders>
                    <w:tl2br w:val="nil"/>
                    <w:tr2bl w:val="nil"/>
                  </w:tcBorders>
                  <w:vAlign w:val="center"/>
                </w:tcPr>
                <w:p w14:paraId="2863E73E">
                  <w:pPr>
                    <w:jc w:val="center"/>
                    <w:rPr>
                      <w:rFonts w:hint="default"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无需用水</w:t>
                  </w:r>
                </w:p>
              </w:tc>
              <w:tc>
                <w:tcPr>
                  <w:tcW w:w="1040" w:type="dxa"/>
                  <w:tcBorders>
                    <w:tl2br w:val="nil"/>
                    <w:tr2bl w:val="nil"/>
                  </w:tcBorders>
                  <w:vAlign w:val="center"/>
                </w:tcPr>
                <w:p w14:paraId="0F180379">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74BDC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267EE2EC">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5ED11B18">
                  <w:pPr>
                    <w:pStyle w:val="53"/>
                    <w:spacing w:before="0" w:beforeLines="0" w:after="0" w:afterLines="0"/>
                    <w:rPr>
                      <w:b w:val="0"/>
                      <w:bCs/>
                      <w:color w:val="auto"/>
                      <w:sz w:val="21"/>
                      <w:szCs w:val="18"/>
                      <w:u w:val="none" w:color="auto"/>
                    </w:rPr>
                  </w:pPr>
                  <w:r>
                    <w:rPr>
                      <w:b w:val="0"/>
                      <w:bCs/>
                      <w:color w:val="auto"/>
                      <w:sz w:val="21"/>
                      <w:szCs w:val="18"/>
                      <w:u w:val="none" w:color="auto"/>
                    </w:rPr>
                    <w:t>排水</w:t>
                  </w:r>
                </w:p>
              </w:tc>
              <w:tc>
                <w:tcPr>
                  <w:tcW w:w="4978" w:type="dxa"/>
                  <w:tcBorders>
                    <w:tl2br w:val="nil"/>
                    <w:tr2bl w:val="nil"/>
                  </w:tcBorders>
                  <w:vAlign w:val="center"/>
                </w:tcPr>
                <w:p w14:paraId="4BBA9C67">
                  <w:pPr>
                    <w:jc w:val="center"/>
                    <w:rPr>
                      <w:rFonts w:hint="eastAsia" w:ascii="Times New Roman" w:hAnsi="Times New Roman" w:eastAsia="宋体" w:cs="Times New Roman"/>
                      <w:bCs/>
                      <w:color w:val="auto"/>
                      <w:sz w:val="21"/>
                      <w:szCs w:val="18"/>
                      <w:u w:val="none" w:color="auto"/>
                      <w:lang w:val="en-US" w:eastAsia="zh-CN"/>
                    </w:rPr>
                  </w:pPr>
                  <w:r>
                    <w:rPr>
                      <w:rFonts w:hint="eastAsia" w:cs="Times New Roman"/>
                      <w:bCs/>
                      <w:color w:val="auto"/>
                      <w:sz w:val="21"/>
                      <w:szCs w:val="18"/>
                      <w:u w:val="none" w:color="auto"/>
                      <w:lang w:val="en-US" w:eastAsia="zh-CN"/>
                    </w:rPr>
                    <w:t>无废水排放</w:t>
                  </w:r>
                </w:p>
              </w:tc>
              <w:tc>
                <w:tcPr>
                  <w:tcW w:w="1040" w:type="dxa"/>
                  <w:tcBorders>
                    <w:tl2br w:val="nil"/>
                    <w:tr2bl w:val="nil"/>
                  </w:tcBorders>
                  <w:vAlign w:val="center"/>
                </w:tcPr>
                <w:p w14:paraId="1D5BB7A0">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6C1FF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continue"/>
                  <w:tcBorders>
                    <w:tl2br w:val="nil"/>
                    <w:tr2bl w:val="nil"/>
                  </w:tcBorders>
                  <w:vAlign w:val="center"/>
                </w:tcPr>
                <w:p w14:paraId="3BC5BF43">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3CC2199C">
                  <w:pPr>
                    <w:pStyle w:val="53"/>
                    <w:spacing w:before="0" w:beforeLines="0" w:after="0" w:afterLines="0"/>
                    <w:rPr>
                      <w:b w:val="0"/>
                      <w:bCs/>
                      <w:color w:val="auto"/>
                      <w:sz w:val="21"/>
                      <w:szCs w:val="18"/>
                      <w:u w:val="none" w:color="auto"/>
                    </w:rPr>
                  </w:pPr>
                  <w:r>
                    <w:rPr>
                      <w:b w:val="0"/>
                      <w:bCs/>
                      <w:color w:val="auto"/>
                      <w:sz w:val="21"/>
                      <w:szCs w:val="18"/>
                      <w:u w:val="none" w:color="auto"/>
                    </w:rPr>
                    <w:t>供电</w:t>
                  </w:r>
                </w:p>
              </w:tc>
              <w:tc>
                <w:tcPr>
                  <w:tcW w:w="4978" w:type="dxa"/>
                  <w:tcBorders>
                    <w:tl2br w:val="nil"/>
                    <w:tr2bl w:val="nil"/>
                  </w:tcBorders>
                  <w:vAlign w:val="center"/>
                </w:tcPr>
                <w:p w14:paraId="446CC1B3">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eastAsia="宋体" w:cs="Times New Roman"/>
                      <w:bCs/>
                      <w:color w:val="auto"/>
                      <w:sz w:val="21"/>
                      <w:szCs w:val="18"/>
                      <w:u w:val="none" w:color="auto"/>
                      <w:lang w:val="en-US" w:eastAsia="zh-CN"/>
                    </w:rPr>
                    <w:t>当地电网供给</w:t>
                  </w:r>
                </w:p>
              </w:tc>
              <w:tc>
                <w:tcPr>
                  <w:tcW w:w="1040" w:type="dxa"/>
                  <w:tcBorders>
                    <w:tl2br w:val="nil"/>
                    <w:tr2bl w:val="nil"/>
                  </w:tcBorders>
                  <w:vAlign w:val="center"/>
                </w:tcPr>
                <w:p w14:paraId="1095E06F">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w:t>
                  </w:r>
                </w:p>
              </w:tc>
            </w:tr>
            <w:tr w14:paraId="43512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4" w:type="dxa"/>
                  <w:vMerge w:val="restart"/>
                  <w:tcBorders>
                    <w:tl2br w:val="nil"/>
                    <w:tr2bl w:val="nil"/>
                  </w:tcBorders>
                  <w:vAlign w:val="center"/>
                </w:tcPr>
                <w:p w14:paraId="12D8936A">
                  <w:pPr>
                    <w:pStyle w:val="53"/>
                    <w:spacing w:before="0" w:beforeLines="0" w:after="0" w:afterLines="0"/>
                    <w:rPr>
                      <w:b w:val="0"/>
                      <w:bCs/>
                      <w:color w:val="auto"/>
                      <w:sz w:val="21"/>
                      <w:szCs w:val="18"/>
                      <w:u w:val="none" w:color="auto"/>
                    </w:rPr>
                  </w:pPr>
                  <w:r>
                    <w:rPr>
                      <w:b w:val="0"/>
                      <w:bCs/>
                      <w:color w:val="auto"/>
                      <w:sz w:val="21"/>
                      <w:szCs w:val="18"/>
                      <w:u w:val="none" w:color="auto"/>
                    </w:rPr>
                    <w:t>环保工程</w:t>
                  </w:r>
                  <w:r>
                    <w:rPr>
                      <w:rFonts w:hint="eastAsia"/>
                      <w:b w:val="0"/>
                      <w:bCs/>
                      <w:color w:val="auto"/>
                      <w:sz w:val="21"/>
                      <w:szCs w:val="18"/>
                      <w:u w:val="none" w:color="auto"/>
                      <w:lang w:eastAsia="zh-CN"/>
                    </w:rPr>
                    <w:t>（</w:t>
                  </w:r>
                  <w:r>
                    <w:rPr>
                      <w:rFonts w:hint="eastAsia"/>
                      <w:b w:val="0"/>
                      <w:bCs/>
                      <w:color w:val="auto"/>
                      <w:sz w:val="21"/>
                      <w:szCs w:val="18"/>
                      <w:u w:val="none" w:color="auto"/>
                      <w:lang w:val="en-US" w:eastAsia="zh-CN"/>
                    </w:rPr>
                    <w:t>施工期</w:t>
                  </w:r>
                  <w:r>
                    <w:rPr>
                      <w:rFonts w:hint="eastAsia"/>
                      <w:b w:val="0"/>
                      <w:bCs/>
                      <w:color w:val="auto"/>
                      <w:sz w:val="21"/>
                      <w:szCs w:val="18"/>
                      <w:u w:val="none" w:color="auto"/>
                      <w:lang w:eastAsia="zh-CN"/>
                    </w:rPr>
                    <w:t>）</w:t>
                  </w:r>
                </w:p>
                <w:p w14:paraId="27A63D54">
                  <w:pPr>
                    <w:pStyle w:val="53"/>
                    <w:spacing w:before="0" w:beforeLines="0" w:after="0" w:afterLines="0"/>
                    <w:rPr>
                      <w:b w:val="0"/>
                      <w:bCs/>
                      <w:color w:val="auto"/>
                      <w:sz w:val="21"/>
                      <w:szCs w:val="18"/>
                      <w:u w:val="none" w:color="auto"/>
                    </w:rPr>
                  </w:pPr>
                </w:p>
                <w:p w14:paraId="7D6E178A">
                  <w:pPr>
                    <w:rPr>
                      <w:color w:val="auto"/>
                      <w:u w:val="none" w:color="auto"/>
                    </w:rPr>
                  </w:pPr>
                </w:p>
              </w:tc>
              <w:tc>
                <w:tcPr>
                  <w:tcW w:w="1187" w:type="dxa"/>
                  <w:gridSpan w:val="2"/>
                  <w:tcBorders>
                    <w:tl2br w:val="nil"/>
                    <w:tr2bl w:val="nil"/>
                  </w:tcBorders>
                  <w:vAlign w:val="center"/>
                </w:tcPr>
                <w:p w14:paraId="043A32C3">
                  <w:pPr>
                    <w:pStyle w:val="53"/>
                    <w:spacing w:before="0" w:beforeLines="0" w:after="0" w:afterLines="0"/>
                    <w:rPr>
                      <w:b w:val="0"/>
                      <w:bCs/>
                      <w:color w:val="auto"/>
                      <w:sz w:val="21"/>
                      <w:szCs w:val="18"/>
                      <w:u w:val="none" w:color="auto"/>
                    </w:rPr>
                  </w:pPr>
                  <w:r>
                    <w:rPr>
                      <w:b w:val="0"/>
                      <w:bCs/>
                      <w:color w:val="auto"/>
                      <w:sz w:val="21"/>
                      <w:szCs w:val="18"/>
                      <w:u w:val="none" w:color="auto"/>
                    </w:rPr>
                    <w:t>污水处理设施</w:t>
                  </w:r>
                </w:p>
              </w:tc>
              <w:tc>
                <w:tcPr>
                  <w:tcW w:w="4978" w:type="dxa"/>
                  <w:tcBorders>
                    <w:tl2br w:val="nil"/>
                    <w:tr2bl w:val="nil"/>
                  </w:tcBorders>
                  <w:vAlign w:val="center"/>
                </w:tcPr>
                <w:p w14:paraId="78D47AB4">
                  <w:pPr>
                    <w:jc w:val="center"/>
                    <w:rPr>
                      <w:rFonts w:hint="eastAsia" w:ascii="Times New Roman" w:hAnsi="Times New Roman" w:eastAsia="宋体" w:cs="Times New Roman"/>
                      <w:bCs/>
                      <w:color w:val="auto"/>
                      <w:sz w:val="21"/>
                      <w:szCs w:val="18"/>
                      <w:u w:val="none" w:color="auto"/>
                      <w:lang w:val="en-US" w:eastAsia="zh-CN"/>
                    </w:rPr>
                  </w:pPr>
                  <w:r>
                    <w:rPr>
                      <w:rFonts w:hint="eastAsia" w:ascii="Times New Roman" w:hAnsi="Times New Roman" w:cs="Times New Roman"/>
                      <w:color w:val="auto"/>
                      <w:sz w:val="21"/>
                      <w:szCs w:val="21"/>
                      <w:u w:val="none" w:color="auto"/>
                    </w:rPr>
                    <w:t>施工场地四周设置</w:t>
                  </w:r>
                  <w:r>
                    <w:rPr>
                      <w:rFonts w:hint="eastAsia" w:ascii="Times New Roman" w:hAnsi="Times New Roman" w:cs="Times New Roman"/>
                      <w:color w:val="auto"/>
                      <w:sz w:val="21"/>
                      <w:szCs w:val="21"/>
                      <w:u w:val="none" w:color="auto"/>
                    </w:rPr>
                    <w:t>排水沟并设置</w:t>
                  </w:r>
                  <w:r>
                    <w:rPr>
                      <w:rFonts w:hint="eastAsia" w:cs="Times New Roman"/>
                      <w:color w:val="auto"/>
                      <w:sz w:val="21"/>
                      <w:szCs w:val="21"/>
                      <w:u w:val="none" w:color="auto"/>
                      <w:lang w:val="en-US" w:eastAsia="zh-CN"/>
                    </w:rPr>
                    <w:t>隔油池+</w:t>
                  </w:r>
                  <w:r>
                    <w:rPr>
                      <w:rFonts w:hint="eastAsia" w:ascii="Times New Roman" w:hAnsi="Times New Roman" w:cs="Times New Roman"/>
                      <w:color w:val="auto"/>
                      <w:sz w:val="21"/>
                      <w:szCs w:val="21"/>
                      <w:u w:val="none" w:color="auto"/>
                    </w:rPr>
                    <w:t>沉淀池</w:t>
                  </w:r>
                  <w:r>
                    <w:rPr>
                      <w:rFonts w:hint="eastAsia" w:ascii="Times New Roman" w:hAnsi="Times New Roman" w:cs="Times New Roman"/>
                      <w:color w:val="auto"/>
                      <w:sz w:val="21"/>
                      <w:szCs w:val="21"/>
                      <w:u w:val="none" w:color="auto"/>
                      <w:lang w:val="en-US" w:eastAsia="zh-CN"/>
                    </w:rPr>
                    <w:t>处理后</w:t>
                  </w:r>
                  <w:r>
                    <w:rPr>
                      <w:rFonts w:hint="eastAsia" w:ascii="Times New Roman" w:hAnsi="Times New Roman" w:cs="Times New Roman"/>
                      <w:color w:val="auto"/>
                      <w:sz w:val="21"/>
                      <w:szCs w:val="21"/>
                      <w:u w:val="none" w:color="auto"/>
                    </w:rPr>
                    <w:t>回用</w:t>
                  </w:r>
                  <w:r>
                    <w:rPr>
                      <w:rFonts w:hint="eastAsia" w:ascii="Times New Roman" w:hAnsi="Times New Roman" w:cs="Times New Roman"/>
                      <w:color w:val="auto"/>
                      <w:sz w:val="21"/>
                      <w:szCs w:val="21"/>
                      <w:u w:val="none" w:color="auto"/>
                      <w:lang w:val="en-US" w:eastAsia="zh-CN"/>
                    </w:rPr>
                    <w:t>洒水抑尘</w:t>
                  </w:r>
                  <w:r>
                    <w:rPr>
                      <w:rFonts w:hint="eastAsia" w:ascii="Times New Roman" w:hAnsi="Times New Roman" w:eastAsia="宋体" w:cs="Times New Roman"/>
                      <w:color w:val="auto"/>
                      <w:sz w:val="21"/>
                      <w:szCs w:val="21"/>
                      <w:u w:val="none" w:color="auto"/>
                      <w:lang w:val="en-US" w:eastAsia="zh-CN"/>
                    </w:rPr>
                    <w:t>；</w:t>
                  </w:r>
                </w:p>
              </w:tc>
              <w:tc>
                <w:tcPr>
                  <w:tcW w:w="1040" w:type="dxa"/>
                  <w:tcBorders>
                    <w:tl2br w:val="nil"/>
                    <w:tr2bl w:val="nil"/>
                  </w:tcBorders>
                  <w:vAlign w:val="center"/>
                </w:tcPr>
                <w:p w14:paraId="5EF97E7B">
                  <w:pPr>
                    <w:spacing w:before="0" w:beforeLines="0" w:after="0" w:afterLines="0"/>
                    <w:jc w:val="center"/>
                    <w:rPr>
                      <w:rFonts w:hint="eastAsia"/>
                      <w:b w:val="0"/>
                      <w:bCs/>
                      <w:color w:val="auto"/>
                      <w:sz w:val="21"/>
                      <w:szCs w:val="18"/>
                      <w:highlight w:val="none"/>
                      <w:u w:val="none" w:color="auto"/>
                      <w:lang w:val="en-US" w:eastAsia="zh-CN"/>
                    </w:rPr>
                  </w:pPr>
                  <w:r>
                    <w:rPr>
                      <w:rFonts w:hint="eastAsia"/>
                      <w:b w:val="0"/>
                      <w:bCs/>
                      <w:color w:val="auto"/>
                      <w:sz w:val="21"/>
                      <w:szCs w:val="18"/>
                      <w:highlight w:val="none"/>
                      <w:u w:val="none" w:color="auto"/>
                      <w:lang w:val="en-US" w:eastAsia="zh-CN"/>
                    </w:rPr>
                    <w:t>新建</w:t>
                  </w:r>
                </w:p>
              </w:tc>
            </w:tr>
            <w:tr w14:paraId="109361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54" w:type="dxa"/>
                  <w:vMerge w:val="continue"/>
                  <w:tcBorders>
                    <w:tl2br w:val="nil"/>
                    <w:tr2bl w:val="nil"/>
                  </w:tcBorders>
                  <w:vAlign w:val="center"/>
                </w:tcPr>
                <w:p w14:paraId="47EA66F0">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59235F7F">
                  <w:pPr>
                    <w:pStyle w:val="53"/>
                    <w:spacing w:before="0" w:beforeLines="0" w:after="0" w:afterLines="0"/>
                    <w:rPr>
                      <w:b w:val="0"/>
                      <w:bCs/>
                      <w:color w:val="auto"/>
                      <w:sz w:val="21"/>
                      <w:szCs w:val="18"/>
                      <w:u w:val="none" w:color="auto"/>
                    </w:rPr>
                  </w:pPr>
                  <w:r>
                    <w:rPr>
                      <w:b w:val="0"/>
                      <w:bCs/>
                      <w:color w:val="auto"/>
                      <w:sz w:val="21"/>
                      <w:szCs w:val="18"/>
                      <w:u w:val="none" w:color="auto"/>
                    </w:rPr>
                    <w:t>废气处理设施</w:t>
                  </w:r>
                </w:p>
              </w:tc>
              <w:tc>
                <w:tcPr>
                  <w:tcW w:w="4978" w:type="dxa"/>
                  <w:tcBorders>
                    <w:tl2br w:val="nil"/>
                    <w:tr2bl w:val="nil"/>
                  </w:tcBorders>
                  <w:vAlign w:val="center"/>
                </w:tcPr>
                <w:p w14:paraId="7D9B8CEF">
                  <w:pPr>
                    <w:pStyle w:val="53"/>
                    <w:spacing w:before="0" w:beforeLines="0" w:after="0" w:afterLines="0"/>
                    <w:rPr>
                      <w:rFonts w:hint="default"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施工现场严格实施扬尘治理措施。易产尘物料堆放和运输过程中应严密覆盖；土方挖填采用湿法作业；运输车辆清洁入场；施工现场路面硬化并定期洒水。</w:t>
                  </w:r>
                </w:p>
              </w:tc>
              <w:tc>
                <w:tcPr>
                  <w:tcW w:w="1040" w:type="dxa"/>
                  <w:tcBorders>
                    <w:tl2br w:val="nil"/>
                    <w:tr2bl w:val="nil"/>
                  </w:tcBorders>
                  <w:vAlign w:val="center"/>
                </w:tcPr>
                <w:p w14:paraId="384D2805">
                  <w:pPr>
                    <w:pStyle w:val="53"/>
                    <w:spacing w:before="0" w:beforeLines="0" w:after="0" w:afterLines="0"/>
                    <w:rPr>
                      <w:rFonts w:hint="default"/>
                      <w:b w:val="0"/>
                      <w:bCs/>
                      <w:color w:val="auto"/>
                      <w:sz w:val="21"/>
                      <w:szCs w:val="18"/>
                      <w:highlight w:val="yellow"/>
                      <w:u w:val="none" w:color="auto"/>
                      <w:lang w:val="en-US" w:eastAsia="zh-CN"/>
                    </w:rPr>
                  </w:pPr>
                  <w:r>
                    <w:rPr>
                      <w:rFonts w:hint="eastAsia"/>
                      <w:b w:val="0"/>
                      <w:bCs/>
                      <w:color w:val="auto"/>
                      <w:sz w:val="21"/>
                      <w:szCs w:val="18"/>
                      <w:u w:val="none" w:color="auto"/>
                      <w:lang w:val="en-US" w:eastAsia="zh-CN"/>
                    </w:rPr>
                    <w:t>新建</w:t>
                  </w:r>
                </w:p>
              </w:tc>
            </w:tr>
            <w:tr w14:paraId="295FD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54" w:type="dxa"/>
                  <w:vMerge w:val="continue"/>
                  <w:tcBorders>
                    <w:tl2br w:val="nil"/>
                    <w:tr2bl w:val="nil"/>
                  </w:tcBorders>
                  <w:vAlign w:val="center"/>
                </w:tcPr>
                <w:p w14:paraId="6B5F4880">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4A22B682">
                  <w:pPr>
                    <w:pStyle w:val="53"/>
                    <w:spacing w:before="0" w:beforeLines="0" w:after="0" w:afterLines="0"/>
                    <w:rPr>
                      <w:b w:val="0"/>
                      <w:bCs/>
                      <w:color w:val="auto"/>
                      <w:sz w:val="21"/>
                      <w:szCs w:val="18"/>
                      <w:u w:val="none" w:color="auto"/>
                    </w:rPr>
                  </w:pPr>
                  <w:r>
                    <w:rPr>
                      <w:b w:val="0"/>
                      <w:bCs/>
                      <w:color w:val="auto"/>
                      <w:sz w:val="21"/>
                      <w:szCs w:val="18"/>
                      <w:u w:val="none" w:color="auto"/>
                    </w:rPr>
                    <w:t>噪声处理设施</w:t>
                  </w:r>
                </w:p>
              </w:tc>
              <w:tc>
                <w:tcPr>
                  <w:tcW w:w="4978" w:type="dxa"/>
                  <w:tcBorders>
                    <w:tl2br w:val="nil"/>
                    <w:tr2bl w:val="nil"/>
                  </w:tcBorders>
                  <w:vAlign w:val="center"/>
                </w:tcPr>
                <w:p w14:paraId="16A41A87">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合理安排施工作业时间，夜间不施工；产噪设备作业时在其敏感点设置围挡和移动声屏障；选用低噪声设备；尽量在白天进行物料运输，运输线路选择敏感点少的线路。</w:t>
                  </w:r>
                </w:p>
              </w:tc>
              <w:tc>
                <w:tcPr>
                  <w:tcW w:w="1040" w:type="dxa"/>
                  <w:tcBorders>
                    <w:tl2br w:val="nil"/>
                    <w:tr2bl w:val="nil"/>
                  </w:tcBorders>
                  <w:vAlign w:val="center"/>
                </w:tcPr>
                <w:p w14:paraId="5E8C48F3">
                  <w:pPr>
                    <w:spacing w:before="0" w:beforeLines="0" w:after="0" w:afterLines="0"/>
                    <w:jc w:val="center"/>
                    <w:rPr>
                      <w:rFonts w:hint="eastAsia"/>
                      <w:b w:val="0"/>
                      <w:bCs/>
                      <w:color w:val="auto"/>
                      <w:sz w:val="21"/>
                      <w:szCs w:val="18"/>
                      <w:highlight w:val="yellow"/>
                      <w:u w:val="none" w:color="auto"/>
                      <w:lang w:val="en-US" w:eastAsia="zh-CN"/>
                    </w:rPr>
                  </w:pPr>
                  <w:r>
                    <w:rPr>
                      <w:rFonts w:hint="eastAsia"/>
                      <w:b w:val="0"/>
                      <w:bCs/>
                      <w:color w:val="auto"/>
                      <w:sz w:val="21"/>
                      <w:szCs w:val="18"/>
                      <w:u w:val="none" w:color="auto"/>
                      <w:lang w:val="en-US" w:eastAsia="zh-CN"/>
                    </w:rPr>
                    <w:t>新建</w:t>
                  </w:r>
                </w:p>
              </w:tc>
            </w:tr>
            <w:tr w14:paraId="40DF9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continue"/>
                  <w:tcBorders>
                    <w:tl2br w:val="nil"/>
                    <w:tr2bl w:val="nil"/>
                  </w:tcBorders>
                  <w:vAlign w:val="center"/>
                </w:tcPr>
                <w:p w14:paraId="010BDB68">
                  <w:pPr>
                    <w:rPr>
                      <w:color w:val="auto"/>
                      <w:u w:val="none" w:color="auto"/>
                    </w:rPr>
                  </w:pPr>
                </w:p>
              </w:tc>
              <w:tc>
                <w:tcPr>
                  <w:tcW w:w="1187" w:type="dxa"/>
                  <w:gridSpan w:val="2"/>
                  <w:tcBorders>
                    <w:tl2br w:val="nil"/>
                    <w:tr2bl w:val="nil"/>
                  </w:tcBorders>
                  <w:vAlign w:val="center"/>
                </w:tcPr>
                <w:p w14:paraId="7E2BC879">
                  <w:pPr>
                    <w:pStyle w:val="53"/>
                    <w:spacing w:before="0" w:beforeLines="0" w:after="0" w:afterLines="0"/>
                    <w:rPr>
                      <w:b w:val="0"/>
                      <w:bCs/>
                      <w:color w:val="auto"/>
                      <w:sz w:val="21"/>
                      <w:szCs w:val="18"/>
                      <w:u w:val="none" w:color="auto"/>
                    </w:rPr>
                  </w:pPr>
                  <w:r>
                    <w:rPr>
                      <w:b w:val="0"/>
                      <w:bCs/>
                      <w:color w:val="auto"/>
                      <w:sz w:val="21"/>
                      <w:szCs w:val="18"/>
                      <w:u w:val="none" w:color="auto"/>
                    </w:rPr>
                    <w:t>固体废物处理设施</w:t>
                  </w:r>
                </w:p>
              </w:tc>
              <w:tc>
                <w:tcPr>
                  <w:tcW w:w="4978" w:type="dxa"/>
                  <w:tcBorders>
                    <w:tl2br w:val="nil"/>
                    <w:tr2bl w:val="nil"/>
                  </w:tcBorders>
                  <w:vAlign w:val="center"/>
                </w:tcPr>
                <w:p w14:paraId="2E7D8C62">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施工过程中产生的土石方和施工垃圾，用于回填和平整场地；生活垃圾委托环卫部门处置。</w:t>
                  </w:r>
                </w:p>
              </w:tc>
              <w:tc>
                <w:tcPr>
                  <w:tcW w:w="1040" w:type="dxa"/>
                  <w:tcBorders>
                    <w:tl2br w:val="nil"/>
                    <w:tr2bl w:val="nil"/>
                  </w:tcBorders>
                  <w:vAlign w:val="center"/>
                </w:tcPr>
                <w:p w14:paraId="5F22C61F">
                  <w:pPr>
                    <w:spacing w:before="0" w:beforeLines="0" w:after="0" w:afterLines="0"/>
                    <w:jc w:val="center"/>
                    <w:rPr>
                      <w:b w:val="0"/>
                      <w:bCs/>
                      <w:color w:val="auto"/>
                      <w:sz w:val="21"/>
                      <w:szCs w:val="18"/>
                      <w:highlight w:val="yellow"/>
                      <w:u w:val="none" w:color="auto"/>
                    </w:rPr>
                  </w:pPr>
                  <w:r>
                    <w:rPr>
                      <w:rFonts w:hint="eastAsia"/>
                      <w:b w:val="0"/>
                      <w:bCs/>
                      <w:color w:val="auto"/>
                      <w:sz w:val="21"/>
                      <w:szCs w:val="18"/>
                      <w:u w:val="none" w:color="auto"/>
                      <w:lang w:val="en-US" w:eastAsia="zh-CN"/>
                    </w:rPr>
                    <w:t>新建</w:t>
                  </w:r>
                </w:p>
              </w:tc>
            </w:tr>
            <w:tr w14:paraId="2D838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continue"/>
                  <w:tcBorders>
                    <w:tl2br w:val="nil"/>
                    <w:tr2bl w:val="nil"/>
                  </w:tcBorders>
                  <w:vAlign w:val="center"/>
                </w:tcPr>
                <w:p w14:paraId="370C3FC7">
                  <w:pPr>
                    <w:rPr>
                      <w:color w:val="auto"/>
                      <w:u w:val="none" w:color="auto"/>
                    </w:rPr>
                  </w:pPr>
                </w:p>
              </w:tc>
              <w:tc>
                <w:tcPr>
                  <w:tcW w:w="1187" w:type="dxa"/>
                  <w:gridSpan w:val="2"/>
                  <w:tcBorders>
                    <w:tl2br w:val="nil"/>
                    <w:tr2bl w:val="nil"/>
                  </w:tcBorders>
                  <w:vAlign w:val="center"/>
                </w:tcPr>
                <w:p w14:paraId="491DEA15">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生态环境</w:t>
                  </w:r>
                </w:p>
              </w:tc>
              <w:tc>
                <w:tcPr>
                  <w:tcW w:w="4978" w:type="dxa"/>
                  <w:tcBorders>
                    <w:tl2br w:val="nil"/>
                    <w:tr2bl w:val="nil"/>
                  </w:tcBorders>
                  <w:vAlign w:val="center"/>
                </w:tcPr>
                <w:p w14:paraId="6563E705">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合理控制临时施工用地，施工用地需均在红线范围内；临时占地均建设为本项目工程内；合理安排施工进度，加强施工期管理，</w:t>
                  </w:r>
                  <w:r>
                    <w:rPr>
                      <w:rFonts w:hint="eastAsia" w:ascii="Times New Roman" w:hAnsi="Times New Roman" w:eastAsia="宋体" w:cs="Times New Roman"/>
                      <w:b w:val="0"/>
                      <w:bCs/>
                      <w:color w:val="auto"/>
                      <w:sz w:val="21"/>
                      <w:szCs w:val="18"/>
                      <w:u w:val="none" w:color="auto"/>
                      <w:lang w:val="en-US" w:eastAsia="zh-CN"/>
                    </w:rPr>
                    <w:t>落实水土流失防治措施</w:t>
                  </w:r>
                  <w:r>
                    <w:rPr>
                      <w:rFonts w:hint="eastAsia" w:ascii="Times New Roman" w:hAnsi="Times New Roman" w:eastAsia="宋体" w:cs="Times New Roman"/>
                      <w:b w:val="0"/>
                      <w:bCs/>
                      <w:color w:val="auto"/>
                      <w:sz w:val="21"/>
                      <w:szCs w:val="18"/>
                      <w:u w:val="none" w:color="auto"/>
                      <w:lang w:val="en-US" w:eastAsia="zh-CN"/>
                    </w:rPr>
                    <w:t>；加强绿化管理等；</w:t>
                  </w:r>
                </w:p>
              </w:tc>
              <w:tc>
                <w:tcPr>
                  <w:tcW w:w="1040" w:type="dxa"/>
                  <w:tcBorders>
                    <w:tl2br w:val="nil"/>
                    <w:tr2bl w:val="nil"/>
                  </w:tcBorders>
                  <w:vAlign w:val="center"/>
                </w:tcPr>
                <w:p w14:paraId="58A3DD03">
                  <w:pPr>
                    <w:spacing w:before="0" w:beforeLines="0" w:after="0" w:afterLines="0"/>
                    <w:jc w:val="center"/>
                    <w:rPr>
                      <w:rFonts w:hint="eastAsia"/>
                      <w:b w:val="0"/>
                      <w:bCs/>
                      <w:color w:val="auto"/>
                      <w:sz w:val="21"/>
                      <w:szCs w:val="18"/>
                      <w:highlight w:val="yellow"/>
                      <w:u w:val="none" w:color="auto"/>
                      <w:lang w:val="en-US" w:eastAsia="zh-CN"/>
                    </w:rPr>
                  </w:pPr>
                  <w:r>
                    <w:rPr>
                      <w:rFonts w:hint="eastAsia"/>
                      <w:b w:val="0"/>
                      <w:bCs/>
                      <w:color w:val="auto"/>
                      <w:sz w:val="21"/>
                      <w:szCs w:val="18"/>
                      <w:u w:val="none" w:color="auto"/>
                      <w:lang w:val="en-US" w:eastAsia="zh-CN"/>
                    </w:rPr>
                    <w:t>新建</w:t>
                  </w:r>
                </w:p>
              </w:tc>
            </w:tr>
            <w:tr w14:paraId="0B178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restart"/>
                  <w:tcBorders>
                    <w:tl2br w:val="nil"/>
                    <w:tr2bl w:val="nil"/>
                  </w:tcBorders>
                  <w:vAlign w:val="center"/>
                </w:tcPr>
                <w:p w14:paraId="3B593AF0">
                  <w:pPr>
                    <w:pStyle w:val="53"/>
                    <w:spacing w:before="0" w:beforeLines="0" w:after="0" w:afterLines="0"/>
                    <w:rPr>
                      <w:b w:val="0"/>
                      <w:bCs/>
                      <w:color w:val="auto"/>
                      <w:sz w:val="21"/>
                      <w:szCs w:val="18"/>
                      <w:u w:val="none" w:color="auto"/>
                    </w:rPr>
                  </w:pPr>
                  <w:r>
                    <w:rPr>
                      <w:b w:val="0"/>
                      <w:bCs/>
                      <w:color w:val="auto"/>
                      <w:sz w:val="21"/>
                      <w:szCs w:val="18"/>
                      <w:u w:val="none" w:color="auto"/>
                    </w:rPr>
                    <w:t>环保工程</w:t>
                  </w:r>
                  <w:r>
                    <w:rPr>
                      <w:rFonts w:hint="eastAsia"/>
                      <w:b w:val="0"/>
                      <w:bCs/>
                      <w:color w:val="auto"/>
                      <w:sz w:val="21"/>
                      <w:szCs w:val="18"/>
                      <w:u w:val="none" w:color="auto"/>
                      <w:lang w:eastAsia="zh-CN"/>
                    </w:rPr>
                    <w:t>（</w:t>
                  </w:r>
                  <w:r>
                    <w:rPr>
                      <w:rFonts w:hint="eastAsia"/>
                      <w:b w:val="0"/>
                      <w:bCs/>
                      <w:color w:val="auto"/>
                      <w:sz w:val="21"/>
                      <w:szCs w:val="18"/>
                      <w:u w:val="none" w:color="auto"/>
                      <w:lang w:val="en-US" w:eastAsia="zh-CN"/>
                    </w:rPr>
                    <w:t>营运期</w:t>
                  </w:r>
                  <w:r>
                    <w:rPr>
                      <w:rFonts w:hint="eastAsia"/>
                      <w:b w:val="0"/>
                      <w:bCs/>
                      <w:color w:val="auto"/>
                      <w:sz w:val="21"/>
                      <w:szCs w:val="18"/>
                      <w:u w:val="none" w:color="auto"/>
                      <w:lang w:eastAsia="zh-CN"/>
                    </w:rPr>
                    <w:t>）</w:t>
                  </w:r>
                </w:p>
              </w:tc>
              <w:tc>
                <w:tcPr>
                  <w:tcW w:w="1187" w:type="dxa"/>
                  <w:gridSpan w:val="2"/>
                  <w:tcBorders>
                    <w:tl2br w:val="nil"/>
                    <w:tr2bl w:val="nil"/>
                  </w:tcBorders>
                  <w:vAlign w:val="center"/>
                </w:tcPr>
                <w:p w14:paraId="165562B2">
                  <w:pPr>
                    <w:pStyle w:val="53"/>
                    <w:spacing w:before="0" w:beforeLines="0" w:after="0" w:afterLines="0"/>
                    <w:rPr>
                      <w:b w:val="0"/>
                      <w:bCs/>
                      <w:color w:val="auto"/>
                      <w:sz w:val="21"/>
                      <w:szCs w:val="18"/>
                      <w:u w:val="none" w:color="auto"/>
                    </w:rPr>
                  </w:pPr>
                  <w:r>
                    <w:rPr>
                      <w:b w:val="0"/>
                      <w:bCs/>
                      <w:color w:val="auto"/>
                      <w:sz w:val="21"/>
                      <w:szCs w:val="18"/>
                      <w:u w:val="none" w:color="auto"/>
                    </w:rPr>
                    <w:t>污水处理设施</w:t>
                  </w:r>
                </w:p>
              </w:tc>
              <w:tc>
                <w:tcPr>
                  <w:tcW w:w="4978" w:type="dxa"/>
                  <w:tcBorders>
                    <w:tl2br w:val="nil"/>
                    <w:tr2bl w:val="nil"/>
                  </w:tcBorders>
                  <w:vAlign w:val="center"/>
                </w:tcPr>
                <w:p w14:paraId="26F08DAA">
                  <w:pPr>
                    <w:pStyle w:val="53"/>
                    <w:spacing w:before="0" w:beforeLines="0" w:after="0" w:afterLines="0"/>
                    <w:rPr>
                      <w:rFonts w:hint="default"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无废水产生</w:t>
                  </w:r>
                </w:p>
              </w:tc>
              <w:tc>
                <w:tcPr>
                  <w:tcW w:w="1040" w:type="dxa"/>
                  <w:tcBorders>
                    <w:tl2br w:val="nil"/>
                    <w:tr2bl w:val="nil"/>
                  </w:tcBorders>
                  <w:vAlign w:val="center"/>
                </w:tcPr>
                <w:p w14:paraId="7FE1DC82">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60955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continue"/>
                  <w:tcBorders>
                    <w:tl2br w:val="nil"/>
                    <w:tr2bl w:val="nil"/>
                  </w:tcBorders>
                  <w:vAlign w:val="center"/>
                </w:tcPr>
                <w:p w14:paraId="7D595A2D">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0484DF80">
                  <w:pPr>
                    <w:pStyle w:val="53"/>
                    <w:spacing w:before="0" w:beforeLines="0" w:after="0" w:afterLines="0"/>
                    <w:rPr>
                      <w:b w:val="0"/>
                      <w:bCs/>
                      <w:color w:val="auto"/>
                      <w:sz w:val="21"/>
                      <w:szCs w:val="18"/>
                      <w:u w:val="none" w:color="auto"/>
                    </w:rPr>
                  </w:pPr>
                  <w:r>
                    <w:rPr>
                      <w:b w:val="0"/>
                      <w:bCs/>
                      <w:color w:val="auto"/>
                      <w:sz w:val="21"/>
                      <w:szCs w:val="18"/>
                      <w:u w:val="none" w:color="auto"/>
                    </w:rPr>
                    <w:t>废气处理设施</w:t>
                  </w:r>
                </w:p>
              </w:tc>
              <w:tc>
                <w:tcPr>
                  <w:tcW w:w="4978" w:type="dxa"/>
                  <w:tcBorders>
                    <w:tl2br w:val="nil"/>
                    <w:tr2bl w:val="nil"/>
                  </w:tcBorders>
                  <w:vAlign w:val="center"/>
                </w:tcPr>
                <w:p w14:paraId="4D062577">
                  <w:pPr>
                    <w:pStyle w:val="53"/>
                    <w:spacing w:before="0" w:beforeLines="0" w:after="0" w:afterLines="0"/>
                    <w:rPr>
                      <w:rFonts w:hint="default" w:eastAsia="宋体"/>
                      <w:b w:val="0"/>
                      <w:bCs/>
                      <w:color w:val="auto"/>
                      <w:sz w:val="21"/>
                      <w:szCs w:val="18"/>
                      <w:u w:val="none" w:color="auto"/>
                      <w:lang w:val="en-US" w:eastAsia="zh-CN"/>
                    </w:rPr>
                  </w:pPr>
                  <w:r>
                    <w:rPr>
                      <w:rFonts w:hint="eastAsia"/>
                      <w:b w:val="0"/>
                      <w:bCs/>
                      <w:color w:val="auto"/>
                      <w:sz w:val="21"/>
                      <w:szCs w:val="18"/>
                      <w:u w:val="none" w:color="auto"/>
                      <w:lang w:val="en-US" w:eastAsia="zh-CN"/>
                    </w:rPr>
                    <w:t>无废气产生</w:t>
                  </w:r>
                </w:p>
              </w:tc>
              <w:tc>
                <w:tcPr>
                  <w:tcW w:w="1040" w:type="dxa"/>
                  <w:tcBorders>
                    <w:tl2br w:val="nil"/>
                    <w:tr2bl w:val="nil"/>
                  </w:tcBorders>
                  <w:vAlign w:val="center"/>
                </w:tcPr>
                <w:p w14:paraId="2338F2F6">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3885E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54" w:type="dxa"/>
                  <w:vMerge w:val="continue"/>
                  <w:tcBorders>
                    <w:tl2br w:val="nil"/>
                    <w:tr2bl w:val="nil"/>
                  </w:tcBorders>
                  <w:vAlign w:val="center"/>
                </w:tcPr>
                <w:p w14:paraId="287977A3">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22F54A6E">
                  <w:pPr>
                    <w:pStyle w:val="53"/>
                    <w:spacing w:before="0" w:beforeLines="0" w:after="0" w:afterLines="0"/>
                    <w:rPr>
                      <w:b w:val="0"/>
                      <w:bCs/>
                      <w:color w:val="auto"/>
                      <w:sz w:val="21"/>
                      <w:szCs w:val="18"/>
                      <w:u w:val="none" w:color="auto"/>
                    </w:rPr>
                  </w:pPr>
                  <w:r>
                    <w:rPr>
                      <w:b w:val="0"/>
                      <w:bCs/>
                      <w:color w:val="auto"/>
                      <w:sz w:val="21"/>
                      <w:szCs w:val="18"/>
                      <w:u w:val="none" w:color="auto"/>
                    </w:rPr>
                    <w:t>噪声处理设施</w:t>
                  </w:r>
                </w:p>
              </w:tc>
              <w:tc>
                <w:tcPr>
                  <w:tcW w:w="4978" w:type="dxa"/>
                  <w:tcBorders>
                    <w:tl2br w:val="nil"/>
                    <w:tr2bl w:val="nil"/>
                  </w:tcBorders>
                  <w:vAlign w:val="center"/>
                </w:tcPr>
                <w:p w14:paraId="3CEC1204">
                  <w:pPr>
                    <w:pStyle w:val="53"/>
                    <w:spacing w:before="0" w:beforeLines="0" w:after="0" w:afterLines="0"/>
                    <w:rPr>
                      <w:rFonts w:hint="default" w:eastAsia="宋体"/>
                      <w:b w:val="0"/>
                      <w:bCs/>
                      <w:color w:val="auto"/>
                      <w:sz w:val="21"/>
                      <w:szCs w:val="18"/>
                      <w:u w:val="none" w:color="auto"/>
                      <w:lang w:val="en-US" w:eastAsia="zh-CN"/>
                    </w:rPr>
                  </w:pPr>
                  <w:r>
                    <w:rPr>
                      <w:rFonts w:hint="eastAsia"/>
                      <w:b w:val="0"/>
                      <w:bCs/>
                      <w:color w:val="auto"/>
                      <w:sz w:val="21"/>
                      <w:szCs w:val="18"/>
                      <w:u w:val="none" w:color="auto"/>
                      <w:lang w:val="en-US" w:eastAsia="zh-CN"/>
                    </w:rPr>
                    <w:t>主要为车辆行驶噪声，在居民集中区域要求减速并禁止鸣笛</w:t>
                  </w:r>
                </w:p>
              </w:tc>
              <w:tc>
                <w:tcPr>
                  <w:tcW w:w="1040" w:type="dxa"/>
                  <w:tcBorders>
                    <w:tl2br w:val="nil"/>
                    <w:tr2bl w:val="nil"/>
                  </w:tcBorders>
                  <w:vAlign w:val="center"/>
                </w:tcPr>
                <w:p w14:paraId="594225E9">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53415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continue"/>
                  <w:tcBorders>
                    <w:tl2br w:val="nil"/>
                    <w:tr2bl w:val="nil"/>
                  </w:tcBorders>
                  <w:vAlign w:val="center"/>
                </w:tcPr>
                <w:p w14:paraId="349F8AC1">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79DB9A0C">
                  <w:pPr>
                    <w:pStyle w:val="53"/>
                    <w:spacing w:before="0" w:beforeLines="0" w:after="0" w:afterLines="0"/>
                    <w:rPr>
                      <w:b w:val="0"/>
                      <w:bCs/>
                      <w:color w:val="auto"/>
                      <w:sz w:val="21"/>
                      <w:szCs w:val="18"/>
                      <w:u w:val="none" w:color="auto"/>
                    </w:rPr>
                  </w:pPr>
                  <w:r>
                    <w:rPr>
                      <w:b w:val="0"/>
                      <w:bCs/>
                      <w:color w:val="auto"/>
                      <w:sz w:val="21"/>
                      <w:szCs w:val="18"/>
                      <w:u w:val="none" w:color="auto"/>
                    </w:rPr>
                    <w:t>固体废物处理设施</w:t>
                  </w:r>
                </w:p>
              </w:tc>
              <w:tc>
                <w:tcPr>
                  <w:tcW w:w="4978" w:type="dxa"/>
                  <w:tcBorders>
                    <w:tl2br w:val="nil"/>
                    <w:tr2bl w:val="nil"/>
                  </w:tcBorders>
                  <w:vAlign w:val="center"/>
                </w:tcPr>
                <w:p w14:paraId="65D93235">
                  <w:pPr>
                    <w:pStyle w:val="53"/>
                    <w:spacing w:before="0" w:beforeLines="0" w:after="0" w:afterLines="0"/>
                    <w:rPr>
                      <w:rFonts w:hint="default" w:eastAsia="宋体"/>
                      <w:b w:val="0"/>
                      <w:bCs/>
                      <w:color w:val="auto"/>
                      <w:sz w:val="21"/>
                      <w:szCs w:val="18"/>
                      <w:u w:val="none" w:color="auto"/>
                      <w:lang w:val="en-US" w:eastAsia="zh-CN"/>
                    </w:rPr>
                  </w:pPr>
                  <w:r>
                    <w:rPr>
                      <w:rFonts w:hint="eastAsia"/>
                      <w:b w:val="0"/>
                      <w:bCs/>
                      <w:color w:val="auto"/>
                      <w:sz w:val="21"/>
                      <w:szCs w:val="18"/>
                      <w:u w:val="none" w:color="auto"/>
                      <w:lang w:val="en-US" w:eastAsia="zh-CN"/>
                    </w:rPr>
                    <w:t>无固废产生</w:t>
                  </w:r>
                </w:p>
              </w:tc>
              <w:tc>
                <w:tcPr>
                  <w:tcW w:w="1040" w:type="dxa"/>
                  <w:tcBorders>
                    <w:tl2br w:val="nil"/>
                    <w:tr2bl w:val="nil"/>
                  </w:tcBorders>
                  <w:vAlign w:val="center"/>
                </w:tcPr>
                <w:p w14:paraId="16EDE34D">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r w14:paraId="2E7EF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4" w:type="dxa"/>
                  <w:vMerge w:val="continue"/>
                  <w:tcBorders>
                    <w:tl2br w:val="nil"/>
                    <w:tr2bl w:val="nil"/>
                  </w:tcBorders>
                  <w:vAlign w:val="center"/>
                </w:tcPr>
                <w:p w14:paraId="008803EC">
                  <w:pPr>
                    <w:pStyle w:val="53"/>
                    <w:spacing w:before="0" w:beforeLines="0" w:after="0" w:afterLines="0"/>
                    <w:rPr>
                      <w:b w:val="0"/>
                      <w:bCs/>
                      <w:color w:val="auto"/>
                      <w:sz w:val="21"/>
                      <w:szCs w:val="18"/>
                      <w:u w:val="none" w:color="auto"/>
                    </w:rPr>
                  </w:pPr>
                </w:p>
              </w:tc>
              <w:tc>
                <w:tcPr>
                  <w:tcW w:w="1187" w:type="dxa"/>
                  <w:gridSpan w:val="2"/>
                  <w:tcBorders>
                    <w:tl2br w:val="nil"/>
                    <w:tr2bl w:val="nil"/>
                  </w:tcBorders>
                  <w:vAlign w:val="center"/>
                </w:tcPr>
                <w:p w14:paraId="6A77F951">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生态环境</w:t>
                  </w:r>
                </w:p>
              </w:tc>
              <w:tc>
                <w:tcPr>
                  <w:tcW w:w="4978" w:type="dxa"/>
                  <w:tcBorders>
                    <w:tl2br w:val="nil"/>
                    <w:tr2bl w:val="nil"/>
                  </w:tcBorders>
                  <w:vAlign w:val="center"/>
                </w:tcPr>
                <w:p w14:paraId="22A7CFD6">
                  <w:pPr>
                    <w:pStyle w:val="53"/>
                    <w:spacing w:before="0" w:beforeLines="0" w:after="0" w:afterLines="0"/>
                    <w:rPr>
                      <w:rFonts w:hint="eastAsia" w:ascii="Times New Roman" w:hAnsi="Times New Roman" w:eastAsia="宋体" w:cs="Times New Roman"/>
                      <w:b w:val="0"/>
                      <w:bCs/>
                      <w:color w:val="auto"/>
                      <w:sz w:val="21"/>
                      <w:szCs w:val="18"/>
                      <w:u w:val="none" w:color="auto"/>
                      <w:lang w:val="en-US" w:eastAsia="zh-CN"/>
                    </w:rPr>
                  </w:pPr>
                  <w:r>
                    <w:rPr>
                      <w:rFonts w:hint="eastAsia" w:ascii="Times New Roman" w:hAnsi="Times New Roman" w:eastAsia="宋体" w:cs="Times New Roman"/>
                      <w:b w:val="0"/>
                      <w:bCs/>
                      <w:color w:val="auto"/>
                      <w:sz w:val="21"/>
                      <w:szCs w:val="18"/>
                      <w:u w:val="none" w:color="auto"/>
                      <w:lang w:val="en-US" w:eastAsia="zh-CN"/>
                    </w:rPr>
                    <w:t>进行绿化补偿</w:t>
                  </w:r>
                </w:p>
              </w:tc>
              <w:tc>
                <w:tcPr>
                  <w:tcW w:w="1040" w:type="dxa"/>
                  <w:tcBorders>
                    <w:tl2br w:val="nil"/>
                    <w:tr2bl w:val="nil"/>
                  </w:tcBorders>
                  <w:vAlign w:val="center"/>
                </w:tcPr>
                <w:p w14:paraId="536584DD">
                  <w:pPr>
                    <w:spacing w:before="0" w:beforeLines="0" w:after="0" w:afterLines="0"/>
                    <w:jc w:val="center"/>
                    <w:rPr>
                      <w:rFonts w:hint="eastAsia"/>
                      <w:b w:val="0"/>
                      <w:bCs/>
                      <w:color w:val="auto"/>
                      <w:sz w:val="21"/>
                      <w:szCs w:val="18"/>
                      <w:u w:val="none" w:color="auto"/>
                      <w:lang w:val="en-US" w:eastAsia="zh-CN"/>
                    </w:rPr>
                  </w:pPr>
                  <w:r>
                    <w:rPr>
                      <w:rFonts w:hint="eastAsia"/>
                      <w:b w:val="0"/>
                      <w:bCs/>
                      <w:color w:val="auto"/>
                      <w:sz w:val="21"/>
                      <w:szCs w:val="18"/>
                      <w:u w:val="none" w:color="auto"/>
                      <w:lang w:val="en-US" w:eastAsia="zh-CN"/>
                    </w:rPr>
                    <w:t>新建</w:t>
                  </w:r>
                </w:p>
              </w:tc>
            </w:tr>
          </w:tbl>
          <w:p w14:paraId="6969029E">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jc w:val="center"/>
              <w:textAlignment w:val="auto"/>
              <w:rPr>
                <w:rFonts w:hint="eastAsia" w:cs="宋体"/>
                <w:b/>
                <w:color w:val="auto"/>
                <w:sz w:val="24"/>
                <w:szCs w:val="21"/>
                <w:u w:val="none" w:color="auto"/>
                <w:lang w:val="en-US" w:eastAsia="zh-CN"/>
              </w:rPr>
            </w:pPr>
            <w:r>
              <w:rPr>
                <w:b/>
                <w:color w:val="auto"/>
                <w:sz w:val="21"/>
                <w:szCs w:val="21"/>
                <w:u w:val="none" w:color="auto"/>
              </w:rPr>
              <w:t>表</w:t>
            </w:r>
            <w:r>
              <w:rPr>
                <w:rFonts w:hint="eastAsia"/>
                <w:b/>
                <w:color w:val="auto"/>
                <w:sz w:val="21"/>
                <w:szCs w:val="21"/>
                <w:u w:val="none" w:color="auto"/>
              </w:rPr>
              <w:t>2-</w:t>
            </w:r>
            <w:r>
              <w:rPr>
                <w:rFonts w:hint="eastAsia"/>
                <w:b/>
                <w:color w:val="auto"/>
                <w:sz w:val="21"/>
                <w:szCs w:val="21"/>
                <w:u w:val="none" w:color="auto"/>
                <w:lang w:val="en-US" w:eastAsia="zh-CN"/>
              </w:rPr>
              <w:t xml:space="preserve">2  </w:t>
            </w:r>
            <w:r>
              <w:rPr>
                <w:rFonts w:hint="eastAsia" w:cs="宋体"/>
                <w:b/>
                <w:color w:val="auto"/>
                <w:sz w:val="21"/>
                <w:szCs w:val="21"/>
                <w:u w:val="none" w:color="auto"/>
                <w:lang w:val="en-US" w:eastAsia="zh-CN"/>
              </w:rPr>
              <w:t>主要指标表</w:t>
            </w:r>
          </w:p>
          <w:tbl>
            <w:tblPr>
              <w:tblStyle w:val="26"/>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505"/>
              <w:gridCol w:w="1875"/>
              <w:gridCol w:w="1995"/>
            </w:tblGrid>
            <w:tr w14:paraId="50BEE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16F7B4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序号</w:t>
                  </w:r>
                </w:p>
              </w:tc>
              <w:tc>
                <w:tcPr>
                  <w:tcW w:w="2505" w:type="dxa"/>
                  <w:tcBorders>
                    <w:tl2br w:val="nil"/>
                    <w:tr2bl w:val="nil"/>
                  </w:tcBorders>
                  <w:vAlign w:val="center"/>
                </w:tcPr>
                <w:p w14:paraId="5C5C8CDA">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项目名称</w:t>
                  </w:r>
                </w:p>
              </w:tc>
              <w:tc>
                <w:tcPr>
                  <w:tcW w:w="1875" w:type="dxa"/>
                  <w:tcBorders>
                    <w:tl2br w:val="nil"/>
                    <w:tr2bl w:val="nil"/>
                  </w:tcBorders>
                  <w:vAlign w:val="center"/>
                </w:tcPr>
                <w:p w14:paraId="3409AD50">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单位</w:t>
                  </w:r>
                </w:p>
              </w:tc>
              <w:tc>
                <w:tcPr>
                  <w:tcW w:w="1995" w:type="dxa"/>
                  <w:tcBorders>
                    <w:tl2br w:val="nil"/>
                    <w:tr2bl w:val="nil"/>
                  </w:tcBorders>
                  <w:vAlign w:val="center"/>
                </w:tcPr>
                <w:p w14:paraId="47F0736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指标</w:t>
                  </w:r>
                </w:p>
              </w:tc>
            </w:tr>
            <w:tr w14:paraId="207C8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270D3A25">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第一部分</w:t>
                  </w:r>
                </w:p>
              </w:tc>
              <w:tc>
                <w:tcPr>
                  <w:tcW w:w="2505" w:type="dxa"/>
                  <w:tcBorders>
                    <w:tl2br w:val="nil"/>
                    <w:tr2bl w:val="nil"/>
                  </w:tcBorders>
                  <w:vAlign w:val="center"/>
                </w:tcPr>
                <w:p w14:paraId="3789A67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主要建设内容</w:t>
                  </w:r>
                </w:p>
              </w:tc>
              <w:tc>
                <w:tcPr>
                  <w:tcW w:w="1875" w:type="dxa"/>
                  <w:tcBorders>
                    <w:tl2br w:val="nil"/>
                    <w:tr2bl w:val="nil"/>
                  </w:tcBorders>
                  <w:vAlign w:val="center"/>
                </w:tcPr>
                <w:p w14:paraId="302C6B88">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5D603E95">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46571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4F54135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一</w:t>
                  </w:r>
                </w:p>
              </w:tc>
              <w:tc>
                <w:tcPr>
                  <w:tcW w:w="2505" w:type="dxa"/>
                  <w:tcBorders>
                    <w:tl2br w:val="nil"/>
                    <w:tr2bl w:val="nil"/>
                  </w:tcBorders>
                  <w:vAlign w:val="center"/>
                </w:tcPr>
                <w:p w14:paraId="6642031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污水管网工程</w:t>
                  </w:r>
                </w:p>
              </w:tc>
              <w:tc>
                <w:tcPr>
                  <w:tcW w:w="1875" w:type="dxa"/>
                  <w:tcBorders>
                    <w:tl2br w:val="nil"/>
                    <w:tr2bl w:val="nil"/>
                  </w:tcBorders>
                  <w:vAlign w:val="center"/>
                </w:tcPr>
                <w:p w14:paraId="3A8D1858">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3C5BEC06">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08EA9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805B7A2">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1.1</w:t>
                  </w:r>
                </w:p>
              </w:tc>
              <w:tc>
                <w:tcPr>
                  <w:tcW w:w="2505" w:type="dxa"/>
                  <w:tcBorders>
                    <w:tl2br w:val="nil"/>
                    <w:tr2bl w:val="nil"/>
                  </w:tcBorders>
                  <w:vAlign w:val="center"/>
                </w:tcPr>
                <w:p w14:paraId="7D0EBED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管道铺设</w:t>
                  </w:r>
                </w:p>
              </w:tc>
              <w:tc>
                <w:tcPr>
                  <w:tcW w:w="1875" w:type="dxa"/>
                  <w:tcBorders>
                    <w:tl2br w:val="nil"/>
                    <w:tr2bl w:val="nil"/>
                  </w:tcBorders>
                  <w:vAlign w:val="center"/>
                </w:tcPr>
                <w:p w14:paraId="075A998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75EF2AC5">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1100.8</w:t>
                  </w:r>
                </w:p>
              </w:tc>
            </w:tr>
            <w:tr w14:paraId="54555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468A6C1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1.2</w:t>
                  </w:r>
                </w:p>
              </w:tc>
              <w:tc>
                <w:tcPr>
                  <w:tcW w:w="2505" w:type="dxa"/>
                  <w:tcBorders>
                    <w:tl2br w:val="nil"/>
                    <w:tr2bl w:val="nil"/>
                  </w:tcBorders>
                  <w:vAlign w:val="center"/>
                </w:tcPr>
                <w:p w14:paraId="554ED65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检查井建设</w:t>
                  </w:r>
                </w:p>
              </w:tc>
              <w:tc>
                <w:tcPr>
                  <w:tcW w:w="1875" w:type="dxa"/>
                  <w:tcBorders>
                    <w:tl2br w:val="nil"/>
                    <w:tr2bl w:val="nil"/>
                  </w:tcBorders>
                  <w:vAlign w:val="center"/>
                </w:tcPr>
                <w:p w14:paraId="61002E1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座</w:t>
                  </w:r>
                </w:p>
              </w:tc>
              <w:tc>
                <w:tcPr>
                  <w:tcW w:w="1995" w:type="dxa"/>
                  <w:tcBorders>
                    <w:tl2br w:val="nil"/>
                    <w:tr2bl w:val="nil"/>
                  </w:tcBorders>
                  <w:vAlign w:val="center"/>
                </w:tcPr>
                <w:p w14:paraId="14832878">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35</w:t>
                  </w:r>
                </w:p>
              </w:tc>
            </w:tr>
            <w:tr w14:paraId="0A686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16223A7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1.3</w:t>
                  </w:r>
                </w:p>
              </w:tc>
              <w:tc>
                <w:tcPr>
                  <w:tcW w:w="2505" w:type="dxa"/>
                  <w:tcBorders>
                    <w:tl2br w:val="nil"/>
                    <w:tr2bl w:val="nil"/>
                  </w:tcBorders>
                  <w:vAlign w:val="center"/>
                </w:tcPr>
                <w:p w14:paraId="46CA8E05">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化粪池建设</w:t>
                  </w:r>
                </w:p>
              </w:tc>
              <w:tc>
                <w:tcPr>
                  <w:tcW w:w="1875" w:type="dxa"/>
                  <w:tcBorders>
                    <w:tl2br w:val="nil"/>
                    <w:tr2bl w:val="nil"/>
                  </w:tcBorders>
                  <w:vAlign w:val="center"/>
                </w:tcPr>
                <w:p w14:paraId="4587EC63">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座</w:t>
                  </w:r>
                </w:p>
              </w:tc>
              <w:tc>
                <w:tcPr>
                  <w:tcW w:w="1995" w:type="dxa"/>
                  <w:tcBorders>
                    <w:tl2br w:val="nil"/>
                    <w:tr2bl w:val="nil"/>
                  </w:tcBorders>
                  <w:vAlign w:val="center"/>
                </w:tcPr>
                <w:p w14:paraId="08529AB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11</w:t>
                  </w:r>
                </w:p>
              </w:tc>
            </w:tr>
            <w:tr w14:paraId="563C9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38E297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1.4</w:t>
                  </w:r>
                </w:p>
              </w:tc>
              <w:tc>
                <w:tcPr>
                  <w:tcW w:w="2505" w:type="dxa"/>
                  <w:tcBorders>
                    <w:tl2br w:val="nil"/>
                    <w:tr2bl w:val="nil"/>
                  </w:tcBorders>
                  <w:vAlign w:val="center"/>
                </w:tcPr>
                <w:p w14:paraId="68FDE60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落水管更换</w:t>
                  </w:r>
                </w:p>
              </w:tc>
              <w:tc>
                <w:tcPr>
                  <w:tcW w:w="1875" w:type="dxa"/>
                  <w:tcBorders>
                    <w:tl2br w:val="nil"/>
                    <w:tr2bl w:val="nil"/>
                  </w:tcBorders>
                  <w:vAlign w:val="center"/>
                </w:tcPr>
                <w:p w14:paraId="577CC0C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68F31958">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364</w:t>
                  </w:r>
                </w:p>
              </w:tc>
            </w:tr>
            <w:tr w14:paraId="65392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7CBA47A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二</w:t>
                  </w:r>
                </w:p>
              </w:tc>
              <w:tc>
                <w:tcPr>
                  <w:tcW w:w="2505" w:type="dxa"/>
                  <w:tcBorders>
                    <w:tl2br w:val="nil"/>
                    <w:tr2bl w:val="nil"/>
                  </w:tcBorders>
                  <w:vAlign w:val="center"/>
                </w:tcPr>
                <w:p w14:paraId="0327D6D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雨水管网工程</w:t>
                  </w:r>
                </w:p>
              </w:tc>
              <w:tc>
                <w:tcPr>
                  <w:tcW w:w="1875" w:type="dxa"/>
                  <w:tcBorders>
                    <w:tl2br w:val="nil"/>
                    <w:tr2bl w:val="nil"/>
                  </w:tcBorders>
                  <w:vAlign w:val="center"/>
                </w:tcPr>
                <w:p w14:paraId="099F7B42">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74156F14">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74A27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F8CCE3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2.1</w:t>
                  </w:r>
                </w:p>
              </w:tc>
              <w:tc>
                <w:tcPr>
                  <w:tcW w:w="2505" w:type="dxa"/>
                  <w:tcBorders>
                    <w:tl2br w:val="nil"/>
                    <w:tr2bl w:val="nil"/>
                  </w:tcBorders>
                  <w:vAlign w:val="center"/>
                </w:tcPr>
                <w:p w14:paraId="14B74AD8">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雨水主管和支管铺设</w:t>
                  </w:r>
                </w:p>
              </w:tc>
              <w:tc>
                <w:tcPr>
                  <w:tcW w:w="1875" w:type="dxa"/>
                  <w:tcBorders>
                    <w:tl2br w:val="nil"/>
                    <w:tr2bl w:val="nil"/>
                  </w:tcBorders>
                  <w:vAlign w:val="center"/>
                </w:tcPr>
                <w:p w14:paraId="0A520E7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1D0C250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1047.53</w:t>
                  </w:r>
                </w:p>
              </w:tc>
            </w:tr>
            <w:tr w14:paraId="58834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7094785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2.2</w:t>
                  </w:r>
                </w:p>
              </w:tc>
              <w:tc>
                <w:tcPr>
                  <w:tcW w:w="2505" w:type="dxa"/>
                  <w:tcBorders>
                    <w:tl2br w:val="nil"/>
                    <w:tr2bl w:val="nil"/>
                  </w:tcBorders>
                  <w:vAlign w:val="center"/>
                </w:tcPr>
                <w:p w14:paraId="3FAB1E7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雨水口建设</w:t>
                  </w:r>
                </w:p>
              </w:tc>
              <w:tc>
                <w:tcPr>
                  <w:tcW w:w="1875" w:type="dxa"/>
                  <w:tcBorders>
                    <w:tl2br w:val="nil"/>
                    <w:tr2bl w:val="nil"/>
                  </w:tcBorders>
                  <w:vAlign w:val="center"/>
                </w:tcPr>
                <w:p w14:paraId="5E5662B7">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座</w:t>
                  </w:r>
                </w:p>
              </w:tc>
              <w:tc>
                <w:tcPr>
                  <w:tcW w:w="1995" w:type="dxa"/>
                  <w:tcBorders>
                    <w:tl2br w:val="nil"/>
                    <w:tr2bl w:val="nil"/>
                  </w:tcBorders>
                  <w:vAlign w:val="center"/>
                </w:tcPr>
                <w:p w14:paraId="5EF3B21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65</w:t>
                  </w:r>
                </w:p>
              </w:tc>
            </w:tr>
            <w:tr w14:paraId="4BDB6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192006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2.3</w:t>
                  </w:r>
                </w:p>
              </w:tc>
              <w:tc>
                <w:tcPr>
                  <w:tcW w:w="2505" w:type="dxa"/>
                  <w:tcBorders>
                    <w:tl2br w:val="nil"/>
                    <w:tr2bl w:val="nil"/>
                  </w:tcBorders>
                  <w:vAlign w:val="center"/>
                </w:tcPr>
                <w:p w14:paraId="36C8133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落水管更换</w:t>
                  </w:r>
                </w:p>
              </w:tc>
              <w:tc>
                <w:tcPr>
                  <w:tcW w:w="1875" w:type="dxa"/>
                  <w:tcBorders>
                    <w:tl2br w:val="nil"/>
                    <w:tr2bl w:val="nil"/>
                  </w:tcBorders>
                  <w:vAlign w:val="center"/>
                </w:tcPr>
                <w:p w14:paraId="2055BD4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657F9E5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196</w:t>
                  </w:r>
                </w:p>
              </w:tc>
            </w:tr>
            <w:tr w14:paraId="4D013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55B2F17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三</w:t>
                  </w:r>
                </w:p>
              </w:tc>
              <w:tc>
                <w:tcPr>
                  <w:tcW w:w="2505" w:type="dxa"/>
                  <w:tcBorders>
                    <w:tl2br w:val="nil"/>
                    <w:tr2bl w:val="nil"/>
                  </w:tcBorders>
                  <w:vAlign w:val="center"/>
                </w:tcPr>
                <w:p w14:paraId="25776490">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道路工程</w:t>
                  </w:r>
                </w:p>
              </w:tc>
              <w:tc>
                <w:tcPr>
                  <w:tcW w:w="1875" w:type="dxa"/>
                  <w:tcBorders>
                    <w:tl2br w:val="nil"/>
                    <w:tr2bl w:val="nil"/>
                  </w:tcBorders>
                  <w:vAlign w:val="center"/>
                </w:tcPr>
                <w:p w14:paraId="7BFF3DB9">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6FAFDA81">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0DFF6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2ED680E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3.1</w:t>
                  </w:r>
                </w:p>
              </w:tc>
              <w:tc>
                <w:tcPr>
                  <w:tcW w:w="2505" w:type="dxa"/>
                  <w:tcBorders>
                    <w:tl2br w:val="nil"/>
                    <w:tr2bl w:val="nil"/>
                  </w:tcBorders>
                  <w:vAlign w:val="center"/>
                </w:tcPr>
                <w:p w14:paraId="3E94A5E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路面修补与黑化</w:t>
                  </w:r>
                </w:p>
              </w:tc>
              <w:tc>
                <w:tcPr>
                  <w:tcW w:w="1875" w:type="dxa"/>
                  <w:tcBorders>
                    <w:tl2br w:val="nil"/>
                    <w:tr2bl w:val="nil"/>
                  </w:tcBorders>
                  <w:vAlign w:val="center"/>
                </w:tcPr>
                <w:p w14:paraId="004C1189">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r>
                    <w:rPr>
                      <w:rFonts w:hint="eastAsia" w:cs="宋体"/>
                      <w:b w:val="0"/>
                      <w:bCs/>
                      <w:color w:val="auto"/>
                      <w:sz w:val="21"/>
                      <w:szCs w:val="21"/>
                      <w:u w:val="none" w:color="auto"/>
                      <w:vertAlign w:val="superscript"/>
                      <w:lang w:val="en-US" w:eastAsia="zh-CN"/>
                    </w:rPr>
                    <w:t>2</w:t>
                  </w:r>
                </w:p>
              </w:tc>
              <w:tc>
                <w:tcPr>
                  <w:tcW w:w="1995" w:type="dxa"/>
                  <w:tcBorders>
                    <w:tl2br w:val="nil"/>
                    <w:tr2bl w:val="nil"/>
                  </w:tcBorders>
                  <w:vAlign w:val="center"/>
                </w:tcPr>
                <w:p w14:paraId="50189A4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7331.57</w:t>
                  </w:r>
                </w:p>
              </w:tc>
            </w:tr>
            <w:tr w14:paraId="541AF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8F592B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3.2</w:t>
                  </w:r>
                </w:p>
              </w:tc>
              <w:tc>
                <w:tcPr>
                  <w:tcW w:w="2505" w:type="dxa"/>
                  <w:tcBorders>
                    <w:tl2br w:val="nil"/>
                    <w:tr2bl w:val="nil"/>
                  </w:tcBorders>
                  <w:vAlign w:val="center"/>
                </w:tcPr>
                <w:p w14:paraId="2AEE6B2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人行道重建</w:t>
                  </w:r>
                </w:p>
              </w:tc>
              <w:tc>
                <w:tcPr>
                  <w:tcW w:w="1875" w:type="dxa"/>
                  <w:tcBorders>
                    <w:tl2br w:val="nil"/>
                    <w:tr2bl w:val="nil"/>
                  </w:tcBorders>
                  <w:vAlign w:val="center"/>
                </w:tcPr>
                <w:p w14:paraId="17FA1D61">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r>
                    <w:rPr>
                      <w:rFonts w:hint="eastAsia" w:cs="宋体"/>
                      <w:b w:val="0"/>
                      <w:bCs/>
                      <w:color w:val="auto"/>
                      <w:sz w:val="21"/>
                      <w:szCs w:val="21"/>
                      <w:u w:val="none" w:color="auto"/>
                      <w:vertAlign w:val="superscript"/>
                      <w:lang w:val="en-US" w:eastAsia="zh-CN"/>
                    </w:rPr>
                    <w:t>2</w:t>
                  </w:r>
                </w:p>
              </w:tc>
              <w:tc>
                <w:tcPr>
                  <w:tcW w:w="1995" w:type="dxa"/>
                  <w:tcBorders>
                    <w:tl2br w:val="nil"/>
                    <w:tr2bl w:val="nil"/>
                  </w:tcBorders>
                  <w:vAlign w:val="center"/>
                </w:tcPr>
                <w:p w14:paraId="79E3D8C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2407.61</w:t>
                  </w:r>
                </w:p>
              </w:tc>
            </w:tr>
            <w:tr w14:paraId="72186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4B7DEAB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3.3</w:t>
                  </w:r>
                </w:p>
              </w:tc>
              <w:tc>
                <w:tcPr>
                  <w:tcW w:w="2505" w:type="dxa"/>
                  <w:tcBorders>
                    <w:tl2br w:val="nil"/>
                    <w:tr2bl w:val="nil"/>
                  </w:tcBorders>
                  <w:vAlign w:val="center"/>
                </w:tcPr>
                <w:p w14:paraId="0813B340">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树池改造</w:t>
                  </w:r>
                </w:p>
              </w:tc>
              <w:tc>
                <w:tcPr>
                  <w:tcW w:w="1875" w:type="dxa"/>
                  <w:tcBorders>
                    <w:tl2br w:val="nil"/>
                    <w:tr2bl w:val="nil"/>
                  </w:tcBorders>
                  <w:vAlign w:val="center"/>
                </w:tcPr>
                <w:p w14:paraId="54D53957">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座</w:t>
                  </w:r>
                </w:p>
              </w:tc>
              <w:tc>
                <w:tcPr>
                  <w:tcW w:w="1995" w:type="dxa"/>
                  <w:tcBorders>
                    <w:tl2br w:val="nil"/>
                    <w:tr2bl w:val="nil"/>
                  </w:tcBorders>
                  <w:vAlign w:val="center"/>
                </w:tcPr>
                <w:p w14:paraId="3A745F2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149.00</w:t>
                  </w:r>
                </w:p>
              </w:tc>
            </w:tr>
            <w:tr w14:paraId="4E513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7A7D03A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3.4</w:t>
                  </w:r>
                </w:p>
              </w:tc>
              <w:tc>
                <w:tcPr>
                  <w:tcW w:w="2505" w:type="dxa"/>
                  <w:tcBorders>
                    <w:tl2br w:val="nil"/>
                    <w:tr2bl w:val="nil"/>
                  </w:tcBorders>
                  <w:vAlign w:val="center"/>
                </w:tcPr>
                <w:p w14:paraId="6DE08457">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团洲花园内道路拆除旧路面并重新铺设</w:t>
                  </w:r>
                </w:p>
              </w:tc>
              <w:tc>
                <w:tcPr>
                  <w:tcW w:w="1875" w:type="dxa"/>
                  <w:tcBorders>
                    <w:tl2br w:val="nil"/>
                    <w:tr2bl w:val="nil"/>
                  </w:tcBorders>
                  <w:vAlign w:val="center"/>
                </w:tcPr>
                <w:p w14:paraId="4FE61107">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r>
                    <w:rPr>
                      <w:rFonts w:hint="eastAsia" w:cs="宋体"/>
                      <w:b w:val="0"/>
                      <w:bCs/>
                      <w:color w:val="auto"/>
                      <w:sz w:val="21"/>
                      <w:szCs w:val="21"/>
                      <w:u w:val="none" w:color="auto"/>
                      <w:vertAlign w:val="superscript"/>
                      <w:lang w:val="en-US" w:eastAsia="zh-CN"/>
                    </w:rPr>
                    <w:t>2</w:t>
                  </w:r>
                </w:p>
              </w:tc>
              <w:tc>
                <w:tcPr>
                  <w:tcW w:w="1995" w:type="dxa"/>
                  <w:tcBorders>
                    <w:tl2br w:val="nil"/>
                    <w:tr2bl w:val="nil"/>
                  </w:tcBorders>
                  <w:vAlign w:val="center"/>
                </w:tcPr>
                <w:p w14:paraId="62DD671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5395.48</w:t>
                  </w:r>
                </w:p>
              </w:tc>
            </w:tr>
            <w:tr w14:paraId="111F9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72E7DA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四</w:t>
                  </w:r>
                </w:p>
              </w:tc>
              <w:tc>
                <w:tcPr>
                  <w:tcW w:w="2505" w:type="dxa"/>
                  <w:tcBorders>
                    <w:tl2br w:val="nil"/>
                    <w:tr2bl w:val="nil"/>
                  </w:tcBorders>
                  <w:vAlign w:val="center"/>
                </w:tcPr>
                <w:p w14:paraId="6E71D1D4">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景观及零星配套工程</w:t>
                  </w:r>
                </w:p>
              </w:tc>
              <w:tc>
                <w:tcPr>
                  <w:tcW w:w="1875" w:type="dxa"/>
                  <w:tcBorders>
                    <w:tl2br w:val="nil"/>
                    <w:tr2bl w:val="nil"/>
                  </w:tcBorders>
                  <w:vAlign w:val="center"/>
                </w:tcPr>
                <w:p w14:paraId="3804BA2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634DABB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r w14:paraId="0E974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5C1A9038">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五</w:t>
                  </w:r>
                </w:p>
              </w:tc>
              <w:tc>
                <w:tcPr>
                  <w:tcW w:w="2505" w:type="dxa"/>
                  <w:tcBorders>
                    <w:tl2br w:val="nil"/>
                    <w:tr2bl w:val="nil"/>
                  </w:tcBorders>
                  <w:vAlign w:val="center"/>
                </w:tcPr>
                <w:p w14:paraId="0B9AA5B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小区外配套工程</w:t>
                  </w:r>
                </w:p>
              </w:tc>
              <w:tc>
                <w:tcPr>
                  <w:tcW w:w="1875" w:type="dxa"/>
                  <w:tcBorders>
                    <w:tl2br w:val="nil"/>
                    <w:tr2bl w:val="nil"/>
                  </w:tcBorders>
                  <w:vAlign w:val="center"/>
                </w:tcPr>
                <w:p w14:paraId="299D66C1">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28A6C944">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65945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1EB6E38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5.1</w:t>
                  </w:r>
                </w:p>
              </w:tc>
              <w:tc>
                <w:tcPr>
                  <w:tcW w:w="2505" w:type="dxa"/>
                  <w:tcBorders>
                    <w:tl2br w:val="nil"/>
                    <w:tr2bl w:val="nil"/>
                  </w:tcBorders>
                  <w:vAlign w:val="center"/>
                </w:tcPr>
                <w:p w14:paraId="72FAE9E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道路工程</w:t>
                  </w:r>
                </w:p>
              </w:tc>
              <w:tc>
                <w:tcPr>
                  <w:tcW w:w="1875" w:type="dxa"/>
                  <w:tcBorders>
                    <w:tl2br w:val="nil"/>
                    <w:tr2bl w:val="nil"/>
                  </w:tcBorders>
                  <w:vAlign w:val="center"/>
                </w:tcPr>
                <w:p w14:paraId="5B1A0067">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273CD695">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50624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A9FDDC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5.1.1</w:t>
                  </w:r>
                </w:p>
              </w:tc>
              <w:tc>
                <w:tcPr>
                  <w:tcW w:w="2505" w:type="dxa"/>
                  <w:tcBorders>
                    <w:tl2br w:val="nil"/>
                    <w:tr2bl w:val="nil"/>
                  </w:tcBorders>
                  <w:vAlign w:val="center"/>
                </w:tcPr>
                <w:p w14:paraId="0B2C40C5">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市政道路</w:t>
                  </w:r>
                </w:p>
              </w:tc>
              <w:tc>
                <w:tcPr>
                  <w:tcW w:w="1875" w:type="dxa"/>
                  <w:tcBorders>
                    <w:tl2br w:val="nil"/>
                    <w:tr2bl w:val="nil"/>
                  </w:tcBorders>
                  <w:vAlign w:val="center"/>
                </w:tcPr>
                <w:p w14:paraId="098B71A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02FFEB7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2774.61</w:t>
                  </w:r>
                </w:p>
              </w:tc>
            </w:tr>
            <w:tr w14:paraId="46C59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4429C5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5.1.2</w:t>
                  </w:r>
                </w:p>
              </w:tc>
              <w:tc>
                <w:tcPr>
                  <w:tcW w:w="2505" w:type="dxa"/>
                  <w:tcBorders>
                    <w:tl2br w:val="nil"/>
                    <w:tr2bl w:val="nil"/>
                  </w:tcBorders>
                  <w:vAlign w:val="center"/>
                </w:tcPr>
                <w:p w14:paraId="2C93CD58">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人行道</w:t>
                  </w:r>
                </w:p>
              </w:tc>
              <w:tc>
                <w:tcPr>
                  <w:tcW w:w="1875" w:type="dxa"/>
                  <w:tcBorders>
                    <w:tl2br w:val="nil"/>
                    <w:tr2bl w:val="nil"/>
                  </w:tcBorders>
                  <w:vAlign w:val="center"/>
                </w:tcPr>
                <w:p w14:paraId="217AE1CB">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r>
                    <w:rPr>
                      <w:rFonts w:hint="eastAsia" w:cs="宋体"/>
                      <w:b w:val="0"/>
                      <w:bCs/>
                      <w:color w:val="auto"/>
                      <w:sz w:val="21"/>
                      <w:szCs w:val="21"/>
                      <w:u w:val="none" w:color="auto"/>
                      <w:vertAlign w:val="superscript"/>
                      <w:lang w:val="en-US" w:eastAsia="zh-CN"/>
                    </w:rPr>
                    <w:t>2</w:t>
                  </w:r>
                </w:p>
              </w:tc>
              <w:tc>
                <w:tcPr>
                  <w:tcW w:w="1995" w:type="dxa"/>
                  <w:tcBorders>
                    <w:tl2br w:val="nil"/>
                    <w:tr2bl w:val="nil"/>
                  </w:tcBorders>
                  <w:vAlign w:val="center"/>
                </w:tcPr>
                <w:p w14:paraId="10B1993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9864.00</w:t>
                  </w:r>
                </w:p>
              </w:tc>
            </w:tr>
            <w:tr w14:paraId="1B0ED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5799085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5.2</w:t>
                  </w:r>
                </w:p>
              </w:tc>
              <w:tc>
                <w:tcPr>
                  <w:tcW w:w="2505" w:type="dxa"/>
                  <w:tcBorders>
                    <w:tl2br w:val="nil"/>
                    <w:tr2bl w:val="nil"/>
                  </w:tcBorders>
                  <w:vAlign w:val="center"/>
                </w:tcPr>
                <w:p w14:paraId="199B4190">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绿化工程</w:t>
                  </w:r>
                </w:p>
              </w:tc>
              <w:tc>
                <w:tcPr>
                  <w:tcW w:w="1875" w:type="dxa"/>
                  <w:tcBorders>
                    <w:tl2br w:val="nil"/>
                    <w:tr2bl w:val="nil"/>
                  </w:tcBorders>
                  <w:vAlign w:val="center"/>
                </w:tcPr>
                <w:p w14:paraId="0C611D4F">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64041930">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27950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D843ADA">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5.2.1</w:t>
                  </w:r>
                </w:p>
              </w:tc>
              <w:tc>
                <w:tcPr>
                  <w:tcW w:w="2505" w:type="dxa"/>
                  <w:tcBorders>
                    <w:tl2br w:val="nil"/>
                    <w:tr2bl w:val="nil"/>
                  </w:tcBorders>
                  <w:vAlign w:val="center"/>
                </w:tcPr>
                <w:p w14:paraId="7661CBF0">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树</w:t>
                  </w:r>
                </w:p>
              </w:tc>
              <w:tc>
                <w:tcPr>
                  <w:tcW w:w="1875" w:type="dxa"/>
                  <w:tcBorders>
                    <w:tl2br w:val="nil"/>
                    <w:tr2bl w:val="nil"/>
                  </w:tcBorders>
                  <w:vAlign w:val="center"/>
                </w:tcPr>
                <w:p w14:paraId="22420FE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颗</w:t>
                  </w:r>
                </w:p>
              </w:tc>
              <w:tc>
                <w:tcPr>
                  <w:tcW w:w="1995" w:type="dxa"/>
                  <w:tcBorders>
                    <w:tl2br w:val="nil"/>
                    <w:tr2bl w:val="nil"/>
                  </w:tcBorders>
                  <w:vAlign w:val="center"/>
                </w:tcPr>
                <w:p w14:paraId="5BA4076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925</w:t>
                  </w:r>
                </w:p>
              </w:tc>
            </w:tr>
            <w:tr w14:paraId="749DA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5D670BA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5.2.2</w:t>
                  </w:r>
                </w:p>
              </w:tc>
              <w:tc>
                <w:tcPr>
                  <w:tcW w:w="2505" w:type="dxa"/>
                  <w:tcBorders>
                    <w:tl2br w:val="nil"/>
                    <w:tr2bl w:val="nil"/>
                  </w:tcBorders>
                  <w:vAlign w:val="center"/>
                </w:tcPr>
                <w:p w14:paraId="7F75FF05">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树池草皮</w:t>
                  </w:r>
                </w:p>
              </w:tc>
              <w:tc>
                <w:tcPr>
                  <w:tcW w:w="1875" w:type="dxa"/>
                  <w:tcBorders>
                    <w:tl2br w:val="nil"/>
                    <w:tr2bl w:val="nil"/>
                  </w:tcBorders>
                  <w:vAlign w:val="center"/>
                </w:tcPr>
                <w:p w14:paraId="4DF4E3DA">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r>
                    <w:rPr>
                      <w:rFonts w:hint="eastAsia" w:cs="宋体"/>
                      <w:b w:val="0"/>
                      <w:bCs/>
                      <w:color w:val="auto"/>
                      <w:sz w:val="21"/>
                      <w:szCs w:val="21"/>
                      <w:u w:val="none" w:color="auto"/>
                      <w:vertAlign w:val="superscript"/>
                      <w:lang w:val="en-US" w:eastAsia="zh-CN"/>
                    </w:rPr>
                    <w:t>2</w:t>
                  </w:r>
                </w:p>
              </w:tc>
              <w:tc>
                <w:tcPr>
                  <w:tcW w:w="1995" w:type="dxa"/>
                  <w:tcBorders>
                    <w:tl2br w:val="nil"/>
                    <w:tr2bl w:val="nil"/>
                  </w:tcBorders>
                  <w:vAlign w:val="center"/>
                </w:tcPr>
                <w:p w14:paraId="4987A11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2081.30</w:t>
                  </w:r>
                </w:p>
              </w:tc>
            </w:tr>
            <w:tr w14:paraId="19F0B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16507FB2">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5.3</w:t>
                  </w:r>
                </w:p>
              </w:tc>
              <w:tc>
                <w:tcPr>
                  <w:tcW w:w="2505" w:type="dxa"/>
                  <w:tcBorders>
                    <w:tl2br w:val="nil"/>
                    <w:tr2bl w:val="nil"/>
                  </w:tcBorders>
                  <w:vAlign w:val="center"/>
                </w:tcPr>
                <w:p w14:paraId="6FF654B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供配电工程</w:t>
                  </w:r>
                </w:p>
              </w:tc>
              <w:tc>
                <w:tcPr>
                  <w:tcW w:w="1875" w:type="dxa"/>
                  <w:tcBorders>
                    <w:tl2br w:val="nil"/>
                    <w:tr2bl w:val="nil"/>
                  </w:tcBorders>
                  <w:vAlign w:val="center"/>
                </w:tcPr>
                <w:p w14:paraId="7607832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06B0467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r w14:paraId="045E6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7395B2A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5.4</w:t>
                  </w:r>
                </w:p>
              </w:tc>
              <w:tc>
                <w:tcPr>
                  <w:tcW w:w="2505" w:type="dxa"/>
                  <w:tcBorders>
                    <w:tl2br w:val="nil"/>
                    <w:tr2bl w:val="nil"/>
                  </w:tcBorders>
                  <w:vAlign w:val="center"/>
                </w:tcPr>
                <w:p w14:paraId="0E56811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燃气工程</w:t>
                  </w:r>
                </w:p>
              </w:tc>
              <w:tc>
                <w:tcPr>
                  <w:tcW w:w="1875" w:type="dxa"/>
                  <w:tcBorders>
                    <w:tl2br w:val="nil"/>
                    <w:tr2bl w:val="nil"/>
                  </w:tcBorders>
                  <w:vAlign w:val="center"/>
                </w:tcPr>
                <w:p w14:paraId="4411E7A9">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28BC8AD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2200.00</w:t>
                  </w:r>
                </w:p>
              </w:tc>
            </w:tr>
            <w:tr w14:paraId="64EA3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5F021E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5.5</w:t>
                  </w:r>
                </w:p>
              </w:tc>
              <w:tc>
                <w:tcPr>
                  <w:tcW w:w="2505" w:type="dxa"/>
                  <w:tcBorders>
                    <w:tl2br w:val="nil"/>
                    <w:tr2bl w:val="nil"/>
                  </w:tcBorders>
                  <w:vAlign w:val="center"/>
                </w:tcPr>
                <w:p w14:paraId="69D2D8B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照明工程</w:t>
                  </w:r>
                </w:p>
              </w:tc>
              <w:tc>
                <w:tcPr>
                  <w:tcW w:w="1875" w:type="dxa"/>
                  <w:tcBorders>
                    <w:tl2br w:val="nil"/>
                    <w:tr2bl w:val="nil"/>
                  </w:tcBorders>
                  <w:vAlign w:val="center"/>
                </w:tcPr>
                <w:p w14:paraId="471F038A">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53313186">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r w14:paraId="1B75C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3353546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5.6</w:t>
                  </w:r>
                </w:p>
              </w:tc>
              <w:tc>
                <w:tcPr>
                  <w:tcW w:w="2505" w:type="dxa"/>
                  <w:tcBorders>
                    <w:tl2br w:val="nil"/>
                    <w:tr2bl w:val="nil"/>
                  </w:tcBorders>
                  <w:vAlign w:val="center"/>
                </w:tcPr>
                <w:p w14:paraId="3C77119E">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交通工程</w:t>
                  </w:r>
                </w:p>
              </w:tc>
              <w:tc>
                <w:tcPr>
                  <w:tcW w:w="1875" w:type="dxa"/>
                  <w:tcBorders>
                    <w:tl2br w:val="nil"/>
                    <w:tr2bl w:val="nil"/>
                  </w:tcBorders>
                  <w:vAlign w:val="center"/>
                </w:tcPr>
                <w:p w14:paraId="701FBA59">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71B0A045">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r w14:paraId="30C15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69B9A37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5.7</w:t>
                  </w:r>
                </w:p>
              </w:tc>
              <w:tc>
                <w:tcPr>
                  <w:tcW w:w="2505" w:type="dxa"/>
                  <w:tcBorders>
                    <w:tl2br w:val="nil"/>
                    <w:tr2bl w:val="nil"/>
                  </w:tcBorders>
                  <w:vAlign w:val="center"/>
                </w:tcPr>
                <w:p w14:paraId="532E02BC">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雨水管道工程</w:t>
                  </w:r>
                </w:p>
              </w:tc>
              <w:tc>
                <w:tcPr>
                  <w:tcW w:w="1875" w:type="dxa"/>
                  <w:tcBorders>
                    <w:tl2br w:val="nil"/>
                    <w:tr2bl w:val="nil"/>
                  </w:tcBorders>
                  <w:vAlign w:val="center"/>
                </w:tcPr>
                <w:p w14:paraId="202D6D12">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04CC5BD1">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386B7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5F1CDC7A">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5.7.1</w:t>
                  </w:r>
                </w:p>
              </w:tc>
              <w:tc>
                <w:tcPr>
                  <w:tcW w:w="2505" w:type="dxa"/>
                  <w:tcBorders>
                    <w:tl2br w:val="nil"/>
                    <w:tr2bl w:val="nil"/>
                  </w:tcBorders>
                  <w:vAlign w:val="center"/>
                </w:tcPr>
                <w:p w14:paraId="6936A42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雨水管建设</w:t>
                  </w:r>
                </w:p>
              </w:tc>
              <w:tc>
                <w:tcPr>
                  <w:tcW w:w="1875" w:type="dxa"/>
                  <w:tcBorders>
                    <w:tl2br w:val="nil"/>
                    <w:tr2bl w:val="nil"/>
                  </w:tcBorders>
                  <w:vAlign w:val="center"/>
                </w:tcPr>
                <w:p w14:paraId="2BDF279A">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581E3252">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6281.60</w:t>
                  </w:r>
                </w:p>
              </w:tc>
            </w:tr>
            <w:tr w14:paraId="54C27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30334C32">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5.7.2</w:t>
                  </w:r>
                </w:p>
              </w:tc>
              <w:tc>
                <w:tcPr>
                  <w:tcW w:w="2505" w:type="dxa"/>
                  <w:tcBorders>
                    <w:tl2br w:val="nil"/>
                    <w:tr2bl w:val="nil"/>
                  </w:tcBorders>
                  <w:vAlign w:val="center"/>
                </w:tcPr>
                <w:p w14:paraId="779495D2">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污水管建设</w:t>
                  </w:r>
                </w:p>
              </w:tc>
              <w:tc>
                <w:tcPr>
                  <w:tcW w:w="1875" w:type="dxa"/>
                  <w:tcBorders>
                    <w:tl2br w:val="nil"/>
                    <w:tr2bl w:val="nil"/>
                  </w:tcBorders>
                  <w:vAlign w:val="center"/>
                </w:tcPr>
                <w:p w14:paraId="4C34859A">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2B71614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5110.6</w:t>
                  </w:r>
                </w:p>
              </w:tc>
            </w:tr>
            <w:tr w14:paraId="3B824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0E709F4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5.7.3</w:t>
                  </w:r>
                </w:p>
              </w:tc>
              <w:tc>
                <w:tcPr>
                  <w:tcW w:w="2505" w:type="dxa"/>
                  <w:tcBorders>
                    <w:tl2br w:val="nil"/>
                    <w:tr2bl w:val="nil"/>
                  </w:tcBorders>
                  <w:vAlign w:val="center"/>
                </w:tcPr>
                <w:p w14:paraId="4306BDFB">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铺设给水管</w:t>
                  </w:r>
                </w:p>
              </w:tc>
              <w:tc>
                <w:tcPr>
                  <w:tcW w:w="1875" w:type="dxa"/>
                  <w:tcBorders>
                    <w:tl2br w:val="nil"/>
                    <w:tr2bl w:val="nil"/>
                  </w:tcBorders>
                  <w:vAlign w:val="center"/>
                </w:tcPr>
                <w:p w14:paraId="6479F35F">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m</w:t>
                  </w:r>
                </w:p>
              </w:tc>
              <w:tc>
                <w:tcPr>
                  <w:tcW w:w="1995" w:type="dxa"/>
                  <w:tcBorders>
                    <w:tl2br w:val="nil"/>
                    <w:tr2bl w:val="nil"/>
                  </w:tcBorders>
                  <w:vAlign w:val="center"/>
                </w:tcPr>
                <w:p w14:paraId="7F27739F">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2400</w:t>
                  </w:r>
                </w:p>
              </w:tc>
            </w:tr>
            <w:tr w14:paraId="31A09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4928E6D6">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六</w:t>
                  </w:r>
                </w:p>
              </w:tc>
              <w:tc>
                <w:tcPr>
                  <w:tcW w:w="2505" w:type="dxa"/>
                  <w:tcBorders>
                    <w:tl2br w:val="nil"/>
                    <w:tr2bl w:val="nil"/>
                  </w:tcBorders>
                  <w:vAlign w:val="center"/>
                </w:tcPr>
                <w:p w14:paraId="6241E777">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配套设施</w:t>
                  </w:r>
                </w:p>
              </w:tc>
              <w:tc>
                <w:tcPr>
                  <w:tcW w:w="1875" w:type="dxa"/>
                  <w:tcBorders>
                    <w:tl2br w:val="nil"/>
                    <w:tr2bl w:val="nil"/>
                  </w:tcBorders>
                  <w:vAlign w:val="center"/>
                </w:tcPr>
                <w:p w14:paraId="18ED2A23">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c>
                <w:tcPr>
                  <w:tcW w:w="1995" w:type="dxa"/>
                  <w:tcBorders>
                    <w:tl2br w:val="nil"/>
                    <w:tr2bl w:val="nil"/>
                  </w:tcBorders>
                  <w:vAlign w:val="center"/>
                </w:tcPr>
                <w:p w14:paraId="2DB5B30C">
                  <w:pPr>
                    <w:numPr>
                      <w:ilvl w:val="0"/>
                      <w:numId w:val="0"/>
                    </w:numPr>
                    <w:adjustRightInd w:val="0"/>
                    <w:snapToGrid w:val="0"/>
                    <w:spacing w:line="360" w:lineRule="auto"/>
                    <w:jc w:val="center"/>
                    <w:rPr>
                      <w:rFonts w:hint="eastAsia" w:cs="宋体"/>
                      <w:b w:val="0"/>
                      <w:bCs/>
                      <w:color w:val="auto"/>
                      <w:sz w:val="21"/>
                      <w:szCs w:val="21"/>
                      <w:u w:val="none" w:color="auto"/>
                      <w:vertAlign w:val="baseline"/>
                      <w:lang w:val="en-US" w:eastAsia="zh-CN"/>
                    </w:rPr>
                  </w:pPr>
                </w:p>
              </w:tc>
            </w:tr>
            <w:tr w14:paraId="3BA88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411C92F3">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6.1</w:t>
                  </w:r>
                </w:p>
              </w:tc>
              <w:tc>
                <w:tcPr>
                  <w:tcW w:w="2505" w:type="dxa"/>
                  <w:tcBorders>
                    <w:tl2br w:val="nil"/>
                    <w:tr2bl w:val="nil"/>
                  </w:tcBorders>
                  <w:vAlign w:val="center"/>
                </w:tcPr>
                <w:p w14:paraId="227F995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监控设施</w:t>
                  </w:r>
                </w:p>
              </w:tc>
              <w:tc>
                <w:tcPr>
                  <w:tcW w:w="1875" w:type="dxa"/>
                  <w:tcBorders>
                    <w:tl2br w:val="nil"/>
                    <w:tr2bl w:val="nil"/>
                  </w:tcBorders>
                  <w:vAlign w:val="center"/>
                </w:tcPr>
                <w:p w14:paraId="366B8E43">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55BAE44E">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r w14:paraId="3059F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31" w:type="dxa"/>
                  <w:tcBorders>
                    <w:tl2br w:val="nil"/>
                    <w:tr2bl w:val="nil"/>
                  </w:tcBorders>
                  <w:vAlign w:val="center"/>
                </w:tcPr>
                <w:p w14:paraId="257DC67D">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6.2</w:t>
                  </w:r>
                </w:p>
              </w:tc>
              <w:tc>
                <w:tcPr>
                  <w:tcW w:w="2505" w:type="dxa"/>
                  <w:tcBorders>
                    <w:tl2br w:val="nil"/>
                    <w:tr2bl w:val="nil"/>
                  </w:tcBorders>
                  <w:vAlign w:val="center"/>
                </w:tcPr>
                <w:p w14:paraId="6D76B511">
                  <w:pPr>
                    <w:numPr>
                      <w:ilvl w:val="0"/>
                      <w:numId w:val="0"/>
                    </w:numPr>
                    <w:adjustRightInd w:val="0"/>
                    <w:snapToGrid w:val="0"/>
                    <w:spacing w:line="360" w:lineRule="auto"/>
                    <w:jc w:val="center"/>
                    <w:rPr>
                      <w:rFonts w:hint="default"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标识标牌</w:t>
                  </w:r>
                </w:p>
              </w:tc>
              <w:tc>
                <w:tcPr>
                  <w:tcW w:w="1875" w:type="dxa"/>
                  <w:tcBorders>
                    <w:tl2br w:val="nil"/>
                    <w:tr2bl w:val="nil"/>
                  </w:tcBorders>
                  <w:vAlign w:val="center"/>
                </w:tcPr>
                <w:p w14:paraId="2CC9ACB1">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项</w:t>
                  </w:r>
                </w:p>
              </w:tc>
              <w:tc>
                <w:tcPr>
                  <w:tcW w:w="1995" w:type="dxa"/>
                  <w:tcBorders>
                    <w:tl2br w:val="nil"/>
                    <w:tr2bl w:val="nil"/>
                  </w:tcBorders>
                  <w:vAlign w:val="center"/>
                </w:tcPr>
                <w:p w14:paraId="3E2C4029">
                  <w:pPr>
                    <w:numPr>
                      <w:ilvl w:val="0"/>
                      <w:numId w:val="0"/>
                    </w:numPr>
                    <w:adjustRightInd w:val="0"/>
                    <w:snapToGrid w:val="0"/>
                    <w:spacing w:line="360" w:lineRule="auto"/>
                    <w:ind w:left="0" w:leftChars="0" w:firstLine="0" w:firstLineChars="0"/>
                    <w:jc w:val="center"/>
                    <w:rPr>
                      <w:rFonts w:hint="eastAsia" w:cs="宋体"/>
                      <w:b w:val="0"/>
                      <w:bCs/>
                      <w:color w:val="auto"/>
                      <w:sz w:val="21"/>
                      <w:szCs w:val="21"/>
                      <w:u w:val="none" w:color="auto"/>
                      <w:vertAlign w:val="baseline"/>
                      <w:lang w:val="en-US" w:eastAsia="zh-CN"/>
                    </w:rPr>
                  </w:pPr>
                  <w:r>
                    <w:rPr>
                      <w:rFonts w:hint="eastAsia" w:cs="宋体"/>
                      <w:b w:val="0"/>
                      <w:bCs/>
                      <w:color w:val="auto"/>
                      <w:sz w:val="21"/>
                      <w:szCs w:val="21"/>
                      <w:u w:val="none" w:color="auto"/>
                      <w:vertAlign w:val="baseline"/>
                      <w:lang w:val="en-US" w:eastAsia="zh-CN"/>
                    </w:rPr>
                    <w:t>1</w:t>
                  </w:r>
                </w:p>
              </w:tc>
            </w:tr>
          </w:tbl>
          <w:p w14:paraId="28D2DE32">
            <w:pPr>
              <w:numPr>
                <w:ilvl w:val="0"/>
                <w:numId w:val="0"/>
              </w:numPr>
              <w:adjustRightInd w:val="0"/>
              <w:snapToGrid w:val="0"/>
              <w:spacing w:line="360" w:lineRule="auto"/>
              <w:jc w:val="left"/>
              <w:rPr>
                <w:rFonts w:cs="宋体"/>
                <w:b/>
                <w:color w:val="auto"/>
                <w:sz w:val="24"/>
                <w:szCs w:val="21"/>
                <w:u w:val="none" w:color="auto"/>
              </w:rPr>
            </w:pPr>
            <w:r>
              <w:rPr>
                <w:rFonts w:hint="eastAsia" w:cs="宋体"/>
                <w:b/>
                <w:color w:val="auto"/>
                <w:sz w:val="24"/>
                <w:szCs w:val="21"/>
                <w:u w:val="none" w:color="auto"/>
                <w:lang w:val="en-US" w:eastAsia="zh-CN"/>
              </w:rPr>
              <w:t>3、</w:t>
            </w:r>
            <w:r>
              <w:rPr>
                <w:rFonts w:hint="eastAsia" w:cs="宋体"/>
                <w:b/>
                <w:color w:val="auto"/>
                <w:sz w:val="24"/>
                <w:szCs w:val="21"/>
                <w:u w:val="none" w:color="auto"/>
              </w:rPr>
              <w:t>公用工程</w:t>
            </w:r>
          </w:p>
          <w:p w14:paraId="4F5D4885">
            <w:pPr>
              <w:adjustRightInd w:val="0"/>
              <w:snapToGrid w:val="0"/>
              <w:spacing w:line="360" w:lineRule="auto"/>
              <w:ind w:firstLine="480" w:firstLineChars="200"/>
              <w:jc w:val="left"/>
              <w:rPr>
                <w:rFonts w:cs="宋体"/>
                <w:bCs/>
                <w:color w:val="auto"/>
                <w:sz w:val="24"/>
                <w:szCs w:val="21"/>
                <w:u w:val="none" w:color="auto"/>
              </w:rPr>
            </w:pPr>
            <w:r>
              <w:rPr>
                <w:rFonts w:hint="eastAsia" w:cs="宋体"/>
                <w:bCs/>
                <w:color w:val="auto"/>
                <w:sz w:val="24"/>
                <w:szCs w:val="21"/>
                <w:u w:val="none" w:color="auto"/>
              </w:rPr>
              <w:t>（1）给水</w:t>
            </w:r>
          </w:p>
          <w:p w14:paraId="453A49B5">
            <w:pPr>
              <w:adjustRightInd w:val="0"/>
              <w:snapToGrid w:val="0"/>
              <w:spacing w:line="360" w:lineRule="auto"/>
              <w:ind w:firstLine="480" w:firstLineChars="200"/>
              <w:jc w:val="left"/>
              <w:rPr>
                <w:rFonts w:hint="default" w:ascii="Times New Roman" w:hAnsi="Times New Roman" w:eastAsia="宋体" w:cs="宋体"/>
                <w:bCs/>
                <w:color w:val="auto"/>
                <w:sz w:val="24"/>
                <w:szCs w:val="21"/>
                <w:u w:val="none" w:color="auto"/>
                <w:lang w:val="en-US" w:eastAsia="zh-CN"/>
              </w:rPr>
            </w:pPr>
            <w:r>
              <w:rPr>
                <w:rFonts w:hint="eastAsia" w:cs="宋体"/>
                <w:bCs/>
                <w:color w:val="auto"/>
                <w:sz w:val="24"/>
                <w:szCs w:val="21"/>
                <w:u w:val="none" w:color="auto"/>
                <w:lang w:val="en-US" w:eastAsia="zh-CN"/>
              </w:rPr>
              <w:t>施工期和营运期给水均来自于市政自来水。</w:t>
            </w:r>
          </w:p>
          <w:p w14:paraId="35D6F647">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rPr>
            </w:pPr>
            <w:r>
              <w:rPr>
                <w:rFonts w:hint="eastAsia" w:ascii="Times New Roman" w:hAnsi="Times New Roman" w:eastAsia="宋体" w:cs="宋体"/>
                <w:bCs/>
                <w:color w:val="auto"/>
                <w:sz w:val="24"/>
                <w:szCs w:val="21"/>
                <w:u w:val="none" w:color="auto"/>
              </w:rPr>
              <w:t>2）排水</w:t>
            </w:r>
          </w:p>
          <w:p w14:paraId="75323412">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施工期：施工场地四周设置排水沟并设置沉淀池处理后回用洒水抑尘。</w:t>
            </w:r>
          </w:p>
          <w:p w14:paraId="74B06DBE">
            <w:pPr>
              <w:adjustRightInd w:val="0"/>
              <w:snapToGrid w:val="0"/>
              <w:spacing w:line="360" w:lineRule="auto"/>
              <w:ind w:firstLine="480" w:firstLineChars="200"/>
              <w:jc w:val="left"/>
              <w:rPr>
                <w:rFonts w:hint="default"/>
                <w:color w:val="auto"/>
                <w:sz w:val="24"/>
                <w:highlight w:val="none"/>
                <w:u w:val="none" w:color="auto"/>
                <w:lang w:val="en-US" w:eastAsia="zh-CN"/>
              </w:rPr>
            </w:pPr>
            <w:r>
              <w:rPr>
                <w:rFonts w:hint="eastAsia" w:cs="宋体"/>
                <w:bCs/>
                <w:color w:val="auto"/>
                <w:sz w:val="24"/>
                <w:szCs w:val="21"/>
                <w:u w:val="none" w:color="auto"/>
                <w:lang w:val="en-US" w:eastAsia="zh-CN"/>
              </w:rPr>
              <w:t>营运期：无废水排放。</w:t>
            </w:r>
          </w:p>
          <w:p w14:paraId="3D8B60FE">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3）供电</w:t>
            </w:r>
          </w:p>
          <w:p w14:paraId="435CD445">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照明电源配电电压等级0.4KV，电源就近引自已建建成市政变压器。</w:t>
            </w:r>
          </w:p>
          <w:p w14:paraId="53757260">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4）劳动力：施工所需劳力主要为有丰富施工经验的承建单位职工，同时可利用当地劳力从事非主要技术工种的工作。 </w:t>
            </w:r>
          </w:p>
          <w:p w14:paraId="6D6C4518">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5）通讯：施工数据通讯可向当地电信部门申请架设通讯线路，工地内部采用移动电话或对讲机。 </w:t>
            </w:r>
          </w:p>
          <w:p w14:paraId="1EDED969">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6）材料供应：本工程所需砂石料主要在产地购买，由自卸汽车运至施工场地；钢材、管材等材料均可直接在当地建材市场购买，混凝土供应采用商品混凝土。</w:t>
            </w:r>
          </w:p>
          <w:p w14:paraId="6F5F3FF5">
            <w:pPr>
              <w:numPr>
                <w:ilvl w:val="0"/>
                <w:numId w:val="0"/>
              </w:numPr>
              <w:adjustRightInd w:val="0"/>
              <w:snapToGrid w:val="0"/>
              <w:spacing w:line="360" w:lineRule="auto"/>
              <w:jc w:val="left"/>
              <w:rPr>
                <w:rFonts w:hint="eastAsia" w:ascii="Times New Roman" w:hAnsi="Times New Roman" w:eastAsia="宋体" w:cs="宋体"/>
                <w:b/>
                <w:color w:val="auto"/>
                <w:sz w:val="24"/>
                <w:szCs w:val="21"/>
                <w:u w:val="none" w:color="auto"/>
                <w:lang w:val="en-US" w:eastAsia="zh-CN"/>
              </w:rPr>
            </w:pPr>
            <w:r>
              <w:rPr>
                <w:rFonts w:hint="eastAsia" w:cs="宋体"/>
                <w:b/>
                <w:color w:val="auto"/>
                <w:sz w:val="24"/>
                <w:szCs w:val="21"/>
                <w:u w:val="none" w:color="auto"/>
                <w:lang w:val="en-US" w:eastAsia="zh-CN"/>
              </w:rPr>
              <w:t>4</w:t>
            </w:r>
            <w:r>
              <w:rPr>
                <w:rFonts w:hint="eastAsia" w:ascii="Times New Roman" w:hAnsi="Times New Roman" w:eastAsia="宋体" w:cs="宋体"/>
                <w:b/>
                <w:color w:val="auto"/>
                <w:sz w:val="24"/>
                <w:szCs w:val="21"/>
                <w:u w:val="none" w:color="auto"/>
                <w:lang w:val="en-US" w:eastAsia="zh-CN"/>
              </w:rPr>
              <w:t>、用地征收补偿（安置）方案</w:t>
            </w:r>
          </w:p>
          <w:p w14:paraId="5E5017DC">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本项目</w:t>
            </w:r>
            <w:r>
              <w:rPr>
                <w:rFonts w:hint="eastAsia" w:cs="宋体"/>
                <w:bCs/>
                <w:color w:val="auto"/>
                <w:sz w:val="24"/>
                <w:szCs w:val="21"/>
                <w:u w:val="none" w:color="auto"/>
                <w:lang w:val="en-US" w:eastAsia="zh-CN"/>
              </w:rPr>
              <w:t>不涉及用地征收</w:t>
            </w:r>
            <w:r>
              <w:rPr>
                <w:rFonts w:hint="eastAsia" w:ascii="Times New Roman" w:hAnsi="Times New Roman" w:eastAsia="宋体" w:cs="宋体"/>
                <w:bCs/>
                <w:color w:val="auto"/>
                <w:sz w:val="24"/>
                <w:szCs w:val="21"/>
                <w:u w:val="none" w:color="auto"/>
                <w:lang w:val="en-US" w:eastAsia="zh-CN"/>
              </w:rPr>
              <w:t>。</w:t>
            </w:r>
          </w:p>
          <w:p w14:paraId="650045FC">
            <w:pPr>
              <w:numPr>
                <w:ilvl w:val="0"/>
                <w:numId w:val="0"/>
              </w:numPr>
              <w:adjustRightInd w:val="0"/>
              <w:snapToGrid w:val="0"/>
              <w:spacing w:line="360" w:lineRule="auto"/>
              <w:jc w:val="left"/>
              <w:rPr>
                <w:rFonts w:hint="eastAsia" w:ascii="Times New Roman" w:hAnsi="Times New Roman" w:eastAsia="宋体" w:cs="宋体"/>
                <w:b/>
                <w:color w:val="auto"/>
                <w:sz w:val="24"/>
                <w:szCs w:val="21"/>
                <w:u w:val="none" w:color="auto"/>
                <w:lang w:val="en-US" w:eastAsia="zh-CN"/>
              </w:rPr>
            </w:pPr>
            <w:r>
              <w:rPr>
                <w:rFonts w:hint="eastAsia" w:ascii="Times New Roman" w:hAnsi="Times New Roman" w:eastAsia="宋体" w:cs="宋体"/>
                <w:b/>
                <w:color w:val="auto"/>
                <w:sz w:val="24"/>
                <w:szCs w:val="21"/>
                <w:u w:val="none" w:color="auto"/>
                <w:lang w:val="en-US" w:eastAsia="zh-CN"/>
              </w:rPr>
              <w:t>5、土方平衡</w:t>
            </w:r>
          </w:p>
          <w:p w14:paraId="6A143788">
            <w:pPr>
              <w:adjustRightInd w:val="0"/>
              <w:snapToGrid w:val="0"/>
              <w:spacing w:line="360" w:lineRule="auto"/>
              <w:ind w:firstLine="480" w:firstLineChars="200"/>
              <w:jc w:val="left"/>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项目施工过程</w:t>
            </w:r>
            <w:r>
              <w:rPr>
                <w:rFonts w:hint="eastAsia" w:ascii="Times New Roman" w:hAnsi="Times New Roman" w:eastAsia="宋体" w:cs="宋体"/>
                <w:bCs/>
                <w:color w:val="auto"/>
                <w:sz w:val="24"/>
                <w:szCs w:val="21"/>
                <w:u w:val="none" w:color="auto"/>
                <w:lang w:val="en-US" w:eastAsia="zh-CN"/>
              </w:rPr>
              <w:t>开挖土方共计16000</w:t>
            </w:r>
            <w:r>
              <w:rPr>
                <w:rFonts w:hint="default" w:ascii="Times New Roman" w:hAnsi="Times New Roman" w:eastAsia="宋体" w:cs="宋体"/>
                <w:bCs/>
                <w:color w:val="auto"/>
                <w:sz w:val="24"/>
                <w:szCs w:val="21"/>
                <w:u w:val="none" w:color="auto"/>
                <w:lang w:val="en-US" w:eastAsia="zh-CN"/>
              </w:rPr>
              <w:t>m</w:t>
            </w:r>
            <w:r>
              <w:rPr>
                <w:rFonts w:hint="default" w:ascii="Times New Roman" w:hAnsi="Times New Roman" w:eastAsia="宋体" w:cs="宋体"/>
                <w:bCs/>
                <w:color w:val="auto"/>
                <w:sz w:val="24"/>
                <w:szCs w:val="21"/>
                <w:u w:val="none" w:color="auto"/>
                <w:vertAlign w:val="superscript"/>
                <w:lang w:val="en-US" w:eastAsia="zh-CN"/>
              </w:rPr>
              <w:t>3</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土石方填筑共计</w:t>
            </w:r>
            <w:r>
              <w:rPr>
                <w:rFonts w:hint="eastAsia" w:ascii="Times New Roman" w:hAnsi="Times New Roman" w:eastAsia="宋体" w:cs="宋体"/>
                <w:bCs/>
                <w:color w:val="auto"/>
                <w:sz w:val="24"/>
                <w:szCs w:val="21"/>
                <w:u w:val="none" w:color="auto"/>
                <w:lang w:val="en-US" w:eastAsia="zh-CN"/>
              </w:rPr>
              <w:t>16000</w:t>
            </w:r>
            <w:r>
              <w:rPr>
                <w:rFonts w:hint="default" w:ascii="Times New Roman" w:hAnsi="Times New Roman" w:eastAsia="宋体" w:cs="宋体"/>
                <w:bCs/>
                <w:color w:val="auto"/>
                <w:sz w:val="24"/>
                <w:szCs w:val="21"/>
                <w:u w:val="none" w:color="auto"/>
                <w:lang w:val="en-US" w:eastAsia="zh-CN"/>
              </w:rPr>
              <w:t>m</w:t>
            </w:r>
            <w:r>
              <w:rPr>
                <w:rFonts w:hint="default" w:ascii="Times New Roman" w:hAnsi="Times New Roman" w:eastAsia="宋体" w:cs="宋体"/>
                <w:bCs/>
                <w:color w:val="auto"/>
                <w:sz w:val="24"/>
                <w:szCs w:val="21"/>
                <w:u w:val="none" w:color="auto"/>
                <w:vertAlign w:val="superscript"/>
                <w:lang w:val="en-US" w:eastAsia="zh-CN"/>
              </w:rPr>
              <w:t>3</w:t>
            </w:r>
            <w:r>
              <w:rPr>
                <w:rFonts w:hint="eastAsia" w:ascii="Times New Roman" w:hAnsi="Times New Roman" w:eastAsia="宋体" w:cs="宋体"/>
                <w:bCs/>
                <w:color w:val="auto"/>
                <w:sz w:val="24"/>
                <w:szCs w:val="21"/>
                <w:u w:val="none" w:color="auto"/>
                <w:lang w:val="en-US" w:eastAsia="zh-CN"/>
              </w:rPr>
              <w:t>。弃土全部回填，项目无弃土产生。</w:t>
            </w:r>
          </w:p>
          <w:p w14:paraId="6158DAF6">
            <w:pPr>
              <w:numPr>
                <w:ilvl w:val="0"/>
                <w:numId w:val="0"/>
              </w:numPr>
              <w:adjustRightInd w:val="0"/>
              <w:snapToGrid w:val="0"/>
              <w:spacing w:line="360" w:lineRule="auto"/>
              <w:jc w:val="left"/>
              <w:rPr>
                <w:rFonts w:hint="eastAsia" w:ascii="Times New Roman" w:hAnsi="Times New Roman" w:eastAsia="宋体" w:cs="宋体"/>
                <w:b/>
                <w:color w:val="auto"/>
                <w:sz w:val="24"/>
                <w:szCs w:val="21"/>
                <w:u w:val="none" w:color="auto"/>
                <w:lang w:val="en-US" w:eastAsia="zh-CN"/>
              </w:rPr>
            </w:pPr>
            <w:r>
              <w:rPr>
                <w:rFonts w:hint="eastAsia" w:ascii="Times New Roman" w:hAnsi="Times New Roman" w:eastAsia="宋体" w:cs="宋体"/>
                <w:b/>
                <w:color w:val="auto"/>
                <w:sz w:val="24"/>
                <w:szCs w:val="21"/>
                <w:u w:val="none" w:color="auto"/>
                <w:lang w:val="en-US" w:eastAsia="zh-CN"/>
              </w:rPr>
              <w:t xml:space="preserve">6、施工总进度安排 </w:t>
            </w:r>
          </w:p>
          <w:p w14:paraId="297232DC">
            <w:pPr>
              <w:adjustRightInd w:val="0"/>
              <w:snapToGrid w:val="0"/>
              <w:spacing w:line="360" w:lineRule="auto"/>
              <w:ind w:firstLine="480" w:firstLineChars="200"/>
              <w:jc w:val="left"/>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根据本工程规模及其他因素等，拟定本工程管网工程工期</w:t>
            </w:r>
            <w:r>
              <w:rPr>
                <w:rFonts w:hint="eastAsia" w:ascii="Times New Roman" w:hAnsi="Times New Roman" w:eastAsia="宋体" w:cs="宋体"/>
                <w:bCs/>
                <w:color w:val="auto"/>
                <w:sz w:val="24"/>
                <w:szCs w:val="21"/>
                <w:u w:val="none" w:color="auto"/>
                <w:lang w:val="en-US" w:eastAsia="zh-CN"/>
              </w:rPr>
              <w:t>5</w:t>
            </w:r>
            <w:r>
              <w:rPr>
                <w:rFonts w:hint="default" w:ascii="Times New Roman" w:hAnsi="Times New Roman" w:eastAsia="宋体" w:cs="宋体"/>
                <w:bCs/>
                <w:color w:val="auto"/>
                <w:sz w:val="24"/>
                <w:szCs w:val="21"/>
                <w:u w:val="none" w:color="auto"/>
                <w:lang w:val="en-US" w:eastAsia="zh-CN"/>
              </w:rPr>
              <w:t>个月，具体安排如下：准备工期0.5月，主要从事水、电、通讯的进场以及施工临时设施等工作。半个月后进行管网主体工程施工。管网主体工程依次进行土方开挖、管道铺设及检查井施工、顶管施工、土方回填、收尾验收工作等，工期</w:t>
            </w:r>
            <w:r>
              <w:rPr>
                <w:rFonts w:hint="eastAsia" w:ascii="Times New Roman" w:hAnsi="Times New Roman" w:eastAsia="宋体" w:cs="宋体"/>
                <w:bCs/>
                <w:color w:val="auto"/>
                <w:sz w:val="24"/>
                <w:szCs w:val="21"/>
                <w:u w:val="none" w:color="auto"/>
                <w:lang w:val="en-US" w:eastAsia="zh-CN"/>
              </w:rPr>
              <w:t>4.5</w:t>
            </w:r>
            <w:r>
              <w:rPr>
                <w:rFonts w:hint="default" w:ascii="Times New Roman" w:hAnsi="Times New Roman" w:eastAsia="宋体" w:cs="宋体"/>
                <w:bCs/>
                <w:color w:val="auto"/>
                <w:sz w:val="24"/>
                <w:szCs w:val="21"/>
                <w:u w:val="none" w:color="auto"/>
                <w:lang w:val="en-US" w:eastAsia="zh-CN"/>
              </w:rPr>
              <w:t>个月。</w:t>
            </w:r>
          </w:p>
        </w:tc>
      </w:tr>
      <w:tr w14:paraId="0E355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14:paraId="53AC8C3B">
            <w:pPr>
              <w:pStyle w:val="21"/>
              <w:adjustRightInd w:val="0"/>
              <w:snapToGrid w:val="0"/>
              <w:spacing w:before="0" w:beforeAutospacing="0" w:after="0" w:afterAutospacing="0"/>
              <w:jc w:val="center"/>
              <w:rPr>
                <w:rFonts w:hint="eastAsia" w:ascii="Times New Roman" w:hAnsi="Times New Roman" w:cs="宋体"/>
                <w:color w:val="auto"/>
                <w:szCs w:val="21"/>
                <w:u w:val="none" w:color="auto"/>
                <w:lang w:val="en-US" w:eastAsia="zh-CN"/>
              </w:rPr>
            </w:pPr>
            <w:r>
              <w:rPr>
                <w:rFonts w:hint="default" w:ascii="Times New Roman" w:hAnsi="Times New Roman" w:cs="Times New Roman"/>
                <w:color w:val="auto"/>
                <w:u w:val="none" w:color="auto"/>
              </w:rPr>
              <w:t>总平面及现场布置</w:t>
            </w:r>
          </w:p>
        </w:tc>
        <w:tc>
          <w:tcPr>
            <w:tcW w:w="8161" w:type="dxa"/>
          </w:tcPr>
          <w:p w14:paraId="7D9462F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eastAsia="宋体"/>
                <w:b/>
                <w:bCs/>
                <w:color w:val="auto"/>
                <w:sz w:val="24"/>
                <w:highlight w:val="none"/>
                <w:u w:val="none" w:color="auto"/>
                <w:lang w:val="en-US" w:eastAsia="zh-CN"/>
              </w:rPr>
            </w:pPr>
            <w:r>
              <w:rPr>
                <w:rFonts w:hint="eastAsia"/>
                <w:b/>
                <w:bCs/>
                <w:color w:val="auto"/>
                <w:sz w:val="24"/>
                <w:highlight w:val="none"/>
                <w:u w:val="none" w:color="auto"/>
                <w:lang w:val="en-US" w:eastAsia="zh-CN"/>
              </w:rPr>
              <w:t>一、技术方案</w:t>
            </w:r>
          </w:p>
          <w:p w14:paraId="1D0419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eastAsia="宋体"/>
                <w:color w:val="auto"/>
                <w:sz w:val="24"/>
                <w:u w:val="none" w:color="auto"/>
                <w:lang w:val="en-US" w:eastAsia="zh-CN"/>
              </w:rPr>
            </w:pPr>
            <w:r>
              <w:rPr>
                <w:rFonts w:hint="eastAsia"/>
                <w:color w:val="auto"/>
                <w:sz w:val="24"/>
                <w:highlight w:val="none"/>
                <w:u w:val="none" w:color="auto"/>
                <w:lang w:val="en-US" w:eastAsia="zh-CN"/>
              </w:rPr>
              <w:t xml:space="preserve">    </w:t>
            </w:r>
            <w:r>
              <w:rPr>
                <w:rFonts w:hint="default" w:eastAsia="宋体"/>
                <w:color w:val="auto"/>
                <w:sz w:val="24"/>
                <w:highlight w:val="none"/>
                <w:u w:val="none" w:color="auto"/>
                <w:lang w:val="en-US" w:eastAsia="zh-CN"/>
              </w:rPr>
              <w:t>项目将采用</w:t>
            </w:r>
            <w:r>
              <w:rPr>
                <w:rFonts w:hint="default" w:eastAsia="宋体"/>
                <w:color w:val="auto"/>
                <w:sz w:val="24"/>
                <w:u w:val="none" w:color="auto"/>
                <w:lang w:val="en-US" w:eastAsia="zh-CN"/>
              </w:rPr>
              <w:t>国内先进的施工和安装工程技术，充分</w:t>
            </w:r>
            <w:r>
              <w:rPr>
                <w:rFonts w:hint="eastAsia" w:eastAsia="宋体"/>
                <w:color w:val="auto"/>
                <w:sz w:val="24"/>
                <w:u w:val="none" w:color="auto"/>
                <w:lang w:val="en-US" w:eastAsia="zh-CN"/>
              </w:rPr>
              <w:t>结合华容县团洲垸灾后重建安置房配套基础设施建设项目的周边配套设施问题，对华容县团洲垸灾后重建安置房配套基础设施建设项目进行路基路面工程、强弱电工程、排水工程、交通工程、燃气工程、绿化工程及亮化工程等。</w:t>
            </w:r>
          </w:p>
          <w:p w14:paraId="4B407D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1、污水管道系统建设技术方案 </w:t>
            </w:r>
          </w:p>
          <w:p w14:paraId="73FFE6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管道铺设：采用DN600双壁波纹管，根据，施工前应进行管外壁凿毛处理，以增强管道与基础的粘结力。管道安装应保证在同一流水面上，管内底高程一致。 </w:t>
            </w:r>
          </w:p>
          <w:p w14:paraId="18E980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检查井与化粪池：新建35座检查井和11座化粪池，检查井砌筑应按照三顺一丁的方法进行，砂浆灰缝控制在10~12mm，砂浆水平灰缝饱满度控制在85%以上，严禁出现错缝现象。 </w:t>
            </w:r>
          </w:p>
          <w:p w14:paraId="36A457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PVC落水管更换：更换364m PVC落水管，确保与原有污水主管网的 </w:t>
            </w:r>
          </w:p>
          <w:p w14:paraId="25C3E1B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接入无泄漏。 </w:t>
            </w:r>
          </w:p>
          <w:p w14:paraId="5FDDB8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2、雨水管道系统建设技术方案 </w:t>
            </w:r>
          </w:p>
          <w:p w14:paraId="0F03EE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管道铺设：团洲花园内铺设DN600双壁波纹管雨水管道652.67m，及 </w:t>
            </w:r>
          </w:p>
          <w:p w14:paraId="7E31DE9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DN200一级钢筋混凝土雨水支管394.856m。根据，DN600的HDPE双壁波纹管外径为608mm，内径为600mm，壁厚在8.4mm左右。</w:t>
            </w:r>
          </w:p>
          <w:p w14:paraId="79054E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检查井与雨水口：新建22座检查井和43座雨水口，雨水口应设置在低洼易积水区域，以提高雨水收集效率。 </w:t>
            </w:r>
          </w:p>
          <w:p w14:paraId="2031BF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落水管更换：更换196m落水管，确保与月牙湖大道雨水主管网的接入。 </w:t>
            </w:r>
          </w:p>
          <w:p w14:paraId="0EF998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3、道路修复与黑化技术方案 </w:t>
            </w:r>
          </w:p>
          <w:p w14:paraId="1BBD18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路面修补：月牙湖大道原混凝土路面修补及黑化7331.57</w:t>
            </w:r>
            <w:r>
              <w:rPr>
                <w:rFonts w:hint="eastAsia"/>
                <w:color w:val="auto"/>
                <w:sz w:val="24"/>
                <w:u w:val="none" w:color="auto"/>
                <w:lang w:val="en-US" w:eastAsia="zh-CN"/>
              </w:rPr>
              <w:t>m</w:t>
            </w:r>
            <w:r>
              <w:rPr>
                <w:rFonts w:hint="eastAsia"/>
                <w:color w:val="auto"/>
                <w:sz w:val="24"/>
                <w:u w:val="none" w:color="auto"/>
                <w:vertAlign w:val="superscript"/>
                <w:lang w:val="en-US" w:eastAsia="zh-CN"/>
              </w:rPr>
              <w:t>2</w:t>
            </w:r>
            <w:r>
              <w:rPr>
                <w:rFonts w:hint="eastAsia" w:eastAsia="宋体"/>
                <w:color w:val="auto"/>
                <w:sz w:val="24"/>
                <w:u w:val="none" w:color="auto"/>
                <w:lang w:val="en-US" w:eastAsia="zh-CN"/>
              </w:rPr>
              <w:t xml:space="preserve">，应先进行路面破损部分的修复，再进行沥青铺设。 </w:t>
            </w:r>
          </w:p>
          <w:p w14:paraId="042B16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道路黑化：道路黑化是指在原有混凝土路面上加铺沥青层，提高路面的抗滑性和美观性。 </w:t>
            </w:r>
          </w:p>
          <w:p w14:paraId="093B66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4、人行道拆除重建技术方案 </w:t>
            </w:r>
          </w:p>
          <w:p w14:paraId="5C43B3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人行道拆除：拆除月牙湖大道北侧宽5m，南侧宽2.5m的破损人行道， </w:t>
            </w:r>
          </w:p>
          <w:p w14:paraId="5F431DA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合计2407.61</w:t>
            </w:r>
            <w:r>
              <w:rPr>
                <w:rFonts w:hint="eastAsia"/>
                <w:color w:val="auto"/>
                <w:sz w:val="24"/>
                <w:u w:val="none" w:color="auto"/>
                <w:lang w:val="en-US" w:eastAsia="zh-CN"/>
              </w:rPr>
              <w:t>m</w:t>
            </w:r>
            <w:r>
              <w:rPr>
                <w:rFonts w:hint="eastAsia"/>
                <w:color w:val="auto"/>
                <w:sz w:val="24"/>
                <w:u w:val="none" w:color="auto"/>
                <w:vertAlign w:val="superscript"/>
                <w:lang w:val="en-US" w:eastAsia="zh-CN"/>
              </w:rPr>
              <w:t>2</w:t>
            </w:r>
            <w:r>
              <w:rPr>
                <w:rFonts w:hint="eastAsia" w:eastAsia="宋体"/>
                <w:color w:val="auto"/>
                <w:sz w:val="24"/>
                <w:u w:val="none" w:color="auto"/>
                <w:lang w:val="en-US" w:eastAsia="zh-CN"/>
              </w:rPr>
              <w:t xml:space="preserve">。 </w:t>
            </w:r>
          </w:p>
          <w:p w14:paraId="0E27E8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树池重建：树池拆除重建149座，应采用透水性良好的材料，以利于树木生长。</w:t>
            </w:r>
          </w:p>
          <w:p w14:paraId="2E0D71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5、沥青混凝土道路建设技术方案 </w:t>
            </w:r>
          </w:p>
          <w:p w14:paraId="43DCF8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道路拆除重建：团洲花园内道路拆除重建沥青混凝土道路合5395.48</w:t>
            </w:r>
            <w:r>
              <w:rPr>
                <w:rFonts w:hint="eastAsia"/>
                <w:color w:val="auto"/>
                <w:sz w:val="24"/>
                <w:u w:val="none" w:color="auto"/>
                <w:lang w:val="en-US" w:eastAsia="zh-CN"/>
              </w:rPr>
              <w:t>m</w:t>
            </w:r>
            <w:r>
              <w:rPr>
                <w:rFonts w:hint="eastAsia"/>
                <w:color w:val="auto"/>
                <w:sz w:val="24"/>
                <w:u w:val="none" w:color="auto"/>
                <w:vertAlign w:val="superscript"/>
                <w:lang w:val="en-US" w:eastAsia="zh-CN"/>
              </w:rPr>
              <w:t>2</w:t>
            </w:r>
            <w:r>
              <w:rPr>
                <w:rFonts w:hint="eastAsia" w:eastAsia="宋体"/>
                <w:color w:val="auto"/>
                <w:sz w:val="24"/>
                <w:u w:val="none" w:color="auto"/>
                <w:lang w:val="en-US" w:eastAsia="zh-CN"/>
              </w:rPr>
              <w:t xml:space="preserve">，应采用高质量的沥青混凝土，确保路面的耐久性和舒适性。 </w:t>
            </w:r>
          </w:p>
          <w:p w14:paraId="57FBEB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6、景观及铺装拆除重建技术方案 </w:t>
            </w:r>
          </w:p>
          <w:p w14:paraId="032A50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景观重建：团洲花园内景观及铺装拆除重建，应考虑绿化、水体、小品等元素的合理布局，提升居住环境的美观度和舒适度。</w:t>
            </w:r>
          </w:p>
          <w:p w14:paraId="5009CF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7、市政道路及配套设施建设技术方案 </w:t>
            </w:r>
          </w:p>
          <w:p w14:paraId="0511CD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道路建设：建设2774.615</w:t>
            </w:r>
            <w:r>
              <w:rPr>
                <w:rFonts w:hint="eastAsia"/>
                <w:color w:val="auto"/>
                <w:sz w:val="24"/>
                <w:u w:val="none" w:color="auto"/>
                <w:lang w:val="en-US" w:eastAsia="zh-CN"/>
              </w:rPr>
              <w:t>m</w:t>
            </w:r>
            <w:r>
              <w:rPr>
                <w:rFonts w:hint="eastAsia" w:eastAsia="宋体"/>
                <w:color w:val="auto"/>
                <w:sz w:val="24"/>
                <w:u w:val="none" w:color="auto"/>
                <w:lang w:val="en-US" w:eastAsia="zh-CN"/>
              </w:rPr>
              <w:t xml:space="preserve">市政道路，应按照城市道路设计规范进行设计和施工。 </w:t>
            </w:r>
          </w:p>
          <w:p w14:paraId="4432CB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绿化建设：人行道两侧行道树925颗，树池草皮2081.3</w:t>
            </w:r>
            <w:r>
              <w:rPr>
                <w:rFonts w:hint="eastAsia"/>
                <w:color w:val="auto"/>
                <w:sz w:val="24"/>
                <w:u w:val="none" w:color="auto"/>
                <w:lang w:val="en-US" w:eastAsia="zh-CN"/>
              </w:rPr>
              <w:t>m</w:t>
            </w:r>
            <w:r>
              <w:rPr>
                <w:rFonts w:hint="eastAsia"/>
                <w:color w:val="auto"/>
                <w:sz w:val="24"/>
                <w:u w:val="none" w:color="auto"/>
                <w:vertAlign w:val="superscript"/>
                <w:lang w:val="en-US" w:eastAsia="zh-CN"/>
              </w:rPr>
              <w:t>2</w:t>
            </w:r>
            <w:r>
              <w:rPr>
                <w:rFonts w:hint="eastAsia" w:eastAsia="宋体"/>
                <w:color w:val="auto"/>
                <w:sz w:val="24"/>
                <w:u w:val="none" w:color="auto"/>
                <w:lang w:val="en-US" w:eastAsia="zh-CN"/>
              </w:rPr>
              <w:t xml:space="preserve">，应选择适宜当地气候的植物种类。 </w:t>
            </w:r>
          </w:p>
          <w:p w14:paraId="3D2B65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排水系统：建设DN800水管5110.6m、DN300雨水管1171m，DN80</w:t>
            </w:r>
            <w:r>
              <w:rPr>
                <w:rFonts w:hint="eastAsia"/>
                <w:color w:val="auto"/>
                <w:sz w:val="24"/>
                <w:u w:val="none" w:color="auto"/>
                <w:lang w:val="en-US" w:eastAsia="zh-CN"/>
              </w:rPr>
              <w:t>0</w:t>
            </w:r>
            <w:r>
              <w:rPr>
                <w:rFonts w:hint="eastAsia" w:eastAsia="宋体"/>
                <w:color w:val="auto"/>
                <w:sz w:val="24"/>
                <w:u w:val="none" w:color="auto"/>
                <w:lang w:val="en-US" w:eastAsia="zh-CN"/>
              </w:rPr>
              <w:t xml:space="preserve">污水管5110.6m，含钢筋混凝土雨水井和雨水口。 </w:t>
            </w:r>
          </w:p>
          <w:p w14:paraId="42AF5A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给水系统：铺设2400m给水管，采用球墨铸铁管。 </w:t>
            </w:r>
          </w:p>
          <w:p w14:paraId="0D7DCB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燃气系统：建设2200m燃气管。 </w:t>
            </w:r>
          </w:p>
          <w:p w14:paraId="064172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照明系统：设置照明设施，确保道路夜间照明充足。 </w:t>
            </w:r>
          </w:p>
          <w:p w14:paraId="5040B3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供配电：建设供配电系统，确保电力供应稳定。 </w:t>
            </w:r>
          </w:p>
          <w:p w14:paraId="18F3F8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 xml:space="preserve">监控及标识标牌：安装监控系统和标识标牌，提高道路安全性和管理效率。 </w:t>
            </w:r>
          </w:p>
          <w:p w14:paraId="7B77F2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u w:val="none" w:color="auto"/>
                <w:lang w:val="en-US" w:eastAsia="zh-CN"/>
              </w:rPr>
            </w:pPr>
            <w:r>
              <w:rPr>
                <w:rFonts w:hint="eastAsia" w:eastAsia="宋体"/>
                <w:color w:val="auto"/>
                <w:sz w:val="24"/>
                <w:u w:val="none" w:color="auto"/>
                <w:lang w:val="en-US" w:eastAsia="zh-CN"/>
              </w:rPr>
              <w:t>技术方案将遵循可行性、安全性、可靠性、实用性、环保性、经济性等原则，确保项目的技术性能达到国家标准和行业要求。</w:t>
            </w:r>
          </w:p>
          <w:p w14:paraId="4638852B">
            <w:pPr>
              <w:keepNext w:val="0"/>
              <w:keepLines w:val="0"/>
              <w:widowControl/>
              <w:suppressLineNumbers w:val="0"/>
              <w:jc w:val="left"/>
              <w:rPr>
                <w:color w:val="auto"/>
                <w:u w:val="none" w:color="auto"/>
              </w:rPr>
            </w:pPr>
            <w:r>
              <w:rPr>
                <w:rFonts w:hint="eastAsia" w:ascii="宋体" w:hAnsi="宋体" w:eastAsia="宋体" w:cs="宋体"/>
                <w:b/>
                <w:bCs/>
                <w:color w:val="auto"/>
                <w:kern w:val="0"/>
                <w:sz w:val="24"/>
                <w:szCs w:val="24"/>
                <w:u w:val="none" w:color="auto"/>
                <w:lang w:val="en-US" w:eastAsia="zh-CN" w:bidi="ar"/>
              </w:rPr>
              <w:t>二、施工布置情况</w:t>
            </w:r>
          </w:p>
          <w:p w14:paraId="70257C9D">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1、施工组织 </w:t>
            </w:r>
          </w:p>
          <w:p w14:paraId="21ADFD82">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成立专职的监理机构对工程质量进行监督、计量与支付，确保工程质量与工期。建议项目采用招标方式、分项组织施工，通过工程招标选择资质条件优良的施工队伍，保证工程质量，降低工程造价。各施工单位进行周密的施工进度计划，组织精良的施工队伍，配合先进的机械设备，采购充足的建筑材料，加强各分项工程施工的精密衔接与配合，采取切实有效的措施进行施工。 </w:t>
            </w:r>
          </w:p>
          <w:p w14:paraId="7CE66F3D">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当采用分项目招标施工时，对合同的划分应注意挖填方数量的相对平衡，避免产生跨越合同单元的土石方调运给施工带来的相互干扰。各分项工程应遵循从准备工作→认可施工报告→施工→验收合格→转入下道工序的原则。做好各分项工程和各工序施工间，特别是道路工程与环保工程之间的衔接、协调与配合，做到有条不紊。 </w:t>
            </w:r>
          </w:p>
          <w:p w14:paraId="2E43A037">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2、交通组织</w:t>
            </w:r>
          </w:p>
          <w:p w14:paraId="62C4BBE7">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施工期间交通组织是一项复杂的系统工程，要做好施工期间的交通组织和管理，须首先制定交通组织和管理的目标与策略，并根据不同工程自身的特点来配以相对应的交通组织和管理方法，使施工区周围的道路交通更为顺畅，达到项目施工与景观相协调的目的。 </w:t>
            </w:r>
          </w:p>
          <w:p w14:paraId="451E9EAB">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项目位于团洲村，交通方便，现有道路可以作为施工便道进行砖、砂、石料、钢材、木材、土石方等的运输。环评要求施工过程中合理安排施工进度，缩短施工时间，进而减少材料运输等车辆噪声、施工设备噪声等对周边居民的影响。本项目采用分期施工的方式进行施工。项目修建过程中，施工单位做好交通组织，利用周边的现有道路或修建临时道路保障片区的正常维护等。 </w:t>
            </w:r>
          </w:p>
          <w:p w14:paraId="150136A5">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项目建筑材料和弃土等的运输必须服从统一调度，按照有关部门的要求和指定路线、时间、方式运输，避开居民区等对声环境质量、大气环境质量要求较高的区域，运输过程中要密闭，不得出现超载、撒漏、不到指定地点清运等现象。 </w:t>
            </w:r>
          </w:p>
          <w:p w14:paraId="1B35359D">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为了进一步减少建筑废渣在运输过程中对环境的影响，建议采取以下措施： </w:t>
            </w:r>
          </w:p>
          <w:p w14:paraId="341C37EC">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①避开饮用水水源保护区； </w:t>
            </w:r>
          </w:p>
          <w:p w14:paraId="71344586">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②施工应有序进行，后序开挖的土方可以回填先期开挖的土方，尽量做到资源的合理有效利用。 </w:t>
            </w:r>
          </w:p>
          <w:p w14:paraId="3AA40B14">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③运输弃渣车辆应随车携带《建筑垃圾准运证》和《建筑垃圾处置许可证》，保持车身的完好，在运输过程中必须封盖严密，防治撒漏，运输路线尽量避开居民区、学校、医院等敏感区域。 </w:t>
            </w:r>
          </w:p>
          <w:p w14:paraId="0E57BE8B">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3、施工营地和施工场地布设 </w:t>
            </w:r>
          </w:p>
          <w:p w14:paraId="18C2008B">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本项目新增永久占地3600m</w:t>
            </w:r>
            <w:r>
              <w:rPr>
                <w:rFonts w:hint="eastAsia" w:cs="Times New Roman"/>
                <w:color w:val="auto"/>
                <w:sz w:val="24"/>
                <w:u w:val="none" w:color="auto"/>
                <w:vertAlign w:val="superscript"/>
                <w:lang w:val="en-US" w:eastAsia="zh-CN"/>
              </w:rPr>
              <w:t>2</w:t>
            </w:r>
            <w:r>
              <w:rPr>
                <w:rFonts w:hint="eastAsia" w:cs="Times New Roman"/>
                <w:color w:val="auto"/>
                <w:sz w:val="24"/>
                <w:u w:val="none" w:color="auto"/>
                <w:lang w:val="en-US" w:eastAsia="zh-CN"/>
              </w:rPr>
              <w:t xml:space="preserve">，不增加临时占地，不设施工营地，施工人员均租住附近民房。 </w:t>
            </w:r>
          </w:p>
          <w:p w14:paraId="1D335AC6">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4、临时堆土场 </w:t>
            </w:r>
          </w:p>
          <w:p w14:paraId="5D475CF5">
            <w:pPr>
              <w:spacing w:line="360" w:lineRule="auto"/>
              <w:ind w:firstLine="484" w:firstLineChars="202"/>
              <w:rPr>
                <w:rFonts w:hint="default"/>
                <w:color w:val="auto"/>
                <w:u w:val="none" w:color="auto"/>
                <w:lang w:val="en-US" w:eastAsia="zh-CN"/>
              </w:rPr>
            </w:pPr>
            <w:r>
              <w:rPr>
                <w:rFonts w:hint="eastAsia" w:cs="Times New Roman"/>
                <w:color w:val="auto"/>
                <w:sz w:val="24"/>
                <w:u w:val="none" w:color="auto"/>
                <w:lang w:val="en-US" w:eastAsia="zh-CN"/>
              </w:rPr>
              <w:t>项目土石方中拟直接堆放于挖方场地附近并及时周转至需填方处，因此无需设置临时堆土场。</w:t>
            </w:r>
          </w:p>
        </w:tc>
      </w:tr>
      <w:tr w14:paraId="4B7B9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23" w:type="dxa"/>
            <w:vAlign w:val="center"/>
          </w:tcPr>
          <w:p w14:paraId="535735B0">
            <w:pPr>
              <w:pStyle w:val="21"/>
              <w:adjustRightInd w:val="0"/>
              <w:snapToGrid w:val="0"/>
              <w:spacing w:before="0" w:beforeAutospacing="0" w:after="0" w:afterAutospacing="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lang w:val="en-US" w:eastAsia="zh-CN"/>
              </w:rPr>
              <w:t>施工方案</w:t>
            </w:r>
          </w:p>
        </w:tc>
        <w:tc>
          <w:tcPr>
            <w:tcW w:w="8161" w:type="dxa"/>
            <w:vAlign w:val="center"/>
          </w:tcPr>
          <w:p w14:paraId="1E2E6ACA">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本项目主要为道路工程改造及新建、雨污水管网建设、公共配套用房建设、景观及零星配套工程、小区外配套工程及配套设施等市政设施建设，属非生产性建设。污染影响时段主要为施工期和运营期，其工艺流程图如下： </w:t>
            </w:r>
          </w:p>
          <w:p w14:paraId="576FCB8C">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本项目建设施工期的主要产污环节是工程建设期，施工期主要污染物有：扬尘、施工机械及车辆废气、施工废水、施工噪声、建筑垃圾、弃土等污染物等污染物。</w:t>
            </w:r>
          </w:p>
          <w:p w14:paraId="125454AF">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1、道路改造工程</w:t>
            </w:r>
          </w:p>
          <w:p w14:paraId="168D17A9">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项目道路施工过程主要包括测量放样、基面清理、材料摊铺、表面压平。 </w:t>
            </w:r>
          </w:p>
          <w:p w14:paraId="710C7411">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施工过程中主要产污环节为基面清理、材料摊铺、表面压平，这些过程会产生废气、废水、噪声及固体废物。废气主要为扬尘及燃油机械和车辆废气；废水主要为施工废水；机械运行及车辆行驶产生噪声；主要固体废物包括建筑垃圾、弃土。</w:t>
            </w:r>
          </w:p>
          <w:p w14:paraId="3AEC4740">
            <w:pPr>
              <w:keepNext w:val="0"/>
              <w:keepLines w:val="0"/>
              <w:widowControl/>
              <w:suppressLineNumbers w:val="0"/>
              <w:jc w:val="left"/>
              <w:rPr>
                <w:color w:val="auto"/>
                <w:u w:val="none" w:color="auto"/>
              </w:rPr>
            </w:pPr>
            <w:r>
              <w:rPr>
                <w:color w:val="auto"/>
                <w:u w:val="none" w:color="auto"/>
              </w:rPr>
              <w:drawing>
                <wp:inline distT="0" distB="0" distL="114300" distR="114300">
                  <wp:extent cx="5041265" cy="1248410"/>
                  <wp:effectExtent l="0" t="0" r="6985" b="8890"/>
                  <wp:docPr id="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
                          <pic:cNvPicPr>
                            <a:picLocks noChangeAspect="1"/>
                          </pic:cNvPicPr>
                        </pic:nvPicPr>
                        <pic:blipFill>
                          <a:blip r:embed="rId26"/>
                          <a:stretch>
                            <a:fillRect/>
                          </a:stretch>
                        </pic:blipFill>
                        <pic:spPr>
                          <a:xfrm>
                            <a:off x="0" y="0"/>
                            <a:ext cx="5041265" cy="1248410"/>
                          </a:xfrm>
                          <a:prstGeom prst="rect">
                            <a:avLst/>
                          </a:prstGeom>
                          <a:noFill/>
                          <a:ln>
                            <a:noFill/>
                          </a:ln>
                        </pic:spPr>
                      </pic:pic>
                    </a:graphicData>
                  </a:graphic>
                </wp:inline>
              </w:drawing>
            </w:r>
          </w:p>
          <w:p w14:paraId="22BB9ADB">
            <w:pPr>
              <w:keepNext w:val="0"/>
              <w:keepLines w:val="0"/>
              <w:widowControl/>
              <w:suppressLineNumbers w:val="0"/>
              <w:jc w:val="center"/>
              <w:rPr>
                <w:color w:val="auto"/>
                <w:u w:val="none" w:color="auto"/>
              </w:rPr>
            </w:pPr>
            <w:r>
              <w:rPr>
                <w:rFonts w:hint="eastAsia" w:ascii="宋体" w:hAnsi="宋体" w:eastAsia="宋体" w:cs="宋体"/>
                <w:b/>
                <w:bCs/>
                <w:color w:val="auto"/>
                <w:kern w:val="0"/>
                <w:sz w:val="20"/>
                <w:szCs w:val="20"/>
                <w:u w:val="none" w:color="auto"/>
                <w:lang w:val="en-US" w:eastAsia="zh-CN" w:bidi="ar"/>
              </w:rPr>
              <w:t xml:space="preserve">图 </w:t>
            </w:r>
            <w:r>
              <w:rPr>
                <w:rFonts w:hint="default" w:ascii="Times New Roman" w:hAnsi="Times New Roman" w:eastAsia="宋体" w:cs="Times New Roman"/>
                <w:b/>
                <w:bCs/>
                <w:color w:val="auto"/>
                <w:kern w:val="0"/>
                <w:sz w:val="20"/>
                <w:szCs w:val="20"/>
                <w:u w:val="none" w:color="auto"/>
                <w:lang w:val="en-US" w:eastAsia="zh-CN" w:bidi="ar"/>
              </w:rPr>
              <w:t>2-</w:t>
            </w:r>
            <w:r>
              <w:rPr>
                <w:rFonts w:hint="eastAsia" w:cs="Times New Roman"/>
                <w:b/>
                <w:bCs/>
                <w:color w:val="auto"/>
                <w:kern w:val="0"/>
                <w:sz w:val="20"/>
                <w:szCs w:val="20"/>
                <w:u w:val="none" w:color="auto"/>
                <w:lang w:val="en-US" w:eastAsia="zh-CN" w:bidi="ar"/>
              </w:rPr>
              <w:t>3</w:t>
            </w:r>
            <w:r>
              <w:rPr>
                <w:rFonts w:hint="eastAsia" w:ascii="宋体" w:hAnsi="宋体" w:eastAsia="宋体" w:cs="宋体"/>
                <w:b/>
                <w:bCs/>
                <w:color w:val="auto"/>
                <w:kern w:val="0"/>
                <w:sz w:val="20"/>
                <w:szCs w:val="20"/>
                <w:u w:val="none" w:color="auto"/>
                <w:lang w:val="en-US" w:eastAsia="zh-CN" w:bidi="ar"/>
              </w:rPr>
              <w:t>施工道路改造工程工艺流程及产污环节图</w:t>
            </w:r>
          </w:p>
          <w:p w14:paraId="1A8FB58D">
            <w:pPr>
              <w:spacing w:line="360" w:lineRule="auto"/>
              <w:ind w:firstLine="484" w:firstLineChars="202"/>
              <w:rPr>
                <w:rFonts w:hint="eastAsia" w:cs="Times New Roman"/>
                <w:color w:val="auto"/>
                <w:sz w:val="24"/>
                <w:u w:val="none" w:color="auto"/>
                <w:lang w:val="en-US" w:eastAsia="zh-CN"/>
              </w:rPr>
            </w:pPr>
          </w:p>
          <w:p w14:paraId="31893586">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2、新建道路施工工艺流程</w:t>
            </w:r>
          </w:p>
          <w:p w14:paraId="79B4E199">
            <w:pPr>
              <w:spacing w:line="360" w:lineRule="auto"/>
              <w:jc w:val="center"/>
              <w:rPr>
                <w:color w:val="auto"/>
                <w:u w:val="none" w:color="auto"/>
              </w:rPr>
            </w:pPr>
            <w:r>
              <w:rPr>
                <w:color w:val="auto"/>
                <w:u w:val="none" w:color="auto"/>
              </w:rPr>
              <w:drawing>
                <wp:inline distT="0" distB="0" distL="114300" distR="114300">
                  <wp:extent cx="5040630" cy="2177415"/>
                  <wp:effectExtent l="0" t="0" r="7620" b="13335"/>
                  <wp:docPr id="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
                          <pic:cNvPicPr>
                            <a:picLocks noChangeAspect="1"/>
                          </pic:cNvPicPr>
                        </pic:nvPicPr>
                        <pic:blipFill>
                          <a:blip r:embed="rId27"/>
                          <a:stretch>
                            <a:fillRect/>
                          </a:stretch>
                        </pic:blipFill>
                        <pic:spPr>
                          <a:xfrm>
                            <a:off x="0" y="0"/>
                            <a:ext cx="5040630" cy="2177415"/>
                          </a:xfrm>
                          <a:prstGeom prst="rect">
                            <a:avLst/>
                          </a:prstGeom>
                          <a:noFill/>
                          <a:ln>
                            <a:noFill/>
                          </a:ln>
                        </pic:spPr>
                      </pic:pic>
                    </a:graphicData>
                  </a:graphic>
                </wp:inline>
              </w:drawing>
            </w:r>
          </w:p>
          <w:p w14:paraId="67611533">
            <w:pPr>
              <w:keepNext w:val="0"/>
              <w:keepLines w:val="0"/>
              <w:widowControl/>
              <w:suppressLineNumbers w:val="0"/>
              <w:jc w:val="center"/>
              <w:rPr>
                <w:color w:val="auto"/>
                <w:u w:val="none" w:color="auto"/>
              </w:rPr>
            </w:pPr>
            <w:r>
              <w:rPr>
                <w:rFonts w:hint="eastAsia" w:ascii="宋体" w:hAnsi="宋体" w:eastAsia="宋体" w:cs="宋体"/>
                <w:b/>
                <w:bCs/>
                <w:color w:val="auto"/>
                <w:kern w:val="0"/>
                <w:sz w:val="20"/>
                <w:szCs w:val="20"/>
                <w:u w:val="none" w:color="auto"/>
                <w:lang w:val="en-US" w:eastAsia="zh-CN" w:bidi="ar"/>
              </w:rPr>
              <w:t xml:space="preserve">图 </w:t>
            </w:r>
            <w:r>
              <w:rPr>
                <w:rFonts w:hint="default" w:ascii="Times New Roman" w:hAnsi="Times New Roman" w:eastAsia="宋体" w:cs="Times New Roman"/>
                <w:b/>
                <w:bCs/>
                <w:color w:val="auto"/>
                <w:kern w:val="0"/>
                <w:sz w:val="20"/>
                <w:szCs w:val="20"/>
                <w:u w:val="none" w:color="auto"/>
                <w:lang w:val="en-US" w:eastAsia="zh-CN" w:bidi="ar"/>
              </w:rPr>
              <w:t>2-</w:t>
            </w:r>
            <w:r>
              <w:rPr>
                <w:rFonts w:hint="eastAsia" w:cs="Times New Roman"/>
                <w:b/>
                <w:bCs/>
                <w:color w:val="auto"/>
                <w:kern w:val="0"/>
                <w:sz w:val="20"/>
                <w:szCs w:val="20"/>
                <w:u w:val="none" w:color="auto"/>
                <w:lang w:val="en-US" w:eastAsia="zh-CN" w:bidi="ar"/>
              </w:rPr>
              <w:t>4</w:t>
            </w:r>
            <w:r>
              <w:rPr>
                <w:rFonts w:hint="eastAsia" w:ascii="宋体" w:hAnsi="宋体" w:eastAsia="宋体" w:cs="宋体"/>
                <w:b/>
                <w:bCs/>
                <w:color w:val="auto"/>
                <w:kern w:val="0"/>
                <w:sz w:val="20"/>
                <w:szCs w:val="20"/>
                <w:u w:val="none" w:color="auto"/>
                <w:lang w:val="en-US" w:eastAsia="zh-CN" w:bidi="ar"/>
              </w:rPr>
              <w:t>项目道路施工期及运营期工艺流程及产污示意图</w:t>
            </w:r>
          </w:p>
          <w:p w14:paraId="51CBA3E4">
            <w:pPr>
              <w:spacing w:line="360" w:lineRule="auto"/>
              <w:ind w:firstLine="484" w:firstLineChars="202"/>
              <w:rPr>
                <w:rFonts w:hint="eastAsia" w:cs="Times New Roman"/>
                <w:color w:val="auto"/>
                <w:sz w:val="24"/>
                <w:u w:val="none" w:color="auto"/>
                <w:lang w:val="en-US" w:eastAsia="zh-CN"/>
              </w:rPr>
            </w:pPr>
          </w:p>
          <w:p w14:paraId="6F4F89BF">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道路施工工艺流程： </w:t>
            </w:r>
          </w:p>
          <w:p w14:paraId="4047C756">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①施工顺序</w:t>
            </w:r>
          </w:p>
          <w:p w14:paraId="346F8C3B">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清除表土或软基处理－填筑路基－摊铺基层－砌筑路缘石－基层顶面喷洒乳化沥青透层—摊铺底面层－乳化沥青粘层－摊铺上面层。 </w:t>
            </w:r>
          </w:p>
          <w:p w14:paraId="546DA6EE">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②路基施工方案 </w:t>
            </w:r>
          </w:p>
          <w:p w14:paraId="77FCC4B7">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路基施工采用机械化，大型机械作业。施工过程中，过湿土均在取土场采用翻松晾晒或在路基上摊铺晾晒，待达到要求的含水量后碾压。碾压工作要及时快速，确保达到密实度要求。 </w:t>
            </w:r>
          </w:p>
          <w:p w14:paraId="487CED51">
            <w:pPr>
              <w:spacing w:line="360" w:lineRule="auto"/>
              <w:ind w:firstLine="484" w:firstLineChars="202"/>
              <w:rPr>
                <w:color w:val="auto"/>
                <w:u w:val="none" w:color="auto"/>
              </w:rPr>
            </w:pPr>
            <w:r>
              <w:rPr>
                <w:rFonts w:hint="eastAsia" w:cs="Times New Roman"/>
                <w:color w:val="auto"/>
                <w:sz w:val="24"/>
                <w:u w:val="none" w:color="auto"/>
                <w:lang w:val="en-US" w:eastAsia="zh-CN"/>
              </w:rPr>
              <w:t>路基填筑，在路基全宽范围内分层填筑，分层碾压。根据不同的填料选择机械类型，并修筑试验段，取得合理的试验参数后，再在全合同段按标准程序化进行。路基填筑施工工艺见图</w:t>
            </w:r>
            <w:r>
              <w:rPr>
                <w:rFonts w:hint="default" w:cs="Times New Roman"/>
                <w:color w:val="auto"/>
                <w:sz w:val="24"/>
                <w:u w:val="none" w:color="auto"/>
                <w:lang w:val="en-US" w:eastAsia="zh-CN"/>
              </w:rPr>
              <w:t>2-</w:t>
            </w:r>
            <w:r>
              <w:rPr>
                <w:rFonts w:hint="eastAsia" w:cs="Times New Roman"/>
                <w:color w:val="auto"/>
                <w:sz w:val="24"/>
                <w:u w:val="none" w:color="auto"/>
                <w:lang w:val="en-US" w:eastAsia="zh-CN"/>
              </w:rPr>
              <w:t>3。</w:t>
            </w:r>
          </w:p>
          <w:p w14:paraId="0AD045E0">
            <w:pPr>
              <w:keepNext w:val="0"/>
              <w:keepLines w:val="0"/>
              <w:widowControl/>
              <w:suppressLineNumbers w:val="0"/>
              <w:jc w:val="center"/>
              <w:rPr>
                <w:color w:val="auto"/>
                <w:u w:val="none" w:color="auto"/>
              </w:rPr>
            </w:pPr>
            <w:r>
              <w:rPr>
                <w:color w:val="auto"/>
                <w:u w:val="none" w:color="auto"/>
              </w:rPr>
              <w:drawing>
                <wp:inline distT="0" distB="0" distL="114300" distR="114300">
                  <wp:extent cx="5040630" cy="5441950"/>
                  <wp:effectExtent l="0" t="0" r="7620" b="6350"/>
                  <wp:docPr id="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
                          <pic:cNvPicPr>
                            <a:picLocks noChangeAspect="1"/>
                          </pic:cNvPicPr>
                        </pic:nvPicPr>
                        <pic:blipFill>
                          <a:blip r:embed="rId28"/>
                          <a:stretch>
                            <a:fillRect/>
                          </a:stretch>
                        </pic:blipFill>
                        <pic:spPr>
                          <a:xfrm>
                            <a:off x="0" y="0"/>
                            <a:ext cx="5040630" cy="5441950"/>
                          </a:xfrm>
                          <a:prstGeom prst="rect">
                            <a:avLst/>
                          </a:prstGeom>
                          <a:noFill/>
                          <a:ln>
                            <a:noFill/>
                          </a:ln>
                        </pic:spPr>
                      </pic:pic>
                    </a:graphicData>
                  </a:graphic>
                </wp:inline>
              </w:drawing>
            </w:r>
            <w:r>
              <w:rPr>
                <w:rFonts w:hint="eastAsia" w:ascii="宋体" w:hAnsi="宋体" w:eastAsia="宋体" w:cs="宋体"/>
                <w:b/>
                <w:bCs/>
                <w:color w:val="auto"/>
                <w:kern w:val="0"/>
                <w:sz w:val="20"/>
                <w:szCs w:val="20"/>
                <w:u w:val="none" w:color="auto"/>
                <w:lang w:val="en-US" w:eastAsia="zh-CN" w:bidi="ar"/>
              </w:rPr>
              <w:t xml:space="preserve">图 </w:t>
            </w:r>
            <w:r>
              <w:rPr>
                <w:rFonts w:hint="default" w:ascii="Times New Roman" w:hAnsi="Times New Roman" w:eastAsia="宋体" w:cs="Times New Roman"/>
                <w:b/>
                <w:bCs/>
                <w:color w:val="auto"/>
                <w:kern w:val="0"/>
                <w:sz w:val="20"/>
                <w:szCs w:val="20"/>
                <w:u w:val="none" w:color="auto"/>
                <w:lang w:val="en-US" w:eastAsia="zh-CN" w:bidi="ar"/>
              </w:rPr>
              <w:t>2-</w:t>
            </w:r>
            <w:r>
              <w:rPr>
                <w:rFonts w:hint="eastAsia" w:cs="Times New Roman"/>
                <w:b/>
                <w:bCs/>
                <w:color w:val="auto"/>
                <w:kern w:val="0"/>
                <w:sz w:val="20"/>
                <w:szCs w:val="20"/>
                <w:u w:val="none" w:color="auto"/>
                <w:lang w:val="en-US" w:eastAsia="zh-CN" w:bidi="ar"/>
              </w:rPr>
              <w:t>5</w:t>
            </w:r>
            <w:r>
              <w:rPr>
                <w:rFonts w:hint="default" w:ascii="Times New Roman" w:hAnsi="Times New Roman" w:eastAsia="宋体" w:cs="Times New Roman"/>
                <w:b/>
                <w:bCs/>
                <w:color w:val="auto"/>
                <w:kern w:val="0"/>
                <w:sz w:val="20"/>
                <w:szCs w:val="20"/>
                <w:u w:val="none" w:color="auto"/>
                <w:lang w:val="en-US" w:eastAsia="zh-CN" w:bidi="ar"/>
              </w:rPr>
              <w:t xml:space="preserve"> </w:t>
            </w:r>
            <w:r>
              <w:rPr>
                <w:rFonts w:hint="eastAsia" w:ascii="宋体" w:hAnsi="宋体" w:eastAsia="宋体" w:cs="宋体"/>
                <w:b/>
                <w:bCs/>
                <w:color w:val="auto"/>
                <w:kern w:val="0"/>
                <w:sz w:val="20"/>
                <w:szCs w:val="20"/>
                <w:u w:val="none" w:color="auto"/>
                <w:lang w:val="en-US" w:eastAsia="zh-CN" w:bidi="ar"/>
              </w:rPr>
              <w:t>项目路基工程施工工艺图</w:t>
            </w:r>
          </w:p>
          <w:p w14:paraId="3372378F">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③路面施工方案 </w:t>
            </w:r>
          </w:p>
          <w:p w14:paraId="1EE74251">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本项目采用沥青混凝土面层，路面面层施工顺序如下：清扫下底层－摊铺底基层－砌筑路缘石－基层喷洒乳化沥青－摊铺下面层－乳化沥青粘层－摊铺上面层。管道工程施工期工艺流程为清理施工现场、管沟开挖、管沟组装焊接、下管、管道试压、覆土回填、恢复地貌以及设置明显标志等建设工序，施工流程如图</w:t>
            </w:r>
            <w:r>
              <w:rPr>
                <w:rFonts w:hint="default" w:cs="Times New Roman"/>
                <w:color w:val="auto"/>
                <w:sz w:val="24"/>
                <w:u w:val="none" w:color="auto"/>
                <w:lang w:val="en-US" w:eastAsia="zh-CN"/>
              </w:rPr>
              <w:t>2-</w:t>
            </w:r>
            <w:r>
              <w:rPr>
                <w:rFonts w:hint="eastAsia" w:cs="Times New Roman"/>
                <w:color w:val="auto"/>
                <w:sz w:val="24"/>
                <w:u w:val="none" w:color="auto"/>
                <w:lang w:val="en-US" w:eastAsia="zh-CN"/>
              </w:rPr>
              <w:t>4所示：</w:t>
            </w:r>
          </w:p>
          <w:p w14:paraId="44F01374">
            <w:pPr>
              <w:spacing w:line="360" w:lineRule="auto"/>
              <w:jc w:val="center"/>
              <w:rPr>
                <w:rFonts w:hint="eastAsia"/>
                <w:color w:val="auto"/>
                <w:u w:val="none" w:color="auto"/>
                <w:lang w:val="en-US" w:eastAsia="zh-CN"/>
              </w:rPr>
            </w:pPr>
            <w:r>
              <w:rPr>
                <w:color w:val="auto"/>
                <w:u w:val="none" w:color="auto"/>
              </w:rPr>
              <w:drawing>
                <wp:inline distT="0" distB="0" distL="114300" distR="114300">
                  <wp:extent cx="5044440" cy="5143500"/>
                  <wp:effectExtent l="0" t="0" r="3810" b="0"/>
                  <wp:docPr id="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6"/>
                          <pic:cNvPicPr>
                            <a:picLocks noChangeAspect="1"/>
                          </pic:cNvPicPr>
                        </pic:nvPicPr>
                        <pic:blipFill>
                          <a:blip r:embed="rId29"/>
                          <a:stretch>
                            <a:fillRect/>
                          </a:stretch>
                        </pic:blipFill>
                        <pic:spPr>
                          <a:xfrm>
                            <a:off x="0" y="0"/>
                            <a:ext cx="5044440" cy="5143500"/>
                          </a:xfrm>
                          <a:prstGeom prst="rect">
                            <a:avLst/>
                          </a:prstGeom>
                          <a:noFill/>
                          <a:ln>
                            <a:noFill/>
                          </a:ln>
                        </pic:spPr>
                      </pic:pic>
                    </a:graphicData>
                  </a:graphic>
                </wp:inline>
              </w:drawing>
            </w:r>
          </w:p>
          <w:p w14:paraId="4CF27157">
            <w:pPr>
              <w:spacing w:line="360" w:lineRule="auto"/>
              <w:jc w:val="center"/>
              <w:rPr>
                <w:rFonts w:hint="eastAsia"/>
                <w:color w:val="auto"/>
                <w:u w:val="none" w:color="auto"/>
                <w:lang w:val="en-US" w:eastAsia="zh-CN"/>
              </w:rPr>
            </w:pPr>
          </w:p>
          <w:p w14:paraId="459F6A03">
            <w:pPr>
              <w:keepNext w:val="0"/>
              <w:keepLines w:val="0"/>
              <w:widowControl/>
              <w:suppressLineNumbers w:val="0"/>
              <w:jc w:val="center"/>
              <w:rPr>
                <w:color w:val="auto"/>
                <w:u w:val="none" w:color="auto"/>
              </w:rPr>
            </w:pPr>
            <w:r>
              <w:rPr>
                <w:rFonts w:hint="eastAsia" w:ascii="宋体" w:hAnsi="宋体" w:eastAsia="宋体" w:cs="宋体"/>
                <w:b/>
                <w:bCs/>
                <w:color w:val="auto"/>
                <w:kern w:val="0"/>
                <w:sz w:val="20"/>
                <w:szCs w:val="20"/>
                <w:u w:val="none" w:color="auto"/>
                <w:lang w:val="en-US" w:eastAsia="zh-CN" w:bidi="ar"/>
              </w:rPr>
              <w:t xml:space="preserve">图 </w:t>
            </w:r>
            <w:r>
              <w:rPr>
                <w:rFonts w:hint="default" w:ascii="Times New Roman" w:hAnsi="Times New Roman" w:eastAsia="宋体" w:cs="Times New Roman"/>
                <w:b/>
                <w:bCs/>
                <w:color w:val="auto"/>
                <w:kern w:val="0"/>
                <w:sz w:val="20"/>
                <w:szCs w:val="20"/>
                <w:u w:val="none" w:color="auto"/>
                <w:lang w:val="en-US" w:eastAsia="zh-CN" w:bidi="ar"/>
              </w:rPr>
              <w:t>2-</w:t>
            </w:r>
            <w:r>
              <w:rPr>
                <w:rFonts w:hint="eastAsia" w:cs="Times New Roman"/>
                <w:b/>
                <w:bCs/>
                <w:color w:val="auto"/>
                <w:kern w:val="0"/>
                <w:sz w:val="20"/>
                <w:szCs w:val="20"/>
                <w:u w:val="none" w:color="auto"/>
                <w:lang w:val="en-US" w:eastAsia="zh-CN" w:bidi="ar"/>
              </w:rPr>
              <w:t>6</w:t>
            </w:r>
            <w:r>
              <w:rPr>
                <w:rFonts w:hint="default" w:ascii="Times New Roman" w:hAnsi="Times New Roman" w:eastAsia="宋体" w:cs="Times New Roman"/>
                <w:b/>
                <w:bCs/>
                <w:color w:val="auto"/>
                <w:kern w:val="0"/>
                <w:sz w:val="20"/>
                <w:szCs w:val="20"/>
                <w:u w:val="none" w:color="auto"/>
                <w:lang w:val="en-US" w:eastAsia="zh-CN" w:bidi="ar"/>
              </w:rPr>
              <w:t xml:space="preserve"> </w:t>
            </w:r>
            <w:r>
              <w:rPr>
                <w:rFonts w:hint="eastAsia" w:ascii="宋体" w:hAnsi="宋体" w:eastAsia="宋体" w:cs="宋体"/>
                <w:b/>
                <w:bCs/>
                <w:color w:val="auto"/>
                <w:kern w:val="0"/>
                <w:sz w:val="20"/>
                <w:szCs w:val="20"/>
                <w:u w:val="none" w:color="auto"/>
                <w:lang w:val="en-US" w:eastAsia="zh-CN" w:bidi="ar"/>
              </w:rPr>
              <w:t>项目管道工程施工工艺图</w:t>
            </w:r>
          </w:p>
          <w:p w14:paraId="04E5FED5">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 xml:space="preserve">3、线路工程 </w:t>
            </w:r>
          </w:p>
          <w:p w14:paraId="1B690C72">
            <w:pPr>
              <w:spacing w:line="360" w:lineRule="auto"/>
              <w:ind w:firstLine="484" w:firstLineChars="202"/>
              <w:rPr>
                <w:rFonts w:hint="eastAsia" w:cs="Times New Roman"/>
                <w:color w:val="auto"/>
                <w:sz w:val="24"/>
                <w:u w:val="none" w:color="auto"/>
                <w:lang w:val="en-US" w:eastAsia="zh-CN"/>
              </w:rPr>
            </w:pPr>
            <w:r>
              <w:rPr>
                <w:rFonts w:hint="eastAsia" w:cs="Times New Roman"/>
                <w:color w:val="auto"/>
                <w:sz w:val="24"/>
                <w:u w:val="none" w:color="auto"/>
                <w:lang w:val="en-US" w:eastAsia="zh-CN"/>
              </w:rPr>
              <w:t>项目线路工程主要包括测量放样、管路开挖、底面防护、测准放管、回填埋土。这些过程均会产生废气、废水、噪声和固体废物。废气主要为扬尘及燃油机械和车辆废气；废水主要分为施工废水；机械运行及车辆行驶产生噪声；主要固体废物包括建筑垃圾、弃土。</w:t>
            </w:r>
          </w:p>
          <w:p w14:paraId="0099244E">
            <w:pPr>
              <w:spacing w:line="360" w:lineRule="auto"/>
              <w:jc w:val="center"/>
              <w:rPr>
                <w:rFonts w:hint="eastAsia"/>
                <w:color w:val="auto"/>
                <w:u w:val="none" w:color="auto"/>
                <w:lang w:val="en-US" w:eastAsia="zh-CN"/>
              </w:rPr>
            </w:pPr>
            <w:r>
              <w:rPr>
                <w:color w:val="auto"/>
                <w:u w:val="none" w:color="auto"/>
              </w:rPr>
              <w:drawing>
                <wp:inline distT="0" distB="0" distL="114300" distR="114300">
                  <wp:extent cx="5044440" cy="1416685"/>
                  <wp:effectExtent l="0" t="0" r="3810" b="12065"/>
                  <wp:docPr id="9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7"/>
                          <pic:cNvPicPr>
                            <a:picLocks noChangeAspect="1"/>
                          </pic:cNvPicPr>
                        </pic:nvPicPr>
                        <pic:blipFill>
                          <a:blip r:embed="rId30"/>
                          <a:stretch>
                            <a:fillRect/>
                          </a:stretch>
                        </pic:blipFill>
                        <pic:spPr>
                          <a:xfrm>
                            <a:off x="0" y="0"/>
                            <a:ext cx="5044440" cy="1416685"/>
                          </a:xfrm>
                          <a:prstGeom prst="rect">
                            <a:avLst/>
                          </a:prstGeom>
                          <a:noFill/>
                          <a:ln>
                            <a:noFill/>
                          </a:ln>
                        </pic:spPr>
                      </pic:pic>
                    </a:graphicData>
                  </a:graphic>
                </wp:inline>
              </w:drawing>
            </w:r>
          </w:p>
          <w:p w14:paraId="70F1B2C2">
            <w:pPr>
              <w:keepNext w:val="0"/>
              <w:keepLines w:val="0"/>
              <w:widowControl/>
              <w:suppressLineNumbers w:val="0"/>
              <w:jc w:val="center"/>
              <w:rPr>
                <w:rFonts w:hint="eastAsia"/>
                <w:color w:val="auto"/>
                <w:u w:val="none" w:color="auto"/>
                <w:lang w:val="en-US" w:eastAsia="zh-CN"/>
              </w:rPr>
            </w:pPr>
            <w:r>
              <w:rPr>
                <w:rFonts w:hint="eastAsia" w:ascii="宋体" w:hAnsi="宋体" w:eastAsia="宋体" w:cs="宋体"/>
                <w:b/>
                <w:bCs/>
                <w:color w:val="auto"/>
                <w:kern w:val="0"/>
                <w:sz w:val="20"/>
                <w:szCs w:val="20"/>
                <w:u w:val="none" w:color="auto"/>
                <w:lang w:val="en-US" w:eastAsia="zh-CN" w:bidi="ar"/>
              </w:rPr>
              <w:t xml:space="preserve">图 </w:t>
            </w:r>
            <w:r>
              <w:rPr>
                <w:rFonts w:hint="default" w:ascii="Times New Roman" w:hAnsi="Times New Roman" w:eastAsia="宋体" w:cs="Times New Roman"/>
                <w:b/>
                <w:bCs/>
                <w:color w:val="auto"/>
                <w:kern w:val="0"/>
                <w:sz w:val="20"/>
                <w:szCs w:val="20"/>
                <w:u w:val="none" w:color="auto"/>
                <w:lang w:val="en-US" w:eastAsia="zh-CN" w:bidi="ar"/>
              </w:rPr>
              <w:t>2-</w:t>
            </w:r>
            <w:r>
              <w:rPr>
                <w:rFonts w:hint="eastAsia" w:cs="Times New Roman"/>
                <w:b/>
                <w:bCs/>
                <w:color w:val="auto"/>
                <w:kern w:val="0"/>
                <w:sz w:val="20"/>
                <w:szCs w:val="20"/>
                <w:u w:val="none" w:color="auto"/>
                <w:lang w:val="en-US" w:eastAsia="zh-CN" w:bidi="ar"/>
              </w:rPr>
              <w:t>7</w:t>
            </w:r>
            <w:r>
              <w:rPr>
                <w:rFonts w:hint="default" w:ascii="Times New Roman" w:hAnsi="Times New Roman" w:eastAsia="宋体" w:cs="Times New Roman"/>
                <w:b/>
                <w:bCs/>
                <w:color w:val="auto"/>
                <w:kern w:val="0"/>
                <w:sz w:val="20"/>
                <w:szCs w:val="20"/>
                <w:u w:val="none" w:color="auto"/>
                <w:lang w:val="en-US" w:eastAsia="zh-CN" w:bidi="ar"/>
              </w:rPr>
              <w:t xml:space="preserve"> </w:t>
            </w:r>
            <w:r>
              <w:rPr>
                <w:rFonts w:hint="eastAsia" w:ascii="宋体" w:hAnsi="宋体" w:eastAsia="宋体" w:cs="宋体"/>
                <w:b/>
                <w:bCs/>
                <w:color w:val="auto"/>
                <w:kern w:val="0"/>
                <w:sz w:val="20"/>
                <w:szCs w:val="20"/>
                <w:u w:val="none" w:color="auto"/>
                <w:lang w:val="en-US" w:eastAsia="zh-CN" w:bidi="ar"/>
              </w:rPr>
              <w:t>施工期线路工程工艺流程及产污环节图</w:t>
            </w:r>
          </w:p>
        </w:tc>
      </w:tr>
      <w:tr w14:paraId="654D9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3" w:type="dxa"/>
            <w:vAlign w:val="center"/>
          </w:tcPr>
          <w:p w14:paraId="767A2B93">
            <w:pPr>
              <w:pStyle w:val="21"/>
              <w:adjustRightInd w:val="0"/>
              <w:snapToGrid w:val="0"/>
              <w:spacing w:before="0" w:beforeAutospacing="0" w:after="0" w:afterAutospacing="0"/>
              <w:jc w:val="center"/>
              <w:rPr>
                <w:rFonts w:hint="eastAsia" w:ascii="Times New Roman" w:hAnsi="Times New Roman" w:eastAsia="宋体" w:cs="宋体"/>
                <w:color w:val="auto"/>
                <w:szCs w:val="21"/>
                <w:u w:val="none" w:color="auto"/>
                <w:lang w:eastAsia="zh-CN"/>
              </w:rPr>
            </w:pPr>
            <w:r>
              <w:rPr>
                <w:rFonts w:hint="eastAsia" w:ascii="Times New Roman" w:hAnsi="Times New Roman" w:cs="宋体"/>
                <w:color w:val="auto"/>
                <w:szCs w:val="21"/>
                <w:u w:val="none" w:color="auto"/>
                <w:lang w:val="en-US" w:eastAsia="zh-CN"/>
              </w:rPr>
              <w:t>其他</w:t>
            </w:r>
          </w:p>
        </w:tc>
        <w:tc>
          <w:tcPr>
            <w:tcW w:w="8161" w:type="dxa"/>
          </w:tcPr>
          <w:p w14:paraId="0E5C498C">
            <w:pPr>
              <w:adjustRightInd w:val="0"/>
              <w:snapToGrid w:val="0"/>
              <w:spacing w:line="360" w:lineRule="auto"/>
              <w:jc w:val="left"/>
              <w:rPr>
                <w:rFonts w:hint="default" w:eastAsia="宋体"/>
                <w:bCs/>
                <w:color w:val="auto"/>
                <w:sz w:val="24"/>
                <w:szCs w:val="21"/>
                <w:u w:val="none" w:color="auto"/>
                <w:lang w:val="en-US" w:eastAsia="zh-CN"/>
              </w:rPr>
            </w:pPr>
            <w:r>
              <w:rPr>
                <w:rFonts w:hint="eastAsia"/>
                <w:bCs/>
                <w:color w:val="auto"/>
                <w:sz w:val="24"/>
                <w:szCs w:val="21"/>
                <w:u w:val="none" w:color="auto"/>
                <w:lang w:val="en-US" w:eastAsia="zh-CN"/>
              </w:rPr>
              <w:t>无</w:t>
            </w:r>
          </w:p>
          <w:p w14:paraId="48435883">
            <w:pPr>
              <w:adjustRightInd w:val="0"/>
              <w:snapToGrid w:val="0"/>
              <w:spacing w:line="360" w:lineRule="auto"/>
              <w:ind w:firstLine="480" w:firstLineChars="200"/>
              <w:jc w:val="left"/>
              <w:rPr>
                <w:rFonts w:hint="default"/>
                <w:bCs/>
                <w:color w:val="auto"/>
                <w:sz w:val="24"/>
                <w:szCs w:val="21"/>
                <w:u w:val="none" w:color="auto"/>
                <w:lang w:val="en-US"/>
              </w:rPr>
            </w:pPr>
          </w:p>
          <w:p w14:paraId="5D8C0320">
            <w:pPr>
              <w:adjustRightInd w:val="0"/>
              <w:snapToGrid w:val="0"/>
              <w:spacing w:line="360" w:lineRule="auto"/>
              <w:ind w:firstLine="480" w:firstLineChars="200"/>
              <w:jc w:val="left"/>
              <w:rPr>
                <w:rFonts w:hint="default"/>
                <w:bCs/>
                <w:color w:val="auto"/>
                <w:sz w:val="24"/>
                <w:szCs w:val="21"/>
                <w:u w:val="none" w:color="auto"/>
                <w:lang w:val="en-US"/>
              </w:rPr>
            </w:pPr>
          </w:p>
        </w:tc>
      </w:tr>
    </w:tbl>
    <w:p w14:paraId="11743F3D">
      <w:pPr>
        <w:pStyle w:val="21"/>
        <w:jc w:val="center"/>
        <w:rPr>
          <w:rFonts w:ascii="黑体" w:hAnsi="黑体" w:eastAsia="黑体"/>
          <w:snapToGrid w:val="0"/>
          <w:color w:val="auto"/>
          <w:sz w:val="36"/>
          <w:szCs w:val="36"/>
          <w:u w:val="none" w:color="auto"/>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DC532CE">
      <w:pPr>
        <w:pStyle w:val="21"/>
        <w:jc w:val="center"/>
        <w:outlineLvl w:val="0"/>
        <w:rPr>
          <w:rFonts w:ascii="黑体" w:hAnsi="黑体" w:eastAsia="黑体"/>
          <w:snapToGrid w:val="0"/>
          <w:color w:val="auto"/>
          <w:sz w:val="30"/>
          <w:szCs w:val="30"/>
          <w:u w:val="none" w:color="auto"/>
        </w:rPr>
      </w:pPr>
      <w:bookmarkStart w:id="9" w:name="_Toc22819"/>
      <w:bookmarkStart w:id="10" w:name="_Toc30238"/>
      <w:bookmarkStart w:id="11" w:name="_Toc27085"/>
      <w:bookmarkStart w:id="12" w:name="_Toc13306"/>
      <w:r>
        <w:rPr>
          <w:rFonts w:hint="eastAsia" w:ascii="黑体" w:hAnsi="黑体" w:eastAsia="黑体"/>
          <w:snapToGrid w:val="0"/>
          <w:color w:val="auto"/>
          <w:sz w:val="30"/>
          <w:szCs w:val="30"/>
          <w:u w:val="none" w:color="auto"/>
        </w:rPr>
        <w:t>三、</w:t>
      </w:r>
      <w:r>
        <w:rPr>
          <w:rFonts w:hint="eastAsia" w:ascii="黑体" w:hAnsi="黑体" w:eastAsia="黑体"/>
          <w:snapToGrid w:val="0"/>
          <w:color w:val="auto"/>
          <w:sz w:val="30"/>
          <w:szCs w:val="30"/>
          <w:u w:val="none" w:color="auto"/>
          <w:lang w:val="en-US" w:eastAsia="zh-CN"/>
        </w:rPr>
        <w:t>生态</w:t>
      </w:r>
      <w:r>
        <w:rPr>
          <w:rFonts w:hint="eastAsia" w:ascii="黑体" w:hAnsi="黑体" w:eastAsia="黑体"/>
          <w:snapToGrid w:val="0"/>
          <w:color w:val="auto"/>
          <w:sz w:val="30"/>
          <w:szCs w:val="30"/>
          <w:u w:val="none" w:color="auto"/>
        </w:rPr>
        <w:t>环境现状、环境保护目标及评价标准</w:t>
      </w:r>
      <w:bookmarkEnd w:id="9"/>
      <w:bookmarkEnd w:id="10"/>
      <w:bookmarkEnd w:id="11"/>
      <w:bookmarkEnd w:id="12"/>
    </w:p>
    <w:tbl>
      <w:tblPr>
        <w:tblStyle w:val="25"/>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800"/>
        <w:gridCol w:w="8190"/>
      </w:tblGrid>
      <w:tr w14:paraId="6E86E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14:paraId="6EE0CF21">
            <w:pPr>
              <w:adjustRightInd w:val="0"/>
              <w:snapToGrid w:val="0"/>
              <w:jc w:val="center"/>
              <w:rPr>
                <w:rFonts w:hint="default" w:eastAsia="宋体" w:cs="宋体"/>
                <w:color w:val="auto"/>
                <w:kern w:val="0"/>
                <w:sz w:val="24"/>
                <w:szCs w:val="21"/>
                <w:u w:val="none" w:color="auto"/>
                <w:lang w:val="en-US" w:eastAsia="zh-CN"/>
              </w:rPr>
            </w:pPr>
            <w:r>
              <w:rPr>
                <w:rFonts w:hint="eastAsia" w:cs="宋体"/>
                <w:color w:val="auto"/>
                <w:kern w:val="0"/>
                <w:sz w:val="24"/>
                <w:szCs w:val="21"/>
                <w:u w:val="none" w:color="auto"/>
                <w:lang w:val="en-US" w:eastAsia="zh-CN"/>
              </w:rPr>
              <w:t>生态环境现状</w:t>
            </w:r>
          </w:p>
        </w:tc>
        <w:tc>
          <w:tcPr>
            <w:tcW w:w="8190" w:type="dxa"/>
            <w:vAlign w:val="center"/>
          </w:tcPr>
          <w:p w14:paraId="2484C120">
            <w:pPr>
              <w:spacing w:line="360" w:lineRule="auto"/>
              <w:rPr>
                <w:b/>
                <w:color w:val="auto"/>
                <w:sz w:val="24"/>
                <w:szCs w:val="21"/>
                <w:u w:val="none" w:color="auto"/>
              </w:rPr>
            </w:pPr>
            <w:r>
              <w:rPr>
                <w:rFonts w:hint="eastAsia"/>
                <w:b/>
                <w:color w:val="auto"/>
                <w:sz w:val="24"/>
                <w:szCs w:val="21"/>
                <w:u w:val="none" w:color="auto"/>
              </w:rPr>
              <w:t>1</w:t>
            </w:r>
            <w:r>
              <w:rPr>
                <w:b/>
                <w:color w:val="auto"/>
                <w:sz w:val="24"/>
                <w:szCs w:val="21"/>
                <w:u w:val="none" w:color="auto"/>
              </w:rPr>
              <w:t>、环境空气质量现状</w:t>
            </w:r>
          </w:p>
          <w:p w14:paraId="0E601C23">
            <w:pPr>
              <w:pStyle w:val="68"/>
              <w:ind w:firstLine="480"/>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1、大气环境质量现状</w:t>
            </w:r>
          </w:p>
          <w:p w14:paraId="408BDCEC">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根据《环境影响评价技术导则大气环境》（HJ2.2-2018），项目所在区域达标情况判定优先采用国家或地方生态环境主管部门公开发布的环境质量公告或环境质量报告中的数据或结论。本项目</w:t>
            </w:r>
            <w:r>
              <w:rPr>
                <w:rFonts w:hint="default" w:ascii="Times New Roman" w:hAnsi="Times New Roman" w:cs="Times New Roman"/>
                <w:color w:val="auto"/>
                <w:szCs w:val="21"/>
                <w:u w:val="none" w:color="auto"/>
              </w:rPr>
              <w:t>SO</w:t>
            </w:r>
            <w:r>
              <w:rPr>
                <w:rFonts w:hint="default" w:ascii="Times New Roman" w:hAnsi="Times New Roman" w:cs="Times New Roman"/>
                <w:color w:val="auto"/>
                <w:szCs w:val="21"/>
                <w:u w:val="none" w:color="auto"/>
                <w:vertAlign w:val="subscript"/>
              </w:rPr>
              <w:t>2</w:t>
            </w:r>
            <w:r>
              <w:rPr>
                <w:rFonts w:hint="default" w:ascii="Times New Roman" w:hAnsi="Times New Roman" w:cs="Times New Roman"/>
                <w:color w:val="auto"/>
                <w:szCs w:val="21"/>
                <w:u w:val="none" w:color="auto"/>
              </w:rPr>
              <w:t>、NO</w:t>
            </w:r>
            <w:r>
              <w:rPr>
                <w:rFonts w:hint="default" w:ascii="Times New Roman" w:hAnsi="Times New Roman" w:cs="Times New Roman"/>
                <w:color w:val="auto"/>
                <w:szCs w:val="21"/>
                <w:u w:val="none" w:color="auto"/>
                <w:vertAlign w:val="subscript"/>
              </w:rPr>
              <w:t>2</w:t>
            </w:r>
            <w:r>
              <w:rPr>
                <w:rFonts w:hint="default" w:ascii="Times New Roman" w:hAnsi="Times New Roman" w:cs="Times New Roman"/>
                <w:color w:val="auto"/>
                <w:szCs w:val="21"/>
                <w:u w:val="none" w:color="auto"/>
              </w:rPr>
              <w:t>、PM</w:t>
            </w:r>
            <w:r>
              <w:rPr>
                <w:rFonts w:hint="default" w:ascii="Times New Roman" w:hAnsi="Times New Roman" w:cs="Times New Roman"/>
                <w:color w:val="auto"/>
                <w:szCs w:val="21"/>
                <w:u w:val="none" w:color="auto"/>
                <w:vertAlign w:val="subscript"/>
              </w:rPr>
              <w:t>10</w:t>
            </w:r>
            <w:r>
              <w:rPr>
                <w:rFonts w:hint="default" w:ascii="Times New Roman" w:hAnsi="Times New Roman" w:cs="Times New Roman"/>
                <w:color w:val="auto"/>
                <w:szCs w:val="21"/>
                <w:u w:val="none" w:color="auto"/>
              </w:rPr>
              <w:t>、PM</w:t>
            </w:r>
            <w:r>
              <w:rPr>
                <w:rFonts w:hint="default" w:ascii="Times New Roman" w:hAnsi="Times New Roman" w:cs="Times New Roman"/>
                <w:color w:val="auto"/>
                <w:szCs w:val="21"/>
                <w:u w:val="none" w:color="auto"/>
                <w:vertAlign w:val="subscript"/>
              </w:rPr>
              <w:t>2.5</w:t>
            </w:r>
            <w:r>
              <w:rPr>
                <w:rFonts w:hint="default" w:ascii="Times New Roman" w:hAnsi="Times New Roman" w:cs="Times New Roman"/>
                <w:color w:val="auto"/>
                <w:szCs w:val="21"/>
                <w:u w:val="none" w:color="auto"/>
              </w:rPr>
              <w:t>、CO、O</w:t>
            </w:r>
            <w:r>
              <w:rPr>
                <w:rFonts w:hint="default" w:ascii="Times New Roman" w:hAnsi="Times New Roman" w:cs="Times New Roman"/>
                <w:color w:val="auto"/>
                <w:szCs w:val="21"/>
                <w:u w:val="none" w:color="auto"/>
                <w:vertAlign w:val="subscript"/>
              </w:rPr>
              <w:t>3</w:t>
            </w:r>
            <w:r>
              <w:rPr>
                <w:rFonts w:hint="default" w:ascii="Times New Roman" w:hAnsi="Times New Roman" w:cs="Times New Roman"/>
                <w:color w:val="auto"/>
                <w:u w:val="none" w:color="auto"/>
              </w:rPr>
              <w:t>等基本污染物环境空气质量现状采用岳阳市生态环境局公开发布的202</w:t>
            </w:r>
            <w:r>
              <w:rPr>
                <w:rFonts w:hint="eastAsia" w:cs="Times New Roman"/>
                <w:color w:val="auto"/>
                <w:u w:val="none" w:color="auto"/>
                <w:lang w:val="en-US" w:eastAsia="zh-CN"/>
              </w:rPr>
              <w:t>4</w:t>
            </w:r>
            <w:r>
              <w:rPr>
                <w:rFonts w:hint="default" w:ascii="Times New Roman" w:hAnsi="Times New Roman" w:cs="Times New Roman"/>
                <w:color w:val="auto"/>
                <w:u w:val="none" w:color="auto"/>
              </w:rPr>
              <w:t>年度华容县空气质量年报中公布的数据。</w:t>
            </w:r>
          </w:p>
          <w:p w14:paraId="096D02CF">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表3-1  202</w:t>
            </w:r>
            <w:r>
              <w:rPr>
                <w:rFonts w:hint="eastAsia" w:cs="Times New Roman"/>
                <w:color w:val="auto"/>
                <w:sz w:val="21"/>
                <w:szCs w:val="21"/>
                <w:u w:val="none" w:color="auto"/>
                <w:lang w:val="en-US" w:eastAsia="zh-CN"/>
              </w:rPr>
              <w:t>4</w:t>
            </w:r>
            <w:r>
              <w:rPr>
                <w:rFonts w:hint="default" w:ascii="Times New Roman" w:hAnsi="Times New Roman" w:cs="Times New Roman"/>
                <w:color w:val="auto"/>
                <w:sz w:val="21"/>
                <w:szCs w:val="21"/>
                <w:u w:val="none" w:color="auto"/>
              </w:rPr>
              <w:t>年度华容县环境空气质量状况统计表单位：ug/m</w:t>
            </w:r>
            <w:r>
              <w:rPr>
                <w:rFonts w:hint="default" w:ascii="Times New Roman" w:hAnsi="Times New Roman" w:cs="Times New Roman"/>
                <w:color w:val="auto"/>
                <w:sz w:val="21"/>
                <w:szCs w:val="21"/>
                <w:u w:val="none" w:color="auto"/>
                <w:vertAlign w:val="superscript"/>
              </w:rPr>
              <w:t>3</w:t>
            </w:r>
          </w:p>
          <w:tbl>
            <w:tblPr>
              <w:tblStyle w:val="25"/>
              <w:tblW w:w="7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783"/>
              <w:gridCol w:w="1011"/>
              <w:gridCol w:w="1068"/>
              <w:gridCol w:w="1097"/>
              <w:gridCol w:w="1112"/>
            </w:tblGrid>
            <w:tr w14:paraId="3A6EC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2AE339C">
                  <w:pPr>
                    <w:pStyle w:val="70"/>
                    <w:rPr>
                      <w:b/>
                      <w:bCs/>
                      <w:color w:val="auto"/>
                      <w:u w:val="none" w:color="auto"/>
                    </w:rPr>
                  </w:pPr>
                  <w:r>
                    <w:rPr>
                      <w:b/>
                      <w:bCs/>
                      <w:color w:val="auto"/>
                      <w:u w:val="none" w:color="auto"/>
                    </w:rPr>
                    <w:t>污染物</w:t>
                  </w:r>
                </w:p>
              </w:tc>
              <w:tc>
                <w:tcPr>
                  <w:tcW w:w="2805" w:type="dxa"/>
                  <w:tcBorders>
                    <w:tl2br w:val="nil"/>
                    <w:tr2bl w:val="nil"/>
                  </w:tcBorders>
                  <w:tcMar>
                    <w:top w:w="0" w:type="dxa"/>
                    <w:left w:w="108" w:type="dxa"/>
                    <w:bottom w:w="0" w:type="dxa"/>
                    <w:right w:w="108" w:type="dxa"/>
                  </w:tcMar>
                  <w:vAlign w:val="center"/>
                </w:tcPr>
                <w:p w14:paraId="02E1D2C2">
                  <w:pPr>
                    <w:pStyle w:val="70"/>
                    <w:rPr>
                      <w:b/>
                      <w:bCs/>
                      <w:color w:val="auto"/>
                      <w:u w:val="none" w:color="auto"/>
                    </w:rPr>
                  </w:pPr>
                  <w:r>
                    <w:rPr>
                      <w:b/>
                      <w:bCs/>
                      <w:color w:val="auto"/>
                      <w:u w:val="none" w:color="auto"/>
                    </w:rPr>
                    <w:t>评价指标</w:t>
                  </w:r>
                </w:p>
              </w:tc>
              <w:tc>
                <w:tcPr>
                  <w:tcW w:w="1018" w:type="dxa"/>
                  <w:tcBorders>
                    <w:tl2br w:val="nil"/>
                    <w:tr2bl w:val="nil"/>
                  </w:tcBorders>
                  <w:tcMar>
                    <w:top w:w="0" w:type="dxa"/>
                    <w:left w:w="108" w:type="dxa"/>
                    <w:bottom w:w="0" w:type="dxa"/>
                    <w:right w:w="108" w:type="dxa"/>
                  </w:tcMar>
                  <w:vAlign w:val="center"/>
                </w:tcPr>
                <w:p w14:paraId="43DFCE5E">
                  <w:pPr>
                    <w:pStyle w:val="70"/>
                    <w:rPr>
                      <w:b/>
                      <w:bCs/>
                      <w:color w:val="auto"/>
                      <w:u w:val="none" w:color="auto"/>
                    </w:rPr>
                  </w:pPr>
                  <w:r>
                    <w:rPr>
                      <w:b/>
                      <w:bCs/>
                      <w:color w:val="auto"/>
                      <w:u w:val="none" w:color="auto"/>
                    </w:rPr>
                    <w:t>现状</w:t>
                  </w:r>
                </w:p>
                <w:p w14:paraId="2625B834">
                  <w:pPr>
                    <w:pStyle w:val="70"/>
                    <w:rPr>
                      <w:b/>
                      <w:bCs/>
                      <w:color w:val="auto"/>
                      <w:u w:val="none" w:color="auto"/>
                    </w:rPr>
                  </w:pPr>
                  <w:r>
                    <w:rPr>
                      <w:b/>
                      <w:bCs/>
                      <w:color w:val="auto"/>
                      <w:u w:val="none" w:color="auto"/>
                    </w:rPr>
                    <w:t>浓度</w:t>
                  </w:r>
                </w:p>
              </w:tc>
              <w:tc>
                <w:tcPr>
                  <w:tcW w:w="1075" w:type="dxa"/>
                  <w:tcBorders>
                    <w:tl2br w:val="nil"/>
                    <w:tr2bl w:val="nil"/>
                  </w:tcBorders>
                  <w:tcMar>
                    <w:top w:w="0" w:type="dxa"/>
                    <w:left w:w="108" w:type="dxa"/>
                    <w:bottom w:w="0" w:type="dxa"/>
                    <w:right w:w="108" w:type="dxa"/>
                  </w:tcMar>
                  <w:vAlign w:val="center"/>
                </w:tcPr>
                <w:p w14:paraId="24AFD821">
                  <w:pPr>
                    <w:pStyle w:val="70"/>
                    <w:rPr>
                      <w:b/>
                      <w:bCs/>
                      <w:color w:val="auto"/>
                      <w:u w:val="none" w:color="auto"/>
                    </w:rPr>
                  </w:pPr>
                  <w:r>
                    <w:rPr>
                      <w:b/>
                      <w:bCs/>
                      <w:color w:val="auto"/>
                      <w:u w:val="none" w:color="auto"/>
                    </w:rPr>
                    <w:t>标准值</w:t>
                  </w:r>
                </w:p>
              </w:tc>
              <w:tc>
                <w:tcPr>
                  <w:tcW w:w="1105" w:type="dxa"/>
                  <w:tcBorders>
                    <w:tl2br w:val="nil"/>
                    <w:tr2bl w:val="nil"/>
                  </w:tcBorders>
                  <w:tcMar>
                    <w:top w:w="0" w:type="dxa"/>
                    <w:left w:w="108" w:type="dxa"/>
                    <w:bottom w:w="0" w:type="dxa"/>
                    <w:right w:w="108" w:type="dxa"/>
                  </w:tcMar>
                  <w:vAlign w:val="center"/>
                </w:tcPr>
                <w:p w14:paraId="2617F6EF">
                  <w:pPr>
                    <w:pStyle w:val="70"/>
                    <w:rPr>
                      <w:b/>
                      <w:bCs/>
                      <w:color w:val="auto"/>
                      <w:u w:val="none" w:color="auto"/>
                    </w:rPr>
                  </w:pPr>
                  <w:r>
                    <w:rPr>
                      <w:b/>
                      <w:bCs/>
                      <w:color w:val="auto"/>
                      <w:u w:val="none" w:color="auto"/>
                    </w:rPr>
                    <w:t>占标率%</w:t>
                  </w:r>
                </w:p>
              </w:tc>
              <w:tc>
                <w:tcPr>
                  <w:tcW w:w="1120" w:type="dxa"/>
                  <w:tcBorders>
                    <w:tl2br w:val="nil"/>
                    <w:tr2bl w:val="nil"/>
                  </w:tcBorders>
                  <w:tcMar>
                    <w:top w:w="0" w:type="dxa"/>
                    <w:left w:w="108" w:type="dxa"/>
                    <w:bottom w:w="0" w:type="dxa"/>
                    <w:right w:w="108" w:type="dxa"/>
                  </w:tcMar>
                  <w:vAlign w:val="center"/>
                </w:tcPr>
                <w:p w14:paraId="59AC099D">
                  <w:pPr>
                    <w:pStyle w:val="70"/>
                    <w:rPr>
                      <w:b/>
                      <w:bCs/>
                      <w:color w:val="auto"/>
                      <w:u w:val="none" w:color="auto"/>
                    </w:rPr>
                  </w:pPr>
                  <w:r>
                    <w:rPr>
                      <w:b/>
                      <w:bCs/>
                      <w:color w:val="auto"/>
                      <w:u w:val="none" w:color="auto"/>
                    </w:rPr>
                    <w:t>达标情况</w:t>
                  </w:r>
                </w:p>
              </w:tc>
            </w:tr>
            <w:tr w14:paraId="50733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B8B85F9">
                  <w:pPr>
                    <w:pStyle w:val="70"/>
                    <w:rPr>
                      <w:color w:val="auto"/>
                      <w:u w:val="none" w:color="auto"/>
                    </w:rPr>
                  </w:pPr>
                  <w:r>
                    <w:rPr>
                      <w:bCs/>
                      <w:color w:val="auto"/>
                      <w:szCs w:val="21"/>
                      <w:u w:val="none" w:color="auto"/>
                    </w:rPr>
                    <w:t>PM</w:t>
                  </w:r>
                  <w:r>
                    <w:rPr>
                      <w:bCs/>
                      <w:color w:val="auto"/>
                      <w:szCs w:val="21"/>
                      <w:u w:val="none" w:color="auto"/>
                      <w:vertAlign w:val="subscript"/>
                    </w:rPr>
                    <w:t>2.5</w:t>
                  </w:r>
                </w:p>
              </w:tc>
              <w:tc>
                <w:tcPr>
                  <w:tcW w:w="2805" w:type="dxa"/>
                  <w:tcBorders>
                    <w:tl2br w:val="nil"/>
                    <w:tr2bl w:val="nil"/>
                  </w:tcBorders>
                  <w:tcMar>
                    <w:top w:w="0" w:type="dxa"/>
                    <w:left w:w="108" w:type="dxa"/>
                    <w:bottom w:w="0" w:type="dxa"/>
                    <w:right w:w="108" w:type="dxa"/>
                  </w:tcMar>
                  <w:vAlign w:val="center"/>
                </w:tcPr>
                <w:p w14:paraId="6D7A9451">
                  <w:pPr>
                    <w:pStyle w:val="70"/>
                    <w:rPr>
                      <w:color w:val="auto"/>
                      <w:u w:val="none" w:color="auto"/>
                    </w:rPr>
                  </w:pPr>
                  <w:r>
                    <w:rPr>
                      <w:color w:val="auto"/>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2938B298">
                  <w:pPr>
                    <w:pStyle w:val="70"/>
                    <w:ind w:firstLine="0" w:firstLineChars="0"/>
                    <w:rPr>
                      <w:rFonts w:hint="default" w:eastAsia="宋体"/>
                      <w:color w:val="auto"/>
                      <w:u w:val="none" w:color="auto"/>
                      <w:lang w:val="en-US" w:eastAsia="zh-CN"/>
                    </w:rPr>
                  </w:pPr>
                  <w:r>
                    <w:rPr>
                      <w:color w:val="auto"/>
                      <w:u w:val="none" w:color="auto"/>
                    </w:rPr>
                    <w:t>3</w:t>
                  </w:r>
                  <w:r>
                    <w:rPr>
                      <w:rFonts w:hint="eastAsia"/>
                      <w:color w:val="auto"/>
                      <w:u w:val="none" w:color="auto"/>
                      <w:lang w:val="en-US" w:eastAsia="zh-CN"/>
                    </w:rPr>
                    <w:t>4</w:t>
                  </w:r>
                </w:p>
              </w:tc>
              <w:tc>
                <w:tcPr>
                  <w:tcW w:w="1075" w:type="dxa"/>
                  <w:tcBorders>
                    <w:tl2br w:val="nil"/>
                    <w:tr2bl w:val="nil"/>
                  </w:tcBorders>
                  <w:tcMar>
                    <w:top w:w="0" w:type="dxa"/>
                    <w:left w:w="108" w:type="dxa"/>
                    <w:bottom w:w="0" w:type="dxa"/>
                    <w:right w:w="108" w:type="dxa"/>
                  </w:tcMar>
                  <w:vAlign w:val="center"/>
                </w:tcPr>
                <w:p w14:paraId="6D41EC51">
                  <w:pPr>
                    <w:pStyle w:val="70"/>
                    <w:ind w:firstLine="0" w:firstLineChars="0"/>
                    <w:rPr>
                      <w:color w:val="auto"/>
                      <w:u w:val="none" w:color="auto"/>
                    </w:rPr>
                  </w:pPr>
                  <w:r>
                    <w:rPr>
                      <w:color w:val="auto"/>
                      <w:szCs w:val="21"/>
                      <w:u w:val="none" w:color="auto"/>
                    </w:rPr>
                    <w:t>35</w:t>
                  </w:r>
                </w:p>
              </w:tc>
              <w:tc>
                <w:tcPr>
                  <w:tcW w:w="1105" w:type="dxa"/>
                  <w:tcBorders>
                    <w:tl2br w:val="nil"/>
                    <w:tr2bl w:val="nil"/>
                  </w:tcBorders>
                  <w:tcMar>
                    <w:top w:w="0" w:type="dxa"/>
                    <w:left w:w="108" w:type="dxa"/>
                    <w:bottom w:w="0" w:type="dxa"/>
                    <w:right w:w="108" w:type="dxa"/>
                  </w:tcMar>
                  <w:vAlign w:val="center"/>
                </w:tcPr>
                <w:p w14:paraId="4E391B3E">
                  <w:pPr>
                    <w:pStyle w:val="70"/>
                    <w:ind w:firstLine="0" w:firstLineChars="0"/>
                    <w:rPr>
                      <w:rFonts w:hint="default" w:eastAsia="宋体"/>
                      <w:color w:val="auto"/>
                      <w:u w:val="none" w:color="auto"/>
                      <w:lang w:val="en-US" w:eastAsia="zh-CN"/>
                    </w:rPr>
                  </w:pPr>
                  <w:r>
                    <w:rPr>
                      <w:color w:val="auto"/>
                      <w:u w:val="none" w:color="auto"/>
                    </w:rPr>
                    <w:t>9</w:t>
                  </w:r>
                  <w:r>
                    <w:rPr>
                      <w:rFonts w:hint="eastAsia"/>
                      <w:color w:val="auto"/>
                      <w:u w:val="none" w:color="auto"/>
                      <w:lang w:val="en-US" w:eastAsia="zh-CN"/>
                    </w:rPr>
                    <w:t>7.1</w:t>
                  </w:r>
                </w:p>
              </w:tc>
              <w:tc>
                <w:tcPr>
                  <w:tcW w:w="1120" w:type="dxa"/>
                  <w:tcBorders>
                    <w:tl2br w:val="nil"/>
                    <w:tr2bl w:val="nil"/>
                  </w:tcBorders>
                  <w:tcMar>
                    <w:top w:w="0" w:type="dxa"/>
                    <w:left w:w="108" w:type="dxa"/>
                    <w:bottom w:w="0" w:type="dxa"/>
                    <w:right w:w="108" w:type="dxa"/>
                  </w:tcMar>
                  <w:vAlign w:val="center"/>
                </w:tcPr>
                <w:p w14:paraId="339BBE86">
                  <w:pPr>
                    <w:pStyle w:val="70"/>
                    <w:rPr>
                      <w:color w:val="auto"/>
                      <w:u w:val="none" w:color="auto"/>
                    </w:rPr>
                  </w:pPr>
                  <w:r>
                    <w:rPr>
                      <w:color w:val="auto"/>
                      <w:u w:val="none" w:color="auto"/>
                    </w:rPr>
                    <w:t>是</w:t>
                  </w:r>
                </w:p>
              </w:tc>
            </w:tr>
            <w:tr w14:paraId="39ADB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74B58EA9">
                  <w:pPr>
                    <w:pStyle w:val="70"/>
                    <w:rPr>
                      <w:color w:val="auto"/>
                      <w:u w:val="none" w:color="auto"/>
                    </w:rPr>
                  </w:pPr>
                  <w:r>
                    <w:rPr>
                      <w:color w:val="auto"/>
                      <w:szCs w:val="21"/>
                      <w:u w:val="none" w:color="auto"/>
                    </w:rPr>
                    <w:t>PM</w:t>
                  </w:r>
                  <w:r>
                    <w:rPr>
                      <w:color w:val="auto"/>
                      <w:szCs w:val="21"/>
                      <w:u w:val="none" w:color="auto"/>
                      <w:vertAlign w:val="subscript"/>
                    </w:rPr>
                    <w:t>10</w:t>
                  </w:r>
                </w:p>
              </w:tc>
              <w:tc>
                <w:tcPr>
                  <w:tcW w:w="2805" w:type="dxa"/>
                  <w:tcBorders>
                    <w:tl2br w:val="nil"/>
                    <w:tr2bl w:val="nil"/>
                  </w:tcBorders>
                  <w:tcMar>
                    <w:top w:w="0" w:type="dxa"/>
                    <w:left w:w="108" w:type="dxa"/>
                    <w:bottom w:w="0" w:type="dxa"/>
                    <w:right w:w="108" w:type="dxa"/>
                  </w:tcMar>
                  <w:vAlign w:val="center"/>
                </w:tcPr>
                <w:p w14:paraId="08065CD1">
                  <w:pPr>
                    <w:pStyle w:val="70"/>
                    <w:rPr>
                      <w:color w:val="auto"/>
                      <w:u w:val="none" w:color="auto"/>
                    </w:rPr>
                  </w:pPr>
                  <w:r>
                    <w:rPr>
                      <w:color w:val="auto"/>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3C54F29E">
                  <w:pPr>
                    <w:pStyle w:val="70"/>
                    <w:ind w:firstLine="0" w:firstLineChars="0"/>
                    <w:rPr>
                      <w:rFonts w:hint="default" w:eastAsia="宋体"/>
                      <w:color w:val="auto"/>
                      <w:u w:val="none" w:color="auto"/>
                      <w:lang w:val="en-US" w:eastAsia="zh-CN"/>
                    </w:rPr>
                  </w:pPr>
                  <w:r>
                    <w:rPr>
                      <w:rFonts w:hint="eastAsia"/>
                      <w:color w:val="auto"/>
                      <w:u w:val="none" w:color="auto"/>
                      <w:lang w:val="en-US" w:eastAsia="zh-CN"/>
                    </w:rPr>
                    <w:t>52</w:t>
                  </w:r>
                </w:p>
              </w:tc>
              <w:tc>
                <w:tcPr>
                  <w:tcW w:w="1075" w:type="dxa"/>
                  <w:tcBorders>
                    <w:tl2br w:val="nil"/>
                    <w:tr2bl w:val="nil"/>
                  </w:tcBorders>
                  <w:tcMar>
                    <w:top w:w="0" w:type="dxa"/>
                    <w:left w:w="108" w:type="dxa"/>
                    <w:bottom w:w="0" w:type="dxa"/>
                    <w:right w:w="108" w:type="dxa"/>
                  </w:tcMar>
                  <w:vAlign w:val="center"/>
                </w:tcPr>
                <w:p w14:paraId="4F3DA804">
                  <w:pPr>
                    <w:pStyle w:val="70"/>
                    <w:ind w:firstLine="0" w:firstLineChars="0"/>
                    <w:rPr>
                      <w:color w:val="auto"/>
                      <w:u w:val="none" w:color="auto"/>
                    </w:rPr>
                  </w:pPr>
                  <w:r>
                    <w:rPr>
                      <w:color w:val="auto"/>
                      <w:szCs w:val="21"/>
                      <w:u w:val="none" w:color="auto"/>
                    </w:rPr>
                    <w:t>70</w:t>
                  </w:r>
                </w:p>
              </w:tc>
              <w:tc>
                <w:tcPr>
                  <w:tcW w:w="1105" w:type="dxa"/>
                  <w:tcBorders>
                    <w:tl2br w:val="nil"/>
                    <w:tr2bl w:val="nil"/>
                  </w:tcBorders>
                  <w:tcMar>
                    <w:top w:w="0" w:type="dxa"/>
                    <w:left w:w="108" w:type="dxa"/>
                    <w:bottom w:w="0" w:type="dxa"/>
                    <w:right w:w="108" w:type="dxa"/>
                  </w:tcMar>
                  <w:vAlign w:val="center"/>
                </w:tcPr>
                <w:p w14:paraId="51E9B8A7">
                  <w:pPr>
                    <w:pStyle w:val="70"/>
                    <w:ind w:firstLine="0" w:firstLineChars="0"/>
                    <w:rPr>
                      <w:rFonts w:hint="default" w:eastAsia="宋体"/>
                      <w:color w:val="auto"/>
                      <w:u w:val="none" w:color="auto"/>
                      <w:lang w:val="en-US" w:eastAsia="zh-CN"/>
                    </w:rPr>
                  </w:pPr>
                  <w:r>
                    <w:rPr>
                      <w:rStyle w:val="31"/>
                      <w:rFonts w:hint="eastAsia"/>
                      <w:color w:val="auto"/>
                      <w:kern w:val="0"/>
                      <w:szCs w:val="20"/>
                      <w:u w:val="none" w:color="auto"/>
                      <w:lang w:val="en-US" w:eastAsia="zh-CN"/>
                    </w:rPr>
                    <w:t>74.3</w:t>
                  </w:r>
                </w:p>
              </w:tc>
              <w:tc>
                <w:tcPr>
                  <w:tcW w:w="1120" w:type="dxa"/>
                  <w:tcBorders>
                    <w:tl2br w:val="nil"/>
                    <w:tr2bl w:val="nil"/>
                  </w:tcBorders>
                  <w:tcMar>
                    <w:top w:w="0" w:type="dxa"/>
                    <w:left w:w="108" w:type="dxa"/>
                    <w:bottom w:w="0" w:type="dxa"/>
                    <w:right w:w="108" w:type="dxa"/>
                  </w:tcMar>
                  <w:vAlign w:val="center"/>
                </w:tcPr>
                <w:p w14:paraId="73FC4BF5">
                  <w:pPr>
                    <w:pStyle w:val="70"/>
                    <w:rPr>
                      <w:color w:val="auto"/>
                      <w:u w:val="none" w:color="auto"/>
                    </w:rPr>
                  </w:pPr>
                  <w:r>
                    <w:rPr>
                      <w:color w:val="auto"/>
                      <w:u w:val="none" w:color="auto"/>
                    </w:rPr>
                    <w:t>是</w:t>
                  </w:r>
                </w:p>
              </w:tc>
            </w:tr>
            <w:tr w14:paraId="55D0D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A8BAA5E">
                  <w:pPr>
                    <w:pStyle w:val="70"/>
                    <w:rPr>
                      <w:color w:val="auto"/>
                      <w:u w:val="none" w:color="auto"/>
                    </w:rPr>
                  </w:pPr>
                  <w:r>
                    <w:rPr>
                      <w:color w:val="auto"/>
                      <w:szCs w:val="21"/>
                      <w:u w:val="none" w:color="auto"/>
                    </w:rPr>
                    <w:t>SO</w:t>
                  </w:r>
                  <w:r>
                    <w:rPr>
                      <w:color w:val="auto"/>
                      <w:szCs w:val="21"/>
                      <w:u w:val="none" w:color="auto"/>
                      <w:vertAlign w:val="subscript"/>
                    </w:rPr>
                    <w:t>2</w:t>
                  </w:r>
                </w:p>
              </w:tc>
              <w:tc>
                <w:tcPr>
                  <w:tcW w:w="2805" w:type="dxa"/>
                  <w:tcBorders>
                    <w:tl2br w:val="nil"/>
                    <w:tr2bl w:val="nil"/>
                  </w:tcBorders>
                  <w:tcMar>
                    <w:top w:w="0" w:type="dxa"/>
                    <w:left w:w="108" w:type="dxa"/>
                    <w:bottom w:w="0" w:type="dxa"/>
                    <w:right w:w="108" w:type="dxa"/>
                  </w:tcMar>
                  <w:vAlign w:val="center"/>
                </w:tcPr>
                <w:p w14:paraId="370B1A3E">
                  <w:pPr>
                    <w:pStyle w:val="70"/>
                    <w:rPr>
                      <w:color w:val="auto"/>
                      <w:u w:val="none" w:color="auto"/>
                    </w:rPr>
                  </w:pPr>
                  <w:r>
                    <w:rPr>
                      <w:color w:val="auto"/>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64EB1024">
                  <w:pPr>
                    <w:pStyle w:val="70"/>
                    <w:ind w:firstLine="0" w:firstLineChars="0"/>
                    <w:rPr>
                      <w:rFonts w:hint="eastAsia" w:eastAsia="宋体"/>
                      <w:color w:val="auto"/>
                      <w:u w:val="none" w:color="auto"/>
                      <w:lang w:eastAsia="zh-CN"/>
                    </w:rPr>
                  </w:pPr>
                  <w:r>
                    <w:rPr>
                      <w:color w:val="auto"/>
                      <w:u w:val="none" w:color="auto"/>
                    </w:rPr>
                    <w:t>7</w:t>
                  </w:r>
                </w:p>
              </w:tc>
              <w:tc>
                <w:tcPr>
                  <w:tcW w:w="1075" w:type="dxa"/>
                  <w:tcBorders>
                    <w:tl2br w:val="nil"/>
                    <w:tr2bl w:val="nil"/>
                  </w:tcBorders>
                  <w:tcMar>
                    <w:top w:w="0" w:type="dxa"/>
                    <w:left w:w="108" w:type="dxa"/>
                    <w:bottom w:w="0" w:type="dxa"/>
                    <w:right w:w="108" w:type="dxa"/>
                  </w:tcMar>
                  <w:vAlign w:val="center"/>
                </w:tcPr>
                <w:p w14:paraId="222CA0BB">
                  <w:pPr>
                    <w:pStyle w:val="70"/>
                    <w:ind w:firstLine="0" w:firstLineChars="0"/>
                    <w:rPr>
                      <w:color w:val="auto"/>
                      <w:u w:val="none" w:color="auto"/>
                    </w:rPr>
                  </w:pPr>
                  <w:r>
                    <w:rPr>
                      <w:color w:val="auto"/>
                      <w:szCs w:val="21"/>
                      <w:u w:val="none" w:color="auto"/>
                    </w:rPr>
                    <w:t>60</w:t>
                  </w:r>
                </w:p>
              </w:tc>
              <w:tc>
                <w:tcPr>
                  <w:tcW w:w="1105" w:type="dxa"/>
                  <w:tcBorders>
                    <w:tl2br w:val="nil"/>
                    <w:tr2bl w:val="nil"/>
                  </w:tcBorders>
                  <w:tcMar>
                    <w:top w:w="0" w:type="dxa"/>
                    <w:left w:w="108" w:type="dxa"/>
                    <w:bottom w:w="0" w:type="dxa"/>
                    <w:right w:w="108" w:type="dxa"/>
                  </w:tcMar>
                  <w:vAlign w:val="center"/>
                </w:tcPr>
                <w:p w14:paraId="346E0E1E">
                  <w:pPr>
                    <w:pStyle w:val="70"/>
                    <w:ind w:firstLine="0" w:firstLineChars="0"/>
                    <w:rPr>
                      <w:rFonts w:hint="default" w:eastAsia="宋体"/>
                      <w:color w:val="auto"/>
                      <w:u w:val="none" w:color="auto"/>
                      <w:lang w:val="en-US" w:eastAsia="zh-CN"/>
                    </w:rPr>
                  </w:pPr>
                  <w:r>
                    <w:rPr>
                      <w:color w:val="auto"/>
                      <w:u w:val="none" w:color="auto"/>
                    </w:rPr>
                    <w:t>11.7</w:t>
                  </w:r>
                </w:p>
              </w:tc>
              <w:tc>
                <w:tcPr>
                  <w:tcW w:w="1120" w:type="dxa"/>
                  <w:tcBorders>
                    <w:tl2br w:val="nil"/>
                    <w:tr2bl w:val="nil"/>
                  </w:tcBorders>
                  <w:tcMar>
                    <w:top w:w="0" w:type="dxa"/>
                    <w:left w:w="108" w:type="dxa"/>
                    <w:bottom w:w="0" w:type="dxa"/>
                    <w:right w:w="108" w:type="dxa"/>
                  </w:tcMar>
                  <w:vAlign w:val="center"/>
                </w:tcPr>
                <w:p w14:paraId="6D804C2D">
                  <w:pPr>
                    <w:pStyle w:val="70"/>
                    <w:rPr>
                      <w:color w:val="auto"/>
                      <w:u w:val="none" w:color="auto"/>
                    </w:rPr>
                  </w:pPr>
                  <w:r>
                    <w:rPr>
                      <w:color w:val="auto"/>
                      <w:u w:val="none" w:color="auto"/>
                    </w:rPr>
                    <w:t>是</w:t>
                  </w:r>
                </w:p>
              </w:tc>
            </w:tr>
            <w:tr w14:paraId="3AD4C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0A404E48">
                  <w:pPr>
                    <w:pStyle w:val="70"/>
                    <w:rPr>
                      <w:color w:val="auto"/>
                      <w:u w:val="none" w:color="auto"/>
                    </w:rPr>
                  </w:pPr>
                  <w:r>
                    <w:rPr>
                      <w:color w:val="auto"/>
                      <w:szCs w:val="21"/>
                      <w:u w:val="none" w:color="auto"/>
                    </w:rPr>
                    <w:t>NO</w:t>
                  </w:r>
                  <w:r>
                    <w:rPr>
                      <w:color w:val="auto"/>
                      <w:szCs w:val="21"/>
                      <w:u w:val="none" w:color="auto"/>
                      <w:vertAlign w:val="subscript"/>
                    </w:rPr>
                    <w:t>2</w:t>
                  </w:r>
                </w:p>
              </w:tc>
              <w:tc>
                <w:tcPr>
                  <w:tcW w:w="2805" w:type="dxa"/>
                  <w:tcBorders>
                    <w:tl2br w:val="nil"/>
                    <w:tr2bl w:val="nil"/>
                  </w:tcBorders>
                  <w:tcMar>
                    <w:top w:w="0" w:type="dxa"/>
                    <w:left w:w="108" w:type="dxa"/>
                    <w:bottom w:w="0" w:type="dxa"/>
                    <w:right w:w="108" w:type="dxa"/>
                  </w:tcMar>
                  <w:vAlign w:val="center"/>
                </w:tcPr>
                <w:p w14:paraId="1F9B35EF">
                  <w:pPr>
                    <w:pStyle w:val="70"/>
                    <w:rPr>
                      <w:color w:val="auto"/>
                      <w:u w:val="none" w:color="auto"/>
                    </w:rPr>
                  </w:pPr>
                  <w:r>
                    <w:rPr>
                      <w:color w:val="auto"/>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40192EBD">
                  <w:pPr>
                    <w:pStyle w:val="70"/>
                    <w:ind w:firstLine="0" w:firstLineChars="0"/>
                    <w:rPr>
                      <w:rFonts w:hint="eastAsia" w:eastAsia="宋体"/>
                      <w:color w:val="auto"/>
                      <w:u w:val="none" w:color="auto"/>
                      <w:lang w:val="en-US" w:eastAsia="zh-CN"/>
                    </w:rPr>
                  </w:pPr>
                  <w:r>
                    <w:rPr>
                      <w:color w:val="auto"/>
                      <w:u w:val="none" w:color="auto"/>
                    </w:rPr>
                    <w:t>13</w:t>
                  </w:r>
                </w:p>
              </w:tc>
              <w:tc>
                <w:tcPr>
                  <w:tcW w:w="1075" w:type="dxa"/>
                  <w:tcBorders>
                    <w:tl2br w:val="nil"/>
                    <w:tr2bl w:val="nil"/>
                  </w:tcBorders>
                  <w:tcMar>
                    <w:top w:w="0" w:type="dxa"/>
                    <w:left w:w="108" w:type="dxa"/>
                    <w:bottom w:w="0" w:type="dxa"/>
                    <w:right w:w="108" w:type="dxa"/>
                  </w:tcMar>
                  <w:vAlign w:val="center"/>
                </w:tcPr>
                <w:p w14:paraId="1B257815">
                  <w:pPr>
                    <w:pStyle w:val="70"/>
                    <w:ind w:firstLine="0" w:firstLineChars="0"/>
                    <w:rPr>
                      <w:color w:val="auto"/>
                      <w:u w:val="none" w:color="auto"/>
                    </w:rPr>
                  </w:pPr>
                  <w:r>
                    <w:rPr>
                      <w:color w:val="auto"/>
                      <w:szCs w:val="21"/>
                      <w:u w:val="none" w:color="auto"/>
                    </w:rPr>
                    <w:t>40</w:t>
                  </w:r>
                </w:p>
              </w:tc>
              <w:tc>
                <w:tcPr>
                  <w:tcW w:w="1105" w:type="dxa"/>
                  <w:tcBorders>
                    <w:tl2br w:val="nil"/>
                    <w:tr2bl w:val="nil"/>
                  </w:tcBorders>
                  <w:tcMar>
                    <w:top w:w="0" w:type="dxa"/>
                    <w:left w:w="108" w:type="dxa"/>
                    <w:bottom w:w="0" w:type="dxa"/>
                    <w:right w:w="108" w:type="dxa"/>
                  </w:tcMar>
                  <w:vAlign w:val="center"/>
                </w:tcPr>
                <w:p w14:paraId="511E80DB">
                  <w:pPr>
                    <w:pStyle w:val="70"/>
                    <w:ind w:firstLine="0" w:firstLineChars="0"/>
                    <w:rPr>
                      <w:rFonts w:hint="default" w:eastAsia="宋体"/>
                      <w:color w:val="auto"/>
                      <w:u w:val="none" w:color="auto"/>
                      <w:lang w:val="en-US" w:eastAsia="zh-CN"/>
                    </w:rPr>
                  </w:pPr>
                  <w:r>
                    <w:rPr>
                      <w:color w:val="auto"/>
                      <w:u w:val="none" w:color="auto"/>
                    </w:rPr>
                    <w:t>32.5</w:t>
                  </w:r>
                </w:p>
              </w:tc>
              <w:tc>
                <w:tcPr>
                  <w:tcW w:w="1120" w:type="dxa"/>
                  <w:tcBorders>
                    <w:tl2br w:val="nil"/>
                    <w:tr2bl w:val="nil"/>
                  </w:tcBorders>
                  <w:tcMar>
                    <w:top w:w="0" w:type="dxa"/>
                    <w:left w:w="108" w:type="dxa"/>
                    <w:bottom w:w="0" w:type="dxa"/>
                    <w:right w:w="108" w:type="dxa"/>
                  </w:tcMar>
                  <w:vAlign w:val="center"/>
                </w:tcPr>
                <w:p w14:paraId="36D4A246">
                  <w:pPr>
                    <w:pStyle w:val="70"/>
                    <w:rPr>
                      <w:color w:val="auto"/>
                      <w:u w:val="none" w:color="auto"/>
                    </w:rPr>
                  </w:pPr>
                  <w:r>
                    <w:rPr>
                      <w:color w:val="auto"/>
                      <w:u w:val="none" w:color="auto"/>
                    </w:rPr>
                    <w:t>是</w:t>
                  </w:r>
                </w:p>
              </w:tc>
            </w:tr>
            <w:tr w14:paraId="700BD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D6321A7">
                  <w:pPr>
                    <w:pStyle w:val="70"/>
                    <w:rPr>
                      <w:color w:val="auto"/>
                      <w:u w:val="none" w:color="auto"/>
                    </w:rPr>
                  </w:pPr>
                  <w:r>
                    <w:rPr>
                      <w:bCs/>
                      <w:color w:val="auto"/>
                      <w:szCs w:val="21"/>
                      <w:u w:val="none" w:color="auto"/>
                    </w:rPr>
                    <w:t>CO</w:t>
                  </w:r>
                </w:p>
              </w:tc>
              <w:tc>
                <w:tcPr>
                  <w:tcW w:w="2805" w:type="dxa"/>
                  <w:tcBorders>
                    <w:tl2br w:val="nil"/>
                    <w:tr2bl w:val="nil"/>
                  </w:tcBorders>
                  <w:tcMar>
                    <w:top w:w="0" w:type="dxa"/>
                    <w:left w:w="108" w:type="dxa"/>
                    <w:bottom w:w="0" w:type="dxa"/>
                    <w:right w:w="108" w:type="dxa"/>
                  </w:tcMar>
                  <w:vAlign w:val="center"/>
                </w:tcPr>
                <w:p w14:paraId="5A05DAE2">
                  <w:pPr>
                    <w:pStyle w:val="70"/>
                    <w:rPr>
                      <w:color w:val="auto"/>
                      <w:u w:val="none" w:color="auto"/>
                    </w:rPr>
                  </w:pPr>
                  <w:r>
                    <w:rPr>
                      <w:color w:val="auto"/>
                      <w:u w:val="none" w:color="auto"/>
                    </w:rPr>
                    <w:t>第95百分位数24h平均质量浓度</w:t>
                  </w:r>
                </w:p>
              </w:tc>
              <w:tc>
                <w:tcPr>
                  <w:tcW w:w="1018" w:type="dxa"/>
                  <w:tcBorders>
                    <w:tl2br w:val="nil"/>
                    <w:tr2bl w:val="nil"/>
                  </w:tcBorders>
                  <w:tcMar>
                    <w:top w:w="0" w:type="dxa"/>
                    <w:left w:w="108" w:type="dxa"/>
                    <w:bottom w:w="0" w:type="dxa"/>
                    <w:right w:w="108" w:type="dxa"/>
                  </w:tcMar>
                  <w:vAlign w:val="center"/>
                </w:tcPr>
                <w:p w14:paraId="3835FB7E">
                  <w:pPr>
                    <w:pStyle w:val="70"/>
                    <w:ind w:firstLine="0" w:firstLineChars="0"/>
                    <w:rPr>
                      <w:rFonts w:hint="default" w:eastAsia="宋体"/>
                      <w:color w:val="auto"/>
                      <w:u w:val="none" w:color="auto"/>
                      <w:lang w:val="en-US" w:eastAsia="zh-CN"/>
                    </w:rPr>
                  </w:pPr>
                  <w:r>
                    <w:rPr>
                      <w:color w:val="auto"/>
                      <w:u w:val="none" w:color="auto"/>
                    </w:rPr>
                    <w:t>1000</w:t>
                  </w:r>
                </w:p>
              </w:tc>
              <w:tc>
                <w:tcPr>
                  <w:tcW w:w="1075" w:type="dxa"/>
                  <w:tcBorders>
                    <w:tl2br w:val="nil"/>
                    <w:tr2bl w:val="nil"/>
                  </w:tcBorders>
                  <w:tcMar>
                    <w:top w:w="0" w:type="dxa"/>
                    <w:left w:w="108" w:type="dxa"/>
                    <w:bottom w:w="0" w:type="dxa"/>
                    <w:right w:w="108" w:type="dxa"/>
                  </w:tcMar>
                  <w:vAlign w:val="center"/>
                </w:tcPr>
                <w:p w14:paraId="1D83F80B">
                  <w:pPr>
                    <w:pStyle w:val="70"/>
                    <w:ind w:firstLine="0" w:firstLineChars="0"/>
                    <w:rPr>
                      <w:color w:val="auto"/>
                      <w:u w:val="none" w:color="auto"/>
                    </w:rPr>
                  </w:pPr>
                  <w:r>
                    <w:rPr>
                      <w:color w:val="auto"/>
                      <w:szCs w:val="21"/>
                      <w:u w:val="none" w:color="auto"/>
                    </w:rPr>
                    <w:t>4000</w:t>
                  </w:r>
                </w:p>
              </w:tc>
              <w:tc>
                <w:tcPr>
                  <w:tcW w:w="1105" w:type="dxa"/>
                  <w:tcBorders>
                    <w:tl2br w:val="nil"/>
                    <w:tr2bl w:val="nil"/>
                  </w:tcBorders>
                  <w:tcMar>
                    <w:top w:w="0" w:type="dxa"/>
                    <w:left w:w="108" w:type="dxa"/>
                    <w:bottom w:w="0" w:type="dxa"/>
                    <w:right w:w="108" w:type="dxa"/>
                  </w:tcMar>
                  <w:vAlign w:val="center"/>
                </w:tcPr>
                <w:p w14:paraId="7ECC25F1">
                  <w:pPr>
                    <w:pStyle w:val="70"/>
                    <w:ind w:firstLine="0" w:firstLineChars="0"/>
                    <w:rPr>
                      <w:rFonts w:hint="default" w:eastAsia="宋体"/>
                      <w:color w:val="auto"/>
                      <w:u w:val="none" w:color="auto"/>
                      <w:lang w:val="en-US" w:eastAsia="zh-CN"/>
                    </w:rPr>
                  </w:pPr>
                  <w:r>
                    <w:rPr>
                      <w:color w:val="auto"/>
                      <w:u w:val="none" w:color="auto"/>
                    </w:rPr>
                    <w:t>25.0</w:t>
                  </w:r>
                </w:p>
              </w:tc>
              <w:tc>
                <w:tcPr>
                  <w:tcW w:w="1120" w:type="dxa"/>
                  <w:tcBorders>
                    <w:tl2br w:val="nil"/>
                    <w:tr2bl w:val="nil"/>
                  </w:tcBorders>
                  <w:tcMar>
                    <w:top w:w="0" w:type="dxa"/>
                    <w:left w:w="108" w:type="dxa"/>
                    <w:bottom w:w="0" w:type="dxa"/>
                    <w:right w:w="108" w:type="dxa"/>
                  </w:tcMar>
                  <w:vAlign w:val="center"/>
                </w:tcPr>
                <w:p w14:paraId="71C9EF23">
                  <w:pPr>
                    <w:pStyle w:val="70"/>
                    <w:rPr>
                      <w:color w:val="auto"/>
                      <w:u w:val="none" w:color="auto"/>
                    </w:rPr>
                  </w:pPr>
                  <w:r>
                    <w:rPr>
                      <w:color w:val="auto"/>
                      <w:u w:val="none" w:color="auto"/>
                    </w:rPr>
                    <w:t>是</w:t>
                  </w:r>
                </w:p>
              </w:tc>
            </w:tr>
            <w:tr w14:paraId="1B7AC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5D17E31D">
                  <w:pPr>
                    <w:pStyle w:val="70"/>
                    <w:rPr>
                      <w:color w:val="auto"/>
                      <w:u w:val="none" w:color="auto"/>
                    </w:rPr>
                  </w:pPr>
                  <w:r>
                    <w:rPr>
                      <w:bCs/>
                      <w:color w:val="auto"/>
                      <w:szCs w:val="21"/>
                      <w:u w:val="none" w:color="auto"/>
                    </w:rPr>
                    <w:t>O</w:t>
                  </w:r>
                  <w:r>
                    <w:rPr>
                      <w:bCs/>
                      <w:color w:val="auto"/>
                      <w:szCs w:val="21"/>
                      <w:u w:val="none" w:color="auto"/>
                      <w:vertAlign w:val="subscript"/>
                    </w:rPr>
                    <w:t>3</w:t>
                  </w:r>
                </w:p>
              </w:tc>
              <w:tc>
                <w:tcPr>
                  <w:tcW w:w="2805" w:type="dxa"/>
                  <w:tcBorders>
                    <w:tl2br w:val="nil"/>
                    <w:tr2bl w:val="nil"/>
                  </w:tcBorders>
                  <w:tcMar>
                    <w:top w:w="0" w:type="dxa"/>
                    <w:left w:w="108" w:type="dxa"/>
                    <w:bottom w:w="0" w:type="dxa"/>
                    <w:right w:w="108" w:type="dxa"/>
                  </w:tcMar>
                  <w:vAlign w:val="center"/>
                </w:tcPr>
                <w:p w14:paraId="5EC4F28F">
                  <w:pPr>
                    <w:pStyle w:val="70"/>
                    <w:rPr>
                      <w:color w:val="auto"/>
                      <w:u w:val="none" w:color="auto"/>
                    </w:rPr>
                  </w:pPr>
                  <w:r>
                    <w:rPr>
                      <w:color w:val="auto"/>
                      <w:u w:val="none" w:color="auto"/>
                    </w:rPr>
                    <w:t>第90百分位数最大8h平均质量浓度</w:t>
                  </w:r>
                </w:p>
              </w:tc>
              <w:tc>
                <w:tcPr>
                  <w:tcW w:w="1018" w:type="dxa"/>
                  <w:tcBorders>
                    <w:tl2br w:val="nil"/>
                    <w:tr2bl w:val="nil"/>
                  </w:tcBorders>
                  <w:tcMar>
                    <w:top w:w="0" w:type="dxa"/>
                    <w:left w:w="108" w:type="dxa"/>
                    <w:bottom w:w="0" w:type="dxa"/>
                    <w:right w:w="108" w:type="dxa"/>
                  </w:tcMar>
                  <w:vAlign w:val="center"/>
                </w:tcPr>
                <w:p w14:paraId="6BA740D4">
                  <w:pPr>
                    <w:pStyle w:val="70"/>
                    <w:ind w:firstLine="0" w:firstLineChars="0"/>
                    <w:rPr>
                      <w:rFonts w:hint="default" w:eastAsia="宋体"/>
                      <w:color w:val="auto"/>
                      <w:u w:val="none" w:color="auto"/>
                      <w:lang w:val="en-US" w:eastAsia="zh-CN"/>
                    </w:rPr>
                  </w:pPr>
                  <w:r>
                    <w:rPr>
                      <w:color w:val="auto"/>
                      <w:u w:val="none" w:color="auto"/>
                    </w:rPr>
                    <w:t>1</w:t>
                  </w:r>
                  <w:r>
                    <w:rPr>
                      <w:rFonts w:hint="eastAsia"/>
                      <w:color w:val="auto"/>
                      <w:u w:val="none" w:color="auto"/>
                      <w:lang w:val="en-US" w:eastAsia="zh-CN"/>
                    </w:rPr>
                    <w:t>44</w:t>
                  </w:r>
                </w:p>
              </w:tc>
              <w:tc>
                <w:tcPr>
                  <w:tcW w:w="1075" w:type="dxa"/>
                  <w:tcBorders>
                    <w:tl2br w:val="nil"/>
                    <w:tr2bl w:val="nil"/>
                  </w:tcBorders>
                  <w:tcMar>
                    <w:top w:w="0" w:type="dxa"/>
                    <w:left w:w="108" w:type="dxa"/>
                    <w:bottom w:w="0" w:type="dxa"/>
                    <w:right w:w="108" w:type="dxa"/>
                  </w:tcMar>
                  <w:vAlign w:val="center"/>
                </w:tcPr>
                <w:p w14:paraId="3C188C7C">
                  <w:pPr>
                    <w:pStyle w:val="70"/>
                    <w:ind w:firstLine="0" w:firstLineChars="0"/>
                    <w:rPr>
                      <w:color w:val="auto"/>
                      <w:u w:val="none" w:color="auto"/>
                    </w:rPr>
                  </w:pPr>
                  <w:r>
                    <w:rPr>
                      <w:color w:val="auto"/>
                      <w:szCs w:val="21"/>
                      <w:u w:val="none" w:color="auto"/>
                    </w:rPr>
                    <w:t>160</w:t>
                  </w:r>
                </w:p>
              </w:tc>
              <w:tc>
                <w:tcPr>
                  <w:tcW w:w="1105" w:type="dxa"/>
                  <w:tcBorders>
                    <w:tl2br w:val="nil"/>
                    <w:tr2bl w:val="nil"/>
                  </w:tcBorders>
                  <w:tcMar>
                    <w:top w:w="0" w:type="dxa"/>
                    <w:left w:w="108" w:type="dxa"/>
                    <w:bottom w:w="0" w:type="dxa"/>
                    <w:right w:w="108" w:type="dxa"/>
                  </w:tcMar>
                  <w:vAlign w:val="center"/>
                </w:tcPr>
                <w:p w14:paraId="6A3813CB">
                  <w:pPr>
                    <w:pStyle w:val="70"/>
                    <w:ind w:firstLine="0" w:firstLineChars="0"/>
                    <w:rPr>
                      <w:rFonts w:hint="default" w:eastAsia="宋体"/>
                      <w:color w:val="auto"/>
                      <w:u w:val="none" w:color="auto"/>
                      <w:lang w:val="en-US" w:eastAsia="zh-CN"/>
                    </w:rPr>
                  </w:pPr>
                  <w:r>
                    <w:rPr>
                      <w:rFonts w:hint="eastAsia"/>
                      <w:color w:val="auto"/>
                      <w:u w:val="none" w:color="auto"/>
                      <w:lang w:val="en-US" w:eastAsia="zh-CN"/>
                    </w:rPr>
                    <w:t>9</w:t>
                  </w:r>
                  <w:r>
                    <w:rPr>
                      <w:color w:val="auto"/>
                      <w:u w:val="none" w:color="auto"/>
                    </w:rPr>
                    <w:t>0.0</w:t>
                  </w:r>
                </w:p>
              </w:tc>
              <w:tc>
                <w:tcPr>
                  <w:tcW w:w="1120" w:type="dxa"/>
                  <w:tcBorders>
                    <w:tl2br w:val="nil"/>
                    <w:tr2bl w:val="nil"/>
                  </w:tcBorders>
                  <w:tcMar>
                    <w:top w:w="0" w:type="dxa"/>
                    <w:left w:w="108" w:type="dxa"/>
                    <w:bottom w:w="0" w:type="dxa"/>
                    <w:right w:w="108" w:type="dxa"/>
                  </w:tcMar>
                  <w:vAlign w:val="center"/>
                </w:tcPr>
                <w:p w14:paraId="1080ECF0">
                  <w:pPr>
                    <w:pStyle w:val="70"/>
                    <w:rPr>
                      <w:color w:val="auto"/>
                      <w:u w:val="none" w:color="auto"/>
                    </w:rPr>
                  </w:pPr>
                  <w:r>
                    <w:rPr>
                      <w:color w:val="auto"/>
                      <w:u w:val="none" w:color="auto"/>
                    </w:rPr>
                    <w:t>是</w:t>
                  </w:r>
                </w:p>
              </w:tc>
            </w:tr>
          </w:tbl>
          <w:p w14:paraId="15AB0084">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根据上表监测结果分析：项目所在地的PM</w:t>
            </w:r>
            <w:r>
              <w:rPr>
                <w:rFonts w:hint="default" w:ascii="Times New Roman" w:hAnsi="Times New Roman" w:cs="Times New Roman"/>
                <w:color w:val="auto"/>
                <w:u w:val="none" w:color="auto"/>
                <w:vertAlign w:val="subscript"/>
              </w:rPr>
              <w:t>10</w:t>
            </w:r>
            <w:r>
              <w:rPr>
                <w:rFonts w:hint="default" w:ascii="Times New Roman" w:hAnsi="Times New Roman" w:cs="Times New Roman"/>
                <w:color w:val="auto"/>
                <w:u w:val="none" w:color="auto"/>
              </w:rPr>
              <w:t>、PM</w:t>
            </w:r>
            <w:r>
              <w:rPr>
                <w:rFonts w:hint="default" w:ascii="Times New Roman" w:hAnsi="Times New Roman" w:cs="Times New Roman"/>
                <w:color w:val="auto"/>
                <w:u w:val="none" w:color="auto"/>
                <w:vertAlign w:val="subscript"/>
              </w:rPr>
              <w:t>2.5</w:t>
            </w:r>
            <w:r>
              <w:rPr>
                <w:rFonts w:hint="default" w:ascii="Times New Roman" w:hAnsi="Times New Roman" w:cs="Times New Roman"/>
                <w:color w:val="auto"/>
                <w:u w:val="none" w:color="auto"/>
              </w:rPr>
              <w:t>、SO</w:t>
            </w:r>
            <w:r>
              <w:rPr>
                <w:rFonts w:hint="default" w:ascii="Times New Roman" w:hAnsi="Times New Roman" w:cs="Times New Roman"/>
                <w:color w:val="auto"/>
                <w:u w:val="none" w:color="auto"/>
                <w:vertAlign w:val="subscript"/>
              </w:rPr>
              <w:t>2</w:t>
            </w:r>
            <w:r>
              <w:rPr>
                <w:rFonts w:hint="default" w:ascii="Times New Roman" w:hAnsi="Times New Roman" w:cs="Times New Roman"/>
                <w:color w:val="auto"/>
                <w:u w:val="none" w:color="auto"/>
              </w:rPr>
              <w:t>、NO</w:t>
            </w:r>
            <w:r>
              <w:rPr>
                <w:rFonts w:hint="default" w:ascii="Times New Roman" w:hAnsi="Times New Roman" w:cs="Times New Roman"/>
                <w:color w:val="auto"/>
                <w:u w:val="none" w:color="auto"/>
                <w:vertAlign w:val="subscript"/>
              </w:rPr>
              <w:t>2</w:t>
            </w:r>
            <w:r>
              <w:rPr>
                <w:rFonts w:hint="default" w:ascii="Times New Roman" w:hAnsi="Times New Roman" w:cs="Times New Roman"/>
                <w:color w:val="auto"/>
                <w:u w:val="none" w:color="auto"/>
              </w:rPr>
              <w:t>、O</w:t>
            </w:r>
            <w:r>
              <w:rPr>
                <w:rFonts w:hint="default" w:ascii="Times New Roman" w:hAnsi="Times New Roman" w:cs="Times New Roman"/>
                <w:color w:val="auto"/>
                <w:u w:val="none" w:color="auto"/>
                <w:vertAlign w:val="subscript"/>
              </w:rPr>
              <w:t>3</w:t>
            </w:r>
            <w:r>
              <w:rPr>
                <w:rFonts w:hint="default" w:ascii="Times New Roman" w:hAnsi="Times New Roman" w:cs="Times New Roman"/>
                <w:color w:val="auto"/>
                <w:u w:val="none" w:color="auto"/>
              </w:rPr>
              <w:t>、CO年平均浓度值符合《环境空气质量标准》（GB3095-2012）中二级标准要求，区域环境空气</w:t>
            </w:r>
            <w:r>
              <w:rPr>
                <w:rFonts w:hint="eastAsia" w:cs="Times New Roman"/>
                <w:color w:val="auto"/>
                <w:u w:val="none" w:color="auto"/>
                <w:lang w:eastAsia="zh-CN"/>
              </w:rPr>
              <w:t>质量现状</w:t>
            </w:r>
            <w:r>
              <w:rPr>
                <w:rFonts w:hint="default" w:ascii="Times New Roman" w:hAnsi="Times New Roman" w:cs="Times New Roman"/>
                <w:color w:val="auto"/>
                <w:u w:val="none" w:color="auto"/>
              </w:rPr>
              <w:t>为达标区。</w:t>
            </w:r>
          </w:p>
          <w:p w14:paraId="7691A2E0">
            <w:pPr>
              <w:pStyle w:val="68"/>
              <w:ind w:firstLine="480"/>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2、地表水环境质量现状</w:t>
            </w:r>
          </w:p>
          <w:p w14:paraId="6F5A94F1">
            <w:pPr>
              <w:pStyle w:val="68"/>
              <w:ind w:firstLine="480"/>
              <w:rPr>
                <w:rFonts w:hint="default" w:ascii="Times New Roman" w:hAnsi="Times New Roman" w:cs="Times New Roman"/>
                <w:color w:val="auto"/>
                <w:kern w:val="0"/>
                <w:highlight w:val="none"/>
                <w:u w:val="none" w:color="auto"/>
              </w:rPr>
            </w:pPr>
            <w:r>
              <w:rPr>
                <w:rFonts w:hint="default" w:ascii="Times New Roman" w:hAnsi="Times New Roman" w:cs="Times New Roman"/>
                <w:color w:val="auto"/>
                <w:kern w:val="0"/>
                <w:highlight w:val="none"/>
                <w:u w:val="none" w:color="auto"/>
              </w:rPr>
              <w:t>根据《建设项目环境影响报告表编制技术指南》（2021年版），地表水环境质量现状调查可引用与建设项目距离近的有效数据，包括近3年的规划环境影响评价的监测数据，所在流域控制单元内国家、地方控制断面监测数据，生态环境主管部门发布的水环境质量数据或地表水达标情况的结论。为了解项目区域地表水环境质量现状，本次评价引用湖南省生态环境厅发布的202</w:t>
            </w:r>
            <w:r>
              <w:rPr>
                <w:rFonts w:hint="eastAsia" w:cs="Times New Roman"/>
                <w:color w:val="auto"/>
                <w:kern w:val="0"/>
                <w:highlight w:val="none"/>
                <w:u w:val="none" w:color="auto"/>
                <w:lang w:val="en-US" w:eastAsia="zh-CN"/>
              </w:rPr>
              <w:t>4</w:t>
            </w:r>
            <w:r>
              <w:rPr>
                <w:rFonts w:hint="default" w:ascii="Times New Roman" w:hAnsi="Times New Roman" w:cs="Times New Roman"/>
                <w:color w:val="auto"/>
                <w:kern w:val="0"/>
                <w:highlight w:val="none"/>
                <w:u w:val="none" w:color="auto"/>
              </w:rPr>
              <w:t>年1月~12月藕池河东支（东）三个省控断面数据（白莲村、团洲、禹九村），评价结果如下：</w:t>
            </w:r>
          </w:p>
          <w:p w14:paraId="5477A00E">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u w:val="none" w:color="auto"/>
              </w:rPr>
            </w:pPr>
          </w:p>
          <w:p w14:paraId="0AE7AB16">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表3-2  地表水环境质量现状评价结果表</w:t>
            </w:r>
          </w:p>
          <w:tbl>
            <w:tblPr>
              <w:tblStyle w:val="26"/>
              <w:tblW w:w="499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469"/>
              <w:gridCol w:w="436"/>
              <w:gridCol w:w="469"/>
              <w:gridCol w:w="469"/>
              <w:gridCol w:w="510"/>
              <w:gridCol w:w="510"/>
              <w:gridCol w:w="531"/>
              <w:gridCol w:w="436"/>
              <w:gridCol w:w="490"/>
              <w:gridCol w:w="531"/>
              <w:gridCol w:w="474"/>
              <w:gridCol w:w="446"/>
              <w:gridCol w:w="698"/>
            </w:tblGrid>
            <w:tr w14:paraId="4EE71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14:paraId="128BC5E9">
                  <w:pPr>
                    <w:pStyle w:val="7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断面</w:t>
                  </w:r>
                </w:p>
              </w:tc>
              <w:tc>
                <w:tcPr>
                  <w:tcW w:w="291" w:type="pct"/>
                  <w:tcBorders>
                    <w:tl2br w:val="nil"/>
                    <w:tr2bl w:val="nil"/>
                  </w:tcBorders>
                  <w:noWrap w:val="0"/>
                  <w:vAlign w:val="center"/>
                </w:tcPr>
                <w:p w14:paraId="22EAF4F5">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1月</w:t>
                  </w:r>
                </w:p>
              </w:tc>
              <w:tc>
                <w:tcPr>
                  <w:tcW w:w="270" w:type="pct"/>
                  <w:tcBorders>
                    <w:tl2br w:val="nil"/>
                    <w:tr2bl w:val="nil"/>
                  </w:tcBorders>
                  <w:noWrap w:val="0"/>
                  <w:vAlign w:val="center"/>
                </w:tcPr>
                <w:p w14:paraId="38EDB076">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2月</w:t>
                  </w:r>
                </w:p>
              </w:tc>
              <w:tc>
                <w:tcPr>
                  <w:tcW w:w="291" w:type="pct"/>
                  <w:tcBorders>
                    <w:tl2br w:val="nil"/>
                    <w:tr2bl w:val="nil"/>
                  </w:tcBorders>
                  <w:noWrap w:val="0"/>
                  <w:vAlign w:val="center"/>
                </w:tcPr>
                <w:p w14:paraId="6F629A39">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3月</w:t>
                  </w:r>
                </w:p>
              </w:tc>
              <w:tc>
                <w:tcPr>
                  <w:tcW w:w="291" w:type="pct"/>
                  <w:tcBorders>
                    <w:tl2br w:val="nil"/>
                    <w:tr2bl w:val="nil"/>
                  </w:tcBorders>
                  <w:noWrap w:val="0"/>
                  <w:vAlign w:val="center"/>
                </w:tcPr>
                <w:p w14:paraId="6BC12D96">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4月</w:t>
                  </w:r>
                </w:p>
              </w:tc>
              <w:tc>
                <w:tcPr>
                  <w:tcW w:w="317" w:type="pct"/>
                  <w:tcBorders>
                    <w:tl2br w:val="nil"/>
                    <w:tr2bl w:val="nil"/>
                  </w:tcBorders>
                  <w:noWrap w:val="0"/>
                  <w:vAlign w:val="center"/>
                </w:tcPr>
                <w:p w14:paraId="03B816BF">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5月</w:t>
                  </w:r>
                </w:p>
              </w:tc>
              <w:tc>
                <w:tcPr>
                  <w:tcW w:w="317" w:type="pct"/>
                  <w:tcBorders>
                    <w:tl2br w:val="nil"/>
                    <w:tr2bl w:val="nil"/>
                  </w:tcBorders>
                  <w:noWrap w:val="0"/>
                  <w:vAlign w:val="center"/>
                </w:tcPr>
                <w:p w14:paraId="6D56B29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6月</w:t>
                  </w:r>
                </w:p>
              </w:tc>
              <w:tc>
                <w:tcPr>
                  <w:tcW w:w="330" w:type="pct"/>
                  <w:tcBorders>
                    <w:tl2br w:val="nil"/>
                    <w:tr2bl w:val="nil"/>
                  </w:tcBorders>
                  <w:noWrap w:val="0"/>
                  <w:vAlign w:val="center"/>
                </w:tcPr>
                <w:p w14:paraId="364A66CE">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7月</w:t>
                  </w:r>
                </w:p>
              </w:tc>
              <w:tc>
                <w:tcPr>
                  <w:tcW w:w="270" w:type="pct"/>
                  <w:tcBorders>
                    <w:tl2br w:val="nil"/>
                    <w:tr2bl w:val="nil"/>
                  </w:tcBorders>
                  <w:noWrap w:val="0"/>
                  <w:vAlign w:val="center"/>
                </w:tcPr>
                <w:p w14:paraId="39C88BC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8月</w:t>
                  </w:r>
                </w:p>
              </w:tc>
              <w:tc>
                <w:tcPr>
                  <w:tcW w:w="304" w:type="pct"/>
                  <w:tcBorders>
                    <w:tl2br w:val="nil"/>
                    <w:tr2bl w:val="nil"/>
                  </w:tcBorders>
                  <w:noWrap w:val="0"/>
                  <w:vAlign w:val="center"/>
                </w:tcPr>
                <w:p w14:paraId="624D5388">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9月</w:t>
                  </w:r>
                </w:p>
              </w:tc>
              <w:tc>
                <w:tcPr>
                  <w:tcW w:w="330" w:type="pct"/>
                  <w:tcBorders>
                    <w:tl2br w:val="nil"/>
                    <w:tr2bl w:val="nil"/>
                  </w:tcBorders>
                  <w:noWrap w:val="0"/>
                  <w:vAlign w:val="center"/>
                </w:tcPr>
                <w:p w14:paraId="0205877A">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10月</w:t>
                  </w:r>
                </w:p>
              </w:tc>
              <w:tc>
                <w:tcPr>
                  <w:tcW w:w="294" w:type="pct"/>
                  <w:tcBorders>
                    <w:tl2br w:val="nil"/>
                    <w:tr2bl w:val="nil"/>
                  </w:tcBorders>
                  <w:noWrap w:val="0"/>
                  <w:vAlign w:val="center"/>
                </w:tcPr>
                <w:p w14:paraId="76D24B2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11月</w:t>
                  </w:r>
                </w:p>
              </w:tc>
              <w:tc>
                <w:tcPr>
                  <w:tcW w:w="276" w:type="pct"/>
                  <w:tcBorders>
                    <w:tl2br w:val="nil"/>
                    <w:tr2bl w:val="nil"/>
                  </w:tcBorders>
                  <w:noWrap w:val="0"/>
                  <w:vAlign w:val="center"/>
                </w:tcPr>
                <w:p w14:paraId="41F14FF8">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12月</w:t>
                  </w:r>
                </w:p>
              </w:tc>
              <w:tc>
                <w:tcPr>
                  <w:tcW w:w="432" w:type="pct"/>
                  <w:tcBorders>
                    <w:tl2br w:val="nil"/>
                    <w:tr2bl w:val="nil"/>
                  </w:tcBorders>
                  <w:noWrap w:val="0"/>
                  <w:vAlign w:val="center"/>
                </w:tcPr>
                <w:p w14:paraId="75143F07">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标准</w:t>
                  </w:r>
                </w:p>
              </w:tc>
            </w:tr>
            <w:tr w14:paraId="29EBE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14:paraId="04E5C57E">
                  <w:pPr>
                    <w:pStyle w:val="7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藕池河东支（东）-白莲村</w:t>
                  </w:r>
                </w:p>
              </w:tc>
              <w:tc>
                <w:tcPr>
                  <w:tcW w:w="291" w:type="pct"/>
                  <w:tcBorders>
                    <w:tl2br w:val="nil"/>
                    <w:tr2bl w:val="nil"/>
                  </w:tcBorders>
                  <w:noWrap w:val="0"/>
                  <w:vAlign w:val="center"/>
                </w:tcPr>
                <w:p w14:paraId="6698CBC3">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518285AF">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0C84504A">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6D849774">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3C754B4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5D95315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22CF0316">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7B7B6AA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04" w:type="pct"/>
                  <w:tcBorders>
                    <w:tl2br w:val="nil"/>
                    <w:tr2bl w:val="nil"/>
                  </w:tcBorders>
                  <w:noWrap w:val="0"/>
                  <w:vAlign w:val="center"/>
                </w:tcPr>
                <w:p w14:paraId="4DFD2F3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0685019C">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4" w:type="pct"/>
                  <w:tcBorders>
                    <w:tl2br w:val="nil"/>
                    <w:tr2bl w:val="nil"/>
                  </w:tcBorders>
                  <w:noWrap w:val="0"/>
                  <w:vAlign w:val="center"/>
                </w:tcPr>
                <w:p w14:paraId="47FD7BD5">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6" w:type="pct"/>
                  <w:tcBorders>
                    <w:tl2br w:val="nil"/>
                    <w:tr2bl w:val="nil"/>
                  </w:tcBorders>
                  <w:noWrap w:val="0"/>
                  <w:vAlign w:val="center"/>
                </w:tcPr>
                <w:p w14:paraId="3B1195FE">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432" w:type="pct"/>
                  <w:tcBorders>
                    <w:tl2br w:val="nil"/>
                    <w:tr2bl w:val="nil"/>
                  </w:tcBorders>
                  <w:noWrap w:val="0"/>
                  <w:vAlign w:val="center"/>
                </w:tcPr>
                <w:p w14:paraId="7A69D993">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r>
            <w:tr w14:paraId="5E87A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14:paraId="48AB99A3">
                  <w:pPr>
                    <w:pStyle w:val="7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藕池河东支（东）-团洲</w:t>
                  </w:r>
                </w:p>
              </w:tc>
              <w:tc>
                <w:tcPr>
                  <w:tcW w:w="291" w:type="pct"/>
                  <w:tcBorders>
                    <w:tl2br w:val="nil"/>
                    <w:tr2bl w:val="nil"/>
                  </w:tcBorders>
                  <w:noWrap w:val="0"/>
                  <w:vAlign w:val="center"/>
                </w:tcPr>
                <w:p w14:paraId="65CF7110">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14237F5C">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38505EAC">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3B07FFD7">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06E7E759">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71D55377">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6ABF7DA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0B0C17DA">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04" w:type="pct"/>
                  <w:tcBorders>
                    <w:tl2br w:val="nil"/>
                    <w:tr2bl w:val="nil"/>
                  </w:tcBorders>
                  <w:noWrap w:val="0"/>
                  <w:vAlign w:val="center"/>
                </w:tcPr>
                <w:p w14:paraId="3A30459F">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0DE41207">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4" w:type="pct"/>
                  <w:tcBorders>
                    <w:tl2br w:val="nil"/>
                    <w:tr2bl w:val="nil"/>
                  </w:tcBorders>
                  <w:noWrap w:val="0"/>
                  <w:vAlign w:val="center"/>
                </w:tcPr>
                <w:p w14:paraId="7E9A144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6" w:type="pct"/>
                  <w:tcBorders>
                    <w:tl2br w:val="nil"/>
                    <w:tr2bl w:val="nil"/>
                  </w:tcBorders>
                  <w:noWrap w:val="0"/>
                  <w:vAlign w:val="center"/>
                </w:tcPr>
                <w:p w14:paraId="12A97E2A">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432" w:type="pct"/>
                  <w:tcBorders>
                    <w:tl2br w:val="nil"/>
                    <w:tr2bl w:val="nil"/>
                  </w:tcBorders>
                  <w:noWrap w:val="0"/>
                  <w:vAlign w:val="center"/>
                </w:tcPr>
                <w:p w14:paraId="3139C7B4">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r>
            <w:tr w14:paraId="29CE4C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14:paraId="28E8960E">
                  <w:pPr>
                    <w:pStyle w:val="7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藕池河东支（东）-禹九村</w:t>
                  </w:r>
                </w:p>
              </w:tc>
              <w:tc>
                <w:tcPr>
                  <w:tcW w:w="291" w:type="pct"/>
                  <w:tcBorders>
                    <w:tl2br w:val="nil"/>
                    <w:tr2bl w:val="nil"/>
                  </w:tcBorders>
                  <w:noWrap w:val="0"/>
                  <w:vAlign w:val="center"/>
                </w:tcPr>
                <w:p w14:paraId="3F1D51FC">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4B4F868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2016937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1" w:type="pct"/>
                  <w:tcBorders>
                    <w:tl2br w:val="nil"/>
                    <w:tr2bl w:val="nil"/>
                  </w:tcBorders>
                  <w:noWrap w:val="0"/>
                  <w:vAlign w:val="center"/>
                </w:tcPr>
                <w:p w14:paraId="7A48A313">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42BC7ABA">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17" w:type="pct"/>
                  <w:tcBorders>
                    <w:tl2br w:val="nil"/>
                    <w:tr2bl w:val="nil"/>
                  </w:tcBorders>
                  <w:noWrap w:val="0"/>
                  <w:vAlign w:val="center"/>
                </w:tcPr>
                <w:p w14:paraId="783AB3B9">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2F62DF4C">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0" w:type="pct"/>
                  <w:tcBorders>
                    <w:tl2br w:val="nil"/>
                    <w:tr2bl w:val="nil"/>
                  </w:tcBorders>
                  <w:noWrap w:val="0"/>
                  <w:vAlign w:val="center"/>
                </w:tcPr>
                <w:p w14:paraId="4CAADAB9">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04" w:type="pct"/>
                  <w:tcBorders>
                    <w:tl2br w:val="nil"/>
                    <w:tr2bl w:val="nil"/>
                  </w:tcBorders>
                  <w:noWrap w:val="0"/>
                  <w:vAlign w:val="center"/>
                </w:tcPr>
                <w:p w14:paraId="077B10A5">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330" w:type="pct"/>
                  <w:tcBorders>
                    <w:tl2br w:val="nil"/>
                    <w:tr2bl w:val="nil"/>
                  </w:tcBorders>
                  <w:noWrap w:val="0"/>
                  <w:vAlign w:val="center"/>
                </w:tcPr>
                <w:p w14:paraId="6CA6D3EB">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94" w:type="pct"/>
                  <w:tcBorders>
                    <w:tl2br w:val="nil"/>
                    <w:tr2bl w:val="nil"/>
                  </w:tcBorders>
                  <w:noWrap w:val="0"/>
                  <w:vAlign w:val="center"/>
                </w:tcPr>
                <w:p w14:paraId="32666C06">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276" w:type="pct"/>
                  <w:tcBorders>
                    <w:tl2br w:val="nil"/>
                    <w:tr2bl w:val="nil"/>
                  </w:tcBorders>
                  <w:noWrap w:val="0"/>
                  <w:vAlign w:val="center"/>
                </w:tcPr>
                <w:p w14:paraId="6A8C94DD">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c>
                <w:tcPr>
                  <w:tcW w:w="432" w:type="pct"/>
                  <w:tcBorders>
                    <w:tl2br w:val="nil"/>
                    <w:tr2bl w:val="nil"/>
                  </w:tcBorders>
                  <w:noWrap w:val="0"/>
                  <w:vAlign w:val="center"/>
                </w:tcPr>
                <w:p w14:paraId="1CC9EBA1">
                  <w:pPr>
                    <w:pStyle w:val="7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III</w:t>
                  </w:r>
                </w:p>
              </w:tc>
            </w:tr>
          </w:tbl>
          <w:p w14:paraId="583F4E15">
            <w:pPr>
              <w:pStyle w:val="68"/>
              <w:spacing w:before="156"/>
              <w:ind w:firstLine="480"/>
              <w:rPr>
                <w:rFonts w:hint="default" w:ascii="Times New Roman" w:hAnsi="Times New Roman" w:cs="Times New Roman"/>
                <w:color w:val="auto"/>
                <w:u w:val="none" w:color="auto"/>
              </w:rPr>
            </w:pPr>
            <w:r>
              <w:rPr>
                <w:rFonts w:hint="default" w:ascii="Times New Roman" w:hAnsi="Times New Roman" w:cs="Times New Roman"/>
                <w:color w:val="auto"/>
                <w:highlight w:val="none"/>
                <w:u w:val="none" w:color="auto"/>
              </w:rPr>
              <w:t>由上表监测结果可知，藕池河东支三个监测断面202</w:t>
            </w:r>
            <w:r>
              <w:rPr>
                <w:rFonts w:hint="eastAsia" w:cs="Times New Roman"/>
                <w:color w:val="auto"/>
                <w:highlight w:val="none"/>
                <w:u w:val="none" w:color="auto"/>
                <w:lang w:val="en-US" w:eastAsia="zh-CN"/>
              </w:rPr>
              <w:t>4</w:t>
            </w:r>
            <w:r>
              <w:rPr>
                <w:rFonts w:hint="default" w:ascii="Times New Roman" w:hAnsi="Times New Roman" w:cs="Times New Roman"/>
                <w:color w:val="auto"/>
                <w:highlight w:val="none"/>
                <w:u w:val="none" w:color="auto"/>
              </w:rPr>
              <w:t>年均能满足</w:t>
            </w:r>
            <w:r>
              <w:rPr>
                <w:rFonts w:hint="default" w:ascii="Times New Roman" w:hAnsi="Times New Roman" w:cs="Times New Roman"/>
                <w:color w:val="auto"/>
                <w:kern w:val="0"/>
                <w:highlight w:val="none"/>
                <w:u w:val="none" w:color="auto"/>
              </w:rPr>
              <w:t>《地表水环境质量标准》（GB3838-2002）中Ⅲ类标准，地表水环境质量现</w:t>
            </w:r>
            <w:r>
              <w:rPr>
                <w:rFonts w:hint="default" w:ascii="Times New Roman" w:hAnsi="Times New Roman" w:cs="Times New Roman"/>
                <w:color w:val="auto"/>
                <w:kern w:val="0"/>
                <w:u w:val="none" w:color="auto"/>
              </w:rPr>
              <w:t>状较好。</w:t>
            </w:r>
          </w:p>
          <w:p w14:paraId="5EBBF491">
            <w:pPr>
              <w:pStyle w:val="68"/>
              <w:ind w:firstLine="480"/>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3、声环境质量现状</w:t>
            </w:r>
          </w:p>
          <w:p w14:paraId="5E608283">
            <w:pPr>
              <w:pStyle w:val="68"/>
              <w:ind w:firstLine="480"/>
              <w:rPr>
                <w:rFonts w:hint="default" w:ascii="Times New Roman" w:hAnsi="Times New Roman" w:cs="Times New Roman"/>
                <w:color w:val="auto"/>
                <w:u w:val="none" w:color="auto"/>
                <w:lang w:val="en-US" w:eastAsia="zh-CN"/>
              </w:rPr>
            </w:pPr>
            <w:r>
              <w:rPr>
                <w:color w:val="auto"/>
                <w:u w:val="none" w:color="auto"/>
              </w:rPr>
              <w:t>根据现场勘查。</w:t>
            </w:r>
            <w:r>
              <w:rPr>
                <w:rFonts w:hint="eastAsia"/>
                <w:color w:val="auto"/>
                <w:u w:val="none" w:color="auto"/>
              </w:rPr>
              <w:t>本项目</w:t>
            </w:r>
            <w:r>
              <w:rPr>
                <w:rFonts w:hint="eastAsia"/>
                <w:color w:val="auto"/>
                <w:u w:val="none" w:color="auto"/>
                <w:lang w:val="en-US" w:eastAsia="zh-CN"/>
              </w:rPr>
              <w:t>建设位置位于团洲安置房建设项目周边，由于本项目未团洲安置房配套基础项目，故，本项目引用团洲安置房建设项目于2025年4月委托湖南中昊检测有限公司</w:t>
            </w:r>
            <w:r>
              <w:rPr>
                <w:rFonts w:hint="eastAsia"/>
                <w:color w:val="auto"/>
                <w:u w:val="none" w:color="auto"/>
              </w:rPr>
              <w:t>对</w:t>
            </w:r>
            <w:r>
              <w:rPr>
                <w:rFonts w:hint="eastAsia"/>
                <w:color w:val="auto"/>
                <w:u w:val="none" w:color="auto"/>
                <w:lang w:val="en-US" w:eastAsia="zh-CN"/>
              </w:rPr>
              <w:t>团洲安置房附近</w:t>
            </w:r>
            <w:r>
              <w:rPr>
                <w:rFonts w:hint="eastAsia"/>
                <w:color w:val="auto"/>
                <w:u w:val="none" w:color="auto"/>
              </w:rPr>
              <w:t>敏感点进行</w:t>
            </w:r>
            <w:r>
              <w:rPr>
                <w:rFonts w:hint="eastAsia"/>
                <w:color w:val="auto"/>
                <w:u w:val="none" w:color="auto"/>
                <w:lang w:val="en-US" w:eastAsia="zh-CN"/>
              </w:rPr>
              <w:t>的</w:t>
            </w:r>
            <w:r>
              <w:rPr>
                <w:rFonts w:hint="eastAsia"/>
                <w:color w:val="auto"/>
                <w:u w:val="none" w:color="auto"/>
              </w:rPr>
              <w:t>噪声现状监测</w:t>
            </w:r>
            <w:r>
              <w:rPr>
                <w:rFonts w:hint="eastAsia"/>
                <w:color w:val="auto"/>
                <w:u w:val="none" w:color="auto"/>
                <w:lang w:val="en-US" w:eastAsia="zh-CN"/>
              </w:rPr>
              <w:t>数据</w:t>
            </w:r>
            <w:r>
              <w:rPr>
                <w:color w:val="auto"/>
                <w:u w:val="none" w:color="auto"/>
              </w:rPr>
              <w:t>。</w:t>
            </w:r>
            <w:r>
              <w:rPr>
                <w:rFonts w:hint="default" w:ascii="Times New Roman" w:hAnsi="Times New Roman" w:cs="Times New Roman"/>
                <w:color w:val="auto"/>
                <w:u w:val="none" w:color="auto"/>
                <w:lang w:val="en-US" w:eastAsia="zh-CN"/>
              </w:rPr>
              <w:t>监测结果详见下表</w:t>
            </w:r>
            <w:r>
              <w:rPr>
                <w:rFonts w:hint="eastAsia" w:cs="Times New Roman"/>
                <w:color w:val="auto"/>
                <w:u w:val="none" w:color="auto"/>
                <w:lang w:val="en-US" w:eastAsia="zh-CN"/>
              </w:rPr>
              <w:t>3-3所示</w:t>
            </w:r>
            <w:r>
              <w:rPr>
                <w:rFonts w:hint="default" w:ascii="Times New Roman" w:hAnsi="Times New Roman" w:cs="Times New Roman"/>
                <w:color w:val="auto"/>
                <w:u w:val="none" w:color="auto"/>
                <w:lang w:val="en-US" w:eastAsia="zh-CN"/>
              </w:rPr>
              <w:t>。</w:t>
            </w:r>
          </w:p>
          <w:p w14:paraId="4411B712">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表</w:t>
            </w:r>
            <w:r>
              <w:rPr>
                <w:rFonts w:hint="default" w:ascii="Times New Roman" w:hAnsi="Times New Roman" w:eastAsia="宋体" w:cs="Times New Roman"/>
                <w:color w:val="auto"/>
                <w:sz w:val="21"/>
                <w:szCs w:val="21"/>
                <w:highlight w:val="none"/>
                <w:u w:val="none" w:color="auto"/>
              </w:rPr>
              <w:t>3-</w:t>
            </w:r>
            <w:r>
              <w:rPr>
                <w:rFonts w:hint="default" w:ascii="Times New Roman" w:hAnsi="Times New Roman" w:eastAsia="宋体" w:cs="Times New Roman"/>
                <w:color w:val="auto"/>
                <w:sz w:val="21"/>
                <w:szCs w:val="21"/>
                <w:highlight w:val="none"/>
                <w:u w:val="none" w:color="auto"/>
                <w:lang w:val="en-US" w:eastAsia="zh-CN"/>
              </w:rPr>
              <w:t>3</w:t>
            </w:r>
            <w:r>
              <w:rPr>
                <w:rFonts w:hint="default" w:ascii="Times New Roman" w:hAnsi="Times New Roman" w:eastAsia="宋体" w:cs="Times New Roman"/>
                <w:color w:val="auto"/>
                <w:sz w:val="21"/>
                <w:szCs w:val="21"/>
                <w:highlight w:val="none"/>
                <w:u w:val="none" w:color="auto"/>
              </w:rPr>
              <w:t xml:space="preserve">  </w:t>
            </w:r>
            <w:r>
              <w:rPr>
                <w:rFonts w:hint="default" w:ascii="Times New Roman" w:hAnsi="Times New Roman" w:eastAsia="宋体" w:cs="Times New Roman"/>
                <w:color w:val="auto"/>
                <w:sz w:val="21"/>
                <w:szCs w:val="21"/>
                <w:highlight w:val="none"/>
                <w:u w:val="none" w:color="auto"/>
                <w:lang w:val="en-US" w:eastAsia="zh-CN"/>
              </w:rPr>
              <w:t xml:space="preserve"> 声</w:t>
            </w:r>
            <w:r>
              <w:rPr>
                <w:rFonts w:hint="default" w:ascii="Times New Roman" w:hAnsi="Times New Roman" w:eastAsia="宋体" w:cs="Times New Roman"/>
                <w:color w:val="auto"/>
                <w:sz w:val="21"/>
                <w:szCs w:val="21"/>
                <w:highlight w:val="none"/>
                <w:u w:val="none" w:color="auto"/>
              </w:rPr>
              <w:t>环</w:t>
            </w:r>
            <w:r>
              <w:rPr>
                <w:rFonts w:hint="default" w:ascii="Times New Roman" w:hAnsi="Times New Roman" w:cs="Times New Roman"/>
                <w:color w:val="auto"/>
                <w:sz w:val="21"/>
                <w:szCs w:val="21"/>
                <w:highlight w:val="none"/>
                <w:u w:val="none" w:color="auto"/>
              </w:rPr>
              <w:t>境质量现状评价结果表</w:t>
            </w:r>
          </w:p>
          <w:tbl>
            <w:tblPr>
              <w:tblStyle w:val="72"/>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2"/>
              <w:gridCol w:w="1204"/>
              <w:gridCol w:w="1825"/>
              <w:gridCol w:w="1031"/>
              <w:gridCol w:w="1319"/>
              <w:gridCol w:w="994"/>
              <w:gridCol w:w="892"/>
            </w:tblGrid>
            <w:tr w14:paraId="146B4E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tcBorders>
                    <w:tl2br w:val="nil"/>
                    <w:tr2bl w:val="nil"/>
                  </w:tcBorders>
                  <w:noWrap w:val="0"/>
                  <w:vAlign w:val="center"/>
                </w:tcPr>
                <w:p w14:paraId="035C5AB0">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检测类别</w:t>
                  </w:r>
                </w:p>
              </w:tc>
              <w:tc>
                <w:tcPr>
                  <w:tcW w:w="1204" w:type="dxa"/>
                  <w:tcBorders>
                    <w:tl2br w:val="nil"/>
                    <w:tr2bl w:val="nil"/>
                  </w:tcBorders>
                  <w:noWrap w:val="0"/>
                  <w:vAlign w:val="center"/>
                </w:tcPr>
                <w:p w14:paraId="7F20AFF3">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采样日期</w:t>
                  </w:r>
                </w:p>
              </w:tc>
              <w:tc>
                <w:tcPr>
                  <w:tcW w:w="1825" w:type="dxa"/>
                  <w:tcBorders>
                    <w:tl2br w:val="nil"/>
                    <w:tr2bl w:val="nil"/>
                  </w:tcBorders>
                  <w:noWrap w:val="0"/>
                  <w:vAlign w:val="center"/>
                </w:tcPr>
                <w:p w14:paraId="252A883A">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检测点位</w:t>
                  </w:r>
                </w:p>
              </w:tc>
              <w:tc>
                <w:tcPr>
                  <w:tcW w:w="1031" w:type="dxa"/>
                  <w:tcBorders>
                    <w:tl2br w:val="nil"/>
                    <w:tr2bl w:val="nil"/>
                  </w:tcBorders>
                  <w:noWrap w:val="0"/>
                  <w:vAlign w:val="center"/>
                </w:tcPr>
                <w:p w14:paraId="574221F2">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检测时段</w:t>
                  </w:r>
                </w:p>
              </w:tc>
              <w:tc>
                <w:tcPr>
                  <w:tcW w:w="1319" w:type="dxa"/>
                  <w:tcBorders>
                    <w:tl2br w:val="nil"/>
                    <w:tr2bl w:val="nil"/>
                  </w:tcBorders>
                  <w:noWrap w:val="0"/>
                  <w:vAlign w:val="center"/>
                </w:tcPr>
                <w:p w14:paraId="743BC20B">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检测结果</w:t>
                  </w:r>
                </w:p>
              </w:tc>
              <w:tc>
                <w:tcPr>
                  <w:tcW w:w="994" w:type="dxa"/>
                  <w:tcBorders>
                    <w:tl2br w:val="nil"/>
                    <w:tr2bl w:val="nil"/>
                  </w:tcBorders>
                  <w:noWrap w:val="0"/>
                  <w:vAlign w:val="center"/>
                </w:tcPr>
                <w:p w14:paraId="2BDA133F">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参考限值</w:t>
                  </w:r>
                </w:p>
              </w:tc>
              <w:tc>
                <w:tcPr>
                  <w:tcW w:w="892" w:type="dxa"/>
                  <w:tcBorders>
                    <w:tl2br w:val="nil"/>
                    <w:tr2bl w:val="nil"/>
                  </w:tcBorders>
                  <w:noWrap w:val="0"/>
                  <w:vAlign w:val="center"/>
                </w:tcPr>
                <w:p w14:paraId="3F85A363">
                  <w:pPr>
                    <w:pStyle w:val="7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单位</w:t>
                  </w:r>
                </w:p>
              </w:tc>
            </w:tr>
            <w:tr w14:paraId="44C4FD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672" w:type="dxa"/>
                  <w:vMerge w:val="restart"/>
                  <w:tcBorders>
                    <w:tl2br w:val="nil"/>
                    <w:tr2bl w:val="nil"/>
                  </w:tcBorders>
                  <w:noWrap w:val="0"/>
                  <w:vAlign w:val="center"/>
                </w:tcPr>
                <w:p w14:paraId="15D5D838">
                  <w:pPr>
                    <w:pStyle w:val="7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噪声</w:t>
                  </w:r>
                </w:p>
              </w:tc>
              <w:tc>
                <w:tcPr>
                  <w:tcW w:w="1204" w:type="dxa"/>
                  <w:vMerge w:val="restart"/>
                  <w:tcBorders>
                    <w:tl2br w:val="nil"/>
                    <w:tr2bl w:val="nil"/>
                  </w:tcBorders>
                  <w:noWrap w:val="0"/>
                  <w:vAlign w:val="center"/>
                </w:tcPr>
                <w:p w14:paraId="0C483FC0">
                  <w:pPr>
                    <w:pStyle w:val="7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rPr>
                    <w:t>202</w:t>
                  </w:r>
                  <w:r>
                    <w:rPr>
                      <w:rFonts w:hint="default" w:ascii="Times New Roman" w:hAnsi="Times New Roman" w:eastAsia="宋体" w:cs="Times New Roman"/>
                      <w:color w:val="auto"/>
                      <w:highlight w:val="none"/>
                      <w:u w:val="none" w:color="auto"/>
                      <w:lang w:val="en-US" w:eastAsia="zh-CN"/>
                    </w:rPr>
                    <w:t>5</w:t>
                  </w:r>
                  <w:r>
                    <w:rPr>
                      <w:rFonts w:hint="default" w:ascii="Times New Roman" w:hAnsi="Times New Roman" w:eastAsia="宋体" w:cs="Times New Roman"/>
                      <w:color w:val="auto"/>
                      <w:highlight w:val="none"/>
                      <w:u w:val="none" w:color="auto"/>
                    </w:rPr>
                    <w:t>-</w:t>
                  </w:r>
                  <w:r>
                    <w:rPr>
                      <w:rFonts w:hint="default" w:ascii="Times New Roman" w:hAnsi="Times New Roman" w:eastAsia="宋体" w:cs="Times New Roman"/>
                      <w:color w:val="auto"/>
                      <w:highlight w:val="none"/>
                      <w:u w:val="none" w:color="auto"/>
                      <w:lang w:val="en-US" w:eastAsia="zh-CN"/>
                    </w:rPr>
                    <w:t>0</w:t>
                  </w:r>
                  <w:r>
                    <w:rPr>
                      <w:rFonts w:hint="eastAsia" w:ascii="Times New Roman" w:hAnsi="Times New Roman" w:cs="Times New Roman"/>
                      <w:color w:val="auto"/>
                      <w:highlight w:val="none"/>
                      <w:u w:val="none" w:color="auto"/>
                      <w:lang w:val="en-US" w:eastAsia="zh-CN"/>
                    </w:rPr>
                    <w:t>4</w:t>
                  </w:r>
                  <w:r>
                    <w:rPr>
                      <w:rFonts w:hint="default" w:ascii="Times New Roman" w:hAnsi="Times New Roman" w:eastAsia="宋体" w:cs="Times New Roman"/>
                      <w:color w:val="auto"/>
                      <w:highlight w:val="none"/>
                      <w:u w:val="none" w:color="auto"/>
                    </w:rPr>
                    <w:t>-</w:t>
                  </w:r>
                  <w:r>
                    <w:rPr>
                      <w:rFonts w:hint="eastAsia" w:cs="Times New Roman"/>
                      <w:color w:val="auto"/>
                      <w:highlight w:val="none"/>
                      <w:u w:val="none" w:color="auto"/>
                      <w:lang w:val="en-US" w:eastAsia="zh-CN"/>
                    </w:rPr>
                    <w:t>30</w:t>
                  </w:r>
                </w:p>
              </w:tc>
              <w:tc>
                <w:tcPr>
                  <w:tcW w:w="1825" w:type="dxa"/>
                  <w:vMerge w:val="restart"/>
                  <w:tcBorders>
                    <w:tl2br w:val="nil"/>
                    <w:tr2bl w:val="nil"/>
                  </w:tcBorders>
                  <w:noWrap w:val="0"/>
                  <w:vAlign w:val="center"/>
                </w:tcPr>
                <w:p w14:paraId="7E3D24AD">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N1安置房一期西侧敏感点</w:t>
                  </w:r>
                </w:p>
              </w:tc>
              <w:tc>
                <w:tcPr>
                  <w:tcW w:w="1031" w:type="dxa"/>
                  <w:tcBorders>
                    <w:tl2br w:val="nil"/>
                    <w:tr2bl w:val="nil"/>
                  </w:tcBorders>
                  <w:noWrap w:val="0"/>
                  <w:vAlign w:val="center"/>
                </w:tcPr>
                <w:p w14:paraId="21737F8F">
                  <w:pPr>
                    <w:pStyle w:val="70"/>
                    <w:jc w:val="center"/>
                    <w:rPr>
                      <w:rFonts w:hint="default" w:ascii="Times New Roman" w:hAnsi="Times New Roman" w:eastAsia="宋体" w:cs="Times New Roman"/>
                      <w:color w:val="auto"/>
                      <w:highlight w:val="none"/>
                      <w:u w:val="none" w:color="auto"/>
                      <w:lang w:val="en-US" w:eastAsia="en-US"/>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2C54861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56</w:t>
                  </w:r>
                </w:p>
              </w:tc>
              <w:tc>
                <w:tcPr>
                  <w:tcW w:w="994" w:type="dxa"/>
                  <w:tcBorders>
                    <w:tl2br w:val="nil"/>
                    <w:tr2bl w:val="nil"/>
                  </w:tcBorders>
                  <w:noWrap w:val="0"/>
                  <w:vAlign w:val="center"/>
                </w:tcPr>
                <w:p w14:paraId="73723EAA">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389AFE03">
                  <w:pPr>
                    <w:pStyle w:val="7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2F400D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1A6F10F4">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17B3B93">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3E066C7A">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10F6D141">
                  <w:pPr>
                    <w:pStyle w:val="7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61D51A2B">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39</w:t>
                  </w:r>
                </w:p>
              </w:tc>
              <w:tc>
                <w:tcPr>
                  <w:tcW w:w="994" w:type="dxa"/>
                  <w:tcBorders>
                    <w:tl2br w:val="nil"/>
                    <w:tr2bl w:val="nil"/>
                  </w:tcBorders>
                  <w:noWrap w:val="0"/>
                  <w:vAlign w:val="center"/>
                </w:tcPr>
                <w:p w14:paraId="4DA29DD7">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4147E1BD">
                  <w:pPr>
                    <w:pStyle w:val="7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718EDE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E6E26DA">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B56971D">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15A6E91C">
                  <w:pPr>
                    <w:pStyle w:val="7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N2安置房一期北侧敏感点</w:t>
                  </w:r>
                </w:p>
              </w:tc>
              <w:tc>
                <w:tcPr>
                  <w:tcW w:w="1031" w:type="dxa"/>
                  <w:tcBorders>
                    <w:tl2br w:val="nil"/>
                    <w:tr2bl w:val="nil"/>
                  </w:tcBorders>
                  <w:noWrap w:val="0"/>
                  <w:vAlign w:val="center"/>
                </w:tcPr>
                <w:p w14:paraId="510FCDCD">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144EF4F9">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57</w:t>
                  </w:r>
                </w:p>
              </w:tc>
              <w:tc>
                <w:tcPr>
                  <w:tcW w:w="994" w:type="dxa"/>
                  <w:tcBorders>
                    <w:tl2br w:val="nil"/>
                    <w:tr2bl w:val="nil"/>
                  </w:tcBorders>
                  <w:noWrap w:val="0"/>
                  <w:vAlign w:val="center"/>
                </w:tcPr>
                <w:p w14:paraId="421CA64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5A9BA3FD">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4E21AC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A215610">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73B8A802">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5CDEF0FA">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291750B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7A76F834">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39</w:t>
                  </w:r>
                </w:p>
              </w:tc>
              <w:tc>
                <w:tcPr>
                  <w:tcW w:w="994" w:type="dxa"/>
                  <w:tcBorders>
                    <w:tl2br w:val="nil"/>
                    <w:tr2bl w:val="nil"/>
                  </w:tcBorders>
                  <w:noWrap w:val="0"/>
                  <w:vAlign w:val="center"/>
                </w:tcPr>
                <w:p w14:paraId="058D6603">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ED4018C">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00C67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D47BB28">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50132C18">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7DCB1088">
                  <w:pPr>
                    <w:pStyle w:val="7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N3安置房一期东侧敏感点</w:t>
                  </w:r>
                </w:p>
              </w:tc>
              <w:tc>
                <w:tcPr>
                  <w:tcW w:w="1031" w:type="dxa"/>
                  <w:tcBorders>
                    <w:tl2br w:val="nil"/>
                    <w:tr2bl w:val="nil"/>
                  </w:tcBorders>
                  <w:noWrap w:val="0"/>
                  <w:vAlign w:val="center"/>
                </w:tcPr>
                <w:p w14:paraId="1F8BDE6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23160AE2">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shd w:val="clear" w:color="auto" w:fill="auto"/>
                  <w:noWrap w:val="0"/>
                  <w:vAlign w:val="center"/>
                </w:tcPr>
                <w:p w14:paraId="04872E68">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39F777DF">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7000C1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55B6A66A">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7BB513E">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60854E48">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0611BE4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08CDA8AE">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41</w:t>
                  </w:r>
                </w:p>
              </w:tc>
              <w:tc>
                <w:tcPr>
                  <w:tcW w:w="994" w:type="dxa"/>
                  <w:tcBorders>
                    <w:tl2br w:val="nil"/>
                    <w:tr2bl w:val="nil"/>
                  </w:tcBorders>
                  <w:shd w:val="clear" w:color="auto" w:fill="auto"/>
                  <w:noWrap w:val="0"/>
                  <w:vAlign w:val="center"/>
                </w:tcPr>
                <w:p w14:paraId="28F1BE22">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5D608D0">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E6E44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31F27BE">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39D0765A">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7AF3EFC9">
                  <w:pPr>
                    <w:pStyle w:val="7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N4安置房一期南侧敏感点</w:t>
                  </w:r>
                </w:p>
              </w:tc>
              <w:tc>
                <w:tcPr>
                  <w:tcW w:w="1031" w:type="dxa"/>
                  <w:tcBorders>
                    <w:tl2br w:val="nil"/>
                    <w:tr2bl w:val="nil"/>
                  </w:tcBorders>
                  <w:noWrap w:val="0"/>
                  <w:vAlign w:val="center"/>
                </w:tcPr>
                <w:p w14:paraId="27AAD23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585EA485">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52</w:t>
                  </w:r>
                </w:p>
              </w:tc>
              <w:tc>
                <w:tcPr>
                  <w:tcW w:w="994" w:type="dxa"/>
                  <w:tcBorders>
                    <w:tl2br w:val="nil"/>
                    <w:tr2bl w:val="nil"/>
                  </w:tcBorders>
                  <w:noWrap w:val="0"/>
                  <w:vAlign w:val="center"/>
                </w:tcPr>
                <w:p w14:paraId="389EDBA4">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01112F3C">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7FFD07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44C76BED">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7448077">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11659866">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4E10D2B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02481638">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40</w:t>
                  </w:r>
                </w:p>
              </w:tc>
              <w:tc>
                <w:tcPr>
                  <w:tcW w:w="994" w:type="dxa"/>
                  <w:tcBorders>
                    <w:tl2br w:val="nil"/>
                    <w:tr2bl w:val="nil"/>
                  </w:tcBorders>
                  <w:noWrap w:val="0"/>
                  <w:vAlign w:val="center"/>
                </w:tcPr>
                <w:p w14:paraId="104E5343">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19606957">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27FF2E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D559FB0">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1D3030CF">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1316238D">
                  <w:pPr>
                    <w:pStyle w:val="70"/>
                    <w:ind w:firstLine="0" w:firstLineChars="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N5安置房三期西侧敏感点</w:t>
                  </w:r>
                </w:p>
              </w:tc>
              <w:tc>
                <w:tcPr>
                  <w:tcW w:w="1031" w:type="dxa"/>
                  <w:tcBorders>
                    <w:tl2br w:val="nil"/>
                    <w:tr2bl w:val="nil"/>
                  </w:tcBorders>
                  <w:noWrap w:val="0"/>
                  <w:vAlign w:val="center"/>
                </w:tcPr>
                <w:p w14:paraId="4CFCA7B0">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1D688227">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53</w:t>
                  </w:r>
                </w:p>
              </w:tc>
              <w:tc>
                <w:tcPr>
                  <w:tcW w:w="994" w:type="dxa"/>
                  <w:tcBorders>
                    <w:tl2br w:val="nil"/>
                    <w:tr2bl w:val="nil"/>
                  </w:tcBorders>
                  <w:noWrap w:val="0"/>
                  <w:vAlign w:val="center"/>
                </w:tcPr>
                <w:p w14:paraId="15CE4715">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1978B262">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61D476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DE54D65">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7AD4C85F">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43BA1A0C">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3EE546E7">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3456CA4D">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42</w:t>
                  </w:r>
                </w:p>
              </w:tc>
              <w:tc>
                <w:tcPr>
                  <w:tcW w:w="994" w:type="dxa"/>
                  <w:tcBorders>
                    <w:tl2br w:val="nil"/>
                    <w:tr2bl w:val="nil"/>
                  </w:tcBorders>
                  <w:noWrap w:val="0"/>
                  <w:vAlign w:val="center"/>
                </w:tcPr>
                <w:p w14:paraId="2126597B">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86206E6">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444A5D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0E796EF">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62A4461">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5891DF97">
                  <w:pPr>
                    <w:pStyle w:val="70"/>
                    <w:ind w:firstLine="0" w:firstLineChars="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N6安置房二期北侧敏感点</w:t>
                  </w:r>
                </w:p>
              </w:tc>
              <w:tc>
                <w:tcPr>
                  <w:tcW w:w="1031" w:type="dxa"/>
                  <w:tcBorders>
                    <w:tl2br w:val="nil"/>
                    <w:tr2bl w:val="nil"/>
                  </w:tcBorders>
                  <w:noWrap w:val="0"/>
                  <w:vAlign w:val="center"/>
                </w:tcPr>
                <w:p w14:paraId="050C888E">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41B11FBF">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56</w:t>
                  </w:r>
                </w:p>
              </w:tc>
              <w:tc>
                <w:tcPr>
                  <w:tcW w:w="994" w:type="dxa"/>
                  <w:tcBorders>
                    <w:tl2br w:val="nil"/>
                    <w:tr2bl w:val="nil"/>
                  </w:tcBorders>
                  <w:noWrap w:val="0"/>
                  <w:vAlign w:val="center"/>
                </w:tcPr>
                <w:p w14:paraId="43FC2575">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5A9D02BE">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956B1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9A7F990">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57C5AA5">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49547424">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5ECCF3B2">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10B24223">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40</w:t>
                  </w:r>
                </w:p>
              </w:tc>
              <w:tc>
                <w:tcPr>
                  <w:tcW w:w="994" w:type="dxa"/>
                  <w:tcBorders>
                    <w:tl2br w:val="nil"/>
                    <w:tr2bl w:val="nil"/>
                  </w:tcBorders>
                  <w:noWrap w:val="0"/>
                  <w:vAlign w:val="center"/>
                </w:tcPr>
                <w:p w14:paraId="0B91FEFC">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4E2E4704">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0EDBEC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04C90A0">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5282BC06">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3881B439">
                  <w:pPr>
                    <w:pStyle w:val="70"/>
                    <w:ind w:firstLine="0" w:firstLineChars="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N7安置房二期东侧敏感点</w:t>
                  </w:r>
                </w:p>
              </w:tc>
              <w:tc>
                <w:tcPr>
                  <w:tcW w:w="1031" w:type="dxa"/>
                  <w:tcBorders>
                    <w:tl2br w:val="nil"/>
                    <w:tr2bl w:val="nil"/>
                  </w:tcBorders>
                  <w:noWrap w:val="0"/>
                  <w:vAlign w:val="center"/>
                </w:tcPr>
                <w:p w14:paraId="794A261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62EF6071">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noWrap w:val="0"/>
                  <w:vAlign w:val="center"/>
                </w:tcPr>
                <w:p w14:paraId="58F30877">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1B847B62">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F1799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699C9543">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7F51ADA1">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46F5E0B5">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77173B02">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5B8137F0">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43</w:t>
                  </w:r>
                </w:p>
              </w:tc>
              <w:tc>
                <w:tcPr>
                  <w:tcW w:w="994" w:type="dxa"/>
                  <w:tcBorders>
                    <w:tl2br w:val="nil"/>
                    <w:tr2bl w:val="nil"/>
                  </w:tcBorders>
                  <w:noWrap w:val="0"/>
                  <w:vAlign w:val="center"/>
                </w:tcPr>
                <w:p w14:paraId="30075BE0">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3C5C1921">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1C0BFF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CA5E794">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96E58AF">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1ABA7E20">
                  <w:pPr>
                    <w:pStyle w:val="70"/>
                    <w:ind w:firstLine="0" w:firstLineChars="0"/>
                    <w:jc w:val="center"/>
                    <w:rPr>
                      <w:rFonts w:hint="default" w:ascii="Times New Roman" w:hAnsi="Times New Roman" w:eastAsia="宋体" w:cs="Times New Roman"/>
                      <w:color w:val="auto"/>
                      <w:highlight w:val="none"/>
                      <w:u w:val="none" w:color="auto"/>
                      <w:lang w:val="en-US" w:eastAsia="en-US"/>
                    </w:rPr>
                  </w:pPr>
                  <w:r>
                    <w:rPr>
                      <w:rFonts w:hint="eastAsia" w:cs="Times New Roman"/>
                      <w:color w:val="auto"/>
                      <w:highlight w:val="none"/>
                      <w:u w:val="none" w:color="auto"/>
                      <w:lang w:val="en-US" w:eastAsia="zh-CN"/>
                    </w:rPr>
                    <w:t>N8安置房三期南侧敏感点</w:t>
                  </w:r>
                </w:p>
              </w:tc>
              <w:tc>
                <w:tcPr>
                  <w:tcW w:w="1031" w:type="dxa"/>
                  <w:tcBorders>
                    <w:tl2br w:val="nil"/>
                    <w:tr2bl w:val="nil"/>
                  </w:tcBorders>
                  <w:noWrap w:val="0"/>
                  <w:vAlign w:val="center"/>
                </w:tcPr>
                <w:p w14:paraId="683F90A9">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391D4C1C">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noWrap w:val="0"/>
                  <w:vAlign w:val="center"/>
                </w:tcPr>
                <w:p w14:paraId="52024A1F">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51ED4671">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937C2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D19B7AD">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5683FAF5">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28A2B903">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2F97AD2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0AD41671">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41</w:t>
                  </w:r>
                </w:p>
              </w:tc>
              <w:tc>
                <w:tcPr>
                  <w:tcW w:w="994" w:type="dxa"/>
                  <w:tcBorders>
                    <w:tl2br w:val="nil"/>
                    <w:tr2bl w:val="nil"/>
                  </w:tcBorders>
                  <w:noWrap w:val="0"/>
                  <w:vAlign w:val="center"/>
                </w:tcPr>
                <w:p w14:paraId="334F18A3">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977418F">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421BAB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18DE63D">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B92B9C9">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shd w:val="clear" w:color="auto" w:fill="auto"/>
                  <w:noWrap w:val="0"/>
                  <w:vAlign w:val="center"/>
                </w:tcPr>
                <w:p w14:paraId="4CB4E7C3">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N9安置房三期西侧敏感点</w:t>
                  </w:r>
                </w:p>
                <w:p w14:paraId="59FDCCBC">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665462AE">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58DA812A">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57</w:t>
                  </w:r>
                </w:p>
              </w:tc>
              <w:tc>
                <w:tcPr>
                  <w:tcW w:w="994" w:type="dxa"/>
                  <w:tcBorders>
                    <w:tl2br w:val="nil"/>
                    <w:tr2bl w:val="nil"/>
                  </w:tcBorders>
                  <w:noWrap w:val="0"/>
                  <w:vAlign w:val="center"/>
                </w:tcPr>
                <w:p w14:paraId="039C481A">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46A0CD9E">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3F0A8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5D78E89E">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1BBC1DC2">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05E6D245">
                  <w:pPr>
                    <w:pStyle w:val="70"/>
                    <w:jc w:val="center"/>
                    <w:rPr>
                      <w:rFonts w:hint="default" w:ascii="Times New Roman" w:hAnsi="Times New Roman" w:eastAsia="宋体" w:cs="Times New Roman"/>
                      <w:color w:val="auto"/>
                      <w:highlight w:val="none"/>
                      <w:u w:val="none" w:color="auto"/>
                      <w:lang w:val="en-US" w:eastAsia="en-US"/>
                    </w:rPr>
                  </w:pPr>
                </w:p>
              </w:tc>
              <w:tc>
                <w:tcPr>
                  <w:tcW w:w="1031" w:type="dxa"/>
                  <w:tcBorders>
                    <w:tl2br w:val="nil"/>
                    <w:tr2bl w:val="nil"/>
                  </w:tcBorders>
                  <w:noWrap w:val="0"/>
                  <w:vAlign w:val="center"/>
                </w:tcPr>
                <w:p w14:paraId="05DE0011">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4E94C4F1">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42</w:t>
                  </w:r>
                </w:p>
              </w:tc>
              <w:tc>
                <w:tcPr>
                  <w:tcW w:w="994" w:type="dxa"/>
                  <w:tcBorders>
                    <w:tl2br w:val="nil"/>
                    <w:tr2bl w:val="nil"/>
                  </w:tcBorders>
                  <w:noWrap w:val="0"/>
                  <w:vAlign w:val="center"/>
                </w:tcPr>
                <w:p w14:paraId="1540E10A">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70DA17C">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22A46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4D61C9B">
                  <w:pPr>
                    <w:pStyle w:val="70"/>
                    <w:jc w:val="center"/>
                    <w:rPr>
                      <w:rFonts w:hint="default" w:ascii="Times New Roman" w:hAnsi="Times New Roman" w:eastAsia="宋体" w:cs="Times New Roman"/>
                      <w:color w:val="auto"/>
                      <w:highlight w:val="none"/>
                      <w:u w:val="none" w:color="auto"/>
                    </w:rPr>
                  </w:pPr>
                </w:p>
              </w:tc>
              <w:tc>
                <w:tcPr>
                  <w:tcW w:w="1204" w:type="dxa"/>
                  <w:vMerge w:val="restart"/>
                  <w:tcBorders>
                    <w:tl2br w:val="nil"/>
                    <w:tr2bl w:val="nil"/>
                  </w:tcBorders>
                  <w:noWrap w:val="0"/>
                  <w:vAlign w:val="center"/>
                </w:tcPr>
                <w:p w14:paraId="5964CAD5">
                  <w:pPr>
                    <w:pStyle w:val="70"/>
                    <w:jc w:val="center"/>
                    <w:rPr>
                      <w:rFonts w:hint="default" w:ascii="Times New Roman" w:hAnsi="Times New Roman" w:eastAsia="宋体" w:cs="Times New Roman"/>
                      <w:color w:val="auto"/>
                      <w:highlight w:val="none"/>
                      <w:u w:val="none" w:color="auto"/>
                      <w:lang w:val="en-US"/>
                    </w:rPr>
                  </w:pPr>
                  <w:r>
                    <w:rPr>
                      <w:rFonts w:hint="default" w:ascii="Times New Roman" w:hAnsi="Times New Roman" w:eastAsia="宋体" w:cs="Times New Roman"/>
                      <w:color w:val="auto"/>
                      <w:highlight w:val="none"/>
                      <w:u w:val="none" w:color="auto"/>
                    </w:rPr>
                    <w:t>202</w:t>
                  </w:r>
                  <w:r>
                    <w:rPr>
                      <w:rFonts w:hint="default" w:ascii="Times New Roman" w:hAnsi="Times New Roman" w:eastAsia="宋体" w:cs="Times New Roman"/>
                      <w:color w:val="auto"/>
                      <w:highlight w:val="none"/>
                      <w:u w:val="none" w:color="auto"/>
                      <w:lang w:val="en-US" w:eastAsia="zh-CN"/>
                    </w:rPr>
                    <w:t>5</w:t>
                  </w:r>
                  <w:r>
                    <w:rPr>
                      <w:rFonts w:hint="default" w:ascii="Times New Roman" w:hAnsi="Times New Roman" w:eastAsia="宋体" w:cs="Times New Roman"/>
                      <w:color w:val="auto"/>
                      <w:highlight w:val="none"/>
                      <w:u w:val="none" w:color="auto"/>
                    </w:rPr>
                    <w:t>-</w:t>
                  </w:r>
                  <w:r>
                    <w:rPr>
                      <w:rFonts w:hint="default" w:ascii="Times New Roman" w:hAnsi="Times New Roman" w:eastAsia="宋体" w:cs="Times New Roman"/>
                      <w:color w:val="auto"/>
                      <w:highlight w:val="none"/>
                      <w:u w:val="none" w:color="auto"/>
                      <w:lang w:val="en-US" w:eastAsia="zh-CN"/>
                    </w:rPr>
                    <w:t>0</w:t>
                  </w:r>
                  <w:r>
                    <w:rPr>
                      <w:rFonts w:hint="eastAsia" w:cs="Times New Roman"/>
                      <w:color w:val="auto"/>
                      <w:highlight w:val="none"/>
                      <w:u w:val="none" w:color="auto"/>
                      <w:lang w:val="en-US" w:eastAsia="zh-CN"/>
                    </w:rPr>
                    <w:t>5</w:t>
                  </w:r>
                  <w:r>
                    <w:rPr>
                      <w:rFonts w:hint="default" w:ascii="Times New Roman" w:hAnsi="Times New Roman" w:eastAsia="宋体" w:cs="Times New Roman"/>
                      <w:color w:val="auto"/>
                      <w:highlight w:val="none"/>
                      <w:u w:val="none" w:color="auto"/>
                    </w:rPr>
                    <w:t>-</w:t>
                  </w:r>
                  <w:r>
                    <w:rPr>
                      <w:rFonts w:hint="default" w:ascii="Times New Roman" w:hAnsi="Times New Roman" w:eastAsia="宋体" w:cs="Times New Roman"/>
                      <w:color w:val="auto"/>
                      <w:highlight w:val="none"/>
                      <w:u w:val="none" w:color="auto"/>
                      <w:lang w:val="en-US" w:eastAsia="zh-CN"/>
                    </w:rPr>
                    <w:t>0</w:t>
                  </w:r>
                  <w:r>
                    <w:rPr>
                      <w:rFonts w:hint="eastAsia" w:cs="Times New Roman"/>
                      <w:color w:val="auto"/>
                      <w:highlight w:val="none"/>
                      <w:u w:val="none" w:color="auto"/>
                      <w:lang w:val="en-US" w:eastAsia="zh-CN"/>
                    </w:rPr>
                    <w:t>1</w:t>
                  </w:r>
                </w:p>
              </w:tc>
              <w:tc>
                <w:tcPr>
                  <w:tcW w:w="1825" w:type="dxa"/>
                  <w:vMerge w:val="restart"/>
                  <w:tcBorders>
                    <w:tl2br w:val="nil"/>
                    <w:tr2bl w:val="nil"/>
                  </w:tcBorders>
                  <w:shd w:val="clear" w:color="auto" w:fill="auto"/>
                  <w:noWrap w:val="0"/>
                  <w:vAlign w:val="center"/>
                </w:tcPr>
                <w:p w14:paraId="30F3BDA3">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N1安置房一期西侧敏感点</w:t>
                  </w:r>
                </w:p>
              </w:tc>
              <w:tc>
                <w:tcPr>
                  <w:tcW w:w="1031" w:type="dxa"/>
                  <w:tcBorders>
                    <w:tl2br w:val="nil"/>
                    <w:tr2bl w:val="nil"/>
                  </w:tcBorders>
                  <w:noWrap w:val="0"/>
                  <w:vAlign w:val="center"/>
                </w:tcPr>
                <w:p w14:paraId="15A89D0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7162A16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56</w:t>
                  </w:r>
                </w:p>
              </w:tc>
              <w:tc>
                <w:tcPr>
                  <w:tcW w:w="994" w:type="dxa"/>
                  <w:tcBorders>
                    <w:tl2br w:val="nil"/>
                    <w:tr2bl w:val="nil"/>
                  </w:tcBorders>
                  <w:noWrap w:val="0"/>
                  <w:vAlign w:val="center"/>
                </w:tcPr>
                <w:p w14:paraId="7C3523DC">
                  <w:pPr>
                    <w:pStyle w:val="70"/>
                    <w:ind w:firstLine="0" w:firstLineChars="0"/>
                    <w:jc w:val="center"/>
                    <w:rPr>
                      <w:rFonts w:hint="default" w:ascii="Times New Roman" w:hAnsi="Times New Roman" w:eastAsia="宋体" w:cs="Times New Roman"/>
                      <w:color w:val="auto"/>
                      <w:highlight w:val="none"/>
                      <w:u w:val="none" w:color="auto"/>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3B102D88">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26552B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5EDBEB3">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6B2B049A">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157F6A51">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7F2572C7">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2AAB9DD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39</w:t>
                  </w:r>
                </w:p>
              </w:tc>
              <w:tc>
                <w:tcPr>
                  <w:tcW w:w="994" w:type="dxa"/>
                  <w:tcBorders>
                    <w:tl2br w:val="nil"/>
                    <w:tr2bl w:val="nil"/>
                  </w:tcBorders>
                  <w:noWrap w:val="0"/>
                  <w:vAlign w:val="center"/>
                </w:tcPr>
                <w:p w14:paraId="14187319">
                  <w:pPr>
                    <w:pStyle w:val="70"/>
                    <w:ind w:firstLine="0" w:firstLineChars="0"/>
                    <w:jc w:val="center"/>
                    <w:rPr>
                      <w:rFonts w:hint="default" w:ascii="Times New Roman" w:hAnsi="Times New Roman" w:eastAsia="宋体" w:cs="Times New Roman"/>
                      <w:color w:val="auto"/>
                      <w:highlight w:val="none"/>
                      <w:u w:val="none" w:color="auto"/>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247A8D07">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C137D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2ED73D09">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3FAF95E8">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shd w:val="clear" w:color="auto" w:fill="auto"/>
                  <w:noWrap w:val="0"/>
                  <w:vAlign w:val="center"/>
                </w:tcPr>
                <w:p w14:paraId="536EEE68">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N2安置房一期北侧敏感点</w:t>
                  </w:r>
                </w:p>
              </w:tc>
              <w:tc>
                <w:tcPr>
                  <w:tcW w:w="1031" w:type="dxa"/>
                  <w:tcBorders>
                    <w:tl2br w:val="nil"/>
                    <w:tr2bl w:val="nil"/>
                  </w:tcBorders>
                  <w:noWrap w:val="0"/>
                  <w:vAlign w:val="center"/>
                </w:tcPr>
                <w:p w14:paraId="5663A40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5045ECB7">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57</w:t>
                  </w:r>
                </w:p>
              </w:tc>
              <w:tc>
                <w:tcPr>
                  <w:tcW w:w="994" w:type="dxa"/>
                  <w:tcBorders>
                    <w:tl2br w:val="nil"/>
                    <w:tr2bl w:val="nil"/>
                  </w:tcBorders>
                  <w:noWrap w:val="0"/>
                  <w:vAlign w:val="center"/>
                </w:tcPr>
                <w:p w14:paraId="7997F451">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10D97B50">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09EF17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664AC0B9">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37F92CD">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156DADCA">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4926371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6ACE3382">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39</w:t>
                  </w:r>
                </w:p>
              </w:tc>
              <w:tc>
                <w:tcPr>
                  <w:tcW w:w="994" w:type="dxa"/>
                  <w:tcBorders>
                    <w:tl2br w:val="nil"/>
                    <w:tr2bl w:val="nil"/>
                  </w:tcBorders>
                  <w:noWrap w:val="0"/>
                  <w:vAlign w:val="center"/>
                </w:tcPr>
                <w:p w14:paraId="6D456BAA">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4BA51DCC">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10E478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55BD97C">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DD405E1">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shd w:val="clear" w:color="auto" w:fill="auto"/>
                  <w:noWrap w:val="0"/>
                  <w:vAlign w:val="center"/>
                </w:tcPr>
                <w:p w14:paraId="40D9A7D9">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N3安置房一期东侧敏感点</w:t>
                  </w:r>
                </w:p>
              </w:tc>
              <w:tc>
                <w:tcPr>
                  <w:tcW w:w="1031" w:type="dxa"/>
                  <w:tcBorders>
                    <w:tl2br w:val="nil"/>
                    <w:tr2bl w:val="nil"/>
                  </w:tcBorders>
                  <w:noWrap w:val="0"/>
                  <w:vAlign w:val="center"/>
                </w:tcPr>
                <w:p w14:paraId="025D140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0BB47B10">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shd w:val="clear" w:color="auto" w:fill="auto"/>
                  <w:noWrap w:val="0"/>
                  <w:vAlign w:val="center"/>
                </w:tcPr>
                <w:p w14:paraId="3AE1681F">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35D488E6">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156BF6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10FC6318">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7E9B9C72">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329F60B7">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2F6E6EC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24146FE3">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41</w:t>
                  </w:r>
                </w:p>
              </w:tc>
              <w:tc>
                <w:tcPr>
                  <w:tcW w:w="994" w:type="dxa"/>
                  <w:tcBorders>
                    <w:tl2br w:val="nil"/>
                    <w:tr2bl w:val="nil"/>
                  </w:tcBorders>
                  <w:shd w:val="clear" w:color="auto" w:fill="auto"/>
                  <w:noWrap w:val="0"/>
                  <w:vAlign w:val="center"/>
                </w:tcPr>
                <w:p w14:paraId="24A07014">
                  <w:pPr>
                    <w:pStyle w:val="7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2DF27DCB">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149D1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3599FC2">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72743586">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46F5EF89">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N4安置房一期南侧敏感点</w:t>
                  </w:r>
                </w:p>
              </w:tc>
              <w:tc>
                <w:tcPr>
                  <w:tcW w:w="1031" w:type="dxa"/>
                  <w:tcBorders>
                    <w:tl2br w:val="nil"/>
                    <w:tr2bl w:val="nil"/>
                  </w:tcBorders>
                  <w:noWrap w:val="0"/>
                  <w:vAlign w:val="center"/>
                </w:tcPr>
                <w:p w14:paraId="30351A26">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63A9FBB9">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52</w:t>
                  </w:r>
                </w:p>
              </w:tc>
              <w:tc>
                <w:tcPr>
                  <w:tcW w:w="994" w:type="dxa"/>
                  <w:tcBorders>
                    <w:tl2br w:val="nil"/>
                    <w:tr2bl w:val="nil"/>
                  </w:tcBorders>
                  <w:noWrap w:val="0"/>
                  <w:vAlign w:val="center"/>
                </w:tcPr>
                <w:p w14:paraId="3971863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6A3A0DB6">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242065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1C84C2D3">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1446279B">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321CA9E9">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190108F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358FDE2A">
                  <w:pPr>
                    <w:pStyle w:val="7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40</w:t>
                  </w:r>
                </w:p>
              </w:tc>
              <w:tc>
                <w:tcPr>
                  <w:tcW w:w="994" w:type="dxa"/>
                  <w:tcBorders>
                    <w:tl2br w:val="nil"/>
                    <w:tr2bl w:val="nil"/>
                  </w:tcBorders>
                  <w:noWrap w:val="0"/>
                  <w:vAlign w:val="center"/>
                </w:tcPr>
                <w:p w14:paraId="353D393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BFB6865">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1CC9B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54650CDC">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E6FD95A">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2D64FF51">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N5安置房三期西侧敏感点</w:t>
                  </w:r>
                </w:p>
              </w:tc>
              <w:tc>
                <w:tcPr>
                  <w:tcW w:w="1031" w:type="dxa"/>
                  <w:tcBorders>
                    <w:tl2br w:val="nil"/>
                    <w:tr2bl w:val="nil"/>
                  </w:tcBorders>
                  <w:noWrap w:val="0"/>
                  <w:vAlign w:val="center"/>
                </w:tcPr>
                <w:p w14:paraId="11EA76A2">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04F570AE">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53</w:t>
                  </w:r>
                </w:p>
              </w:tc>
              <w:tc>
                <w:tcPr>
                  <w:tcW w:w="994" w:type="dxa"/>
                  <w:tcBorders>
                    <w:tl2br w:val="nil"/>
                    <w:tr2bl w:val="nil"/>
                  </w:tcBorders>
                  <w:noWrap w:val="0"/>
                  <w:vAlign w:val="center"/>
                </w:tcPr>
                <w:p w14:paraId="051E354A">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788A9A58">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EA6D0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A296007">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2362347">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0046FA27">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0B6901A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2379A3FD">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42</w:t>
                  </w:r>
                </w:p>
              </w:tc>
              <w:tc>
                <w:tcPr>
                  <w:tcW w:w="994" w:type="dxa"/>
                  <w:tcBorders>
                    <w:tl2br w:val="nil"/>
                    <w:tr2bl w:val="nil"/>
                  </w:tcBorders>
                  <w:noWrap w:val="0"/>
                  <w:vAlign w:val="center"/>
                </w:tcPr>
                <w:p w14:paraId="2088BED8">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1F081960">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37BBD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5154A3CE">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02C4B87A">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0C044353">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N6安置房二期北侧敏感点</w:t>
                  </w:r>
                </w:p>
              </w:tc>
              <w:tc>
                <w:tcPr>
                  <w:tcW w:w="1031" w:type="dxa"/>
                  <w:tcBorders>
                    <w:tl2br w:val="nil"/>
                    <w:tr2bl w:val="nil"/>
                  </w:tcBorders>
                  <w:noWrap w:val="0"/>
                  <w:vAlign w:val="center"/>
                </w:tcPr>
                <w:p w14:paraId="274D419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5B367FE2">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56</w:t>
                  </w:r>
                </w:p>
              </w:tc>
              <w:tc>
                <w:tcPr>
                  <w:tcW w:w="994" w:type="dxa"/>
                  <w:tcBorders>
                    <w:tl2br w:val="nil"/>
                    <w:tr2bl w:val="nil"/>
                  </w:tcBorders>
                  <w:noWrap w:val="0"/>
                  <w:vAlign w:val="center"/>
                </w:tcPr>
                <w:p w14:paraId="5592A866">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206D0F3C">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0621EE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91E424C">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E4F6108">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6315C389">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24C6BF5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7E55122F">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40</w:t>
                  </w:r>
                </w:p>
              </w:tc>
              <w:tc>
                <w:tcPr>
                  <w:tcW w:w="994" w:type="dxa"/>
                  <w:tcBorders>
                    <w:tl2br w:val="nil"/>
                    <w:tr2bl w:val="nil"/>
                  </w:tcBorders>
                  <w:noWrap w:val="0"/>
                  <w:vAlign w:val="center"/>
                </w:tcPr>
                <w:p w14:paraId="0EEB0EF1">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2048D2F5">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4A2D0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8CA8C05">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CC45415">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42FED46E">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N7安置房二期东侧敏感点</w:t>
                  </w:r>
                </w:p>
              </w:tc>
              <w:tc>
                <w:tcPr>
                  <w:tcW w:w="1031" w:type="dxa"/>
                  <w:tcBorders>
                    <w:tl2br w:val="nil"/>
                    <w:tr2bl w:val="nil"/>
                  </w:tcBorders>
                  <w:noWrap w:val="0"/>
                  <w:vAlign w:val="center"/>
                </w:tcPr>
                <w:p w14:paraId="64103E8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351008E7">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noWrap w:val="0"/>
                  <w:vAlign w:val="center"/>
                </w:tcPr>
                <w:p w14:paraId="43151456">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27D1EEF6">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372F2E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7971F8E7">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231C127">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6A055B75">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661A4585">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5306607B">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43</w:t>
                  </w:r>
                </w:p>
              </w:tc>
              <w:tc>
                <w:tcPr>
                  <w:tcW w:w="994" w:type="dxa"/>
                  <w:tcBorders>
                    <w:tl2br w:val="nil"/>
                    <w:tr2bl w:val="nil"/>
                  </w:tcBorders>
                  <w:noWrap w:val="0"/>
                  <w:vAlign w:val="center"/>
                </w:tcPr>
                <w:p w14:paraId="4903D7E0">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021C29D7">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04C195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302484E9">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7CEFB6F">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4FE96E0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N8安置房三期南侧敏感点</w:t>
                  </w:r>
                </w:p>
              </w:tc>
              <w:tc>
                <w:tcPr>
                  <w:tcW w:w="1031" w:type="dxa"/>
                  <w:tcBorders>
                    <w:tl2br w:val="nil"/>
                    <w:tr2bl w:val="nil"/>
                  </w:tcBorders>
                  <w:noWrap w:val="0"/>
                  <w:vAlign w:val="center"/>
                </w:tcPr>
                <w:p w14:paraId="68507A6E">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1A110B2D">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54</w:t>
                  </w:r>
                </w:p>
              </w:tc>
              <w:tc>
                <w:tcPr>
                  <w:tcW w:w="994" w:type="dxa"/>
                  <w:tcBorders>
                    <w:tl2br w:val="nil"/>
                    <w:tr2bl w:val="nil"/>
                  </w:tcBorders>
                  <w:noWrap w:val="0"/>
                  <w:vAlign w:val="center"/>
                </w:tcPr>
                <w:p w14:paraId="25B974C8">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4A40D92B">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5FD4D2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5BDA52CD">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4321AA8C">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55F08C87">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233ACAB0">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633FE995">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41</w:t>
                  </w:r>
                </w:p>
              </w:tc>
              <w:tc>
                <w:tcPr>
                  <w:tcW w:w="994" w:type="dxa"/>
                  <w:tcBorders>
                    <w:tl2br w:val="nil"/>
                    <w:tr2bl w:val="nil"/>
                  </w:tcBorders>
                  <w:noWrap w:val="0"/>
                  <w:vAlign w:val="center"/>
                </w:tcPr>
                <w:p w14:paraId="5B2B0536">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39807C91">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7018C9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1FD71EF5">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6D04D4A2">
                  <w:pPr>
                    <w:pStyle w:val="70"/>
                    <w:jc w:val="center"/>
                    <w:rPr>
                      <w:rFonts w:hint="default" w:ascii="Times New Roman" w:hAnsi="Times New Roman" w:eastAsia="宋体" w:cs="Times New Roman"/>
                      <w:color w:val="auto"/>
                      <w:highlight w:val="none"/>
                      <w:u w:val="none" w:color="auto"/>
                    </w:rPr>
                  </w:pPr>
                </w:p>
              </w:tc>
              <w:tc>
                <w:tcPr>
                  <w:tcW w:w="1825" w:type="dxa"/>
                  <w:vMerge w:val="restart"/>
                  <w:tcBorders>
                    <w:tl2br w:val="nil"/>
                    <w:tr2bl w:val="nil"/>
                  </w:tcBorders>
                  <w:noWrap w:val="0"/>
                  <w:vAlign w:val="center"/>
                </w:tcPr>
                <w:p w14:paraId="5CBD1FAC">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N1安置房一期西侧敏感点</w:t>
                  </w:r>
                </w:p>
              </w:tc>
              <w:tc>
                <w:tcPr>
                  <w:tcW w:w="1031" w:type="dxa"/>
                  <w:tcBorders>
                    <w:tl2br w:val="nil"/>
                    <w:tr2bl w:val="nil"/>
                  </w:tcBorders>
                  <w:noWrap w:val="0"/>
                  <w:vAlign w:val="center"/>
                </w:tcPr>
                <w:p w14:paraId="0CDB84D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en-US"/>
                    </w:rPr>
                    <w:t>昼间</w:t>
                  </w:r>
                </w:p>
              </w:tc>
              <w:tc>
                <w:tcPr>
                  <w:tcW w:w="1319" w:type="dxa"/>
                  <w:tcBorders>
                    <w:tl2br w:val="nil"/>
                    <w:tr2bl w:val="nil"/>
                  </w:tcBorders>
                  <w:noWrap w:val="0"/>
                  <w:vAlign w:val="center"/>
                </w:tcPr>
                <w:p w14:paraId="7AFD5E8A">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57</w:t>
                  </w:r>
                </w:p>
              </w:tc>
              <w:tc>
                <w:tcPr>
                  <w:tcW w:w="994" w:type="dxa"/>
                  <w:tcBorders>
                    <w:tl2br w:val="nil"/>
                    <w:tr2bl w:val="nil"/>
                  </w:tcBorders>
                  <w:noWrap w:val="0"/>
                  <w:vAlign w:val="center"/>
                </w:tcPr>
                <w:p w14:paraId="02C41F30">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60</w:t>
                  </w:r>
                </w:p>
              </w:tc>
              <w:tc>
                <w:tcPr>
                  <w:tcW w:w="892" w:type="dxa"/>
                  <w:tcBorders>
                    <w:tl2br w:val="nil"/>
                    <w:tr2bl w:val="nil"/>
                  </w:tcBorders>
                  <w:noWrap w:val="0"/>
                  <w:vAlign w:val="center"/>
                </w:tcPr>
                <w:p w14:paraId="00590EFE">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r w14:paraId="6E3305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14:paraId="12036896">
                  <w:pPr>
                    <w:pStyle w:val="70"/>
                    <w:jc w:val="center"/>
                    <w:rPr>
                      <w:rFonts w:hint="default" w:ascii="Times New Roman" w:hAnsi="Times New Roman" w:eastAsia="宋体" w:cs="Times New Roman"/>
                      <w:color w:val="auto"/>
                      <w:highlight w:val="none"/>
                      <w:u w:val="none" w:color="auto"/>
                    </w:rPr>
                  </w:pPr>
                </w:p>
              </w:tc>
              <w:tc>
                <w:tcPr>
                  <w:tcW w:w="1204" w:type="dxa"/>
                  <w:vMerge w:val="continue"/>
                  <w:tcBorders>
                    <w:tl2br w:val="nil"/>
                    <w:tr2bl w:val="nil"/>
                  </w:tcBorders>
                  <w:noWrap w:val="0"/>
                  <w:vAlign w:val="center"/>
                </w:tcPr>
                <w:p w14:paraId="2353D826">
                  <w:pPr>
                    <w:pStyle w:val="70"/>
                    <w:jc w:val="center"/>
                    <w:rPr>
                      <w:rFonts w:hint="default" w:ascii="Times New Roman" w:hAnsi="Times New Roman" w:eastAsia="宋体" w:cs="Times New Roman"/>
                      <w:color w:val="auto"/>
                      <w:highlight w:val="none"/>
                      <w:u w:val="none" w:color="auto"/>
                    </w:rPr>
                  </w:pPr>
                </w:p>
              </w:tc>
              <w:tc>
                <w:tcPr>
                  <w:tcW w:w="1825" w:type="dxa"/>
                  <w:vMerge w:val="continue"/>
                  <w:tcBorders>
                    <w:tl2br w:val="nil"/>
                    <w:tr2bl w:val="nil"/>
                  </w:tcBorders>
                  <w:noWrap w:val="0"/>
                  <w:vAlign w:val="center"/>
                </w:tcPr>
                <w:p w14:paraId="7D9D5D3F">
                  <w:pPr>
                    <w:pStyle w:val="70"/>
                    <w:ind w:firstLine="0" w:firstLineChars="0"/>
                    <w:jc w:val="center"/>
                    <w:rPr>
                      <w:rFonts w:hint="default" w:ascii="Times New Roman" w:hAnsi="Times New Roman" w:eastAsia="宋体" w:cs="Times New Roman"/>
                      <w:color w:val="auto"/>
                      <w:highlight w:val="none"/>
                      <w:u w:val="none" w:color="auto"/>
                      <w:lang w:val="en-US" w:eastAsia="zh-CN"/>
                    </w:rPr>
                  </w:pPr>
                </w:p>
              </w:tc>
              <w:tc>
                <w:tcPr>
                  <w:tcW w:w="1031" w:type="dxa"/>
                  <w:tcBorders>
                    <w:tl2br w:val="nil"/>
                    <w:tr2bl w:val="nil"/>
                  </w:tcBorders>
                  <w:noWrap w:val="0"/>
                  <w:vAlign w:val="center"/>
                </w:tcPr>
                <w:p w14:paraId="25AD5B7F">
                  <w:pPr>
                    <w:pStyle w:val="70"/>
                    <w:ind w:firstLine="0" w:firstLineChars="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夜</w:t>
                  </w:r>
                  <w:r>
                    <w:rPr>
                      <w:rFonts w:hint="default" w:ascii="Times New Roman" w:hAnsi="Times New Roman" w:eastAsia="宋体" w:cs="Times New Roman"/>
                      <w:color w:val="auto"/>
                      <w:highlight w:val="none"/>
                      <w:u w:val="none" w:color="auto"/>
                      <w:lang w:val="en-US" w:eastAsia="en-US"/>
                    </w:rPr>
                    <w:t>间</w:t>
                  </w:r>
                </w:p>
              </w:tc>
              <w:tc>
                <w:tcPr>
                  <w:tcW w:w="1319" w:type="dxa"/>
                  <w:tcBorders>
                    <w:tl2br w:val="nil"/>
                    <w:tr2bl w:val="nil"/>
                  </w:tcBorders>
                  <w:noWrap w:val="0"/>
                  <w:vAlign w:val="center"/>
                </w:tcPr>
                <w:p w14:paraId="52E69F18">
                  <w:pPr>
                    <w:pStyle w:val="7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42</w:t>
                  </w:r>
                </w:p>
              </w:tc>
              <w:tc>
                <w:tcPr>
                  <w:tcW w:w="994" w:type="dxa"/>
                  <w:tcBorders>
                    <w:tl2br w:val="nil"/>
                    <w:tr2bl w:val="nil"/>
                  </w:tcBorders>
                  <w:noWrap w:val="0"/>
                  <w:vAlign w:val="center"/>
                </w:tcPr>
                <w:p w14:paraId="24189EE3">
                  <w:pPr>
                    <w:pStyle w:val="70"/>
                    <w:ind w:firstLine="0" w:firstLineChars="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892" w:type="dxa"/>
                  <w:tcBorders>
                    <w:tl2br w:val="nil"/>
                    <w:tr2bl w:val="nil"/>
                  </w:tcBorders>
                  <w:noWrap w:val="0"/>
                  <w:vAlign w:val="center"/>
                </w:tcPr>
                <w:p w14:paraId="517FAED9">
                  <w:pPr>
                    <w:pStyle w:val="70"/>
                    <w:ind w:firstLine="0" w:firstLineChars="0"/>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dB（A）</w:t>
                  </w:r>
                </w:p>
              </w:tc>
            </w:tr>
          </w:tbl>
          <w:p w14:paraId="0F0BBC00">
            <w:pPr>
              <w:pStyle w:val="68"/>
              <w:spacing w:before="156"/>
              <w:ind w:firstLine="480"/>
              <w:rPr>
                <w:rFonts w:hint="default" w:ascii="Times New Roman" w:hAnsi="Times New Roman" w:cs="Times New Roman"/>
                <w:color w:val="auto"/>
                <w:u w:val="none" w:color="auto"/>
              </w:rPr>
            </w:pPr>
            <w:r>
              <w:rPr>
                <w:rFonts w:hint="default" w:ascii="Times New Roman" w:hAnsi="Times New Roman" w:cs="Times New Roman"/>
                <w:color w:val="auto"/>
                <w:highlight w:val="none"/>
                <w:u w:val="none" w:color="auto"/>
              </w:rPr>
              <w:t>由上表监测结果可知，</w:t>
            </w:r>
            <w:r>
              <w:rPr>
                <w:rFonts w:hint="eastAsia" w:ascii="Times New Roman" w:hAnsi="Times New Roman" w:cs="Times New Roman"/>
                <w:color w:val="auto"/>
                <w:highlight w:val="none"/>
                <w:u w:val="none" w:color="auto"/>
                <w:lang w:val="en-US" w:eastAsia="zh-CN"/>
              </w:rPr>
              <w:t>本项目周边最近敏感点现状噪声值满足</w:t>
            </w:r>
            <w:r>
              <w:rPr>
                <w:rFonts w:hint="default" w:ascii="Times New Roman" w:hAnsi="Times New Roman" w:cs="Times New Roman"/>
                <w:color w:val="auto"/>
                <w:kern w:val="0"/>
                <w:highlight w:val="none"/>
                <w:u w:val="none" w:color="auto"/>
              </w:rPr>
              <w:t>《</w:t>
            </w:r>
            <w:r>
              <w:rPr>
                <w:rFonts w:hint="eastAsia" w:ascii="Times New Roman" w:hAnsi="Times New Roman" w:cs="Times New Roman"/>
                <w:color w:val="auto"/>
                <w:kern w:val="0"/>
                <w:highlight w:val="none"/>
                <w:u w:val="none" w:color="auto"/>
                <w:lang w:val="en-US" w:eastAsia="zh-CN"/>
              </w:rPr>
              <w:t>声环境</w:t>
            </w:r>
            <w:r>
              <w:rPr>
                <w:rFonts w:hint="default" w:ascii="Times New Roman" w:hAnsi="Times New Roman" w:cs="Times New Roman"/>
                <w:color w:val="auto"/>
                <w:kern w:val="0"/>
                <w:highlight w:val="none"/>
                <w:u w:val="none" w:color="auto"/>
              </w:rPr>
              <w:t>环境质量标准》（GB</w:t>
            </w:r>
            <w:r>
              <w:rPr>
                <w:rFonts w:hint="eastAsia" w:ascii="Times New Roman" w:hAnsi="Times New Roman" w:cs="Times New Roman"/>
                <w:color w:val="auto"/>
                <w:kern w:val="0"/>
                <w:highlight w:val="none"/>
                <w:u w:val="none" w:color="auto"/>
                <w:lang w:val="en-US" w:eastAsia="zh-CN"/>
              </w:rPr>
              <w:t>3096</w:t>
            </w:r>
            <w:r>
              <w:rPr>
                <w:rFonts w:hint="default" w:ascii="Times New Roman" w:hAnsi="Times New Roman" w:cs="Times New Roman"/>
                <w:color w:val="auto"/>
                <w:kern w:val="0"/>
                <w:highlight w:val="none"/>
                <w:u w:val="none" w:color="auto"/>
              </w:rPr>
              <w:t>-200</w:t>
            </w:r>
            <w:r>
              <w:rPr>
                <w:rFonts w:hint="eastAsia" w:ascii="Times New Roman" w:hAnsi="Times New Roman" w:cs="Times New Roman"/>
                <w:color w:val="auto"/>
                <w:kern w:val="0"/>
                <w:highlight w:val="none"/>
                <w:u w:val="none" w:color="auto"/>
                <w:lang w:val="en-US" w:eastAsia="zh-CN"/>
              </w:rPr>
              <w:t>8</w:t>
            </w:r>
            <w:r>
              <w:rPr>
                <w:rFonts w:hint="default" w:ascii="Times New Roman" w:hAnsi="Times New Roman" w:cs="Times New Roman"/>
                <w:color w:val="auto"/>
                <w:kern w:val="0"/>
                <w:highlight w:val="none"/>
                <w:u w:val="none" w:color="auto"/>
              </w:rPr>
              <w:t>）中</w:t>
            </w:r>
            <w:r>
              <w:rPr>
                <w:rFonts w:hint="eastAsia" w:cs="Times New Roman"/>
                <w:color w:val="auto"/>
                <w:kern w:val="0"/>
                <w:highlight w:val="none"/>
                <w:u w:val="none" w:color="auto"/>
                <w:lang w:val="en-US" w:eastAsia="zh-CN"/>
              </w:rPr>
              <w:t>2</w:t>
            </w:r>
            <w:r>
              <w:rPr>
                <w:rFonts w:hint="default" w:ascii="Times New Roman" w:hAnsi="Times New Roman" w:cs="Times New Roman"/>
                <w:color w:val="auto"/>
                <w:kern w:val="0"/>
                <w:highlight w:val="none"/>
                <w:u w:val="none" w:color="auto"/>
              </w:rPr>
              <w:t>类标准，</w:t>
            </w:r>
            <w:r>
              <w:rPr>
                <w:rFonts w:hint="eastAsia" w:ascii="Times New Roman" w:hAnsi="Times New Roman" w:cs="Times New Roman"/>
                <w:color w:val="auto"/>
                <w:kern w:val="0"/>
                <w:highlight w:val="none"/>
                <w:u w:val="none" w:color="auto"/>
                <w:lang w:val="en-US" w:eastAsia="zh-CN"/>
              </w:rPr>
              <w:t>周边环境声</w:t>
            </w:r>
            <w:r>
              <w:rPr>
                <w:rFonts w:hint="default" w:ascii="Times New Roman" w:hAnsi="Times New Roman" w:cs="Times New Roman"/>
                <w:color w:val="auto"/>
                <w:kern w:val="0"/>
                <w:highlight w:val="none"/>
                <w:u w:val="none" w:color="auto"/>
              </w:rPr>
              <w:t>环境质量现</w:t>
            </w:r>
            <w:r>
              <w:rPr>
                <w:rFonts w:hint="default" w:ascii="Times New Roman" w:hAnsi="Times New Roman" w:cs="Times New Roman"/>
                <w:color w:val="auto"/>
                <w:kern w:val="0"/>
                <w:u w:val="none" w:color="auto"/>
              </w:rPr>
              <w:t>状较好。</w:t>
            </w:r>
          </w:p>
          <w:p w14:paraId="6A80BA75">
            <w:pPr>
              <w:pStyle w:val="68"/>
              <w:ind w:firstLine="480"/>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4、地下水环境质量现状</w:t>
            </w:r>
          </w:p>
          <w:p w14:paraId="1112AB6E">
            <w:pPr>
              <w:pStyle w:val="68"/>
              <w:ind w:firstLine="480"/>
              <w:rPr>
                <w:rFonts w:hint="default" w:ascii="Times New Roman" w:hAnsi="Times New Roman" w:cs="Times New Roman"/>
                <w:color w:val="auto"/>
                <w:u w:val="none" w:color="auto"/>
              </w:rPr>
            </w:pPr>
            <w:r>
              <w:rPr>
                <w:rFonts w:hint="default" w:ascii="Times New Roman" w:hAnsi="Times New Roman" w:eastAsia="宋体" w:cs="Times New Roman"/>
                <w:color w:val="auto"/>
                <w:u w:val="none" w:color="auto"/>
                <w:lang w:val="en-US" w:eastAsia="zh-CN"/>
              </w:rPr>
              <w:t>根据《建设项目环境影响报告表编制技术指南 （污染影响类）（试行）》，原则上不开展</w:t>
            </w:r>
            <w:r>
              <w:rPr>
                <w:rFonts w:hint="eastAsia" w:cs="Times New Roman"/>
                <w:color w:val="auto"/>
                <w:u w:val="none" w:color="auto"/>
                <w:lang w:val="en-US" w:eastAsia="zh-CN"/>
              </w:rPr>
              <w:t>地下水</w:t>
            </w:r>
            <w:r>
              <w:rPr>
                <w:rFonts w:hint="default" w:ascii="Times New Roman" w:hAnsi="Times New Roman" w:eastAsia="宋体" w:cs="Times New Roman"/>
                <w:color w:val="auto"/>
                <w:u w:val="none" w:color="auto"/>
                <w:lang w:val="en-US" w:eastAsia="zh-CN"/>
              </w:rPr>
              <w:t>质量现状调查</w:t>
            </w:r>
            <w:r>
              <w:rPr>
                <w:rFonts w:hint="eastAsia" w:cs="Times New Roman"/>
                <w:color w:val="auto"/>
                <w:u w:val="none" w:color="auto"/>
                <w:lang w:val="en-US" w:eastAsia="zh-CN"/>
              </w:rPr>
              <w:t>。</w:t>
            </w:r>
            <w:r>
              <w:rPr>
                <w:rFonts w:hint="default" w:ascii="Times New Roman" w:hAnsi="Times New Roman" w:eastAsia="宋体" w:cs="Times New Roman"/>
                <w:color w:val="auto"/>
                <w:u w:val="none" w:color="auto"/>
                <w:lang w:val="en-US" w:eastAsia="zh-CN"/>
              </w:rPr>
              <w:t>本项目</w:t>
            </w:r>
            <w:r>
              <w:rPr>
                <w:rFonts w:hint="eastAsia" w:ascii="Times New Roman" w:hAnsi="Times New Roman" w:cs="Times New Roman"/>
                <w:color w:val="auto"/>
                <w:u w:val="none" w:color="auto"/>
                <w:lang w:val="en-US" w:eastAsia="zh-CN"/>
              </w:rPr>
              <w:t>为</w:t>
            </w:r>
            <w:r>
              <w:rPr>
                <w:rFonts w:hint="eastAsia"/>
                <w:color w:val="auto"/>
                <w:u w:val="none" w:color="auto"/>
                <w:lang w:val="en-US" w:eastAsia="zh-CN"/>
              </w:rPr>
              <w:t>团洲安置房配套基础项目</w:t>
            </w:r>
            <w:r>
              <w:rPr>
                <w:rFonts w:hint="default" w:ascii="Times New Roman" w:hAnsi="Times New Roman" w:eastAsia="宋体" w:cs="Times New Roman"/>
                <w:color w:val="auto"/>
                <w:u w:val="none" w:color="auto"/>
                <w:lang w:val="en-US" w:eastAsia="zh-CN"/>
              </w:rPr>
              <w:t>，</w:t>
            </w:r>
            <w:r>
              <w:rPr>
                <w:rFonts w:hint="eastAsia" w:cs="Times New Roman"/>
                <w:color w:val="auto"/>
                <w:u w:val="none" w:color="auto"/>
                <w:lang w:val="en-US" w:eastAsia="zh-CN"/>
              </w:rPr>
              <w:t>不涉及地下取水，</w:t>
            </w:r>
            <w:r>
              <w:rPr>
                <w:rFonts w:hint="default" w:ascii="Times New Roman" w:hAnsi="Times New Roman" w:eastAsia="宋体" w:cs="Times New Roman"/>
                <w:color w:val="auto"/>
                <w:u w:val="none" w:color="auto"/>
                <w:lang w:val="en-US" w:eastAsia="zh-CN"/>
              </w:rPr>
              <w:t>不存在</w:t>
            </w:r>
            <w:r>
              <w:rPr>
                <w:rFonts w:hint="eastAsia" w:cs="Times New Roman"/>
                <w:color w:val="auto"/>
                <w:u w:val="none" w:color="auto"/>
                <w:lang w:val="en-US" w:eastAsia="zh-CN"/>
              </w:rPr>
              <w:t>地下水</w:t>
            </w:r>
            <w:r>
              <w:rPr>
                <w:rFonts w:hint="default" w:ascii="Times New Roman" w:hAnsi="Times New Roman" w:eastAsia="宋体" w:cs="Times New Roman"/>
                <w:color w:val="auto"/>
                <w:u w:val="none" w:color="auto"/>
                <w:lang w:val="en-US" w:eastAsia="zh-CN"/>
              </w:rPr>
              <w:t>环境污染途径，可不进行</w:t>
            </w:r>
            <w:r>
              <w:rPr>
                <w:rFonts w:hint="eastAsia" w:cs="Times New Roman"/>
                <w:color w:val="auto"/>
                <w:u w:val="none" w:color="auto"/>
                <w:lang w:val="en-US" w:eastAsia="zh-CN"/>
              </w:rPr>
              <w:t>地下水</w:t>
            </w:r>
            <w:r>
              <w:rPr>
                <w:rFonts w:hint="default" w:ascii="Times New Roman" w:hAnsi="Times New Roman" w:eastAsia="宋体" w:cs="Times New Roman"/>
                <w:color w:val="auto"/>
                <w:u w:val="none" w:color="auto"/>
                <w:lang w:val="en-US" w:eastAsia="zh-CN"/>
              </w:rPr>
              <w:t>质量现状监测。</w:t>
            </w:r>
          </w:p>
          <w:p w14:paraId="6F42AF2A">
            <w:pPr>
              <w:pStyle w:val="68"/>
              <w:ind w:firstLine="480"/>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lang w:val="en-US" w:eastAsia="zh-CN"/>
              </w:rPr>
              <w:t>5、</w:t>
            </w:r>
            <w:r>
              <w:rPr>
                <w:rFonts w:hint="default" w:ascii="Times New Roman" w:hAnsi="Times New Roman" w:cs="Times New Roman"/>
                <w:b/>
                <w:bCs/>
                <w:color w:val="auto"/>
                <w:u w:val="none" w:color="auto"/>
                <w:lang w:val="en-US" w:eastAsia="zh-CN"/>
              </w:rPr>
              <w:t>土壤环境</w:t>
            </w:r>
            <w:r>
              <w:rPr>
                <w:rFonts w:hint="default" w:ascii="Times New Roman" w:hAnsi="Times New Roman" w:cs="Times New Roman"/>
                <w:b/>
                <w:bCs/>
                <w:color w:val="auto"/>
                <w:u w:val="none" w:color="auto"/>
              </w:rPr>
              <w:t>质量现状</w:t>
            </w:r>
          </w:p>
          <w:p w14:paraId="7181DABF">
            <w:pPr>
              <w:pStyle w:val="68"/>
              <w:ind w:firstLine="480"/>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根据《建设项目环境影响报告表编制技术指南 （污染影响类）（试行）》，原则上不开展环境质量现状调查。本项目</w:t>
            </w:r>
            <w:r>
              <w:rPr>
                <w:rFonts w:hint="eastAsia" w:ascii="Times New Roman" w:hAnsi="Times New Roman" w:cs="Times New Roman"/>
                <w:color w:val="auto"/>
                <w:u w:val="none" w:color="auto"/>
                <w:lang w:val="en-US" w:eastAsia="zh-CN"/>
              </w:rPr>
              <w:t>为</w:t>
            </w:r>
            <w:r>
              <w:rPr>
                <w:rFonts w:hint="eastAsia"/>
                <w:color w:val="auto"/>
                <w:u w:val="none" w:color="auto"/>
                <w:lang w:val="en-US" w:eastAsia="zh-CN"/>
              </w:rPr>
              <w:t>团洲安置房配套基础项目</w:t>
            </w:r>
            <w:r>
              <w:rPr>
                <w:rFonts w:hint="default" w:ascii="Times New Roman" w:hAnsi="Times New Roman" w:eastAsia="宋体" w:cs="Times New Roman"/>
                <w:color w:val="auto"/>
                <w:u w:val="none" w:color="auto"/>
                <w:lang w:val="en-US" w:eastAsia="zh-CN"/>
              </w:rPr>
              <w:t>，不存在土壤环境污染途径，可不进行土壤质量现状监测。</w:t>
            </w:r>
          </w:p>
          <w:p w14:paraId="291FD9D5">
            <w:pPr>
              <w:pStyle w:val="68"/>
              <w:numPr>
                <w:ilvl w:val="0"/>
                <w:numId w:val="0"/>
              </w:numPr>
              <w:ind w:left="630" w:leftChars="0"/>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lang w:val="en-US" w:eastAsia="zh-CN"/>
              </w:rPr>
              <w:t>6、</w:t>
            </w:r>
            <w:r>
              <w:rPr>
                <w:rFonts w:hint="default" w:ascii="Times New Roman" w:hAnsi="Times New Roman" w:cs="Times New Roman"/>
                <w:b/>
                <w:bCs/>
                <w:color w:val="auto"/>
                <w:u w:val="none" w:color="auto"/>
                <w:lang w:val="en-US" w:eastAsia="zh-CN"/>
              </w:rPr>
              <w:t>生态环境现状</w:t>
            </w:r>
          </w:p>
          <w:p w14:paraId="27110788">
            <w:pPr>
              <w:pStyle w:val="68"/>
              <w:ind w:firstLine="480"/>
              <w:rPr>
                <w:color w:val="auto"/>
                <w:szCs w:val="24"/>
                <w:u w:val="none" w:color="auto"/>
              </w:rPr>
            </w:pPr>
            <w:r>
              <w:rPr>
                <w:rFonts w:hint="eastAsia" w:cs="Times New Roman"/>
                <w:color w:val="auto"/>
                <w:szCs w:val="22"/>
                <w:u w:val="none" w:color="auto"/>
                <w:lang w:val="en-US" w:eastAsia="zh-CN"/>
              </w:rPr>
              <w:t>详见生态专章。</w:t>
            </w:r>
          </w:p>
        </w:tc>
      </w:tr>
      <w:tr w14:paraId="1E18B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14:paraId="248E5E31">
            <w:pPr>
              <w:adjustRightInd w:val="0"/>
              <w:snapToGrid w:val="0"/>
              <w:jc w:val="center"/>
              <w:rPr>
                <w:rFonts w:hint="eastAsia" w:cs="宋体"/>
                <w:color w:val="auto"/>
                <w:kern w:val="0"/>
                <w:sz w:val="24"/>
                <w:szCs w:val="21"/>
                <w:u w:val="none" w:color="auto"/>
              </w:rPr>
            </w:pPr>
            <w:r>
              <w:rPr>
                <w:rFonts w:hint="default" w:ascii="Times New Roman" w:hAnsi="Times New Roman" w:cs="Times New Roman"/>
                <w:bCs/>
                <w:color w:val="auto"/>
                <w:u w:val="none" w:color="auto"/>
              </w:rPr>
              <w:t>与项目有关的原有环境污染和生态破坏问题</w:t>
            </w:r>
          </w:p>
        </w:tc>
        <w:tc>
          <w:tcPr>
            <w:tcW w:w="8190" w:type="dxa"/>
            <w:vAlign w:val="center"/>
          </w:tcPr>
          <w:p w14:paraId="0ACA8749">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u w:val="none" w:color="auto"/>
                <w:lang w:val="en-US" w:eastAsia="zh-CN"/>
              </w:rPr>
            </w:pPr>
            <w:r>
              <w:rPr>
                <w:rFonts w:hint="eastAsia" w:ascii="Times New Roman" w:hAnsi="Times New Roman" w:eastAsia="宋体" w:cs="Times New Roman"/>
                <w:bCs/>
                <w:color w:val="auto"/>
                <w:sz w:val="24"/>
                <w:szCs w:val="21"/>
                <w:u w:val="none" w:color="auto"/>
                <w:lang w:val="en-US" w:eastAsia="zh-CN"/>
              </w:rPr>
              <w:t>根据对当地的调研，目前存在的环境问题如下：</w:t>
            </w:r>
          </w:p>
          <w:p w14:paraId="2E3E96C3">
            <w:pPr>
              <w:adjustRightInd w:val="0"/>
              <w:snapToGrid w:val="0"/>
              <w:spacing w:line="360" w:lineRule="auto"/>
              <w:ind w:firstLine="480" w:firstLineChars="200"/>
              <w:jc w:val="left"/>
              <w:rPr>
                <w:rFonts w:hint="eastAsia" w:cs="Times New Roman"/>
                <w:color w:val="auto"/>
                <w:szCs w:val="22"/>
                <w:u w:val="none" w:color="auto"/>
                <w:lang w:val="en-US" w:eastAsia="zh-CN"/>
              </w:rPr>
            </w:pPr>
            <w:r>
              <w:rPr>
                <w:rFonts w:hint="eastAsia" w:ascii="Times New Roman" w:hAnsi="Times New Roman" w:eastAsia="宋体" w:cs="Times New Roman"/>
                <w:bCs/>
                <w:color w:val="auto"/>
                <w:sz w:val="24"/>
                <w:szCs w:val="21"/>
                <w:u w:val="none" w:color="auto"/>
                <w:lang w:val="en-US" w:eastAsia="zh-CN"/>
              </w:rPr>
              <w:t>污水管网陈旧，无法满足日益增长的居民生活污水处理需求，尤其是雨季排水不畅，造成常见的内涝问题；其次，雨水管道体系不完善，雨水排放能力弱，雨水期间存在严重积水现象，本项目为华容县团洲垸灾后重建安置房配套基础设施建设项目，项目建成后将可解决上述问题。</w:t>
            </w:r>
          </w:p>
        </w:tc>
      </w:tr>
      <w:tr w14:paraId="0D315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1632" w:hRule="atLeast"/>
          <w:jc w:val="center"/>
        </w:trPr>
        <w:tc>
          <w:tcPr>
            <w:tcW w:w="800" w:type="dxa"/>
            <w:vAlign w:val="center"/>
          </w:tcPr>
          <w:p w14:paraId="13673128">
            <w:pPr>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lang w:val="en-US" w:eastAsia="zh-CN"/>
              </w:rPr>
              <w:t>生态</w:t>
            </w:r>
            <w:r>
              <w:rPr>
                <w:rFonts w:hint="eastAsia" w:cs="宋体"/>
                <w:color w:val="auto"/>
                <w:kern w:val="0"/>
                <w:sz w:val="24"/>
                <w:szCs w:val="21"/>
                <w:u w:val="none" w:color="auto"/>
              </w:rPr>
              <w:t>环境</w:t>
            </w:r>
          </w:p>
          <w:p w14:paraId="263D7677">
            <w:pPr>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rPr>
              <w:t>保护</w:t>
            </w:r>
          </w:p>
          <w:p w14:paraId="29C45CAC">
            <w:pPr>
              <w:adjustRightInd w:val="0"/>
              <w:snapToGrid w:val="0"/>
              <w:jc w:val="center"/>
              <w:rPr>
                <w:rFonts w:cs="宋体"/>
                <w:color w:val="auto"/>
                <w:kern w:val="0"/>
                <w:sz w:val="24"/>
                <w:szCs w:val="21"/>
                <w:u w:val="none" w:color="auto"/>
              </w:rPr>
            </w:pPr>
            <w:r>
              <w:rPr>
                <w:rFonts w:hint="eastAsia" w:cs="宋体"/>
                <w:color w:val="auto"/>
                <w:kern w:val="0"/>
                <w:sz w:val="24"/>
                <w:szCs w:val="21"/>
                <w:u w:val="none" w:color="auto"/>
              </w:rPr>
              <w:t>目标</w:t>
            </w:r>
          </w:p>
        </w:tc>
        <w:tc>
          <w:tcPr>
            <w:tcW w:w="8190" w:type="dxa"/>
            <w:vAlign w:val="center"/>
          </w:tcPr>
          <w:p w14:paraId="44988F83">
            <w:pPr>
              <w:pStyle w:val="10"/>
              <w:ind w:firstLine="0" w:firstLineChars="0"/>
              <w:rPr>
                <w:rFonts w:eastAsia="宋体"/>
                <w:b/>
                <w:bCs/>
                <w:color w:val="auto"/>
                <w:sz w:val="24"/>
                <w:szCs w:val="24"/>
                <w:u w:val="none" w:color="auto"/>
              </w:rPr>
            </w:pPr>
            <w:r>
              <w:rPr>
                <w:rFonts w:hint="eastAsia"/>
                <w:b/>
                <w:bCs/>
                <w:color w:val="auto"/>
                <w:sz w:val="24"/>
                <w:szCs w:val="24"/>
                <w:u w:val="none" w:color="auto"/>
                <w:lang w:val="en-US" w:eastAsia="zh-CN"/>
              </w:rPr>
              <w:t>1</w:t>
            </w:r>
            <w:r>
              <w:rPr>
                <w:rFonts w:hint="eastAsia" w:eastAsia="宋体"/>
                <w:b/>
                <w:bCs/>
                <w:color w:val="auto"/>
                <w:sz w:val="24"/>
                <w:szCs w:val="24"/>
                <w:u w:val="none" w:color="auto"/>
              </w:rPr>
              <w:t>、大气环境</w:t>
            </w:r>
          </w:p>
          <w:p w14:paraId="1ECA0C20">
            <w:pPr>
              <w:pStyle w:val="10"/>
              <w:ind w:firstLine="480"/>
              <w:jc w:val="both"/>
              <w:rPr>
                <w:rFonts w:hint="eastAsia"/>
                <w:color w:val="auto"/>
                <w:sz w:val="24"/>
                <w:szCs w:val="24"/>
                <w:u w:val="none" w:color="auto"/>
              </w:rPr>
            </w:pPr>
            <w:r>
              <w:rPr>
                <w:rFonts w:hint="eastAsia"/>
                <w:color w:val="auto"/>
                <w:sz w:val="24"/>
                <w:szCs w:val="24"/>
                <w:u w:val="none" w:color="auto"/>
              </w:rPr>
              <w:t>项目厂界外</w:t>
            </w:r>
            <w:r>
              <w:rPr>
                <w:rFonts w:hint="eastAsia"/>
                <w:color w:val="auto"/>
                <w:sz w:val="24"/>
                <w:szCs w:val="24"/>
                <w:u w:val="none" w:color="auto"/>
                <w:lang w:val="en-US" w:eastAsia="zh-CN"/>
              </w:rPr>
              <w:t>500m</w:t>
            </w:r>
            <w:r>
              <w:rPr>
                <w:rFonts w:hint="eastAsia"/>
                <w:color w:val="auto"/>
                <w:sz w:val="24"/>
                <w:szCs w:val="24"/>
                <w:u w:val="none" w:color="auto"/>
              </w:rPr>
              <w:t>范围内的大气环境保护目标主要为</w:t>
            </w:r>
            <w:r>
              <w:rPr>
                <w:rFonts w:hint="eastAsia"/>
                <w:color w:val="auto"/>
                <w:sz w:val="24"/>
                <w:szCs w:val="24"/>
                <w:u w:val="none" w:color="auto"/>
                <w:lang w:val="en-US" w:eastAsia="zh-CN"/>
              </w:rPr>
              <w:t>项目西侧的团洲乡花园小区、团洲乡中心小学以及东西两侧的团洲乡居民点。</w:t>
            </w:r>
          </w:p>
          <w:p w14:paraId="11A8FC13">
            <w:pPr>
              <w:pStyle w:val="10"/>
              <w:ind w:firstLine="0" w:firstLineChars="0"/>
              <w:rPr>
                <w:rFonts w:hint="eastAsia" w:eastAsia="宋体"/>
                <w:b/>
                <w:bCs/>
                <w:color w:val="auto"/>
                <w:sz w:val="24"/>
                <w:szCs w:val="24"/>
                <w:u w:val="none" w:color="auto"/>
              </w:rPr>
            </w:pPr>
            <w:r>
              <w:rPr>
                <w:rFonts w:hint="eastAsia" w:eastAsia="宋体"/>
                <w:b/>
                <w:bCs/>
                <w:color w:val="auto"/>
                <w:sz w:val="24"/>
                <w:szCs w:val="24"/>
                <w:u w:val="none" w:color="auto"/>
                <w:lang w:val="en-US" w:eastAsia="zh-CN"/>
              </w:rPr>
              <w:t>2</w:t>
            </w:r>
            <w:r>
              <w:rPr>
                <w:rFonts w:hint="eastAsia" w:eastAsia="宋体"/>
                <w:b/>
                <w:bCs/>
                <w:color w:val="auto"/>
                <w:sz w:val="24"/>
                <w:szCs w:val="24"/>
                <w:u w:val="none" w:color="auto"/>
              </w:rPr>
              <w:t>、地下水环境</w:t>
            </w:r>
          </w:p>
          <w:p w14:paraId="04C35F3E">
            <w:pPr>
              <w:pStyle w:val="10"/>
              <w:ind w:firstLine="480"/>
              <w:jc w:val="both"/>
              <w:rPr>
                <w:color w:val="auto"/>
                <w:sz w:val="24"/>
                <w:szCs w:val="24"/>
                <w:u w:val="none" w:color="auto"/>
              </w:rPr>
            </w:pPr>
            <w:r>
              <w:rPr>
                <w:rFonts w:hint="eastAsia"/>
                <w:color w:val="auto"/>
                <w:sz w:val="24"/>
                <w:szCs w:val="24"/>
                <w:u w:val="none" w:color="auto"/>
              </w:rPr>
              <w:t>项目厂界外5</w:t>
            </w:r>
            <w:r>
              <w:rPr>
                <w:color w:val="auto"/>
                <w:sz w:val="24"/>
                <w:szCs w:val="24"/>
                <w:u w:val="none" w:color="auto"/>
              </w:rPr>
              <w:t>00</w:t>
            </w:r>
            <w:r>
              <w:rPr>
                <w:rFonts w:hint="eastAsia"/>
                <w:color w:val="auto"/>
                <w:sz w:val="24"/>
                <w:szCs w:val="24"/>
                <w:u w:val="none" w:color="auto"/>
              </w:rPr>
              <w:t>m范围内不涉及地下水集中式饮用水保护区等特殊地下水资源。</w:t>
            </w:r>
          </w:p>
          <w:p w14:paraId="6C8753F9">
            <w:pPr>
              <w:pStyle w:val="10"/>
              <w:ind w:firstLine="0" w:firstLineChars="0"/>
              <w:rPr>
                <w:rFonts w:hint="eastAsia" w:eastAsia="宋体"/>
                <w:b/>
                <w:bCs/>
                <w:color w:val="auto"/>
                <w:sz w:val="24"/>
                <w:szCs w:val="24"/>
                <w:u w:val="none" w:color="auto"/>
                <w:lang w:val="en-US" w:eastAsia="zh-CN"/>
              </w:rPr>
            </w:pPr>
            <w:r>
              <w:rPr>
                <w:rFonts w:hint="eastAsia" w:eastAsia="宋体"/>
                <w:b/>
                <w:bCs/>
                <w:color w:val="auto"/>
                <w:sz w:val="24"/>
                <w:szCs w:val="24"/>
                <w:u w:val="none" w:color="auto"/>
                <w:lang w:val="en-US" w:eastAsia="zh-CN"/>
              </w:rPr>
              <w:t>3</w:t>
            </w:r>
            <w:r>
              <w:rPr>
                <w:rFonts w:hint="eastAsia" w:eastAsia="宋体"/>
                <w:b/>
                <w:bCs/>
                <w:color w:val="auto"/>
                <w:sz w:val="24"/>
                <w:szCs w:val="24"/>
                <w:u w:val="none" w:color="auto"/>
              </w:rPr>
              <w:t>、声</w:t>
            </w:r>
            <w:r>
              <w:rPr>
                <w:rFonts w:hint="eastAsia" w:eastAsia="宋体"/>
                <w:b/>
                <w:bCs/>
                <w:color w:val="auto"/>
                <w:sz w:val="24"/>
                <w:szCs w:val="24"/>
                <w:u w:val="none" w:color="auto"/>
                <w:lang w:val="en-US" w:eastAsia="zh-CN"/>
              </w:rPr>
              <w:t>环境</w:t>
            </w:r>
          </w:p>
          <w:p w14:paraId="275992CC">
            <w:pPr>
              <w:pStyle w:val="10"/>
              <w:ind w:firstLine="480"/>
              <w:rPr>
                <w:rFonts w:hint="eastAsia"/>
                <w:color w:val="auto"/>
                <w:sz w:val="24"/>
                <w:szCs w:val="24"/>
                <w:u w:val="none" w:color="auto"/>
                <w:lang w:val="en-US" w:eastAsia="zh-CN"/>
              </w:rPr>
            </w:pPr>
            <w:r>
              <w:rPr>
                <w:rFonts w:hint="eastAsia"/>
                <w:color w:val="auto"/>
                <w:sz w:val="24"/>
                <w:szCs w:val="24"/>
                <w:u w:val="none" w:color="auto"/>
                <w:lang w:val="en-US" w:eastAsia="zh-CN"/>
              </w:rPr>
              <w:t>项目厂界外50m范围内声环境保护目标</w:t>
            </w:r>
            <w:r>
              <w:rPr>
                <w:rFonts w:hint="eastAsia"/>
                <w:color w:val="auto"/>
                <w:sz w:val="24"/>
                <w:szCs w:val="24"/>
                <w:u w:val="none" w:color="auto"/>
              </w:rPr>
              <w:t>主要为</w:t>
            </w:r>
            <w:r>
              <w:rPr>
                <w:rFonts w:hint="eastAsia"/>
                <w:color w:val="auto"/>
                <w:sz w:val="24"/>
                <w:szCs w:val="24"/>
                <w:u w:val="none" w:color="auto"/>
                <w:lang w:val="en-US" w:eastAsia="zh-CN"/>
              </w:rPr>
              <w:t>项目西侧的团洲乡花园小区以及周边紧邻的团洲乡居民点。</w:t>
            </w:r>
          </w:p>
          <w:p w14:paraId="4E86B674">
            <w:pPr>
              <w:pStyle w:val="10"/>
              <w:ind w:firstLine="0" w:firstLineChars="0"/>
              <w:rPr>
                <w:rFonts w:hint="eastAsia" w:eastAsia="宋体"/>
                <w:b/>
                <w:bCs/>
                <w:color w:val="auto"/>
                <w:sz w:val="24"/>
                <w:szCs w:val="24"/>
                <w:u w:val="none" w:color="auto"/>
                <w:lang w:val="en-US" w:eastAsia="zh-CN"/>
              </w:rPr>
            </w:pPr>
            <w:r>
              <w:rPr>
                <w:rFonts w:hint="eastAsia" w:eastAsia="宋体"/>
                <w:b/>
                <w:bCs/>
                <w:color w:val="auto"/>
                <w:sz w:val="24"/>
                <w:szCs w:val="24"/>
                <w:u w:val="none" w:color="auto"/>
                <w:lang w:val="en-US" w:eastAsia="zh-CN"/>
              </w:rPr>
              <w:t>4、生态环境</w:t>
            </w:r>
          </w:p>
          <w:p w14:paraId="7AF57011">
            <w:pPr>
              <w:pStyle w:val="10"/>
              <w:ind w:firstLine="480"/>
              <w:rPr>
                <w:rFonts w:hint="eastAsia"/>
                <w:color w:val="auto"/>
                <w:sz w:val="24"/>
                <w:szCs w:val="24"/>
                <w:highlight w:val="none"/>
                <w:u w:val="none" w:color="auto"/>
                <w:lang w:val="en-US" w:eastAsia="zh-CN"/>
              </w:rPr>
            </w:pPr>
            <w:r>
              <w:rPr>
                <w:rFonts w:hint="eastAsia"/>
                <w:color w:val="auto"/>
                <w:sz w:val="24"/>
                <w:szCs w:val="24"/>
                <w:u w:val="none" w:color="auto"/>
                <w:lang w:val="en-US" w:eastAsia="zh-CN"/>
              </w:rPr>
              <w:t>根据《建设项目环境影响报告表编制技术指南（污染影响类）（试行）》“产业园区外建设项目新增用地的，应明确新增用地范围内生态环境保护目标”。本项目位于产业园区外，生态环境保护目标主要为湖南东洞庭湖国家级自然保护区。</w:t>
            </w:r>
          </w:p>
          <w:p w14:paraId="38A9744D">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rPr>
              <w:t>表3-</w:t>
            </w:r>
            <w:r>
              <w:rPr>
                <w:rFonts w:hint="eastAsia" w:ascii="Times New Roman" w:hAnsi="Times New Roman" w:eastAsia="宋体" w:cs="Times New Roman"/>
                <w:color w:val="auto"/>
                <w:sz w:val="21"/>
                <w:szCs w:val="21"/>
                <w:highlight w:val="none"/>
                <w:u w:val="none" w:color="auto"/>
                <w:lang w:val="en-US" w:eastAsia="zh-CN"/>
              </w:rPr>
              <w:t>5</w:t>
            </w:r>
            <w:r>
              <w:rPr>
                <w:rFonts w:hint="eastAsia" w:ascii="Times New Roman" w:hAnsi="Times New Roman" w:eastAsia="宋体" w:cs="Times New Roman"/>
                <w:color w:val="auto"/>
                <w:sz w:val="21"/>
                <w:szCs w:val="21"/>
                <w:highlight w:val="none"/>
                <w:u w:val="none" w:color="auto"/>
              </w:rPr>
              <w:t xml:space="preserve"> </w:t>
            </w:r>
            <w:r>
              <w:rPr>
                <w:rFonts w:hint="eastAsia" w:ascii="Times New Roman" w:hAnsi="Times New Roman" w:eastAsia="宋体" w:cs="Times New Roman"/>
                <w:color w:val="auto"/>
                <w:sz w:val="21"/>
                <w:szCs w:val="21"/>
                <w:highlight w:val="none"/>
                <w:u w:val="none" w:color="auto"/>
                <w:lang w:val="en-US" w:eastAsia="zh-CN"/>
              </w:rPr>
              <w:t xml:space="preserve"> </w:t>
            </w:r>
            <w:r>
              <w:rPr>
                <w:rFonts w:hint="eastAsia" w:ascii="Times New Roman" w:hAnsi="Times New Roman" w:eastAsia="宋体" w:cs="Times New Roman"/>
                <w:color w:val="auto"/>
                <w:sz w:val="21"/>
                <w:szCs w:val="21"/>
                <w:highlight w:val="none"/>
                <w:u w:val="none" w:color="auto"/>
              </w:rPr>
              <w:t>项目周边环境保护目标</w:t>
            </w:r>
          </w:p>
          <w:tbl>
            <w:tblPr>
              <w:tblStyle w:val="25"/>
              <w:tblW w:w="794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969"/>
              <w:gridCol w:w="1673"/>
              <w:gridCol w:w="1514"/>
              <w:gridCol w:w="2032"/>
            </w:tblGrid>
            <w:tr w14:paraId="0921D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shd w:val="clear" w:color="auto" w:fill="auto"/>
                  <w:vAlign w:val="center"/>
                </w:tcPr>
                <w:p w14:paraId="43F37CD4">
                  <w:pPr>
                    <w:pStyle w:val="53"/>
                    <w:spacing w:before="0" w:beforeLines="0" w:after="0" w:afterLines="0"/>
                    <w:rPr>
                      <w:color w:val="auto"/>
                      <w:sz w:val="21"/>
                      <w:szCs w:val="21"/>
                      <w:highlight w:val="none"/>
                      <w:u w:val="none" w:color="auto"/>
                    </w:rPr>
                  </w:pPr>
                  <w:r>
                    <w:rPr>
                      <w:color w:val="auto"/>
                      <w:sz w:val="21"/>
                      <w:szCs w:val="21"/>
                      <w:highlight w:val="none"/>
                      <w:u w:val="none" w:color="auto"/>
                    </w:rPr>
                    <w:t>类别</w:t>
                  </w:r>
                </w:p>
              </w:tc>
              <w:tc>
                <w:tcPr>
                  <w:tcW w:w="1969" w:type="dxa"/>
                  <w:tcBorders>
                    <w:tl2br w:val="nil"/>
                    <w:tr2bl w:val="nil"/>
                  </w:tcBorders>
                  <w:shd w:val="clear" w:color="auto" w:fill="auto"/>
                  <w:vAlign w:val="center"/>
                </w:tcPr>
                <w:p w14:paraId="0C489097">
                  <w:pPr>
                    <w:pStyle w:val="53"/>
                    <w:spacing w:before="0" w:beforeLines="0" w:after="0" w:afterLines="0"/>
                    <w:rPr>
                      <w:color w:val="auto"/>
                      <w:sz w:val="21"/>
                      <w:szCs w:val="21"/>
                      <w:highlight w:val="none"/>
                      <w:u w:val="none" w:color="auto"/>
                    </w:rPr>
                  </w:pPr>
                  <w:r>
                    <w:rPr>
                      <w:color w:val="auto"/>
                      <w:sz w:val="21"/>
                      <w:szCs w:val="21"/>
                      <w:highlight w:val="none"/>
                      <w:u w:val="none" w:color="auto"/>
                    </w:rPr>
                    <w:t>保护目标</w:t>
                  </w:r>
                </w:p>
              </w:tc>
              <w:tc>
                <w:tcPr>
                  <w:tcW w:w="1673" w:type="dxa"/>
                  <w:tcBorders>
                    <w:tl2br w:val="nil"/>
                    <w:tr2bl w:val="nil"/>
                  </w:tcBorders>
                  <w:shd w:val="clear" w:color="auto" w:fill="auto"/>
                  <w:vAlign w:val="center"/>
                </w:tcPr>
                <w:p w14:paraId="3AE07452">
                  <w:pPr>
                    <w:pStyle w:val="53"/>
                    <w:spacing w:before="0" w:beforeLines="0" w:after="0" w:afterLines="0"/>
                    <w:rPr>
                      <w:color w:val="auto"/>
                      <w:sz w:val="21"/>
                      <w:szCs w:val="21"/>
                      <w:highlight w:val="none"/>
                      <w:u w:val="none" w:color="auto"/>
                    </w:rPr>
                  </w:pPr>
                  <w:r>
                    <w:rPr>
                      <w:color w:val="auto"/>
                      <w:sz w:val="21"/>
                      <w:szCs w:val="21"/>
                      <w:highlight w:val="none"/>
                      <w:u w:val="none" w:color="auto"/>
                    </w:rPr>
                    <w:t>方向</w:t>
                  </w:r>
                  <w:r>
                    <w:rPr>
                      <w:rFonts w:hint="eastAsia"/>
                      <w:color w:val="auto"/>
                      <w:sz w:val="21"/>
                      <w:szCs w:val="21"/>
                      <w:highlight w:val="none"/>
                      <w:u w:val="none" w:color="auto"/>
                    </w:rPr>
                    <w:t>/最近</w:t>
                  </w:r>
                  <w:r>
                    <w:rPr>
                      <w:color w:val="auto"/>
                      <w:sz w:val="21"/>
                      <w:szCs w:val="21"/>
                      <w:highlight w:val="none"/>
                      <w:u w:val="none" w:color="auto"/>
                    </w:rPr>
                    <w:t>距离</w:t>
                  </w:r>
                </w:p>
              </w:tc>
              <w:tc>
                <w:tcPr>
                  <w:tcW w:w="1514" w:type="dxa"/>
                  <w:tcBorders>
                    <w:tl2br w:val="nil"/>
                    <w:tr2bl w:val="nil"/>
                  </w:tcBorders>
                  <w:shd w:val="clear" w:color="auto" w:fill="auto"/>
                  <w:vAlign w:val="center"/>
                </w:tcPr>
                <w:p w14:paraId="150531BF">
                  <w:pPr>
                    <w:pStyle w:val="53"/>
                    <w:spacing w:before="0" w:beforeLines="0" w:after="0" w:afterLines="0"/>
                    <w:rPr>
                      <w:color w:val="auto"/>
                      <w:sz w:val="21"/>
                      <w:szCs w:val="21"/>
                      <w:highlight w:val="none"/>
                      <w:u w:val="none" w:color="auto"/>
                    </w:rPr>
                  </w:pPr>
                  <w:r>
                    <w:rPr>
                      <w:color w:val="auto"/>
                      <w:sz w:val="21"/>
                      <w:szCs w:val="21"/>
                      <w:highlight w:val="none"/>
                      <w:u w:val="none" w:color="auto"/>
                    </w:rPr>
                    <w:t>功能、规模</w:t>
                  </w:r>
                </w:p>
              </w:tc>
              <w:tc>
                <w:tcPr>
                  <w:tcW w:w="2032" w:type="dxa"/>
                  <w:tcBorders>
                    <w:tl2br w:val="nil"/>
                    <w:tr2bl w:val="nil"/>
                  </w:tcBorders>
                  <w:shd w:val="clear" w:color="auto" w:fill="auto"/>
                  <w:vAlign w:val="center"/>
                </w:tcPr>
                <w:p w14:paraId="6F62A5D7">
                  <w:pPr>
                    <w:pStyle w:val="53"/>
                    <w:spacing w:before="0" w:beforeLines="0" w:after="0" w:afterLines="0"/>
                    <w:rPr>
                      <w:color w:val="auto"/>
                      <w:sz w:val="21"/>
                      <w:szCs w:val="21"/>
                      <w:highlight w:val="none"/>
                      <w:u w:val="none" w:color="auto"/>
                    </w:rPr>
                  </w:pPr>
                  <w:r>
                    <w:rPr>
                      <w:color w:val="auto"/>
                      <w:sz w:val="21"/>
                      <w:szCs w:val="21"/>
                      <w:highlight w:val="none"/>
                      <w:u w:val="none" w:color="auto"/>
                    </w:rPr>
                    <w:t>保护级别</w:t>
                  </w:r>
                </w:p>
              </w:tc>
            </w:tr>
            <w:tr w14:paraId="29919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14:paraId="09F11966">
                  <w:pPr>
                    <w:pStyle w:val="53"/>
                    <w:spacing w:before="0" w:beforeLines="0" w:after="0" w:afterLines="0"/>
                    <w:rPr>
                      <w:b w:val="0"/>
                      <w:bCs/>
                      <w:color w:val="auto"/>
                      <w:sz w:val="21"/>
                      <w:szCs w:val="21"/>
                      <w:highlight w:val="none"/>
                      <w:u w:val="none" w:color="auto"/>
                    </w:rPr>
                  </w:pPr>
                  <w:r>
                    <w:rPr>
                      <w:b w:val="0"/>
                      <w:bCs/>
                      <w:color w:val="auto"/>
                      <w:sz w:val="21"/>
                      <w:szCs w:val="21"/>
                      <w:highlight w:val="none"/>
                      <w:u w:val="none" w:color="auto"/>
                    </w:rPr>
                    <w:t>大气</w:t>
                  </w:r>
                </w:p>
                <w:p w14:paraId="348B4B2A">
                  <w:pPr>
                    <w:pStyle w:val="53"/>
                    <w:spacing w:before="0" w:beforeLines="0" w:after="0" w:afterLines="0"/>
                    <w:rPr>
                      <w:b w:val="0"/>
                      <w:bCs/>
                      <w:color w:val="auto"/>
                      <w:sz w:val="21"/>
                      <w:szCs w:val="21"/>
                      <w:highlight w:val="none"/>
                      <w:u w:val="none" w:color="auto"/>
                    </w:rPr>
                  </w:pPr>
                  <w:r>
                    <w:rPr>
                      <w:b w:val="0"/>
                      <w:bCs/>
                      <w:color w:val="auto"/>
                      <w:sz w:val="21"/>
                      <w:szCs w:val="21"/>
                      <w:highlight w:val="none"/>
                      <w:u w:val="none" w:color="auto"/>
                    </w:rPr>
                    <w:t>环境</w:t>
                  </w:r>
                </w:p>
              </w:tc>
              <w:tc>
                <w:tcPr>
                  <w:tcW w:w="1969" w:type="dxa"/>
                  <w:tcBorders>
                    <w:tl2br w:val="nil"/>
                    <w:tr2bl w:val="nil"/>
                  </w:tcBorders>
                  <w:shd w:val="clear" w:color="auto" w:fill="auto"/>
                  <w:vAlign w:val="center"/>
                </w:tcPr>
                <w:p w14:paraId="10C4FF3C">
                  <w:pPr>
                    <w:pStyle w:val="53"/>
                    <w:spacing w:before="0" w:beforeLines="0" w:after="0" w:afterLines="0"/>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ascii="Times New Roman" w:hAnsi="Times New Roman" w:eastAsia="宋体" w:cs="Times New Roman"/>
                      <w:b w:val="0"/>
                      <w:bCs/>
                      <w:color w:val="auto"/>
                      <w:sz w:val="21"/>
                      <w:szCs w:val="21"/>
                      <w:highlight w:val="none"/>
                      <w:u w:val="none" w:color="auto"/>
                      <w:lang w:val="en-US" w:eastAsia="zh-CN"/>
                    </w:rPr>
                    <w:t>团洲花园小区</w:t>
                  </w:r>
                </w:p>
              </w:tc>
              <w:tc>
                <w:tcPr>
                  <w:tcW w:w="1673" w:type="dxa"/>
                  <w:tcBorders>
                    <w:tl2br w:val="nil"/>
                    <w:tr2bl w:val="nil"/>
                  </w:tcBorders>
                  <w:shd w:val="clear" w:color="auto" w:fill="auto"/>
                  <w:vAlign w:val="center"/>
                </w:tcPr>
                <w:p w14:paraId="7C2D77A2">
                  <w:pPr>
                    <w:pStyle w:val="53"/>
                    <w:spacing w:before="0" w:beforeLines="0" w:after="0" w:afterLines="0"/>
                    <w:jc w:val="center"/>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N，紧邻</w:t>
                  </w:r>
                </w:p>
              </w:tc>
              <w:tc>
                <w:tcPr>
                  <w:tcW w:w="1514" w:type="dxa"/>
                  <w:tcBorders>
                    <w:tl2br w:val="nil"/>
                    <w:tr2bl w:val="nil"/>
                  </w:tcBorders>
                  <w:shd w:val="clear" w:color="auto" w:fill="auto"/>
                  <w:vAlign w:val="center"/>
                </w:tcPr>
                <w:p w14:paraId="12F55C55">
                  <w:pPr>
                    <w:pStyle w:val="53"/>
                    <w:spacing w:before="0" w:beforeLines="0" w:after="0" w:afterLines="0"/>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居民区，居民约200户</w:t>
                  </w:r>
                  <w:r>
                    <w:rPr>
                      <w:rFonts w:hint="eastAsia"/>
                      <w:b w:val="0"/>
                      <w:bCs/>
                      <w:color w:val="auto"/>
                      <w:sz w:val="21"/>
                      <w:szCs w:val="21"/>
                      <w:highlight w:val="none"/>
                      <w:u w:val="none" w:color="auto"/>
                    </w:rPr>
                    <w:t>。</w:t>
                  </w:r>
                </w:p>
              </w:tc>
              <w:tc>
                <w:tcPr>
                  <w:tcW w:w="2032" w:type="dxa"/>
                  <w:vMerge w:val="restart"/>
                  <w:tcBorders>
                    <w:tl2br w:val="nil"/>
                    <w:tr2bl w:val="nil"/>
                  </w:tcBorders>
                  <w:vAlign w:val="center"/>
                </w:tcPr>
                <w:p w14:paraId="47429B9D">
                  <w:pPr>
                    <w:pStyle w:val="53"/>
                    <w:spacing w:before="0" w:beforeLines="0" w:after="0" w:afterLines="0"/>
                    <w:rPr>
                      <w:b w:val="0"/>
                      <w:bCs/>
                      <w:color w:val="auto"/>
                      <w:sz w:val="21"/>
                      <w:szCs w:val="21"/>
                      <w:highlight w:val="none"/>
                      <w:u w:val="none" w:color="auto"/>
                    </w:rPr>
                  </w:pPr>
                  <w:r>
                    <w:rPr>
                      <w:b w:val="0"/>
                      <w:bCs/>
                      <w:color w:val="auto"/>
                      <w:sz w:val="21"/>
                      <w:szCs w:val="21"/>
                      <w:highlight w:val="none"/>
                      <w:u w:val="none" w:color="auto"/>
                    </w:rPr>
                    <w:t>GB3095-2012</w:t>
                  </w:r>
                </w:p>
                <w:p w14:paraId="0A06AAAD">
                  <w:pPr>
                    <w:pStyle w:val="53"/>
                    <w:spacing w:before="0" w:beforeLines="0" w:after="0" w:afterLines="0"/>
                    <w:rPr>
                      <w:b w:val="0"/>
                      <w:bCs/>
                      <w:color w:val="auto"/>
                      <w:sz w:val="21"/>
                      <w:szCs w:val="21"/>
                      <w:highlight w:val="none"/>
                      <w:u w:val="none" w:color="auto"/>
                    </w:rPr>
                  </w:pPr>
                  <w:r>
                    <w:rPr>
                      <w:b w:val="0"/>
                      <w:bCs/>
                      <w:color w:val="auto"/>
                      <w:sz w:val="21"/>
                      <w:szCs w:val="21"/>
                      <w:highlight w:val="none"/>
                      <w:u w:val="none" w:color="auto"/>
                    </w:rPr>
                    <w:t>二级标准</w:t>
                  </w:r>
                </w:p>
              </w:tc>
            </w:tr>
            <w:tr w14:paraId="52400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4C0A414B">
                  <w:pPr>
                    <w:pStyle w:val="53"/>
                    <w:spacing w:before="0" w:beforeLines="0" w:after="0" w:afterLines="0"/>
                    <w:rPr>
                      <w:b w:val="0"/>
                      <w:bCs/>
                      <w:color w:val="auto"/>
                      <w:sz w:val="21"/>
                      <w:szCs w:val="21"/>
                      <w:highlight w:val="none"/>
                      <w:u w:val="none" w:color="auto"/>
                    </w:rPr>
                  </w:pPr>
                </w:p>
              </w:tc>
              <w:tc>
                <w:tcPr>
                  <w:tcW w:w="1969" w:type="dxa"/>
                  <w:tcBorders>
                    <w:tl2br w:val="nil"/>
                    <w:tr2bl w:val="nil"/>
                  </w:tcBorders>
                  <w:shd w:val="clear" w:color="auto" w:fill="auto"/>
                  <w:vAlign w:val="center"/>
                </w:tcPr>
                <w:p w14:paraId="42707029">
                  <w:pPr>
                    <w:pStyle w:val="53"/>
                    <w:spacing w:before="0" w:beforeLines="0" w:after="0" w:afterLines="0"/>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ascii="Times New Roman" w:hAnsi="Times New Roman" w:eastAsia="宋体" w:cs="Times New Roman"/>
                      <w:b w:val="0"/>
                      <w:bCs/>
                      <w:color w:val="auto"/>
                      <w:sz w:val="21"/>
                      <w:szCs w:val="21"/>
                      <w:highlight w:val="none"/>
                      <w:u w:val="none" w:color="auto"/>
                      <w:lang w:val="en-US" w:eastAsia="zh-CN"/>
                    </w:rPr>
                    <w:t>团洲乡中心小学</w:t>
                  </w:r>
                </w:p>
              </w:tc>
              <w:tc>
                <w:tcPr>
                  <w:tcW w:w="1673" w:type="dxa"/>
                  <w:tcBorders>
                    <w:tl2br w:val="nil"/>
                    <w:tr2bl w:val="nil"/>
                  </w:tcBorders>
                  <w:shd w:val="clear" w:color="auto" w:fill="auto"/>
                  <w:vAlign w:val="center"/>
                </w:tcPr>
                <w:p w14:paraId="1D39955F">
                  <w:pPr>
                    <w:pStyle w:val="53"/>
                    <w:spacing w:before="0" w:beforeLines="0" w:after="0" w:afterLines="0"/>
                    <w:jc w:val="center"/>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N，紧邻</w:t>
                  </w:r>
                </w:p>
              </w:tc>
              <w:tc>
                <w:tcPr>
                  <w:tcW w:w="1514" w:type="dxa"/>
                  <w:tcBorders>
                    <w:tl2br w:val="nil"/>
                    <w:tr2bl w:val="nil"/>
                  </w:tcBorders>
                  <w:shd w:val="clear" w:color="auto" w:fill="auto"/>
                  <w:vAlign w:val="center"/>
                </w:tcPr>
                <w:p w14:paraId="6F4884E2">
                  <w:pPr>
                    <w:pStyle w:val="53"/>
                    <w:spacing w:before="0" w:beforeLines="0" w:after="0" w:afterLines="0"/>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学校，师生约500人</w:t>
                  </w:r>
                </w:p>
              </w:tc>
              <w:tc>
                <w:tcPr>
                  <w:tcW w:w="2032" w:type="dxa"/>
                  <w:vMerge w:val="continue"/>
                  <w:tcBorders>
                    <w:tl2br w:val="nil"/>
                    <w:tr2bl w:val="nil"/>
                  </w:tcBorders>
                  <w:vAlign w:val="center"/>
                </w:tcPr>
                <w:p w14:paraId="76BEA762">
                  <w:pPr>
                    <w:pStyle w:val="53"/>
                    <w:spacing w:before="0" w:beforeLines="0" w:after="0" w:afterLines="0"/>
                    <w:rPr>
                      <w:b w:val="0"/>
                      <w:bCs/>
                      <w:color w:val="auto"/>
                      <w:sz w:val="21"/>
                      <w:szCs w:val="21"/>
                      <w:highlight w:val="none"/>
                      <w:u w:val="none" w:color="auto"/>
                    </w:rPr>
                  </w:pPr>
                </w:p>
              </w:tc>
            </w:tr>
            <w:tr w14:paraId="58466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7FBD153C">
                  <w:pPr>
                    <w:pStyle w:val="53"/>
                    <w:spacing w:before="0" w:beforeLines="0" w:after="0" w:afterLines="0"/>
                    <w:rPr>
                      <w:b w:val="0"/>
                      <w:bCs/>
                      <w:color w:val="auto"/>
                      <w:sz w:val="21"/>
                      <w:szCs w:val="21"/>
                      <w:highlight w:val="none"/>
                      <w:u w:val="none" w:color="auto"/>
                    </w:rPr>
                  </w:pPr>
                </w:p>
              </w:tc>
              <w:tc>
                <w:tcPr>
                  <w:tcW w:w="1969" w:type="dxa"/>
                  <w:tcBorders>
                    <w:tl2br w:val="nil"/>
                    <w:tr2bl w:val="nil"/>
                  </w:tcBorders>
                  <w:vAlign w:val="center"/>
                </w:tcPr>
                <w:p w14:paraId="3B4F911A">
                  <w:pPr>
                    <w:pStyle w:val="53"/>
                    <w:spacing w:before="0" w:beforeLines="0" w:after="0" w:afterLines="0"/>
                    <w:rPr>
                      <w:rFonts w:hint="default"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安置房一期</w:t>
                  </w:r>
                </w:p>
              </w:tc>
              <w:tc>
                <w:tcPr>
                  <w:tcW w:w="1673" w:type="dxa"/>
                  <w:tcBorders>
                    <w:tl2br w:val="nil"/>
                    <w:tr2bl w:val="nil"/>
                  </w:tcBorders>
                  <w:vAlign w:val="center"/>
                </w:tcPr>
                <w:p w14:paraId="5004EBAC">
                  <w:pPr>
                    <w:pStyle w:val="53"/>
                    <w:spacing w:before="0" w:beforeLines="0" w:after="0" w:afterLines="0"/>
                    <w:rPr>
                      <w:rFonts w:hint="default"/>
                      <w:b w:val="0"/>
                      <w:bCs/>
                      <w:color w:val="auto"/>
                      <w:sz w:val="21"/>
                      <w:szCs w:val="21"/>
                      <w:highlight w:val="none"/>
                      <w:u w:val="none" w:color="auto"/>
                      <w:lang w:val="en-US"/>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26CFE1D2">
                  <w:pPr>
                    <w:pStyle w:val="53"/>
                    <w:spacing w:before="0" w:beforeLines="0" w:after="0" w:afterLines="0"/>
                    <w:rPr>
                      <w:rFonts w:hint="default" w:eastAsia="宋体"/>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居民区，360户</w:t>
                  </w:r>
                </w:p>
              </w:tc>
              <w:tc>
                <w:tcPr>
                  <w:tcW w:w="2032" w:type="dxa"/>
                  <w:vMerge w:val="continue"/>
                  <w:tcBorders>
                    <w:tl2br w:val="nil"/>
                    <w:tr2bl w:val="nil"/>
                  </w:tcBorders>
                  <w:vAlign w:val="center"/>
                </w:tcPr>
                <w:p w14:paraId="50A587EF">
                  <w:pPr>
                    <w:pStyle w:val="53"/>
                    <w:spacing w:before="0" w:beforeLines="0" w:after="0" w:afterLines="0"/>
                    <w:rPr>
                      <w:b w:val="0"/>
                      <w:bCs/>
                      <w:color w:val="auto"/>
                      <w:sz w:val="21"/>
                      <w:szCs w:val="21"/>
                      <w:highlight w:val="none"/>
                      <w:u w:val="none" w:color="auto"/>
                    </w:rPr>
                  </w:pPr>
                </w:p>
              </w:tc>
            </w:tr>
            <w:tr w14:paraId="7EE77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5029D43B">
                  <w:pPr>
                    <w:pStyle w:val="53"/>
                    <w:spacing w:before="0" w:beforeLines="0" w:after="0" w:afterLines="0"/>
                    <w:rPr>
                      <w:b w:val="0"/>
                      <w:bCs/>
                      <w:color w:val="auto"/>
                      <w:sz w:val="21"/>
                      <w:szCs w:val="21"/>
                      <w:highlight w:val="none"/>
                      <w:u w:val="none" w:color="auto"/>
                    </w:rPr>
                  </w:pPr>
                </w:p>
              </w:tc>
              <w:tc>
                <w:tcPr>
                  <w:tcW w:w="1969" w:type="dxa"/>
                  <w:tcBorders>
                    <w:tl2br w:val="nil"/>
                    <w:tr2bl w:val="nil"/>
                  </w:tcBorders>
                  <w:vAlign w:val="center"/>
                </w:tcPr>
                <w:p w14:paraId="6783429F">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安置房二期</w:t>
                  </w:r>
                </w:p>
              </w:tc>
              <w:tc>
                <w:tcPr>
                  <w:tcW w:w="1673" w:type="dxa"/>
                  <w:tcBorders>
                    <w:tl2br w:val="nil"/>
                    <w:tr2bl w:val="nil"/>
                  </w:tcBorders>
                  <w:vAlign w:val="center"/>
                </w:tcPr>
                <w:p w14:paraId="02AFE671">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28324B9B">
                  <w:pPr>
                    <w:pStyle w:val="53"/>
                    <w:spacing w:before="0" w:beforeLines="0" w:after="0" w:afterLines="0"/>
                    <w:rPr>
                      <w:rFonts w:hint="eastAsia"/>
                      <w:b w:val="0"/>
                      <w:bCs/>
                      <w:color w:val="auto"/>
                      <w:sz w:val="21"/>
                      <w:szCs w:val="21"/>
                      <w:highlight w:val="none"/>
                      <w:u w:val="none" w:color="auto"/>
                    </w:rPr>
                  </w:pPr>
                  <w:r>
                    <w:rPr>
                      <w:rFonts w:hint="eastAsia"/>
                      <w:b w:val="0"/>
                      <w:bCs/>
                      <w:color w:val="auto"/>
                      <w:sz w:val="21"/>
                      <w:szCs w:val="21"/>
                      <w:highlight w:val="none"/>
                      <w:u w:val="none" w:color="auto"/>
                      <w:lang w:val="en-US" w:eastAsia="zh-CN"/>
                    </w:rPr>
                    <w:t>居民区，636户</w:t>
                  </w:r>
                </w:p>
              </w:tc>
              <w:tc>
                <w:tcPr>
                  <w:tcW w:w="2032" w:type="dxa"/>
                  <w:vMerge w:val="continue"/>
                  <w:tcBorders>
                    <w:tl2br w:val="nil"/>
                    <w:tr2bl w:val="nil"/>
                  </w:tcBorders>
                  <w:vAlign w:val="center"/>
                </w:tcPr>
                <w:p w14:paraId="27B1E730">
                  <w:pPr>
                    <w:pStyle w:val="53"/>
                    <w:spacing w:before="0" w:beforeLines="0" w:after="0" w:afterLines="0"/>
                    <w:rPr>
                      <w:b w:val="0"/>
                      <w:bCs/>
                      <w:color w:val="auto"/>
                      <w:sz w:val="21"/>
                      <w:szCs w:val="21"/>
                      <w:highlight w:val="none"/>
                      <w:u w:val="none" w:color="auto"/>
                    </w:rPr>
                  </w:pPr>
                </w:p>
              </w:tc>
            </w:tr>
            <w:tr w14:paraId="17235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25A96E47">
                  <w:pPr>
                    <w:pStyle w:val="53"/>
                    <w:spacing w:before="0" w:beforeLines="0" w:after="0" w:afterLines="0"/>
                    <w:rPr>
                      <w:b w:val="0"/>
                      <w:bCs/>
                      <w:color w:val="auto"/>
                      <w:sz w:val="21"/>
                      <w:szCs w:val="21"/>
                      <w:highlight w:val="none"/>
                      <w:u w:val="none" w:color="auto"/>
                    </w:rPr>
                  </w:pPr>
                </w:p>
              </w:tc>
              <w:tc>
                <w:tcPr>
                  <w:tcW w:w="1969" w:type="dxa"/>
                  <w:tcBorders>
                    <w:tl2br w:val="nil"/>
                    <w:tr2bl w:val="nil"/>
                  </w:tcBorders>
                  <w:vAlign w:val="center"/>
                </w:tcPr>
                <w:p w14:paraId="4813B839">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安置房三期</w:t>
                  </w:r>
                </w:p>
              </w:tc>
              <w:tc>
                <w:tcPr>
                  <w:tcW w:w="1673" w:type="dxa"/>
                  <w:tcBorders>
                    <w:tl2br w:val="nil"/>
                    <w:tr2bl w:val="nil"/>
                  </w:tcBorders>
                  <w:vAlign w:val="center"/>
                </w:tcPr>
                <w:p w14:paraId="2D1E457C">
                  <w:pPr>
                    <w:pStyle w:val="53"/>
                    <w:spacing w:before="0" w:beforeLines="0" w:after="0" w:afterLines="0"/>
                    <w:rPr>
                      <w:rFonts w:hint="default"/>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团结路E侧紧邻</w:t>
                  </w:r>
                </w:p>
              </w:tc>
              <w:tc>
                <w:tcPr>
                  <w:tcW w:w="1514" w:type="dxa"/>
                  <w:tcBorders>
                    <w:tl2br w:val="nil"/>
                    <w:tr2bl w:val="nil"/>
                  </w:tcBorders>
                  <w:vAlign w:val="center"/>
                </w:tcPr>
                <w:p w14:paraId="2B7E83BA">
                  <w:pPr>
                    <w:pStyle w:val="53"/>
                    <w:spacing w:before="0" w:beforeLines="0" w:after="0" w:afterLines="0"/>
                    <w:rPr>
                      <w:rFonts w:hint="eastAsia"/>
                      <w:b w:val="0"/>
                      <w:bCs/>
                      <w:color w:val="auto"/>
                      <w:sz w:val="21"/>
                      <w:szCs w:val="21"/>
                      <w:highlight w:val="none"/>
                      <w:u w:val="none" w:color="auto"/>
                    </w:rPr>
                  </w:pPr>
                  <w:r>
                    <w:rPr>
                      <w:rFonts w:hint="eastAsia"/>
                      <w:b w:val="0"/>
                      <w:bCs/>
                      <w:color w:val="auto"/>
                      <w:sz w:val="21"/>
                      <w:szCs w:val="21"/>
                      <w:highlight w:val="none"/>
                      <w:u w:val="none" w:color="auto"/>
                      <w:lang w:val="en-US" w:eastAsia="zh-CN"/>
                    </w:rPr>
                    <w:t>居民区，668户</w:t>
                  </w:r>
                </w:p>
              </w:tc>
              <w:tc>
                <w:tcPr>
                  <w:tcW w:w="2032" w:type="dxa"/>
                  <w:vMerge w:val="continue"/>
                  <w:tcBorders>
                    <w:tl2br w:val="nil"/>
                    <w:tr2bl w:val="nil"/>
                  </w:tcBorders>
                  <w:vAlign w:val="center"/>
                </w:tcPr>
                <w:p w14:paraId="3C2995CB">
                  <w:pPr>
                    <w:pStyle w:val="53"/>
                    <w:spacing w:before="0" w:beforeLines="0" w:after="0" w:afterLines="0"/>
                    <w:rPr>
                      <w:b w:val="0"/>
                      <w:bCs/>
                      <w:color w:val="auto"/>
                      <w:sz w:val="21"/>
                      <w:szCs w:val="21"/>
                      <w:highlight w:val="none"/>
                      <w:u w:val="none" w:color="auto"/>
                    </w:rPr>
                  </w:pPr>
                </w:p>
              </w:tc>
            </w:tr>
            <w:tr w14:paraId="4FCBF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72540BB0">
                  <w:pPr>
                    <w:pStyle w:val="53"/>
                    <w:spacing w:before="0" w:beforeLines="0" w:after="0" w:afterLines="0"/>
                    <w:rPr>
                      <w:b w:val="0"/>
                      <w:bCs/>
                      <w:color w:val="auto"/>
                      <w:sz w:val="21"/>
                      <w:szCs w:val="21"/>
                      <w:highlight w:val="none"/>
                      <w:u w:val="none" w:color="auto"/>
                    </w:rPr>
                  </w:pPr>
                </w:p>
              </w:tc>
              <w:tc>
                <w:tcPr>
                  <w:tcW w:w="1969" w:type="dxa"/>
                  <w:tcBorders>
                    <w:tl2br w:val="nil"/>
                    <w:tr2bl w:val="nil"/>
                  </w:tcBorders>
                  <w:vAlign w:val="center"/>
                </w:tcPr>
                <w:p w14:paraId="7B7BA2E8">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散户</w:t>
                  </w:r>
                  <w:r>
                    <w:rPr>
                      <w:rFonts w:hint="eastAsia" w:ascii="Times New Roman" w:hAnsi="Times New Roman" w:eastAsia="宋体" w:cs="Times New Roman"/>
                      <w:b w:val="0"/>
                      <w:bCs/>
                      <w:color w:val="auto"/>
                      <w:sz w:val="21"/>
                      <w:szCs w:val="21"/>
                      <w:highlight w:val="none"/>
                      <w:u w:val="none" w:color="auto"/>
                      <w:lang w:val="en-US" w:eastAsia="zh-CN"/>
                    </w:rPr>
                    <w:t>居民点</w:t>
                  </w:r>
                </w:p>
              </w:tc>
              <w:tc>
                <w:tcPr>
                  <w:tcW w:w="1673" w:type="dxa"/>
                  <w:tcBorders>
                    <w:tl2br w:val="nil"/>
                    <w:tr2bl w:val="nil"/>
                  </w:tcBorders>
                  <w:vAlign w:val="center"/>
                </w:tcPr>
                <w:p w14:paraId="73F5D136">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团结路两侧紧邻</w:t>
                  </w:r>
                </w:p>
              </w:tc>
              <w:tc>
                <w:tcPr>
                  <w:tcW w:w="1514" w:type="dxa"/>
                  <w:tcBorders>
                    <w:tl2br w:val="nil"/>
                    <w:tr2bl w:val="nil"/>
                  </w:tcBorders>
                  <w:vAlign w:val="center"/>
                </w:tcPr>
                <w:p w14:paraId="435680E6">
                  <w:pPr>
                    <w:pStyle w:val="53"/>
                    <w:spacing w:before="0" w:beforeLines="0" w:after="0" w:afterLines="0"/>
                    <w:rPr>
                      <w:b w:val="0"/>
                      <w:bCs/>
                      <w:color w:val="auto"/>
                      <w:sz w:val="21"/>
                      <w:szCs w:val="21"/>
                      <w:highlight w:val="none"/>
                      <w:u w:val="none" w:color="auto"/>
                    </w:rPr>
                  </w:pPr>
                  <w:r>
                    <w:rPr>
                      <w:rFonts w:hint="eastAsia"/>
                      <w:b w:val="0"/>
                      <w:bCs/>
                      <w:color w:val="auto"/>
                      <w:sz w:val="21"/>
                      <w:szCs w:val="21"/>
                      <w:highlight w:val="none"/>
                      <w:u w:val="none" w:color="auto"/>
                      <w:lang w:val="en-US" w:eastAsia="zh-CN"/>
                    </w:rPr>
                    <w:t>散户居民</w:t>
                  </w:r>
                  <w:r>
                    <w:rPr>
                      <w:rFonts w:hint="eastAsia"/>
                      <w:b w:val="0"/>
                      <w:bCs/>
                      <w:color w:val="auto"/>
                      <w:sz w:val="21"/>
                      <w:szCs w:val="21"/>
                      <w:highlight w:val="none"/>
                      <w:u w:val="none" w:color="auto"/>
                    </w:rPr>
                    <w:t>，</w:t>
                  </w:r>
                </w:p>
                <w:p w14:paraId="33FA4A6F">
                  <w:pPr>
                    <w:pStyle w:val="53"/>
                    <w:spacing w:before="0" w:beforeLines="0" w:after="0" w:afterLines="0"/>
                    <w:rPr>
                      <w:rFonts w:hint="eastAsia"/>
                      <w:b w:val="0"/>
                      <w:bCs/>
                      <w:color w:val="auto"/>
                      <w:sz w:val="21"/>
                      <w:szCs w:val="21"/>
                      <w:highlight w:val="none"/>
                      <w:u w:val="none" w:color="auto"/>
                    </w:rPr>
                  </w:pPr>
                  <w:r>
                    <w:rPr>
                      <w:rFonts w:hint="eastAsia"/>
                      <w:b w:val="0"/>
                      <w:bCs/>
                      <w:color w:val="auto"/>
                      <w:sz w:val="21"/>
                      <w:szCs w:val="21"/>
                      <w:highlight w:val="none"/>
                      <w:u w:val="none" w:color="auto"/>
                    </w:rPr>
                    <w:t>约</w:t>
                  </w:r>
                  <w:r>
                    <w:rPr>
                      <w:rFonts w:hint="eastAsia"/>
                      <w:b w:val="0"/>
                      <w:bCs/>
                      <w:color w:val="auto"/>
                      <w:sz w:val="21"/>
                      <w:szCs w:val="21"/>
                      <w:highlight w:val="none"/>
                      <w:u w:val="none" w:color="auto"/>
                      <w:lang w:val="en-US" w:eastAsia="zh-CN"/>
                    </w:rPr>
                    <w:t>140</w:t>
                  </w:r>
                  <w:r>
                    <w:rPr>
                      <w:rFonts w:hint="eastAsia"/>
                      <w:b w:val="0"/>
                      <w:bCs/>
                      <w:color w:val="auto"/>
                      <w:sz w:val="21"/>
                      <w:szCs w:val="21"/>
                      <w:highlight w:val="none"/>
                      <w:u w:val="none" w:color="auto"/>
                    </w:rPr>
                    <w:t>户。</w:t>
                  </w:r>
                </w:p>
              </w:tc>
              <w:tc>
                <w:tcPr>
                  <w:tcW w:w="2032" w:type="dxa"/>
                  <w:vMerge w:val="continue"/>
                  <w:tcBorders>
                    <w:tl2br w:val="nil"/>
                    <w:tr2bl w:val="nil"/>
                  </w:tcBorders>
                  <w:vAlign w:val="center"/>
                </w:tcPr>
                <w:p w14:paraId="051BCC60">
                  <w:pPr>
                    <w:pStyle w:val="53"/>
                    <w:spacing w:before="0" w:beforeLines="0" w:after="0" w:afterLines="0"/>
                    <w:rPr>
                      <w:b w:val="0"/>
                      <w:bCs/>
                      <w:color w:val="auto"/>
                      <w:sz w:val="21"/>
                      <w:szCs w:val="21"/>
                      <w:highlight w:val="none"/>
                      <w:u w:val="none" w:color="auto"/>
                    </w:rPr>
                  </w:pPr>
                </w:p>
              </w:tc>
            </w:tr>
            <w:tr w14:paraId="4950E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4CFAF485">
                  <w:pPr>
                    <w:pStyle w:val="53"/>
                    <w:spacing w:before="0" w:beforeLines="0" w:after="0" w:afterLines="0"/>
                    <w:rPr>
                      <w:b w:val="0"/>
                      <w:bCs/>
                      <w:color w:val="auto"/>
                      <w:sz w:val="21"/>
                      <w:szCs w:val="21"/>
                      <w:highlight w:val="none"/>
                      <w:u w:val="none" w:color="auto"/>
                    </w:rPr>
                  </w:pPr>
                </w:p>
              </w:tc>
              <w:tc>
                <w:tcPr>
                  <w:tcW w:w="1969" w:type="dxa"/>
                  <w:tcBorders>
                    <w:tl2br w:val="nil"/>
                    <w:tr2bl w:val="nil"/>
                  </w:tcBorders>
                  <w:vAlign w:val="center"/>
                </w:tcPr>
                <w:p w14:paraId="21F9F13B">
                  <w:pPr>
                    <w:pStyle w:val="53"/>
                    <w:spacing w:before="0" w:beforeLines="0" w:after="0" w:afterLines="0"/>
                    <w:rPr>
                      <w:rFonts w:hint="default" w:ascii="Times New Roman" w:hAnsi="Times New Roman" w:eastAsia="宋体" w:cs="Times New Roman"/>
                      <w:b w:val="0"/>
                      <w:bCs/>
                      <w:color w:val="auto"/>
                      <w:sz w:val="21"/>
                      <w:szCs w:val="21"/>
                      <w:highlight w:val="none"/>
                      <w:u w:val="none" w:color="auto"/>
                      <w:lang w:val="en-US" w:eastAsia="zh-CN"/>
                    </w:rPr>
                  </w:pPr>
                  <w:r>
                    <w:rPr>
                      <w:rFonts w:hint="eastAsia" w:cs="Times New Roman"/>
                      <w:b w:val="0"/>
                      <w:bCs/>
                      <w:color w:val="auto"/>
                      <w:sz w:val="21"/>
                      <w:szCs w:val="21"/>
                      <w:highlight w:val="none"/>
                      <w:u w:val="none" w:color="auto"/>
                      <w:lang w:val="en-US" w:eastAsia="zh-CN"/>
                    </w:rPr>
                    <w:t>团洲乡人民政府</w:t>
                  </w:r>
                </w:p>
              </w:tc>
              <w:tc>
                <w:tcPr>
                  <w:tcW w:w="1673" w:type="dxa"/>
                  <w:tcBorders>
                    <w:tl2br w:val="nil"/>
                    <w:tr2bl w:val="nil"/>
                  </w:tcBorders>
                  <w:vAlign w:val="center"/>
                </w:tcPr>
                <w:p w14:paraId="2BB946AF">
                  <w:pPr>
                    <w:pStyle w:val="53"/>
                    <w:spacing w:before="0" w:beforeLines="0" w:after="0" w:afterLines="0"/>
                    <w:rPr>
                      <w:rFonts w:hint="default"/>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团结路东侧100m</w:t>
                  </w:r>
                </w:p>
              </w:tc>
              <w:tc>
                <w:tcPr>
                  <w:tcW w:w="1514" w:type="dxa"/>
                  <w:tcBorders>
                    <w:tl2br w:val="nil"/>
                    <w:tr2bl w:val="nil"/>
                  </w:tcBorders>
                  <w:vAlign w:val="center"/>
                </w:tcPr>
                <w:p w14:paraId="1B2B17CA">
                  <w:pPr>
                    <w:pStyle w:val="53"/>
                    <w:spacing w:before="0" w:beforeLines="0" w:after="0" w:afterLines="0"/>
                    <w:rPr>
                      <w:rFonts w:hint="default" w:eastAsia="宋体"/>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政府，办公人员50人</w:t>
                  </w:r>
                </w:p>
              </w:tc>
              <w:tc>
                <w:tcPr>
                  <w:tcW w:w="2032" w:type="dxa"/>
                  <w:vMerge w:val="continue"/>
                  <w:tcBorders>
                    <w:tl2br w:val="nil"/>
                    <w:tr2bl w:val="nil"/>
                  </w:tcBorders>
                  <w:vAlign w:val="center"/>
                </w:tcPr>
                <w:p w14:paraId="29B918D6">
                  <w:pPr>
                    <w:pStyle w:val="53"/>
                    <w:spacing w:before="0" w:beforeLines="0" w:after="0" w:afterLines="0"/>
                    <w:rPr>
                      <w:b w:val="0"/>
                      <w:bCs/>
                      <w:color w:val="auto"/>
                      <w:sz w:val="21"/>
                      <w:szCs w:val="21"/>
                      <w:highlight w:val="none"/>
                      <w:u w:val="none" w:color="auto"/>
                    </w:rPr>
                  </w:pPr>
                </w:p>
              </w:tc>
            </w:tr>
            <w:tr w14:paraId="2CD0D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14:paraId="3A8E0EE4">
                  <w:pPr>
                    <w:pStyle w:val="53"/>
                    <w:spacing w:before="0" w:beforeLines="0" w:after="0" w:afterLines="0"/>
                    <w:rPr>
                      <w:rFonts w:hint="default" w:eastAsia="宋体"/>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声环境</w:t>
                  </w:r>
                </w:p>
              </w:tc>
              <w:tc>
                <w:tcPr>
                  <w:tcW w:w="1969" w:type="dxa"/>
                  <w:tcBorders>
                    <w:tl2br w:val="nil"/>
                    <w:tr2bl w:val="nil"/>
                  </w:tcBorders>
                  <w:vAlign w:val="center"/>
                </w:tcPr>
                <w:p w14:paraId="4EB5A1FB">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团洲花园小区</w:t>
                  </w:r>
                </w:p>
              </w:tc>
              <w:tc>
                <w:tcPr>
                  <w:tcW w:w="1673" w:type="dxa"/>
                  <w:tcBorders>
                    <w:tl2br w:val="nil"/>
                    <w:tr2bl w:val="nil"/>
                  </w:tcBorders>
                  <w:vAlign w:val="center"/>
                </w:tcPr>
                <w:p w14:paraId="151EF37E">
                  <w:pPr>
                    <w:pStyle w:val="53"/>
                    <w:spacing w:before="0" w:beforeLines="0" w:after="0" w:afterLines="0"/>
                    <w:jc w:val="center"/>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14C0ECEB">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居民区，居民约200户</w:t>
                  </w:r>
                  <w:r>
                    <w:rPr>
                      <w:rFonts w:hint="eastAsia"/>
                      <w:b w:val="0"/>
                      <w:bCs/>
                      <w:color w:val="auto"/>
                      <w:sz w:val="21"/>
                      <w:szCs w:val="21"/>
                      <w:highlight w:val="none"/>
                      <w:u w:val="none" w:color="auto"/>
                    </w:rPr>
                    <w:t>。</w:t>
                  </w:r>
                </w:p>
              </w:tc>
              <w:tc>
                <w:tcPr>
                  <w:tcW w:w="2032" w:type="dxa"/>
                  <w:vMerge w:val="restart"/>
                  <w:tcBorders>
                    <w:tl2br w:val="nil"/>
                    <w:tr2bl w:val="nil"/>
                  </w:tcBorders>
                  <w:vAlign w:val="center"/>
                </w:tcPr>
                <w:p w14:paraId="01ABBB91">
                  <w:pPr>
                    <w:pStyle w:val="53"/>
                    <w:spacing w:before="0" w:beforeLines="0" w:after="0" w:afterLines="0"/>
                    <w:rPr>
                      <w:b w:val="0"/>
                      <w:bCs/>
                      <w:color w:val="auto"/>
                      <w:sz w:val="21"/>
                      <w:szCs w:val="21"/>
                      <w:highlight w:val="none"/>
                      <w:u w:val="none" w:color="auto"/>
                    </w:rPr>
                  </w:pPr>
                  <w:r>
                    <w:rPr>
                      <w:rFonts w:hint="default"/>
                      <w:b w:val="0"/>
                      <w:bCs/>
                      <w:color w:val="auto"/>
                      <w:sz w:val="21"/>
                      <w:szCs w:val="21"/>
                      <w:highlight w:val="none"/>
                      <w:u w:val="none" w:color="auto"/>
                    </w:rPr>
                    <w:t>（GB3096-2008）</w:t>
                  </w:r>
                  <w:r>
                    <w:rPr>
                      <w:rFonts w:hint="eastAsia"/>
                      <w:b w:val="0"/>
                      <w:bCs/>
                      <w:color w:val="auto"/>
                      <w:sz w:val="21"/>
                      <w:szCs w:val="21"/>
                      <w:highlight w:val="none"/>
                      <w:u w:val="none" w:color="auto"/>
                      <w:lang w:val="en-US" w:eastAsia="zh-CN"/>
                    </w:rPr>
                    <w:t>2</w:t>
                  </w:r>
                  <w:r>
                    <w:rPr>
                      <w:rFonts w:hint="default"/>
                      <w:b w:val="0"/>
                      <w:bCs/>
                      <w:color w:val="auto"/>
                      <w:sz w:val="21"/>
                      <w:szCs w:val="21"/>
                      <w:highlight w:val="none"/>
                      <w:u w:val="none" w:color="auto"/>
                    </w:rPr>
                    <w:t>类标准</w:t>
                  </w:r>
                </w:p>
              </w:tc>
            </w:tr>
            <w:tr w14:paraId="6ECFD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21A0B268">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vAlign w:val="center"/>
                </w:tcPr>
                <w:p w14:paraId="7DB68402">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团洲乡中心小学</w:t>
                  </w:r>
                </w:p>
              </w:tc>
              <w:tc>
                <w:tcPr>
                  <w:tcW w:w="1673" w:type="dxa"/>
                  <w:tcBorders>
                    <w:tl2br w:val="nil"/>
                    <w:tr2bl w:val="nil"/>
                  </w:tcBorders>
                  <w:vAlign w:val="center"/>
                </w:tcPr>
                <w:p w14:paraId="34548058">
                  <w:pPr>
                    <w:pStyle w:val="53"/>
                    <w:spacing w:before="0" w:beforeLines="0" w:after="0" w:afterLines="0"/>
                    <w:jc w:val="center"/>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3EA511EE">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学校，师生约500人</w:t>
                  </w:r>
                </w:p>
              </w:tc>
              <w:tc>
                <w:tcPr>
                  <w:tcW w:w="2032" w:type="dxa"/>
                  <w:vMerge w:val="continue"/>
                  <w:tcBorders>
                    <w:tl2br w:val="nil"/>
                    <w:tr2bl w:val="nil"/>
                  </w:tcBorders>
                  <w:vAlign w:val="center"/>
                </w:tcPr>
                <w:p w14:paraId="4767A47F">
                  <w:pPr>
                    <w:pStyle w:val="53"/>
                    <w:spacing w:before="0" w:beforeLines="0" w:after="0" w:afterLines="0"/>
                    <w:rPr>
                      <w:rFonts w:hint="default"/>
                      <w:b w:val="0"/>
                      <w:bCs/>
                      <w:color w:val="auto"/>
                      <w:sz w:val="21"/>
                      <w:szCs w:val="21"/>
                      <w:highlight w:val="none"/>
                      <w:u w:val="none" w:color="auto"/>
                    </w:rPr>
                  </w:pPr>
                </w:p>
              </w:tc>
            </w:tr>
            <w:tr w14:paraId="5B11F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0D21AE24">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vAlign w:val="center"/>
                </w:tcPr>
                <w:p w14:paraId="3A1C9EDC">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安置房一期</w:t>
                  </w:r>
                </w:p>
              </w:tc>
              <w:tc>
                <w:tcPr>
                  <w:tcW w:w="1673" w:type="dxa"/>
                  <w:tcBorders>
                    <w:tl2br w:val="nil"/>
                    <w:tr2bl w:val="nil"/>
                  </w:tcBorders>
                  <w:vAlign w:val="center"/>
                </w:tcPr>
                <w:p w14:paraId="2C22DB03">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67E30DC0">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居民区，360户</w:t>
                  </w:r>
                </w:p>
              </w:tc>
              <w:tc>
                <w:tcPr>
                  <w:tcW w:w="2032" w:type="dxa"/>
                  <w:vMerge w:val="continue"/>
                  <w:tcBorders>
                    <w:tl2br w:val="nil"/>
                    <w:tr2bl w:val="nil"/>
                  </w:tcBorders>
                  <w:vAlign w:val="center"/>
                </w:tcPr>
                <w:p w14:paraId="3987D1CE">
                  <w:pPr>
                    <w:pStyle w:val="53"/>
                    <w:spacing w:before="0" w:beforeLines="0" w:after="0" w:afterLines="0"/>
                    <w:rPr>
                      <w:rFonts w:hint="default"/>
                      <w:b w:val="0"/>
                      <w:bCs/>
                      <w:color w:val="auto"/>
                      <w:sz w:val="21"/>
                      <w:szCs w:val="21"/>
                      <w:highlight w:val="none"/>
                      <w:u w:val="none" w:color="auto"/>
                    </w:rPr>
                  </w:pPr>
                </w:p>
              </w:tc>
            </w:tr>
            <w:tr w14:paraId="300F2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4981ED2B">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vAlign w:val="center"/>
                </w:tcPr>
                <w:p w14:paraId="748B5457">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安置房二期</w:t>
                  </w:r>
                </w:p>
              </w:tc>
              <w:tc>
                <w:tcPr>
                  <w:tcW w:w="1673" w:type="dxa"/>
                  <w:tcBorders>
                    <w:tl2br w:val="nil"/>
                    <w:tr2bl w:val="nil"/>
                  </w:tcBorders>
                  <w:vAlign w:val="center"/>
                </w:tcPr>
                <w:p w14:paraId="757110E1">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N，紧邻</w:t>
                  </w:r>
                </w:p>
              </w:tc>
              <w:tc>
                <w:tcPr>
                  <w:tcW w:w="1514" w:type="dxa"/>
                  <w:tcBorders>
                    <w:tl2br w:val="nil"/>
                    <w:tr2bl w:val="nil"/>
                  </w:tcBorders>
                  <w:vAlign w:val="center"/>
                </w:tcPr>
                <w:p w14:paraId="6D5E998E">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居民区，636户</w:t>
                  </w:r>
                </w:p>
              </w:tc>
              <w:tc>
                <w:tcPr>
                  <w:tcW w:w="2032" w:type="dxa"/>
                  <w:vMerge w:val="continue"/>
                  <w:tcBorders>
                    <w:tl2br w:val="nil"/>
                    <w:tr2bl w:val="nil"/>
                  </w:tcBorders>
                  <w:vAlign w:val="center"/>
                </w:tcPr>
                <w:p w14:paraId="5FA3474E">
                  <w:pPr>
                    <w:pStyle w:val="53"/>
                    <w:spacing w:before="0" w:beforeLines="0" w:after="0" w:afterLines="0"/>
                    <w:rPr>
                      <w:rFonts w:hint="default"/>
                      <w:b w:val="0"/>
                      <w:bCs/>
                      <w:color w:val="auto"/>
                      <w:sz w:val="21"/>
                      <w:szCs w:val="21"/>
                      <w:highlight w:val="none"/>
                      <w:u w:val="none" w:color="auto"/>
                    </w:rPr>
                  </w:pPr>
                </w:p>
              </w:tc>
            </w:tr>
            <w:tr w14:paraId="1D72C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022C7706">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vAlign w:val="center"/>
                </w:tcPr>
                <w:p w14:paraId="1428CB8B">
                  <w:pPr>
                    <w:pStyle w:val="53"/>
                    <w:spacing w:before="0" w:beforeLines="0" w:after="0" w:afterLines="0"/>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安置房三期</w:t>
                  </w:r>
                </w:p>
              </w:tc>
              <w:tc>
                <w:tcPr>
                  <w:tcW w:w="1673" w:type="dxa"/>
                  <w:tcBorders>
                    <w:tl2br w:val="nil"/>
                    <w:tr2bl w:val="nil"/>
                  </w:tcBorders>
                  <w:vAlign w:val="center"/>
                </w:tcPr>
                <w:p w14:paraId="255059F2">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团结路E侧紧邻</w:t>
                  </w:r>
                </w:p>
              </w:tc>
              <w:tc>
                <w:tcPr>
                  <w:tcW w:w="1514" w:type="dxa"/>
                  <w:tcBorders>
                    <w:tl2br w:val="nil"/>
                    <w:tr2bl w:val="nil"/>
                  </w:tcBorders>
                  <w:vAlign w:val="center"/>
                </w:tcPr>
                <w:p w14:paraId="71BC03A8">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居民区，668户</w:t>
                  </w:r>
                </w:p>
              </w:tc>
              <w:tc>
                <w:tcPr>
                  <w:tcW w:w="2032" w:type="dxa"/>
                  <w:vMerge w:val="continue"/>
                  <w:tcBorders>
                    <w:tl2br w:val="nil"/>
                    <w:tr2bl w:val="nil"/>
                  </w:tcBorders>
                  <w:vAlign w:val="center"/>
                </w:tcPr>
                <w:p w14:paraId="5FFBC99A">
                  <w:pPr>
                    <w:pStyle w:val="53"/>
                    <w:spacing w:before="0" w:beforeLines="0" w:after="0" w:afterLines="0"/>
                    <w:rPr>
                      <w:rFonts w:hint="default"/>
                      <w:b w:val="0"/>
                      <w:bCs/>
                      <w:color w:val="auto"/>
                      <w:sz w:val="21"/>
                      <w:szCs w:val="21"/>
                      <w:highlight w:val="none"/>
                      <w:u w:val="none" w:color="auto"/>
                    </w:rPr>
                  </w:pPr>
                </w:p>
              </w:tc>
            </w:tr>
            <w:tr w14:paraId="655A7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7E7676A4">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vAlign w:val="center"/>
                </w:tcPr>
                <w:p w14:paraId="377138C5">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团洲乡</w:t>
                  </w:r>
                  <w:r>
                    <w:rPr>
                      <w:rFonts w:hint="eastAsia" w:cs="Times New Roman"/>
                      <w:b w:val="0"/>
                      <w:bCs/>
                      <w:color w:val="auto"/>
                      <w:sz w:val="21"/>
                      <w:szCs w:val="21"/>
                      <w:highlight w:val="none"/>
                      <w:u w:val="none" w:color="auto"/>
                      <w:lang w:val="en-US" w:eastAsia="zh-CN"/>
                    </w:rPr>
                    <w:t>散户</w:t>
                  </w:r>
                  <w:r>
                    <w:rPr>
                      <w:rFonts w:hint="eastAsia" w:ascii="Times New Roman" w:hAnsi="Times New Roman" w:eastAsia="宋体" w:cs="Times New Roman"/>
                      <w:b w:val="0"/>
                      <w:bCs/>
                      <w:color w:val="auto"/>
                      <w:sz w:val="21"/>
                      <w:szCs w:val="21"/>
                      <w:highlight w:val="none"/>
                      <w:u w:val="none" w:color="auto"/>
                      <w:lang w:val="en-US" w:eastAsia="zh-CN"/>
                    </w:rPr>
                    <w:t>居民点</w:t>
                  </w:r>
                </w:p>
              </w:tc>
              <w:tc>
                <w:tcPr>
                  <w:tcW w:w="1673" w:type="dxa"/>
                  <w:tcBorders>
                    <w:tl2br w:val="nil"/>
                    <w:tr2bl w:val="nil"/>
                  </w:tcBorders>
                  <w:vAlign w:val="center"/>
                </w:tcPr>
                <w:p w14:paraId="716E9709">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团结路两侧紧邻</w:t>
                  </w:r>
                </w:p>
              </w:tc>
              <w:tc>
                <w:tcPr>
                  <w:tcW w:w="1514" w:type="dxa"/>
                  <w:tcBorders>
                    <w:tl2br w:val="nil"/>
                    <w:tr2bl w:val="nil"/>
                  </w:tcBorders>
                  <w:vAlign w:val="center"/>
                </w:tcPr>
                <w:p w14:paraId="4DB562F1">
                  <w:pPr>
                    <w:pStyle w:val="53"/>
                    <w:spacing w:before="0" w:beforeLines="0" w:after="0" w:afterLines="0"/>
                    <w:rPr>
                      <w:b w:val="0"/>
                      <w:bCs/>
                      <w:color w:val="auto"/>
                      <w:sz w:val="21"/>
                      <w:szCs w:val="21"/>
                      <w:highlight w:val="none"/>
                      <w:u w:val="none" w:color="auto"/>
                    </w:rPr>
                  </w:pPr>
                  <w:r>
                    <w:rPr>
                      <w:rFonts w:hint="eastAsia"/>
                      <w:b w:val="0"/>
                      <w:bCs/>
                      <w:color w:val="auto"/>
                      <w:sz w:val="21"/>
                      <w:szCs w:val="21"/>
                      <w:highlight w:val="none"/>
                      <w:u w:val="none" w:color="auto"/>
                      <w:lang w:val="en-US" w:eastAsia="zh-CN"/>
                    </w:rPr>
                    <w:t>散户居民</w:t>
                  </w:r>
                  <w:r>
                    <w:rPr>
                      <w:rFonts w:hint="eastAsia"/>
                      <w:b w:val="0"/>
                      <w:bCs/>
                      <w:color w:val="auto"/>
                      <w:sz w:val="21"/>
                      <w:szCs w:val="21"/>
                      <w:highlight w:val="none"/>
                      <w:u w:val="none" w:color="auto"/>
                    </w:rPr>
                    <w:t>，</w:t>
                  </w:r>
                </w:p>
                <w:p w14:paraId="2205D505">
                  <w:pPr>
                    <w:pStyle w:val="53"/>
                    <w:spacing w:before="0" w:beforeLines="0" w:after="0" w:afterLines="0"/>
                    <w:rPr>
                      <w:rFonts w:hint="eastAsia"/>
                      <w:b w:val="0"/>
                      <w:bCs/>
                      <w:color w:val="auto"/>
                      <w:sz w:val="21"/>
                      <w:szCs w:val="21"/>
                      <w:highlight w:val="none"/>
                      <w:u w:val="none" w:color="auto"/>
                      <w:lang w:val="en-US" w:eastAsia="zh-CN"/>
                    </w:rPr>
                  </w:pPr>
                  <w:r>
                    <w:rPr>
                      <w:rFonts w:hint="eastAsia"/>
                      <w:b w:val="0"/>
                      <w:bCs/>
                      <w:color w:val="auto"/>
                      <w:sz w:val="21"/>
                      <w:szCs w:val="21"/>
                      <w:highlight w:val="none"/>
                      <w:u w:val="none" w:color="auto"/>
                    </w:rPr>
                    <w:t>约</w:t>
                  </w:r>
                  <w:r>
                    <w:rPr>
                      <w:rFonts w:hint="eastAsia"/>
                      <w:b w:val="0"/>
                      <w:bCs/>
                      <w:color w:val="auto"/>
                      <w:sz w:val="21"/>
                      <w:szCs w:val="21"/>
                      <w:highlight w:val="none"/>
                      <w:u w:val="none" w:color="auto"/>
                      <w:lang w:val="en-US" w:eastAsia="zh-CN"/>
                    </w:rPr>
                    <w:t>75</w:t>
                  </w:r>
                  <w:r>
                    <w:rPr>
                      <w:rFonts w:hint="eastAsia"/>
                      <w:b w:val="0"/>
                      <w:bCs/>
                      <w:color w:val="auto"/>
                      <w:sz w:val="21"/>
                      <w:szCs w:val="21"/>
                      <w:highlight w:val="none"/>
                      <w:u w:val="none" w:color="auto"/>
                    </w:rPr>
                    <w:t>户。</w:t>
                  </w:r>
                </w:p>
              </w:tc>
              <w:tc>
                <w:tcPr>
                  <w:tcW w:w="2032" w:type="dxa"/>
                  <w:vMerge w:val="continue"/>
                  <w:tcBorders>
                    <w:tl2br w:val="nil"/>
                    <w:tr2bl w:val="nil"/>
                  </w:tcBorders>
                  <w:vAlign w:val="center"/>
                </w:tcPr>
                <w:p w14:paraId="67FA2044">
                  <w:pPr>
                    <w:pStyle w:val="53"/>
                    <w:spacing w:before="0" w:beforeLines="0" w:after="0" w:afterLines="0"/>
                    <w:rPr>
                      <w:b w:val="0"/>
                      <w:bCs/>
                      <w:color w:val="auto"/>
                      <w:sz w:val="21"/>
                      <w:szCs w:val="21"/>
                      <w:highlight w:val="none"/>
                      <w:u w:val="none" w:color="auto"/>
                    </w:rPr>
                  </w:pPr>
                </w:p>
              </w:tc>
            </w:tr>
            <w:tr w14:paraId="248E2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14:paraId="16ED0356">
                  <w:pPr>
                    <w:pStyle w:val="53"/>
                    <w:spacing w:before="0" w:beforeLines="0" w:after="0" w:afterLines="0"/>
                    <w:rPr>
                      <w:rFonts w:hint="default"/>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生态环境</w:t>
                  </w:r>
                </w:p>
              </w:tc>
              <w:tc>
                <w:tcPr>
                  <w:tcW w:w="1969" w:type="dxa"/>
                  <w:tcBorders>
                    <w:tl2br w:val="nil"/>
                    <w:tr2bl w:val="nil"/>
                  </w:tcBorders>
                  <w:shd w:val="clear" w:color="auto" w:fill="auto"/>
                  <w:vAlign w:val="center"/>
                </w:tcPr>
                <w:p w14:paraId="475A7A70">
                  <w:pPr>
                    <w:pStyle w:val="53"/>
                    <w:spacing w:before="0" w:beforeLines="0" w:after="0" w:afterLines="0"/>
                    <w:jc w:val="center"/>
                    <w:rPr>
                      <w:rFonts w:hint="eastAsia"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湖南东洞庭湖国家级自然保护区实验区</w:t>
                  </w:r>
                </w:p>
              </w:tc>
              <w:tc>
                <w:tcPr>
                  <w:tcW w:w="1673" w:type="dxa"/>
                  <w:tcBorders>
                    <w:tl2br w:val="nil"/>
                    <w:tr2bl w:val="nil"/>
                  </w:tcBorders>
                  <w:shd w:val="clear" w:color="auto" w:fill="auto"/>
                  <w:vAlign w:val="center"/>
                </w:tcPr>
                <w:p w14:paraId="55DA826A">
                  <w:pPr>
                    <w:pStyle w:val="53"/>
                    <w:spacing w:before="0" w:beforeLines="0" w:after="0" w:afterLines="0"/>
                    <w:jc w:val="center"/>
                    <w:rPr>
                      <w:rFonts w:hint="eastAsia" w:ascii="Times New Roman" w:hAnsi="Times New Roman" w:eastAsia="宋体" w:cs="Times New Roman"/>
                      <w:b w:val="0"/>
                      <w:bCs/>
                      <w:color w:val="auto"/>
                      <w:kern w:val="2"/>
                      <w:sz w:val="21"/>
                      <w:szCs w:val="21"/>
                      <w:highlight w:val="none"/>
                      <w:u w:val="none" w:color="auto"/>
                      <w:lang w:val="en-US" w:eastAsia="zh-CN" w:bidi="ar-SA"/>
                    </w:rPr>
                  </w:pPr>
                  <w:r>
                    <w:rPr>
                      <w:rFonts w:hint="eastAsia"/>
                      <w:b w:val="0"/>
                      <w:bCs/>
                      <w:color w:val="auto"/>
                      <w:sz w:val="21"/>
                      <w:szCs w:val="21"/>
                      <w:highlight w:val="none"/>
                      <w:u w:val="none" w:color="auto"/>
                      <w:lang w:val="en-US" w:eastAsia="zh-CN"/>
                    </w:rPr>
                    <w:t>项目位于调规前实验区范围内</w:t>
                  </w:r>
                </w:p>
              </w:tc>
              <w:tc>
                <w:tcPr>
                  <w:tcW w:w="1514" w:type="dxa"/>
                  <w:tcBorders>
                    <w:tl2br w:val="nil"/>
                    <w:tr2bl w:val="nil"/>
                  </w:tcBorders>
                  <w:vAlign w:val="center"/>
                </w:tcPr>
                <w:p w14:paraId="2C52C2C1">
                  <w:pPr>
                    <w:pStyle w:val="53"/>
                    <w:spacing w:before="0" w:beforeLines="0" w:after="0" w:afterLines="0"/>
                    <w:rPr>
                      <w:rFonts w:hint="default"/>
                      <w:b w:val="0"/>
                      <w:bCs/>
                      <w:color w:val="auto"/>
                      <w:sz w:val="21"/>
                      <w:szCs w:val="21"/>
                      <w:highlight w:val="none"/>
                      <w:u w:val="none" w:color="auto"/>
                      <w:lang w:val="en-US" w:eastAsia="zh-CN"/>
                    </w:rPr>
                  </w:pPr>
                  <w:r>
                    <w:rPr>
                      <w:rFonts w:hint="eastAsia"/>
                      <w:b w:val="0"/>
                      <w:bCs/>
                      <w:color w:val="auto"/>
                      <w:sz w:val="21"/>
                      <w:szCs w:val="21"/>
                      <w:highlight w:val="none"/>
                      <w:u w:val="none" w:color="auto"/>
                      <w:lang w:val="en-US" w:eastAsia="zh-CN"/>
                    </w:rPr>
                    <w:t>国家级自然保护区</w:t>
                  </w:r>
                </w:p>
              </w:tc>
              <w:tc>
                <w:tcPr>
                  <w:tcW w:w="2032" w:type="dxa"/>
                  <w:tcBorders>
                    <w:tl2br w:val="nil"/>
                    <w:tr2bl w:val="nil"/>
                  </w:tcBorders>
                  <w:vAlign w:val="center"/>
                </w:tcPr>
                <w:p w14:paraId="18137EB1">
                  <w:pPr>
                    <w:pStyle w:val="53"/>
                    <w:spacing w:before="0" w:beforeLines="0" w:after="0" w:afterLines="0"/>
                    <w:rPr>
                      <w:rFonts w:hint="default"/>
                      <w:b w:val="0"/>
                      <w:bCs/>
                      <w:color w:val="auto"/>
                      <w:sz w:val="21"/>
                      <w:szCs w:val="21"/>
                      <w:highlight w:val="none"/>
                      <w:u w:val="none" w:color="auto"/>
                      <w:lang w:val="en-US" w:eastAsia="zh-CN"/>
                    </w:rPr>
                  </w:pPr>
                  <w:r>
                    <w:rPr>
                      <w:rFonts w:hint="default"/>
                      <w:b w:val="0"/>
                      <w:bCs/>
                      <w:color w:val="auto"/>
                      <w:sz w:val="21"/>
                      <w:szCs w:val="21"/>
                      <w:highlight w:val="none"/>
                      <w:u w:val="none" w:color="auto"/>
                      <w:lang w:val="en-US" w:eastAsia="zh-CN"/>
                    </w:rPr>
                    <w:t>有效保护陆生生物、水生生物及其生态环境</w:t>
                  </w:r>
                  <w:r>
                    <w:rPr>
                      <w:rFonts w:hint="eastAsia"/>
                      <w:b w:val="0"/>
                      <w:bCs/>
                      <w:color w:val="auto"/>
                      <w:sz w:val="21"/>
                      <w:szCs w:val="21"/>
                      <w:highlight w:val="none"/>
                      <w:u w:val="none" w:color="auto"/>
                      <w:lang w:val="en-US" w:eastAsia="zh-CN"/>
                    </w:rPr>
                    <w:t>不受本项目影响</w:t>
                  </w:r>
                </w:p>
              </w:tc>
            </w:tr>
            <w:tr w14:paraId="5D6D0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3B0324D8">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shd w:val="clear" w:color="auto" w:fill="auto"/>
                  <w:vAlign w:val="center"/>
                </w:tcPr>
                <w:p w14:paraId="38CDA628">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湖南东洞庭湖国家级自然保护区核心区</w:t>
                  </w:r>
                </w:p>
              </w:tc>
              <w:tc>
                <w:tcPr>
                  <w:tcW w:w="1673" w:type="dxa"/>
                  <w:tcBorders>
                    <w:tl2br w:val="nil"/>
                    <w:tr2bl w:val="nil"/>
                  </w:tcBorders>
                  <w:shd w:val="clear" w:color="auto" w:fill="auto"/>
                  <w:vAlign w:val="center"/>
                </w:tcPr>
                <w:p w14:paraId="099B3BAC">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离核心区最近距离约8.5 km</w:t>
                  </w:r>
                </w:p>
              </w:tc>
              <w:tc>
                <w:tcPr>
                  <w:tcW w:w="1514" w:type="dxa"/>
                  <w:tcBorders>
                    <w:tl2br w:val="nil"/>
                    <w:tr2bl w:val="nil"/>
                  </w:tcBorders>
                  <w:vAlign w:val="center"/>
                </w:tcPr>
                <w:p w14:paraId="4C94E043">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w:t>
                  </w:r>
                </w:p>
              </w:tc>
              <w:tc>
                <w:tcPr>
                  <w:tcW w:w="2032" w:type="dxa"/>
                  <w:tcBorders>
                    <w:tl2br w:val="nil"/>
                    <w:tr2bl w:val="nil"/>
                  </w:tcBorders>
                  <w:vAlign w:val="center"/>
                </w:tcPr>
                <w:p w14:paraId="755AEF1F">
                  <w:pPr>
                    <w:pStyle w:val="53"/>
                    <w:spacing w:before="0" w:beforeLines="0" w:after="0" w:afterLines="0"/>
                    <w:rPr>
                      <w:rFonts w:hint="default"/>
                      <w:b w:val="0"/>
                      <w:bCs/>
                      <w:color w:val="auto"/>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lang w:val="en-US" w:eastAsia="zh-CN"/>
                    </w:rPr>
                    <w:t>有效保护</w:t>
                  </w:r>
                  <w:r>
                    <w:rPr>
                      <w:rFonts w:hint="eastAsia" w:ascii="Times New Roman" w:hAnsi="Times New Roman" w:eastAsia="宋体" w:cs="Times New Roman"/>
                      <w:b w:val="0"/>
                      <w:bCs w:val="0"/>
                      <w:color w:val="auto"/>
                      <w:kern w:val="2"/>
                      <w:sz w:val="21"/>
                      <w:szCs w:val="21"/>
                      <w:highlight w:val="none"/>
                      <w:u w:val="none" w:color="auto"/>
                      <w:lang w:val="en-US" w:eastAsia="zh-CN"/>
                    </w:rPr>
                    <w:t>周边</w:t>
                  </w:r>
                  <w:r>
                    <w:rPr>
                      <w:rFonts w:hint="default" w:ascii="Times New Roman" w:hAnsi="Times New Roman" w:eastAsia="宋体" w:cs="Times New Roman"/>
                      <w:b w:val="0"/>
                      <w:bCs w:val="0"/>
                      <w:color w:val="auto"/>
                      <w:kern w:val="2"/>
                      <w:sz w:val="21"/>
                      <w:szCs w:val="21"/>
                      <w:highlight w:val="none"/>
                      <w:u w:val="none" w:color="auto"/>
                      <w:lang w:val="en-US" w:eastAsia="zh-CN"/>
                    </w:rPr>
                    <w:t>生态环境</w:t>
                  </w:r>
                  <w:r>
                    <w:rPr>
                      <w:rFonts w:hint="eastAsia" w:ascii="Times New Roman" w:hAnsi="Times New Roman" w:eastAsia="宋体" w:cs="Times New Roman"/>
                      <w:b w:val="0"/>
                      <w:bCs w:val="0"/>
                      <w:color w:val="auto"/>
                      <w:kern w:val="2"/>
                      <w:sz w:val="21"/>
                      <w:szCs w:val="21"/>
                      <w:highlight w:val="none"/>
                      <w:u w:val="none" w:color="auto"/>
                      <w:lang w:val="en-US" w:eastAsia="zh-CN"/>
                    </w:rPr>
                    <w:t>不受本项目影响</w:t>
                  </w:r>
                </w:p>
              </w:tc>
            </w:tr>
            <w:tr w14:paraId="09B72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14:paraId="430EF963">
                  <w:pPr>
                    <w:pStyle w:val="53"/>
                    <w:spacing w:before="0" w:beforeLines="0" w:after="0" w:afterLines="0"/>
                    <w:rPr>
                      <w:rFonts w:hint="eastAsia"/>
                      <w:b w:val="0"/>
                      <w:bCs/>
                      <w:color w:val="auto"/>
                      <w:sz w:val="21"/>
                      <w:szCs w:val="21"/>
                      <w:highlight w:val="none"/>
                      <w:u w:val="none" w:color="auto"/>
                      <w:lang w:val="en-US" w:eastAsia="zh-CN"/>
                    </w:rPr>
                  </w:pPr>
                </w:p>
              </w:tc>
              <w:tc>
                <w:tcPr>
                  <w:tcW w:w="1969" w:type="dxa"/>
                  <w:tcBorders>
                    <w:tl2br w:val="nil"/>
                    <w:tr2bl w:val="nil"/>
                  </w:tcBorders>
                  <w:shd w:val="clear" w:color="auto" w:fill="auto"/>
                  <w:vAlign w:val="center"/>
                </w:tcPr>
                <w:p w14:paraId="737B4E56">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湖南东洞庭湖国家级自然保护区缓冲区</w:t>
                  </w:r>
                </w:p>
              </w:tc>
              <w:tc>
                <w:tcPr>
                  <w:tcW w:w="1673" w:type="dxa"/>
                  <w:tcBorders>
                    <w:tl2br w:val="nil"/>
                    <w:tr2bl w:val="nil"/>
                  </w:tcBorders>
                  <w:shd w:val="clear" w:color="auto" w:fill="auto"/>
                  <w:vAlign w:val="center"/>
                </w:tcPr>
                <w:p w14:paraId="0585B592">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离缓冲区最近距离约7.8km</w:t>
                  </w:r>
                </w:p>
              </w:tc>
              <w:tc>
                <w:tcPr>
                  <w:tcW w:w="1514" w:type="dxa"/>
                  <w:tcBorders>
                    <w:tl2br w:val="nil"/>
                    <w:tr2bl w:val="nil"/>
                  </w:tcBorders>
                  <w:vAlign w:val="center"/>
                </w:tcPr>
                <w:p w14:paraId="3A59AACD">
                  <w:pPr>
                    <w:pStyle w:val="53"/>
                    <w:spacing w:before="0" w:beforeLines="0" w:after="0" w:afterLines="0"/>
                    <w:rPr>
                      <w:rFonts w:hint="eastAsia"/>
                      <w:b w:val="0"/>
                      <w:bCs/>
                      <w:color w:val="auto"/>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w:t>
                  </w:r>
                </w:p>
              </w:tc>
              <w:tc>
                <w:tcPr>
                  <w:tcW w:w="2032" w:type="dxa"/>
                  <w:tcBorders>
                    <w:tl2br w:val="nil"/>
                    <w:tr2bl w:val="nil"/>
                  </w:tcBorders>
                  <w:vAlign w:val="center"/>
                </w:tcPr>
                <w:p w14:paraId="0159A589">
                  <w:pPr>
                    <w:pStyle w:val="53"/>
                    <w:spacing w:before="0" w:beforeLines="0" w:after="0" w:afterLines="0"/>
                    <w:rPr>
                      <w:rFonts w:hint="default"/>
                      <w:b w:val="0"/>
                      <w:bCs/>
                      <w:color w:val="auto"/>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lang w:val="en-US" w:eastAsia="zh-CN"/>
                    </w:rPr>
                    <w:t>有效保护</w:t>
                  </w:r>
                  <w:r>
                    <w:rPr>
                      <w:rFonts w:hint="eastAsia" w:ascii="Times New Roman" w:hAnsi="Times New Roman" w:eastAsia="宋体" w:cs="Times New Roman"/>
                      <w:b w:val="0"/>
                      <w:bCs w:val="0"/>
                      <w:color w:val="auto"/>
                      <w:kern w:val="2"/>
                      <w:sz w:val="21"/>
                      <w:szCs w:val="21"/>
                      <w:highlight w:val="none"/>
                      <w:u w:val="none" w:color="auto"/>
                      <w:lang w:val="en-US" w:eastAsia="zh-CN"/>
                    </w:rPr>
                    <w:t>周边</w:t>
                  </w:r>
                  <w:r>
                    <w:rPr>
                      <w:rFonts w:hint="default" w:ascii="Times New Roman" w:hAnsi="Times New Roman" w:eastAsia="宋体" w:cs="Times New Roman"/>
                      <w:b w:val="0"/>
                      <w:bCs w:val="0"/>
                      <w:color w:val="auto"/>
                      <w:kern w:val="2"/>
                      <w:sz w:val="21"/>
                      <w:szCs w:val="21"/>
                      <w:highlight w:val="none"/>
                      <w:u w:val="none" w:color="auto"/>
                      <w:lang w:val="en-US" w:eastAsia="zh-CN"/>
                    </w:rPr>
                    <w:t>生态环境</w:t>
                  </w:r>
                  <w:r>
                    <w:rPr>
                      <w:rFonts w:hint="eastAsia" w:ascii="Times New Roman" w:hAnsi="Times New Roman" w:eastAsia="宋体" w:cs="Times New Roman"/>
                      <w:b w:val="0"/>
                      <w:bCs w:val="0"/>
                      <w:color w:val="auto"/>
                      <w:kern w:val="2"/>
                      <w:sz w:val="21"/>
                      <w:szCs w:val="21"/>
                      <w:highlight w:val="none"/>
                      <w:u w:val="none" w:color="auto"/>
                      <w:lang w:val="en-US" w:eastAsia="zh-CN"/>
                    </w:rPr>
                    <w:t>不受本项目影响</w:t>
                  </w:r>
                </w:p>
              </w:tc>
            </w:tr>
          </w:tbl>
          <w:p w14:paraId="27505807">
            <w:pPr>
              <w:pStyle w:val="12"/>
              <w:rPr>
                <w:color w:val="auto"/>
                <w:u w:val="none" w:color="auto"/>
              </w:rPr>
            </w:pPr>
          </w:p>
        </w:tc>
      </w:tr>
      <w:tr w14:paraId="111B7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2429" w:hRule="atLeast"/>
          <w:jc w:val="center"/>
        </w:trPr>
        <w:tc>
          <w:tcPr>
            <w:tcW w:w="800" w:type="dxa"/>
            <w:tcMar>
              <w:left w:w="28" w:type="dxa"/>
              <w:right w:w="28" w:type="dxa"/>
            </w:tcMar>
            <w:vAlign w:val="center"/>
          </w:tcPr>
          <w:p w14:paraId="142ABD95">
            <w:pPr>
              <w:adjustRightInd w:val="0"/>
              <w:snapToGrid w:val="0"/>
              <w:jc w:val="center"/>
              <w:rPr>
                <w:rFonts w:hint="default" w:eastAsia="宋体" w:cs="宋体"/>
                <w:color w:val="auto"/>
                <w:kern w:val="0"/>
                <w:sz w:val="24"/>
                <w:szCs w:val="21"/>
                <w:u w:val="none" w:color="auto"/>
                <w:lang w:val="en-US" w:eastAsia="zh-CN"/>
              </w:rPr>
            </w:pPr>
            <w:r>
              <w:rPr>
                <w:rFonts w:hint="eastAsia" w:cs="宋体"/>
                <w:color w:val="auto"/>
                <w:kern w:val="0"/>
                <w:sz w:val="24"/>
                <w:szCs w:val="21"/>
                <w:u w:val="none" w:color="auto"/>
                <w:lang w:val="en-US" w:eastAsia="zh-CN"/>
              </w:rPr>
              <w:t>评价标准</w:t>
            </w:r>
          </w:p>
        </w:tc>
        <w:tc>
          <w:tcPr>
            <w:tcW w:w="8190" w:type="dxa"/>
            <w:vAlign w:val="center"/>
          </w:tcPr>
          <w:p w14:paraId="04CDB2B2">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b/>
                <w:color w:val="auto"/>
                <w:sz w:val="24"/>
                <w:highlight w:val="none"/>
                <w:u w:val="none" w:color="auto"/>
                <w:lang w:eastAsia="zh-CN"/>
              </w:rPr>
            </w:pPr>
            <w:r>
              <w:rPr>
                <w:rFonts w:hint="eastAsia" w:ascii="Times New Roman" w:hAnsi="Times New Roman" w:cs="Times New Roman"/>
                <w:b/>
                <w:color w:val="auto"/>
                <w:sz w:val="24"/>
                <w:highlight w:val="none"/>
                <w:u w:val="none" w:color="auto"/>
                <w:lang w:eastAsia="zh-CN"/>
              </w:rPr>
              <w:t>一、环境质量标准</w:t>
            </w:r>
          </w:p>
          <w:p w14:paraId="44182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highlight w:val="none"/>
                <w:u w:val="none" w:color="auto"/>
                <w:lang w:eastAsia="zh-CN"/>
              </w:rPr>
            </w:pPr>
            <w:r>
              <w:rPr>
                <w:rFonts w:hint="default" w:ascii="Times New Roman" w:hAnsi="Times New Roman" w:cs="Times New Roman"/>
                <w:b/>
                <w:color w:val="auto"/>
                <w:sz w:val="24"/>
                <w:highlight w:val="none"/>
                <w:u w:val="none" w:color="auto"/>
              </w:rPr>
              <w:t>1、环境空气</w:t>
            </w:r>
            <w:r>
              <w:rPr>
                <w:rFonts w:hint="eastAsia" w:ascii="Times New Roman" w:hAnsi="Times New Roman" w:cs="Times New Roman"/>
                <w:b/>
                <w:color w:val="auto"/>
                <w:sz w:val="24"/>
                <w:highlight w:val="none"/>
                <w:u w:val="none" w:color="auto"/>
                <w:lang w:eastAsia="zh-CN"/>
              </w:rPr>
              <w:t>质量</w:t>
            </w:r>
          </w:p>
          <w:p w14:paraId="0EB754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Times New Roman" w:hAnsi="Times New Roman" w:eastAsia="宋体" w:cs="Times New Roman"/>
                <w:color w:val="auto"/>
                <w:sz w:val="24"/>
                <w:szCs w:val="24"/>
                <w:highlight w:val="none"/>
                <w:u w:val="none" w:color="auto"/>
                <w:lang w:eastAsia="zh-CN"/>
              </w:rPr>
            </w:pPr>
            <w:r>
              <w:rPr>
                <w:rFonts w:hint="eastAsia" w:ascii="Times New Roman" w:hAnsi="宋体" w:cs="Times New Roman"/>
                <w:color w:val="auto"/>
                <w:sz w:val="24"/>
                <w:szCs w:val="24"/>
                <w:highlight w:val="none"/>
                <w:u w:val="none" w:color="auto"/>
                <w:lang w:eastAsia="zh-CN"/>
              </w:rPr>
              <w:t>本</w:t>
            </w:r>
            <w:r>
              <w:rPr>
                <w:rFonts w:hint="default" w:ascii="Times New Roman" w:hAnsi="宋体" w:cs="Times New Roman"/>
                <w:color w:val="auto"/>
                <w:sz w:val="24"/>
                <w:szCs w:val="24"/>
                <w:highlight w:val="none"/>
                <w:u w:val="none" w:color="auto"/>
              </w:rPr>
              <w:t>项目所在区域</w:t>
            </w:r>
            <w:r>
              <w:rPr>
                <w:rFonts w:hint="eastAsia" w:ascii="Times New Roman" w:hAnsi="宋体" w:cs="Times New Roman"/>
                <w:color w:val="auto"/>
                <w:sz w:val="24"/>
                <w:szCs w:val="24"/>
                <w:highlight w:val="none"/>
                <w:u w:val="none" w:color="auto"/>
                <w:lang w:eastAsia="zh-CN"/>
              </w:rPr>
              <w:t>大气执行《环境空气质量标准》（GB3095-2012）一级标准及其</w:t>
            </w:r>
            <w:r>
              <w:rPr>
                <w:rFonts w:hint="eastAsia" w:ascii="Times New Roman" w:hAnsi="宋体" w:cs="Times New Roman"/>
                <w:color w:val="auto"/>
                <w:sz w:val="24"/>
                <w:szCs w:val="24"/>
                <w:highlight w:val="none"/>
                <w:u w:val="none" w:color="auto"/>
                <w:lang w:val="en-US" w:eastAsia="zh-CN"/>
              </w:rPr>
              <w:t>2018年修改单</w:t>
            </w:r>
            <w:r>
              <w:rPr>
                <w:rFonts w:hint="eastAsia" w:ascii="Times New Roman" w:hAnsi="Times New Roman" w:cs="Times New Roman"/>
                <w:color w:val="auto"/>
                <w:sz w:val="24"/>
                <w:szCs w:val="24"/>
                <w:highlight w:val="none"/>
                <w:u w:val="none" w:color="auto"/>
                <w:lang w:eastAsia="zh-CN"/>
              </w:rPr>
              <w:t>；具体见下表：</w:t>
            </w:r>
          </w:p>
          <w:p w14:paraId="631788D8">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highlight w:val="none"/>
                <w:u w:val="none" w:color="auto"/>
                <w:lang w:val="en-US" w:eastAsia="zh-CN"/>
              </w:rPr>
            </w:pPr>
            <w:r>
              <w:rPr>
                <w:rFonts w:hint="default" w:ascii="Times New Roman" w:hAnsi="Times New Roman" w:eastAsia="宋体" w:cs="Times New Roman"/>
                <w:b/>
                <w:bCs/>
                <w:color w:val="auto"/>
                <w:highlight w:val="none"/>
                <w:u w:val="none" w:color="auto"/>
              </w:rPr>
              <w:t>表</w:t>
            </w:r>
            <w:r>
              <w:rPr>
                <w:rFonts w:hint="eastAsia" w:ascii="Times New Roman" w:hAnsi="Times New Roman" w:eastAsia="宋体" w:cs="Times New Roman"/>
                <w:b/>
                <w:bCs/>
                <w:color w:val="auto"/>
                <w:highlight w:val="none"/>
                <w:u w:val="none" w:color="auto"/>
                <w:lang w:val="en-US" w:eastAsia="zh-CN"/>
              </w:rPr>
              <w:t>3</w:t>
            </w:r>
            <w:r>
              <w:rPr>
                <w:rFonts w:hint="eastAsia" w:ascii="Times New Roman" w:hAnsi="Times New Roman" w:eastAsia="宋体" w:cs="Times New Roman"/>
                <w:b/>
                <w:bCs/>
                <w:color w:val="auto"/>
                <w:highlight w:val="none"/>
                <w:u w:val="none" w:color="auto"/>
              </w:rPr>
              <w:t>-</w:t>
            </w:r>
            <w:r>
              <w:rPr>
                <w:rFonts w:hint="eastAsia" w:ascii="Times New Roman" w:hAnsi="Times New Roman" w:eastAsia="宋体" w:cs="Times New Roman"/>
                <w:b/>
                <w:bCs/>
                <w:color w:val="auto"/>
                <w:highlight w:val="none"/>
                <w:u w:val="none" w:color="auto"/>
                <w:lang w:val="en-US" w:eastAsia="zh-CN"/>
              </w:rPr>
              <w:t>6</w:t>
            </w:r>
            <w:r>
              <w:rPr>
                <w:rFonts w:hint="eastAsia" w:ascii="Times New Roman" w:hAnsi="Times New Roman" w:eastAsia="宋体" w:cs="Times New Roman"/>
                <w:b/>
                <w:bCs/>
                <w:color w:val="auto"/>
                <w:highlight w:val="none"/>
                <w:u w:val="none" w:color="auto"/>
                <w:lang w:eastAsia="zh-CN"/>
              </w:rPr>
              <w:t>环境空气质量标准（摘录）</w:t>
            </w:r>
          </w:p>
          <w:tbl>
            <w:tblPr>
              <w:tblStyle w:val="26"/>
              <w:tblW w:w="76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118"/>
              <w:gridCol w:w="1684"/>
              <w:gridCol w:w="1103"/>
              <w:gridCol w:w="751"/>
              <w:gridCol w:w="2378"/>
            </w:tblGrid>
            <w:tr w14:paraId="490D3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43" w:type="dxa"/>
                  <w:tcBorders>
                    <w:tl2br w:val="nil"/>
                    <w:tr2bl w:val="nil"/>
                  </w:tcBorders>
                  <w:noWrap w:val="0"/>
                  <w:vAlign w:val="center"/>
                </w:tcPr>
                <w:p w14:paraId="6CAAE2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u w:val="none" w:color="auto"/>
                      <w:vertAlign w:val="baseline"/>
                      <w:lang w:eastAsia="zh-CN"/>
                    </w:rPr>
                  </w:pPr>
                  <w:r>
                    <w:rPr>
                      <w:rFonts w:hint="eastAsia" w:ascii="Times New Roman" w:hAnsi="Times New Roman" w:cs="Times New Roman"/>
                      <w:b/>
                      <w:bCs/>
                      <w:color w:val="auto"/>
                      <w:sz w:val="21"/>
                      <w:szCs w:val="21"/>
                      <w:highlight w:val="none"/>
                      <w:u w:val="none" w:color="auto"/>
                      <w:vertAlign w:val="baseline"/>
                      <w:lang w:eastAsia="zh-CN"/>
                    </w:rPr>
                    <w:t>序号</w:t>
                  </w:r>
                </w:p>
              </w:tc>
              <w:tc>
                <w:tcPr>
                  <w:tcW w:w="1118" w:type="dxa"/>
                  <w:tcBorders>
                    <w:tl2br w:val="nil"/>
                    <w:tr2bl w:val="nil"/>
                  </w:tcBorders>
                  <w:noWrap w:val="0"/>
                  <w:vAlign w:val="center"/>
                </w:tcPr>
                <w:p w14:paraId="339ED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vertAlign w:val="baseline"/>
                    </w:rPr>
                    <w:t>污染物名称</w:t>
                  </w:r>
                </w:p>
              </w:tc>
              <w:tc>
                <w:tcPr>
                  <w:tcW w:w="1684" w:type="dxa"/>
                  <w:tcBorders>
                    <w:tl2br w:val="nil"/>
                    <w:tr2bl w:val="nil"/>
                  </w:tcBorders>
                  <w:noWrap w:val="0"/>
                  <w:vAlign w:val="center"/>
                </w:tcPr>
                <w:p w14:paraId="2D257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vertAlign w:val="baseline"/>
                    </w:rPr>
                    <w:t>取值时间</w:t>
                  </w:r>
                </w:p>
              </w:tc>
              <w:tc>
                <w:tcPr>
                  <w:tcW w:w="1103" w:type="dxa"/>
                  <w:tcBorders>
                    <w:tl2br w:val="nil"/>
                    <w:tr2bl w:val="nil"/>
                  </w:tcBorders>
                  <w:noWrap w:val="0"/>
                  <w:vAlign w:val="center"/>
                </w:tcPr>
                <w:p w14:paraId="690A8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vertAlign w:val="baseline"/>
                    </w:rPr>
                    <w:t>浓度限值</w:t>
                  </w:r>
                </w:p>
              </w:tc>
              <w:tc>
                <w:tcPr>
                  <w:tcW w:w="751" w:type="dxa"/>
                  <w:tcBorders>
                    <w:tl2br w:val="nil"/>
                    <w:tr2bl w:val="nil"/>
                  </w:tcBorders>
                  <w:noWrap w:val="0"/>
                  <w:vAlign w:val="center"/>
                </w:tcPr>
                <w:p w14:paraId="48483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vertAlign w:val="baseline"/>
                    </w:rPr>
                    <w:t>单位</w:t>
                  </w:r>
                </w:p>
              </w:tc>
              <w:tc>
                <w:tcPr>
                  <w:tcW w:w="2378" w:type="dxa"/>
                  <w:tcBorders>
                    <w:tl2br w:val="nil"/>
                    <w:tr2bl w:val="nil"/>
                  </w:tcBorders>
                  <w:noWrap w:val="0"/>
                  <w:vAlign w:val="center"/>
                </w:tcPr>
                <w:p w14:paraId="20662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vertAlign w:val="baseline"/>
                    </w:rPr>
                    <w:t>标准来源</w:t>
                  </w:r>
                </w:p>
              </w:tc>
            </w:tr>
            <w:tr w14:paraId="78F2C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7CFC22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w:t>
                  </w:r>
                </w:p>
              </w:tc>
              <w:tc>
                <w:tcPr>
                  <w:tcW w:w="1118" w:type="dxa"/>
                  <w:vMerge w:val="restart"/>
                  <w:tcBorders>
                    <w:tl2br w:val="nil"/>
                    <w:tr2bl w:val="nil"/>
                  </w:tcBorders>
                  <w:noWrap w:val="0"/>
                  <w:vAlign w:val="center"/>
                </w:tcPr>
                <w:p w14:paraId="4B6F62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SO</w:t>
                  </w:r>
                  <w:r>
                    <w:rPr>
                      <w:rFonts w:hint="default" w:ascii="Times New Roman" w:hAnsi="Times New Roman" w:cs="Times New Roman"/>
                      <w:color w:val="auto"/>
                      <w:sz w:val="21"/>
                      <w:szCs w:val="21"/>
                      <w:highlight w:val="none"/>
                      <w:u w:val="none" w:color="auto"/>
                      <w:vertAlign w:val="subscript"/>
                      <w:lang w:val="en-US" w:eastAsia="zh-CN"/>
                    </w:rPr>
                    <w:t>2</w:t>
                  </w:r>
                </w:p>
              </w:tc>
              <w:tc>
                <w:tcPr>
                  <w:tcW w:w="1684" w:type="dxa"/>
                  <w:tcBorders>
                    <w:tl2br w:val="nil"/>
                    <w:tr2bl w:val="nil"/>
                  </w:tcBorders>
                  <w:noWrap w:val="0"/>
                  <w:vAlign w:val="center"/>
                </w:tcPr>
                <w:p w14:paraId="03325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年平均</w:t>
                  </w:r>
                </w:p>
              </w:tc>
              <w:tc>
                <w:tcPr>
                  <w:tcW w:w="1103" w:type="dxa"/>
                  <w:tcBorders>
                    <w:tl2br w:val="nil"/>
                    <w:tr2bl w:val="nil"/>
                  </w:tcBorders>
                  <w:noWrap w:val="0"/>
                  <w:vAlign w:val="center"/>
                </w:tcPr>
                <w:p w14:paraId="00A726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20</w:t>
                  </w:r>
                </w:p>
              </w:tc>
              <w:tc>
                <w:tcPr>
                  <w:tcW w:w="751" w:type="dxa"/>
                  <w:vMerge w:val="restart"/>
                  <w:tcBorders>
                    <w:tl2br w:val="nil"/>
                    <w:tr2bl w:val="nil"/>
                  </w:tcBorders>
                  <w:noWrap w:val="0"/>
                  <w:vAlign w:val="center"/>
                </w:tcPr>
                <w:p w14:paraId="7FD13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vertAlign w:val="baseline"/>
                      <w:lang w:eastAsia="zh-CN"/>
                    </w:rPr>
                    <w:t>μ</w:t>
                  </w:r>
                  <w:r>
                    <w:rPr>
                      <w:rFonts w:hint="default" w:ascii="Times New Roman" w:hAnsi="Times New Roman" w:cs="Times New Roman"/>
                      <w:color w:val="auto"/>
                      <w:sz w:val="21"/>
                      <w:szCs w:val="21"/>
                      <w:highlight w:val="none"/>
                      <w:u w:val="none" w:color="auto"/>
                      <w:vertAlign w:val="baseline"/>
                    </w:rPr>
                    <w:t>g/m</w:t>
                  </w:r>
                  <w:r>
                    <w:rPr>
                      <w:rFonts w:hint="eastAsia" w:ascii="Times New Roman" w:hAnsi="Times New Roman" w:cs="Times New Roman"/>
                      <w:color w:val="auto"/>
                      <w:sz w:val="21"/>
                      <w:szCs w:val="21"/>
                      <w:highlight w:val="none"/>
                      <w:u w:val="none" w:color="auto"/>
                      <w:vertAlign w:val="superscript"/>
                      <w:lang w:val="en-US" w:eastAsia="zh-CN"/>
                    </w:rPr>
                    <w:t>3</w:t>
                  </w:r>
                </w:p>
              </w:tc>
              <w:tc>
                <w:tcPr>
                  <w:tcW w:w="2378" w:type="dxa"/>
                  <w:vMerge w:val="restart"/>
                  <w:tcBorders>
                    <w:tl2br w:val="nil"/>
                    <w:tr2bl w:val="nil"/>
                  </w:tcBorders>
                  <w:noWrap w:val="0"/>
                  <w:vAlign w:val="center"/>
                </w:tcPr>
                <w:p w14:paraId="12FBE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eastAsia" w:ascii="Times New Roman" w:hAnsi="宋体" w:cs="Times New Roman"/>
                      <w:color w:val="auto"/>
                      <w:sz w:val="21"/>
                      <w:szCs w:val="21"/>
                      <w:highlight w:val="none"/>
                      <w:u w:val="none" w:color="auto"/>
                      <w:lang w:eastAsia="zh-CN"/>
                    </w:rPr>
                    <w:t>《环境空气质量标准》</w:t>
                  </w:r>
                  <w:r>
                    <w:rPr>
                      <w:rFonts w:hint="eastAsia" w:ascii="Times New Roman" w:hAnsi="Times New Roman" w:cs="Times New Roman"/>
                      <w:color w:val="auto"/>
                      <w:sz w:val="21"/>
                      <w:szCs w:val="21"/>
                      <w:highlight w:val="none"/>
                      <w:u w:val="none" w:color="auto"/>
                      <w:lang w:eastAsia="zh-CN"/>
                    </w:rPr>
                    <w:t>（</w:t>
                  </w:r>
                  <w:r>
                    <w:rPr>
                      <w:rFonts w:hint="eastAsia" w:ascii="Times New Roman" w:hAnsi="Times New Roman" w:cs="Times New Roman"/>
                      <w:color w:val="auto"/>
                      <w:sz w:val="21"/>
                      <w:szCs w:val="21"/>
                      <w:highlight w:val="none"/>
                      <w:u w:val="none" w:color="auto"/>
                    </w:rPr>
                    <w:t>GB3095-2012</w:t>
                  </w:r>
                  <w:r>
                    <w:rPr>
                      <w:rFonts w:hint="eastAsia" w:ascii="Times New Roman" w:hAnsi="Times New Roman" w:cs="Times New Roman"/>
                      <w:color w:val="auto"/>
                      <w:sz w:val="21"/>
                      <w:szCs w:val="21"/>
                      <w:highlight w:val="none"/>
                      <w:u w:val="none" w:color="auto"/>
                      <w:lang w:eastAsia="zh-CN"/>
                    </w:rPr>
                    <w:t>）一</w:t>
                  </w:r>
                  <w:r>
                    <w:rPr>
                      <w:rFonts w:hint="eastAsia" w:ascii="Times New Roman" w:hAnsi="Times New Roman" w:cs="Times New Roman"/>
                      <w:color w:val="auto"/>
                      <w:sz w:val="21"/>
                      <w:szCs w:val="21"/>
                      <w:highlight w:val="none"/>
                      <w:u w:val="none" w:color="auto"/>
                    </w:rPr>
                    <w:t>级标准及其2018年修改单</w:t>
                  </w:r>
                </w:p>
              </w:tc>
            </w:tr>
            <w:tr w14:paraId="449117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5C416E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398F0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003142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43738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50</w:t>
                  </w:r>
                </w:p>
              </w:tc>
              <w:tc>
                <w:tcPr>
                  <w:tcW w:w="751" w:type="dxa"/>
                  <w:vMerge w:val="continue"/>
                  <w:tcBorders>
                    <w:tl2br w:val="nil"/>
                    <w:tr2bl w:val="nil"/>
                  </w:tcBorders>
                  <w:noWrap w:val="0"/>
                  <w:vAlign w:val="center"/>
                </w:tcPr>
                <w:p w14:paraId="04B0F0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2DF001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5F205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5596C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4644A5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51FA57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1小时平均</w:t>
                  </w:r>
                </w:p>
              </w:tc>
              <w:tc>
                <w:tcPr>
                  <w:tcW w:w="1103" w:type="dxa"/>
                  <w:tcBorders>
                    <w:tl2br w:val="nil"/>
                    <w:tr2bl w:val="nil"/>
                  </w:tcBorders>
                  <w:noWrap w:val="0"/>
                  <w:vAlign w:val="center"/>
                </w:tcPr>
                <w:p w14:paraId="351AE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150</w:t>
                  </w:r>
                </w:p>
              </w:tc>
              <w:tc>
                <w:tcPr>
                  <w:tcW w:w="751" w:type="dxa"/>
                  <w:vMerge w:val="continue"/>
                  <w:tcBorders>
                    <w:tl2br w:val="nil"/>
                    <w:tr2bl w:val="nil"/>
                  </w:tcBorders>
                  <w:noWrap w:val="0"/>
                  <w:vAlign w:val="center"/>
                </w:tcPr>
                <w:p w14:paraId="689CB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7905C4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1B82B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7C834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2</w:t>
                  </w:r>
                </w:p>
              </w:tc>
              <w:tc>
                <w:tcPr>
                  <w:tcW w:w="1118" w:type="dxa"/>
                  <w:vMerge w:val="restart"/>
                  <w:tcBorders>
                    <w:tl2br w:val="nil"/>
                    <w:tr2bl w:val="nil"/>
                  </w:tcBorders>
                  <w:noWrap w:val="0"/>
                  <w:vAlign w:val="center"/>
                </w:tcPr>
                <w:p w14:paraId="5CE66C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NO</w:t>
                  </w:r>
                  <w:r>
                    <w:rPr>
                      <w:rFonts w:hint="default" w:ascii="Times New Roman" w:hAnsi="Times New Roman" w:cs="Times New Roman"/>
                      <w:color w:val="auto"/>
                      <w:sz w:val="21"/>
                      <w:szCs w:val="21"/>
                      <w:highlight w:val="none"/>
                      <w:u w:val="none" w:color="auto"/>
                      <w:vertAlign w:val="subscript"/>
                      <w:lang w:val="en-US" w:eastAsia="zh-CN"/>
                    </w:rPr>
                    <w:t>2</w:t>
                  </w:r>
                </w:p>
              </w:tc>
              <w:tc>
                <w:tcPr>
                  <w:tcW w:w="1684" w:type="dxa"/>
                  <w:tcBorders>
                    <w:tl2br w:val="nil"/>
                    <w:tr2bl w:val="nil"/>
                  </w:tcBorders>
                  <w:noWrap w:val="0"/>
                  <w:vAlign w:val="center"/>
                </w:tcPr>
                <w:p w14:paraId="7ACD8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年平均</w:t>
                  </w:r>
                </w:p>
              </w:tc>
              <w:tc>
                <w:tcPr>
                  <w:tcW w:w="1103" w:type="dxa"/>
                  <w:tcBorders>
                    <w:tl2br w:val="nil"/>
                    <w:tr2bl w:val="nil"/>
                  </w:tcBorders>
                  <w:noWrap w:val="0"/>
                  <w:vAlign w:val="center"/>
                </w:tcPr>
                <w:p w14:paraId="6E675C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40</w:t>
                  </w:r>
                </w:p>
              </w:tc>
              <w:tc>
                <w:tcPr>
                  <w:tcW w:w="751" w:type="dxa"/>
                  <w:vMerge w:val="continue"/>
                  <w:tcBorders>
                    <w:tl2br w:val="nil"/>
                    <w:tr2bl w:val="nil"/>
                  </w:tcBorders>
                  <w:noWrap w:val="0"/>
                  <w:vAlign w:val="center"/>
                </w:tcPr>
                <w:p w14:paraId="718DD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514F8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3A7D9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20E88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5BAD9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7A776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321414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80</w:t>
                  </w:r>
                </w:p>
              </w:tc>
              <w:tc>
                <w:tcPr>
                  <w:tcW w:w="751" w:type="dxa"/>
                  <w:vMerge w:val="continue"/>
                  <w:tcBorders>
                    <w:tl2br w:val="nil"/>
                    <w:tr2bl w:val="nil"/>
                  </w:tcBorders>
                  <w:noWrap w:val="0"/>
                  <w:vAlign w:val="center"/>
                </w:tcPr>
                <w:p w14:paraId="3F0197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70786B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27BBC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4750F3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44559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28CE3C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1小时平均</w:t>
                  </w:r>
                </w:p>
              </w:tc>
              <w:tc>
                <w:tcPr>
                  <w:tcW w:w="1103" w:type="dxa"/>
                  <w:tcBorders>
                    <w:tl2br w:val="nil"/>
                    <w:tr2bl w:val="nil"/>
                  </w:tcBorders>
                  <w:noWrap w:val="0"/>
                  <w:vAlign w:val="center"/>
                </w:tcPr>
                <w:p w14:paraId="613B4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vertAlign w:val="baseline"/>
                      <w:lang w:val="en-US" w:eastAsia="zh-CN"/>
                    </w:rPr>
                    <w:t>200</w:t>
                  </w:r>
                </w:p>
              </w:tc>
              <w:tc>
                <w:tcPr>
                  <w:tcW w:w="751" w:type="dxa"/>
                  <w:vMerge w:val="continue"/>
                  <w:tcBorders>
                    <w:tl2br w:val="nil"/>
                    <w:tr2bl w:val="nil"/>
                  </w:tcBorders>
                  <w:noWrap w:val="0"/>
                  <w:vAlign w:val="center"/>
                </w:tcPr>
                <w:p w14:paraId="377ED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109718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42D76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398A0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3</w:t>
                  </w:r>
                </w:p>
              </w:tc>
              <w:tc>
                <w:tcPr>
                  <w:tcW w:w="1118" w:type="dxa"/>
                  <w:vMerge w:val="restart"/>
                  <w:tcBorders>
                    <w:tl2br w:val="nil"/>
                    <w:tr2bl w:val="nil"/>
                  </w:tcBorders>
                  <w:noWrap w:val="0"/>
                  <w:vAlign w:val="center"/>
                </w:tcPr>
                <w:p w14:paraId="0DF66D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CO</w:t>
                  </w:r>
                </w:p>
              </w:tc>
              <w:tc>
                <w:tcPr>
                  <w:tcW w:w="1684" w:type="dxa"/>
                  <w:tcBorders>
                    <w:tl2br w:val="nil"/>
                    <w:tr2bl w:val="nil"/>
                  </w:tcBorders>
                  <w:noWrap w:val="0"/>
                  <w:vAlign w:val="center"/>
                </w:tcPr>
                <w:p w14:paraId="190F3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61E53C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4</w:t>
                  </w:r>
                </w:p>
              </w:tc>
              <w:tc>
                <w:tcPr>
                  <w:tcW w:w="751" w:type="dxa"/>
                  <w:vMerge w:val="restart"/>
                  <w:tcBorders>
                    <w:tl2br w:val="nil"/>
                    <w:tr2bl w:val="nil"/>
                  </w:tcBorders>
                  <w:noWrap w:val="0"/>
                  <w:vAlign w:val="center"/>
                </w:tcPr>
                <w:p w14:paraId="71CDCC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rPr>
                    <w:t>mg/m</w:t>
                  </w:r>
                  <w:r>
                    <w:rPr>
                      <w:rFonts w:hint="default" w:ascii="Times New Roman" w:hAnsi="Times New Roman" w:cs="Times New Roman"/>
                      <w:color w:val="auto"/>
                      <w:sz w:val="21"/>
                      <w:szCs w:val="21"/>
                      <w:highlight w:val="none"/>
                      <w:u w:val="none" w:color="auto"/>
                      <w:vertAlign w:val="superscript"/>
                    </w:rPr>
                    <w:t>3</w:t>
                  </w:r>
                </w:p>
              </w:tc>
              <w:tc>
                <w:tcPr>
                  <w:tcW w:w="2378" w:type="dxa"/>
                  <w:vMerge w:val="continue"/>
                  <w:tcBorders>
                    <w:tl2br w:val="nil"/>
                    <w:tr2bl w:val="nil"/>
                  </w:tcBorders>
                  <w:noWrap w:val="0"/>
                  <w:vAlign w:val="center"/>
                </w:tcPr>
                <w:p w14:paraId="46B699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49505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79B97A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15EFF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32E51F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1小时平均</w:t>
                  </w:r>
                </w:p>
              </w:tc>
              <w:tc>
                <w:tcPr>
                  <w:tcW w:w="1103" w:type="dxa"/>
                  <w:tcBorders>
                    <w:tl2br w:val="nil"/>
                    <w:tr2bl w:val="nil"/>
                  </w:tcBorders>
                  <w:noWrap w:val="0"/>
                  <w:vAlign w:val="center"/>
                </w:tcPr>
                <w:p w14:paraId="7B95AF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10</w:t>
                  </w:r>
                </w:p>
              </w:tc>
              <w:tc>
                <w:tcPr>
                  <w:tcW w:w="751" w:type="dxa"/>
                  <w:vMerge w:val="continue"/>
                  <w:tcBorders>
                    <w:tl2br w:val="nil"/>
                    <w:tr2bl w:val="nil"/>
                  </w:tcBorders>
                  <w:noWrap w:val="0"/>
                  <w:vAlign w:val="center"/>
                </w:tcPr>
                <w:p w14:paraId="169BA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01DBE4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56EE3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67B6DB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4</w:t>
                  </w:r>
                </w:p>
              </w:tc>
              <w:tc>
                <w:tcPr>
                  <w:tcW w:w="1118" w:type="dxa"/>
                  <w:vMerge w:val="restart"/>
                  <w:tcBorders>
                    <w:tl2br w:val="nil"/>
                    <w:tr2bl w:val="nil"/>
                  </w:tcBorders>
                  <w:noWrap w:val="0"/>
                  <w:vAlign w:val="center"/>
                </w:tcPr>
                <w:p w14:paraId="1FD58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O</w:t>
                  </w:r>
                  <w:r>
                    <w:rPr>
                      <w:rFonts w:hint="default" w:ascii="Times New Roman" w:hAnsi="Times New Roman" w:cs="Times New Roman"/>
                      <w:color w:val="auto"/>
                      <w:sz w:val="21"/>
                      <w:szCs w:val="21"/>
                      <w:highlight w:val="none"/>
                      <w:u w:val="none" w:color="auto"/>
                      <w:vertAlign w:val="subscript"/>
                      <w:lang w:val="en-US" w:eastAsia="zh-CN"/>
                    </w:rPr>
                    <w:t>3</w:t>
                  </w:r>
                </w:p>
              </w:tc>
              <w:tc>
                <w:tcPr>
                  <w:tcW w:w="1684" w:type="dxa"/>
                  <w:tcBorders>
                    <w:tl2br w:val="nil"/>
                    <w:tr2bl w:val="nil"/>
                  </w:tcBorders>
                  <w:noWrap w:val="0"/>
                  <w:vAlign w:val="center"/>
                </w:tcPr>
                <w:p w14:paraId="6B9C9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日最大8小时平均</w:t>
                  </w:r>
                </w:p>
              </w:tc>
              <w:tc>
                <w:tcPr>
                  <w:tcW w:w="1103" w:type="dxa"/>
                  <w:tcBorders>
                    <w:tl2br w:val="nil"/>
                    <w:tr2bl w:val="nil"/>
                  </w:tcBorders>
                  <w:noWrap w:val="0"/>
                  <w:vAlign w:val="center"/>
                </w:tcPr>
                <w:p w14:paraId="68E9E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100</w:t>
                  </w:r>
                </w:p>
              </w:tc>
              <w:tc>
                <w:tcPr>
                  <w:tcW w:w="751" w:type="dxa"/>
                  <w:vMerge w:val="restart"/>
                  <w:tcBorders>
                    <w:tl2br w:val="nil"/>
                    <w:tr2bl w:val="nil"/>
                  </w:tcBorders>
                  <w:noWrap w:val="0"/>
                  <w:vAlign w:val="center"/>
                </w:tcPr>
                <w:p w14:paraId="123F4D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eastAsia="zh-CN"/>
                    </w:rPr>
                    <w:t>μ</w:t>
                  </w:r>
                  <w:r>
                    <w:rPr>
                      <w:rFonts w:hint="default" w:ascii="Times New Roman" w:hAnsi="Times New Roman" w:cs="Times New Roman"/>
                      <w:color w:val="auto"/>
                      <w:sz w:val="21"/>
                      <w:szCs w:val="21"/>
                      <w:highlight w:val="none"/>
                      <w:u w:val="none" w:color="auto"/>
                      <w:vertAlign w:val="baseline"/>
                    </w:rPr>
                    <w:t>g/m</w:t>
                  </w:r>
                  <w:r>
                    <w:rPr>
                      <w:rFonts w:hint="eastAsia" w:ascii="Times New Roman" w:hAnsi="Times New Roman" w:cs="Times New Roman"/>
                      <w:color w:val="auto"/>
                      <w:sz w:val="21"/>
                      <w:szCs w:val="21"/>
                      <w:highlight w:val="none"/>
                      <w:u w:val="none" w:color="auto"/>
                      <w:vertAlign w:val="superscript"/>
                      <w:lang w:val="en-US" w:eastAsia="zh-CN"/>
                    </w:rPr>
                    <w:t>3</w:t>
                  </w:r>
                </w:p>
              </w:tc>
              <w:tc>
                <w:tcPr>
                  <w:tcW w:w="2378" w:type="dxa"/>
                  <w:vMerge w:val="continue"/>
                  <w:tcBorders>
                    <w:tl2br w:val="nil"/>
                    <w:tr2bl w:val="nil"/>
                  </w:tcBorders>
                  <w:noWrap w:val="0"/>
                  <w:vAlign w:val="center"/>
                </w:tcPr>
                <w:p w14:paraId="4ABFD2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7B3D0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1F176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0A994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3D4CA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1小时平均</w:t>
                  </w:r>
                </w:p>
              </w:tc>
              <w:tc>
                <w:tcPr>
                  <w:tcW w:w="1103" w:type="dxa"/>
                  <w:tcBorders>
                    <w:tl2br w:val="nil"/>
                    <w:tr2bl w:val="nil"/>
                  </w:tcBorders>
                  <w:noWrap w:val="0"/>
                  <w:vAlign w:val="center"/>
                </w:tcPr>
                <w:p w14:paraId="5291D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160</w:t>
                  </w:r>
                </w:p>
              </w:tc>
              <w:tc>
                <w:tcPr>
                  <w:tcW w:w="751" w:type="dxa"/>
                  <w:vMerge w:val="continue"/>
                  <w:tcBorders>
                    <w:tl2br w:val="nil"/>
                    <w:tr2bl w:val="nil"/>
                  </w:tcBorders>
                  <w:noWrap w:val="0"/>
                  <w:vAlign w:val="center"/>
                </w:tcPr>
                <w:p w14:paraId="26B9F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3DA6A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733BD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5E3B30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5</w:t>
                  </w:r>
                </w:p>
              </w:tc>
              <w:tc>
                <w:tcPr>
                  <w:tcW w:w="1118" w:type="dxa"/>
                  <w:vMerge w:val="restart"/>
                  <w:tcBorders>
                    <w:tl2br w:val="nil"/>
                    <w:tr2bl w:val="nil"/>
                  </w:tcBorders>
                  <w:noWrap w:val="0"/>
                  <w:vAlign w:val="center"/>
                </w:tcPr>
                <w:p w14:paraId="19D9F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PM</w:t>
                  </w:r>
                  <w:r>
                    <w:rPr>
                      <w:rFonts w:hint="default" w:ascii="Times New Roman" w:hAnsi="Times New Roman" w:cs="Times New Roman"/>
                      <w:color w:val="auto"/>
                      <w:sz w:val="21"/>
                      <w:szCs w:val="21"/>
                      <w:highlight w:val="none"/>
                      <w:u w:val="none" w:color="auto"/>
                      <w:vertAlign w:val="subscript"/>
                      <w:lang w:val="en-US" w:eastAsia="zh-CN"/>
                    </w:rPr>
                    <w:t>10</w:t>
                  </w:r>
                </w:p>
              </w:tc>
              <w:tc>
                <w:tcPr>
                  <w:tcW w:w="1684" w:type="dxa"/>
                  <w:tcBorders>
                    <w:tl2br w:val="nil"/>
                    <w:tr2bl w:val="nil"/>
                  </w:tcBorders>
                  <w:noWrap w:val="0"/>
                  <w:vAlign w:val="center"/>
                </w:tcPr>
                <w:p w14:paraId="26063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年平均</w:t>
                  </w:r>
                </w:p>
              </w:tc>
              <w:tc>
                <w:tcPr>
                  <w:tcW w:w="1103" w:type="dxa"/>
                  <w:tcBorders>
                    <w:tl2br w:val="nil"/>
                    <w:tr2bl w:val="nil"/>
                  </w:tcBorders>
                  <w:noWrap w:val="0"/>
                  <w:vAlign w:val="center"/>
                </w:tcPr>
                <w:p w14:paraId="4B621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40</w:t>
                  </w:r>
                </w:p>
              </w:tc>
              <w:tc>
                <w:tcPr>
                  <w:tcW w:w="751" w:type="dxa"/>
                  <w:vMerge w:val="continue"/>
                  <w:tcBorders>
                    <w:tl2br w:val="nil"/>
                    <w:tr2bl w:val="nil"/>
                  </w:tcBorders>
                  <w:noWrap w:val="0"/>
                  <w:vAlign w:val="center"/>
                </w:tcPr>
                <w:p w14:paraId="5D62CE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32431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3DD0D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642D8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100E03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27D66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6DBDAE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50</w:t>
                  </w:r>
                </w:p>
              </w:tc>
              <w:tc>
                <w:tcPr>
                  <w:tcW w:w="751" w:type="dxa"/>
                  <w:vMerge w:val="continue"/>
                  <w:tcBorders>
                    <w:tl2br w:val="nil"/>
                    <w:tr2bl w:val="nil"/>
                  </w:tcBorders>
                  <w:noWrap w:val="0"/>
                  <w:vAlign w:val="center"/>
                </w:tcPr>
                <w:p w14:paraId="6CDCD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6843B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10C3E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7ABCD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6</w:t>
                  </w:r>
                </w:p>
              </w:tc>
              <w:tc>
                <w:tcPr>
                  <w:tcW w:w="1118" w:type="dxa"/>
                  <w:vMerge w:val="restart"/>
                  <w:tcBorders>
                    <w:tl2br w:val="nil"/>
                    <w:tr2bl w:val="nil"/>
                  </w:tcBorders>
                  <w:noWrap w:val="0"/>
                  <w:vAlign w:val="center"/>
                </w:tcPr>
                <w:p w14:paraId="6B101B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lang w:val="en-US" w:eastAsia="zh-CN"/>
                    </w:rPr>
                    <w:t>PM</w:t>
                  </w:r>
                  <w:r>
                    <w:rPr>
                      <w:rFonts w:hint="default" w:ascii="Times New Roman" w:hAnsi="Times New Roman" w:cs="Times New Roman"/>
                      <w:color w:val="auto"/>
                      <w:sz w:val="21"/>
                      <w:szCs w:val="21"/>
                      <w:highlight w:val="none"/>
                      <w:u w:val="none" w:color="auto"/>
                      <w:vertAlign w:val="subscript"/>
                      <w:lang w:val="en-US" w:eastAsia="zh-CN"/>
                    </w:rPr>
                    <w:t>2.5</w:t>
                  </w:r>
                </w:p>
              </w:tc>
              <w:tc>
                <w:tcPr>
                  <w:tcW w:w="1684" w:type="dxa"/>
                  <w:tcBorders>
                    <w:tl2br w:val="nil"/>
                    <w:tr2bl w:val="nil"/>
                  </w:tcBorders>
                  <w:noWrap w:val="0"/>
                  <w:vAlign w:val="center"/>
                </w:tcPr>
                <w:p w14:paraId="22BE4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年平均</w:t>
                  </w:r>
                </w:p>
              </w:tc>
              <w:tc>
                <w:tcPr>
                  <w:tcW w:w="1103" w:type="dxa"/>
                  <w:tcBorders>
                    <w:tl2br w:val="nil"/>
                    <w:tr2bl w:val="nil"/>
                  </w:tcBorders>
                  <w:noWrap w:val="0"/>
                  <w:vAlign w:val="center"/>
                </w:tcPr>
                <w:p w14:paraId="0F065E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15</w:t>
                  </w:r>
                </w:p>
              </w:tc>
              <w:tc>
                <w:tcPr>
                  <w:tcW w:w="751" w:type="dxa"/>
                  <w:vMerge w:val="continue"/>
                  <w:tcBorders>
                    <w:tl2br w:val="nil"/>
                    <w:tr2bl w:val="nil"/>
                  </w:tcBorders>
                  <w:noWrap w:val="0"/>
                  <w:vAlign w:val="center"/>
                </w:tcPr>
                <w:p w14:paraId="2C5E8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6E7999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5166E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continue"/>
                  <w:tcBorders>
                    <w:tl2br w:val="nil"/>
                    <w:tr2bl w:val="nil"/>
                  </w:tcBorders>
                  <w:noWrap w:val="0"/>
                  <w:vAlign w:val="center"/>
                </w:tcPr>
                <w:p w14:paraId="17EB41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3749E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3EED4C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0C0C6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35</w:t>
                  </w:r>
                </w:p>
              </w:tc>
              <w:tc>
                <w:tcPr>
                  <w:tcW w:w="751" w:type="dxa"/>
                  <w:vMerge w:val="continue"/>
                  <w:tcBorders>
                    <w:tl2br w:val="nil"/>
                    <w:tr2bl w:val="nil"/>
                  </w:tcBorders>
                  <w:noWrap w:val="0"/>
                  <w:vAlign w:val="center"/>
                </w:tcPr>
                <w:p w14:paraId="7FA03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32165B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3E531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43" w:type="dxa"/>
                  <w:vMerge w:val="restart"/>
                  <w:tcBorders>
                    <w:tl2br w:val="nil"/>
                    <w:tr2bl w:val="nil"/>
                  </w:tcBorders>
                  <w:noWrap w:val="0"/>
                  <w:vAlign w:val="center"/>
                </w:tcPr>
                <w:p w14:paraId="2E3B00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7</w:t>
                  </w:r>
                </w:p>
              </w:tc>
              <w:tc>
                <w:tcPr>
                  <w:tcW w:w="1118" w:type="dxa"/>
                  <w:vMerge w:val="restart"/>
                  <w:tcBorders>
                    <w:tl2br w:val="nil"/>
                    <w:tr2bl w:val="nil"/>
                  </w:tcBorders>
                  <w:noWrap w:val="0"/>
                  <w:vAlign w:val="center"/>
                </w:tcPr>
                <w:p w14:paraId="58153F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TSP</w:t>
                  </w:r>
                </w:p>
              </w:tc>
              <w:tc>
                <w:tcPr>
                  <w:tcW w:w="1684" w:type="dxa"/>
                  <w:tcBorders>
                    <w:tl2br w:val="nil"/>
                    <w:tr2bl w:val="nil"/>
                  </w:tcBorders>
                  <w:noWrap w:val="0"/>
                  <w:vAlign w:val="center"/>
                </w:tcPr>
                <w:p w14:paraId="1AE13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年平均</w:t>
                  </w:r>
                </w:p>
              </w:tc>
              <w:tc>
                <w:tcPr>
                  <w:tcW w:w="1103" w:type="dxa"/>
                  <w:tcBorders>
                    <w:tl2br w:val="nil"/>
                    <w:tr2bl w:val="nil"/>
                  </w:tcBorders>
                  <w:noWrap w:val="0"/>
                  <w:vAlign w:val="center"/>
                </w:tcPr>
                <w:p w14:paraId="41388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80</w:t>
                  </w:r>
                </w:p>
              </w:tc>
              <w:tc>
                <w:tcPr>
                  <w:tcW w:w="751" w:type="dxa"/>
                  <w:vMerge w:val="continue"/>
                  <w:tcBorders>
                    <w:tl2br w:val="nil"/>
                    <w:tr2bl w:val="nil"/>
                  </w:tcBorders>
                  <w:noWrap w:val="0"/>
                  <w:vAlign w:val="center"/>
                </w:tcPr>
                <w:p w14:paraId="08FC5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7CF871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r w14:paraId="5B5F8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43" w:type="dxa"/>
                  <w:vMerge w:val="continue"/>
                  <w:tcBorders>
                    <w:tl2br w:val="nil"/>
                    <w:tr2bl w:val="nil"/>
                  </w:tcBorders>
                  <w:noWrap w:val="0"/>
                  <w:vAlign w:val="center"/>
                </w:tcPr>
                <w:p w14:paraId="6B7DC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118" w:type="dxa"/>
                  <w:vMerge w:val="continue"/>
                  <w:tcBorders>
                    <w:tl2br w:val="nil"/>
                    <w:tr2bl w:val="nil"/>
                  </w:tcBorders>
                  <w:noWrap w:val="0"/>
                  <w:vAlign w:val="center"/>
                </w:tcPr>
                <w:p w14:paraId="4327E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1684" w:type="dxa"/>
                  <w:tcBorders>
                    <w:tl2br w:val="nil"/>
                    <w:tr2bl w:val="nil"/>
                  </w:tcBorders>
                  <w:noWrap w:val="0"/>
                  <w:vAlign w:val="center"/>
                </w:tcPr>
                <w:p w14:paraId="44EF60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r>
                    <w:rPr>
                      <w:rFonts w:hint="default" w:ascii="Times New Roman" w:hAnsi="Times New Roman" w:cs="Times New Roman"/>
                      <w:color w:val="auto"/>
                      <w:sz w:val="21"/>
                      <w:szCs w:val="21"/>
                      <w:highlight w:val="none"/>
                      <w:u w:val="none" w:color="auto"/>
                      <w:vertAlign w:val="baseline"/>
                    </w:rPr>
                    <w:t>24小时平均</w:t>
                  </w:r>
                </w:p>
              </w:tc>
              <w:tc>
                <w:tcPr>
                  <w:tcW w:w="1103" w:type="dxa"/>
                  <w:tcBorders>
                    <w:tl2br w:val="nil"/>
                    <w:tr2bl w:val="nil"/>
                  </w:tcBorders>
                  <w:noWrap w:val="0"/>
                  <w:vAlign w:val="center"/>
                </w:tcPr>
                <w:p w14:paraId="525D1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120</w:t>
                  </w:r>
                </w:p>
              </w:tc>
              <w:tc>
                <w:tcPr>
                  <w:tcW w:w="751" w:type="dxa"/>
                  <w:vMerge w:val="continue"/>
                  <w:tcBorders>
                    <w:tl2br w:val="nil"/>
                    <w:tr2bl w:val="nil"/>
                  </w:tcBorders>
                  <w:noWrap w:val="0"/>
                  <w:vAlign w:val="center"/>
                </w:tcPr>
                <w:p w14:paraId="05BE1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c>
                <w:tcPr>
                  <w:tcW w:w="2378" w:type="dxa"/>
                  <w:vMerge w:val="continue"/>
                  <w:tcBorders>
                    <w:tl2br w:val="nil"/>
                    <w:tr2bl w:val="nil"/>
                  </w:tcBorders>
                  <w:noWrap w:val="0"/>
                  <w:vAlign w:val="center"/>
                </w:tcPr>
                <w:p w14:paraId="1551F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vertAlign w:val="baseline"/>
                    </w:rPr>
                  </w:pPr>
                </w:p>
              </w:tc>
            </w:tr>
          </w:tbl>
          <w:p w14:paraId="05123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highlight w:val="none"/>
                <w:u w:val="none" w:color="auto"/>
                <w:lang w:eastAsia="zh-CN"/>
              </w:rPr>
            </w:pPr>
            <w:r>
              <w:rPr>
                <w:rFonts w:hint="default" w:ascii="Times New Roman" w:hAnsi="Times New Roman" w:cs="Times New Roman"/>
                <w:b/>
                <w:color w:val="auto"/>
                <w:sz w:val="24"/>
                <w:highlight w:val="none"/>
                <w:u w:val="none" w:color="auto"/>
              </w:rPr>
              <w:t>2、地表水环境</w:t>
            </w:r>
            <w:r>
              <w:rPr>
                <w:rFonts w:hint="eastAsia" w:ascii="Times New Roman" w:hAnsi="Times New Roman" w:cs="Times New Roman"/>
                <w:b/>
                <w:color w:val="auto"/>
                <w:sz w:val="24"/>
                <w:highlight w:val="none"/>
                <w:u w:val="none" w:color="auto"/>
                <w:lang w:eastAsia="zh-CN"/>
              </w:rPr>
              <w:t>质量</w:t>
            </w:r>
          </w:p>
          <w:p w14:paraId="513B90D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eastAsia="宋体" w:cs="Times New Roman"/>
                <w:color w:val="auto"/>
                <w:sz w:val="24"/>
                <w:highlight w:val="none"/>
                <w:u w:val="none" w:color="auto"/>
              </w:rPr>
              <w:t>地表水环境：</w:t>
            </w:r>
            <w:r>
              <w:rPr>
                <w:rFonts w:hint="eastAsia" w:ascii="Times New Roman" w:hAnsi="Times New Roman" w:eastAsia="宋体" w:cs="Times New Roman"/>
                <w:color w:val="auto"/>
                <w:sz w:val="24"/>
                <w:highlight w:val="none"/>
                <w:u w:val="none" w:color="auto"/>
              </w:rPr>
              <w:t>本</w:t>
            </w:r>
            <w:r>
              <w:rPr>
                <w:rFonts w:hint="eastAsia" w:ascii="Times New Roman" w:hAnsi="Times New Roman" w:eastAsia="宋体" w:cs="Times New Roman"/>
                <w:color w:val="auto"/>
                <w:sz w:val="24"/>
                <w:highlight w:val="none"/>
                <w:u w:val="none" w:color="auto"/>
                <w:lang w:val="en-US" w:eastAsia="zh-CN"/>
              </w:rPr>
              <w:t>项目评价区域地表水</w:t>
            </w:r>
            <w:r>
              <w:rPr>
                <w:rFonts w:hint="eastAsia" w:ascii="Times New Roman" w:hAnsi="Times New Roman" w:eastAsia="宋体" w:cs="Times New Roman"/>
                <w:color w:val="auto"/>
                <w:sz w:val="24"/>
                <w:highlight w:val="none"/>
                <w:u w:val="none" w:color="auto"/>
                <w:lang w:val="en-US" w:eastAsia="zh-CN"/>
              </w:rPr>
              <w:t>主要为</w:t>
            </w:r>
            <w:r>
              <w:rPr>
                <w:rFonts w:hint="default" w:ascii="Times New Roman" w:hAnsi="Times New Roman" w:eastAsia="宋体" w:cs="Times New Roman"/>
                <w:color w:val="auto"/>
                <w:sz w:val="24"/>
                <w:highlight w:val="none"/>
                <w:u w:val="none" w:color="auto"/>
                <w:lang w:val="en-US" w:eastAsia="zh-CN"/>
              </w:rPr>
              <w:t>藕池河</w:t>
            </w:r>
            <w:r>
              <w:rPr>
                <w:rFonts w:hint="eastAsia" w:ascii="Times New Roman" w:hAnsi="Times New Roman" w:eastAsia="宋体" w:cs="Times New Roman"/>
                <w:color w:val="auto"/>
                <w:sz w:val="24"/>
                <w:highlight w:val="none"/>
                <w:u w:val="none" w:color="auto"/>
                <w:lang w:val="en-US" w:eastAsia="zh-CN"/>
              </w:rPr>
              <w:t>，执行《地表水环境质量标准》(GB3838-2002)中的Ⅲ类标准</w:t>
            </w:r>
            <w:r>
              <w:rPr>
                <w:rFonts w:hint="default" w:ascii="Times New Roman" w:hAnsi="Times New Roman" w:eastAsia="宋体" w:cs="Times New Roman"/>
                <w:color w:val="auto"/>
                <w:sz w:val="24"/>
                <w:highlight w:val="none"/>
                <w:u w:val="none" w:color="auto"/>
                <w:lang w:val="en-US" w:eastAsia="zh-CN"/>
              </w:rPr>
              <w:t>。</w:t>
            </w:r>
          </w:p>
          <w:p w14:paraId="136680A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highlight w:val="none"/>
                <w:u w:val="none" w:color="auto"/>
              </w:rPr>
            </w:pPr>
          </w:p>
          <w:p w14:paraId="7608101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表</w:t>
            </w:r>
            <w:r>
              <w:rPr>
                <w:rFonts w:hint="eastAsia" w:ascii="Times New Roman" w:hAnsi="Times New Roman" w:eastAsia="宋体" w:cs="Times New Roman"/>
                <w:b/>
                <w:bCs/>
                <w:color w:val="auto"/>
                <w:highlight w:val="none"/>
                <w:u w:val="none" w:color="auto"/>
                <w:lang w:val="en-US" w:eastAsia="zh-CN"/>
              </w:rPr>
              <w:t>3-7</w:t>
            </w:r>
            <w:r>
              <w:rPr>
                <w:rFonts w:hint="default" w:ascii="Times New Roman" w:hAnsi="Times New Roman" w:eastAsia="宋体" w:cs="Times New Roman"/>
                <w:b/>
                <w:bCs/>
                <w:color w:val="auto"/>
                <w:highlight w:val="none"/>
                <w:u w:val="none" w:color="auto"/>
              </w:rPr>
              <w:t>地表水质量标准限值单位：mg/L，pH无量纲</w:t>
            </w:r>
          </w:p>
          <w:tbl>
            <w:tblPr>
              <w:tblStyle w:val="25"/>
              <w:tblW w:w="4995" w:type="pct"/>
              <w:tblInd w:w="-1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07"/>
              <w:gridCol w:w="669"/>
              <w:gridCol w:w="703"/>
              <w:gridCol w:w="867"/>
              <w:gridCol w:w="807"/>
              <w:gridCol w:w="776"/>
              <w:gridCol w:w="964"/>
              <w:gridCol w:w="1357"/>
            </w:tblGrid>
            <w:tr w14:paraId="549502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1184" w:type="pct"/>
                  <w:tcBorders>
                    <w:tl2br w:val="nil"/>
                    <w:tr2bl w:val="nil"/>
                  </w:tcBorders>
                  <w:noWrap w:val="0"/>
                  <w:vAlign w:val="center"/>
                </w:tcPr>
                <w:p w14:paraId="479496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标准</w:t>
                  </w:r>
                </w:p>
              </w:tc>
              <w:tc>
                <w:tcPr>
                  <w:tcW w:w="415" w:type="pct"/>
                  <w:tcBorders>
                    <w:tl2br w:val="nil"/>
                    <w:tr2bl w:val="nil"/>
                  </w:tcBorders>
                  <w:noWrap w:val="0"/>
                  <w:vAlign w:val="center"/>
                </w:tcPr>
                <w:p w14:paraId="46672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pH</w:t>
                  </w:r>
                </w:p>
              </w:tc>
              <w:tc>
                <w:tcPr>
                  <w:tcW w:w="436" w:type="pct"/>
                  <w:tcBorders>
                    <w:tl2br w:val="nil"/>
                    <w:tr2bl w:val="nil"/>
                  </w:tcBorders>
                  <w:noWrap w:val="0"/>
                  <w:vAlign w:val="center"/>
                </w:tcPr>
                <w:p w14:paraId="62D11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COD</w:t>
                  </w:r>
                </w:p>
              </w:tc>
              <w:tc>
                <w:tcPr>
                  <w:tcW w:w="538" w:type="pct"/>
                  <w:tcBorders>
                    <w:tl2br w:val="nil"/>
                    <w:tr2bl w:val="nil"/>
                  </w:tcBorders>
                  <w:noWrap w:val="0"/>
                  <w:vAlign w:val="center"/>
                </w:tcPr>
                <w:p w14:paraId="25D842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NH</w:t>
                  </w:r>
                  <w:r>
                    <w:rPr>
                      <w:rFonts w:hint="default" w:ascii="Times New Roman" w:hAnsi="Times New Roman" w:cs="Times New Roman"/>
                      <w:b/>
                      <w:bCs/>
                      <w:color w:val="auto"/>
                      <w:sz w:val="21"/>
                      <w:szCs w:val="21"/>
                      <w:highlight w:val="none"/>
                      <w:u w:val="none" w:color="auto"/>
                      <w:vertAlign w:val="subscript"/>
                    </w:rPr>
                    <w:t>3</w:t>
                  </w:r>
                  <w:r>
                    <w:rPr>
                      <w:rFonts w:hint="default" w:ascii="Times New Roman" w:hAnsi="Times New Roman" w:cs="Times New Roman"/>
                      <w:b/>
                      <w:bCs/>
                      <w:color w:val="auto"/>
                      <w:sz w:val="21"/>
                      <w:szCs w:val="21"/>
                      <w:highlight w:val="none"/>
                      <w:u w:val="none" w:color="auto"/>
                    </w:rPr>
                    <w:t>-N</w:t>
                  </w:r>
                </w:p>
              </w:tc>
              <w:tc>
                <w:tcPr>
                  <w:tcW w:w="501" w:type="pct"/>
                  <w:tcBorders>
                    <w:tl2br w:val="nil"/>
                    <w:tr2bl w:val="nil"/>
                  </w:tcBorders>
                  <w:noWrap w:val="0"/>
                  <w:vAlign w:val="center"/>
                </w:tcPr>
                <w:p w14:paraId="4C5E7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BOD</w:t>
                  </w:r>
                  <w:r>
                    <w:rPr>
                      <w:rFonts w:hint="default" w:ascii="Times New Roman" w:hAnsi="Times New Roman" w:cs="Times New Roman"/>
                      <w:b/>
                      <w:bCs/>
                      <w:color w:val="auto"/>
                      <w:sz w:val="21"/>
                      <w:szCs w:val="21"/>
                      <w:highlight w:val="none"/>
                      <w:u w:val="none" w:color="auto"/>
                      <w:vertAlign w:val="subscript"/>
                    </w:rPr>
                    <w:t>5</w:t>
                  </w:r>
                </w:p>
              </w:tc>
              <w:tc>
                <w:tcPr>
                  <w:tcW w:w="482" w:type="pct"/>
                  <w:tcBorders>
                    <w:tl2br w:val="nil"/>
                    <w:tr2bl w:val="nil"/>
                  </w:tcBorders>
                  <w:noWrap w:val="0"/>
                  <w:vAlign w:val="center"/>
                </w:tcPr>
                <w:p w14:paraId="207D2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总磷</w:t>
                  </w:r>
                </w:p>
              </w:tc>
              <w:tc>
                <w:tcPr>
                  <w:tcW w:w="598" w:type="pct"/>
                  <w:tcBorders>
                    <w:tl2br w:val="nil"/>
                    <w:tr2bl w:val="nil"/>
                  </w:tcBorders>
                  <w:noWrap w:val="0"/>
                  <w:vAlign w:val="center"/>
                </w:tcPr>
                <w:p w14:paraId="03219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lang w:eastAsia="zh-CN"/>
                    </w:rPr>
                  </w:pPr>
                  <w:r>
                    <w:rPr>
                      <w:rFonts w:hint="default" w:ascii="Times New Roman" w:hAnsi="Times New Roman" w:cs="Times New Roman"/>
                      <w:b/>
                      <w:bCs/>
                      <w:color w:val="auto"/>
                      <w:sz w:val="21"/>
                      <w:szCs w:val="21"/>
                      <w:highlight w:val="none"/>
                      <w:u w:val="none" w:color="auto"/>
                      <w:lang w:eastAsia="zh-CN"/>
                    </w:rPr>
                    <w:t>石油类</w:t>
                  </w:r>
                </w:p>
              </w:tc>
              <w:tc>
                <w:tcPr>
                  <w:tcW w:w="842" w:type="pct"/>
                  <w:tcBorders>
                    <w:tl2br w:val="nil"/>
                    <w:tr2bl w:val="nil"/>
                  </w:tcBorders>
                  <w:noWrap w:val="0"/>
                  <w:vAlign w:val="center"/>
                </w:tcPr>
                <w:p w14:paraId="35F17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u w:val="none" w:color="auto"/>
                      <w:lang w:eastAsia="zh-CN"/>
                    </w:rPr>
                  </w:pPr>
                  <w:r>
                    <w:rPr>
                      <w:rFonts w:hint="default" w:ascii="Times New Roman" w:hAnsi="Times New Roman" w:cs="Times New Roman"/>
                      <w:b/>
                      <w:bCs/>
                      <w:color w:val="auto"/>
                      <w:sz w:val="21"/>
                      <w:szCs w:val="21"/>
                      <w:highlight w:val="none"/>
                      <w:u w:val="none" w:color="auto"/>
                      <w:lang w:eastAsia="zh-CN"/>
                    </w:rPr>
                    <w:t>粪大肠杆菌</w:t>
                  </w:r>
                </w:p>
              </w:tc>
            </w:tr>
            <w:tr w14:paraId="172214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184" w:type="pct"/>
                  <w:tcBorders>
                    <w:tl2br w:val="nil"/>
                    <w:tr2bl w:val="nil"/>
                  </w:tcBorders>
                  <w:noWrap w:val="0"/>
                  <w:vAlign w:val="center"/>
                </w:tcPr>
                <w:p w14:paraId="5BEFF6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GB3838-2002Ⅲ类</w:t>
                  </w:r>
                </w:p>
              </w:tc>
              <w:tc>
                <w:tcPr>
                  <w:tcW w:w="415" w:type="pct"/>
                  <w:tcBorders>
                    <w:tl2br w:val="nil"/>
                    <w:tr2bl w:val="nil"/>
                  </w:tcBorders>
                  <w:noWrap w:val="0"/>
                  <w:vAlign w:val="center"/>
                </w:tcPr>
                <w:p w14:paraId="31780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6～9</w:t>
                  </w:r>
                </w:p>
              </w:tc>
              <w:tc>
                <w:tcPr>
                  <w:tcW w:w="436" w:type="pct"/>
                  <w:tcBorders>
                    <w:tl2br w:val="nil"/>
                    <w:tr2bl w:val="nil"/>
                  </w:tcBorders>
                  <w:noWrap w:val="0"/>
                  <w:vAlign w:val="center"/>
                </w:tcPr>
                <w:p w14:paraId="308C4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≤20</w:t>
                  </w:r>
                </w:p>
              </w:tc>
              <w:tc>
                <w:tcPr>
                  <w:tcW w:w="538" w:type="pct"/>
                  <w:tcBorders>
                    <w:tl2br w:val="nil"/>
                    <w:tr2bl w:val="nil"/>
                  </w:tcBorders>
                  <w:noWrap w:val="0"/>
                  <w:vAlign w:val="center"/>
                </w:tcPr>
                <w:p w14:paraId="0E938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≤1.0</w:t>
                  </w:r>
                </w:p>
              </w:tc>
              <w:tc>
                <w:tcPr>
                  <w:tcW w:w="501" w:type="pct"/>
                  <w:tcBorders>
                    <w:tl2br w:val="nil"/>
                    <w:tr2bl w:val="nil"/>
                  </w:tcBorders>
                  <w:noWrap w:val="0"/>
                  <w:vAlign w:val="center"/>
                </w:tcPr>
                <w:p w14:paraId="7CB797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≤4</w:t>
                  </w:r>
                </w:p>
              </w:tc>
              <w:tc>
                <w:tcPr>
                  <w:tcW w:w="482" w:type="pct"/>
                  <w:tcBorders>
                    <w:tl2br w:val="nil"/>
                    <w:tr2bl w:val="nil"/>
                  </w:tcBorders>
                  <w:noWrap w:val="0"/>
                  <w:vAlign w:val="center"/>
                </w:tcPr>
                <w:p w14:paraId="34A12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≤0.2</w:t>
                  </w:r>
                </w:p>
              </w:tc>
              <w:tc>
                <w:tcPr>
                  <w:tcW w:w="598" w:type="pct"/>
                  <w:tcBorders>
                    <w:tl2br w:val="nil"/>
                    <w:tr2bl w:val="nil"/>
                  </w:tcBorders>
                  <w:noWrap w:val="0"/>
                  <w:vAlign w:val="center"/>
                </w:tcPr>
                <w:p w14:paraId="01511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rPr>
                    <w:t>≤</w:t>
                  </w:r>
                  <w:r>
                    <w:rPr>
                      <w:rFonts w:hint="default" w:ascii="Times New Roman" w:hAnsi="Times New Roman" w:cs="Times New Roman"/>
                      <w:color w:val="auto"/>
                      <w:sz w:val="21"/>
                      <w:szCs w:val="21"/>
                      <w:highlight w:val="none"/>
                      <w:u w:val="none" w:color="auto"/>
                      <w:lang w:val="en-US" w:eastAsia="zh-CN"/>
                    </w:rPr>
                    <w:t>0.</w:t>
                  </w:r>
                  <w:r>
                    <w:rPr>
                      <w:rFonts w:hint="eastAsia" w:ascii="Times New Roman" w:hAnsi="Times New Roman" w:cs="Times New Roman"/>
                      <w:color w:val="auto"/>
                      <w:sz w:val="21"/>
                      <w:szCs w:val="21"/>
                      <w:highlight w:val="none"/>
                      <w:u w:val="none" w:color="auto"/>
                      <w:lang w:val="en-US" w:eastAsia="zh-CN"/>
                    </w:rPr>
                    <w:t>0</w:t>
                  </w:r>
                  <w:r>
                    <w:rPr>
                      <w:rFonts w:hint="default" w:ascii="Times New Roman" w:hAnsi="Times New Roman" w:cs="Times New Roman"/>
                      <w:color w:val="auto"/>
                      <w:sz w:val="21"/>
                      <w:szCs w:val="21"/>
                      <w:highlight w:val="none"/>
                      <w:u w:val="none" w:color="auto"/>
                      <w:lang w:val="en-US" w:eastAsia="zh-CN"/>
                    </w:rPr>
                    <w:t>5</w:t>
                  </w:r>
                </w:p>
              </w:tc>
              <w:tc>
                <w:tcPr>
                  <w:tcW w:w="842" w:type="pct"/>
                  <w:tcBorders>
                    <w:tl2br w:val="nil"/>
                    <w:tr2bl w:val="nil"/>
                  </w:tcBorders>
                  <w:noWrap w:val="0"/>
                  <w:vAlign w:val="center"/>
                </w:tcPr>
                <w:p w14:paraId="3678C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rPr>
                    <w:t>≤</w:t>
                  </w:r>
                  <w:r>
                    <w:rPr>
                      <w:rFonts w:hint="default" w:ascii="Times New Roman" w:hAnsi="Times New Roman" w:cs="Times New Roman"/>
                      <w:color w:val="auto"/>
                      <w:sz w:val="21"/>
                      <w:szCs w:val="21"/>
                      <w:highlight w:val="none"/>
                      <w:u w:val="none" w:color="auto"/>
                      <w:lang w:val="en-US" w:eastAsia="zh-CN"/>
                    </w:rPr>
                    <w:t>10000</w:t>
                  </w:r>
                </w:p>
              </w:tc>
            </w:tr>
          </w:tbl>
          <w:p w14:paraId="7BE034C5">
            <w:pPr>
              <w:pStyle w:val="8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color w:val="auto"/>
                <w:highlight w:val="none"/>
                <w:u w:val="none" w:color="auto"/>
              </w:rPr>
            </w:pPr>
            <w:r>
              <w:rPr>
                <w:rFonts w:hint="default" w:ascii="Times New Roman" w:hAnsi="Times New Roman" w:cs="Times New Roman"/>
                <w:b/>
                <w:color w:val="auto"/>
                <w:highlight w:val="none"/>
                <w:u w:val="none" w:color="auto"/>
              </w:rPr>
              <w:t>3、声环境</w:t>
            </w:r>
          </w:p>
          <w:p w14:paraId="4EC2D952">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本项目</w:t>
            </w:r>
            <w:r>
              <w:rPr>
                <w:rFonts w:hint="eastAsia" w:cs="Times New Roman"/>
                <w:color w:val="auto"/>
                <w:sz w:val="24"/>
                <w:highlight w:val="none"/>
                <w:u w:val="none" w:color="auto"/>
                <w:lang w:val="en-US" w:eastAsia="zh-CN"/>
              </w:rPr>
              <w:t>新建道路为城市道路，道路等级为支路，</w:t>
            </w:r>
            <w:r>
              <w:rPr>
                <w:rFonts w:hint="eastAsia" w:ascii="Times New Roman" w:hAnsi="Times New Roman" w:cs="Times New Roman"/>
                <w:color w:val="auto"/>
                <w:sz w:val="24"/>
                <w:highlight w:val="none"/>
                <w:u w:val="none" w:color="auto"/>
                <w:lang w:eastAsia="zh-CN"/>
              </w:rPr>
              <w:t>所在</w:t>
            </w:r>
            <w:r>
              <w:rPr>
                <w:rFonts w:hint="default" w:ascii="Times New Roman" w:hAnsi="Times New Roman" w:cs="Times New Roman"/>
                <w:color w:val="auto"/>
                <w:sz w:val="24"/>
                <w:highlight w:val="none"/>
                <w:u w:val="none" w:color="auto"/>
              </w:rPr>
              <w:t>区域执行《声环境质量标准》(GB3096-2008)</w:t>
            </w:r>
            <w:r>
              <w:rPr>
                <w:rFonts w:hint="eastAsia" w:cs="Times New Roman"/>
                <w:color w:val="auto"/>
                <w:sz w:val="24"/>
                <w:highlight w:val="none"/>
                <w:u w:val="none" w:color="auto"/>
                <w:lang w:val="en-US" w:eastAsia="zh-CN"/>
              </w:rPr>
              <w:t>2</w:t>
            </w:r>
            <w:r>
              <w:rPr>
                <w:rFonts w:hint="default" w:ascii="Times New Roman" w:hAnsi="Times New Roman" w:cs="Times New Roman"/>
                <w:color w:val="auto"/>
                <w:sz w:val="24"/>
                <w:highlight w:val="none"/>
                <w:u w:val="none" w:color="auto"/>
              </w:rPr>
              <w:t>类标准</w:t>
            </w:r>
            <w:r>
              <w:rPr>
                <w:rFonts w:hint="eastAsia"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rPr>
              <w:t>具体详见</w:t>
            </w:r>
            <w:r>
              <w:rPr>
                <w:rFonts w:hint="eastAsia" w:ascii="Times New Roman" w:hAnsi="Times New Roman" w:cs="Times New Roman"/>
                <w:color w:val="auto"/>
                <w:sz w:val="24"/>
                <w:highlight w:val="none"/>
                <w:u w:val="none" w:color="auto"/>
                <w:lang w:eastAsia="zh-CN"/>
              </w:rPr>
              <w:t>下</w:t>
            </w:r>
            <w:r>
              <w:rPr>
                <w:rFonts w:hint="default" w:ascii="Times New Roman" w:hAnsi="Times New Roman" w:cs="Times New Roman"/>
                <w:color w:val="auto"/>
                <w:sz w:val="24"/>
                <w:highlight w:val="none"/>
                <w:u w:val="none" w:color="auto"/>
              </w:rPr>
              <w:t>表</w:t>
            </w:r>
            <w:r>
              <w:rPr>
                <w:rFonts w:hint="eastAsia" w:ascii="Times New Roman" w:hAnsi="Times New Roman" w:cs="Times New Roman"/>
                <w:color w:val="auto"/>
                <w:sz w:val="24"/>
                <w:highlight w:val="none"/>
                <w:u w:val="none" w:color="auto"/>
                <w:lang w:eastAsia="zh-CN"/>
              </w:rPr>
              <w:t>：</w:t>
            </w:r>
          </w:p>
          <w:p w14:paraId="357DAA9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b/>
                <w:bCs/>
                <w:color w:val="auto"/>
                <w:szCs w:val="21"/>
                <w:highlight w:val="none"/>
                <w:u w:val="none" w:color="auto"/>
              </w:rPr>
              <w:t>表</w:t>
            </w:r>
            <w:r>
              <w:rPr>
                <w:rFonts w:hint="eastAsia" w:ascii="Times New Roman" w:hAnsi="Times New Roman" w:cs="Times New Roman"/>
                <w:b/>
                <w:bCs/>
                <w:color w:val="auto"/>
                <w:szCs w:val="21"/>
                <w:highlight w:val="none"/>
                <w:u w:val="none" w:color="auto"/>
                <w:lang w:val="en-US" w:eastAsia="zh-CN"/>
              </w:rPr>
              <w:t>3</w:t>
            </w:r>
            <w:r>
              <w:rPr>
                <w:rFonts w:hint="default" w:ascii="Times New Roman" w:hAnsi="Times New Roman" w:cs="Times New Roman"/>
                <w:b/>
                <w:bCs/>
                <w:color w:val="auto"/>
                <w:szCs w:val="21"/>
                <w:highlight w:val="none"/>
                <w:u w:val="none" w:color="auto"/>
              </w:rPr>
              <w:t>-</w:t>
            </w:r>
            <w:r>
              <w:rPr>
                <w:rFonts w:hint="eastAsia" w:ascii="Times New Roman" w:hAnsi="Times New Roman" w:cs="Times New Roman"/>
                <w:b/>
                <w:bCs/>
                <w:color w:val="auto"/>
                <w:szCs w:val="21"/>
                <w:highlight w:val="none"/>
                <w:u w:val="none" w:color="auto"/>
                <w:lang w:val="en-US" w:eastAsia="zh-CN"/>
              </w:rPr>
              <w:t>8</w:t>
            </w:r>
            <w:r>
              <w:rPr>
                <w:rFonts w:hint="default" w:ascii="Times New Roman" w:hAnsi="Times New Roman" w:cs="Times New Roman"/>
                <w:b/>
                <w:bCs/>
                <w:color w:val="auto"/>
                <w:szCs w:val="21"/>
                <w:highlight w:val="none"/>
                <w:u w:val="none" w:color="auto"/>
              </w:rPr>
              <w:t>声</w:t>
            </w:r>
            <w:r>
              <w:rPr>
                <w:rFonts w:hint="eastAsia" w:ascii="Times New Roman" w:hAnsi="Times New Roman" w:cs="Times New Roman"/>
                <w:b/>
                <w:bCs/>
                <w:color w:val="auto"/>
                <w:szCs w:val="21"/>
                <w:highlight w:val="none"/>
                <w:u w:val="none" w:color="auto"/>
                <w:lang w:eastAsia="zh-CN"/>
              </w:rPr>
              <w:t>环境质量</w:t>
            </w:r>
            <w:r>
              <w:rPr>
                <w:rFonts w:hint="default" w:ascii="Times New Roman" w:hAnsi="Times New Roman" w:cs="Times New Roman"/>
                <w:b/>
                <w:bCs/>
                <w:color w:val="auto"/>
                <w:szCs w:val="21"/>
                <w:highlight w:val="none"/>
                <w:u w:val="none" w:color="auto"/>
              </w:rPr>
              <w:t>标准</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959"/>
              <w:gridCol w:w="1900"/>
              <w:gridCol w:w="1347"/>
              <w:gridCol w:w="824"/>
              <w:gridCol w:w="963"/>
              <w:gridCol w:w="964"/>
            </w:tblGrid>
            <w:tr w14:paraId="332E2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39" w:hRule="atLeast"/>
                <w:jc w:val="center"/>
              </w:trPr>
              <w:tc>
                <w:tcPr>
                  <w:tcW w:w="1959" w:type="dxa"/>
                  <w:vMerge w:val="restart"/>
                  <w:tcBorders>
                    <w:tl2br w:val="nil"/>
                    <w:tr2bl w:val="nil"/>
                  </w:tcBorders>
                  <w:noWrap w:val="0"/>
                  <w:vAlign w:val="center"/>
                </w:tcPr>
                <w:p w14:paraId="1339F56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区域名</w:t>
                  </w:r>
                </w:p>
              </w:tc>
              <w:tc>
                <w:tcPr>
                  <w:tcW w:w="1900" w:type="dxa"/>
                  <w:vMerge w:val="restart"/>
                  <w:tcBorders>
                    <w:tl2br w:val="nil"/>
                    <w:tr2bl w:val="nil"/>
                  </w:tcBorders>
                  <w:noWrap w:val="0"/>
                  <w:vAlign w:val="center"/>
                </w:tcPr>
                <w:p w14:paraId="0DD89CF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执行标准</w:t>
                  </w:r>
                </w:p>
              </w:tc>
              <w:tc>
                <w:tcPr>
                  <w:tcW w:w="1347" w:type="dxa"/>
                  <w:vMerge w:val="restart"/>
                  <w:tcBorders>
                    <w:tl2br w:val="nil"/>
                    <w:tr2bl w:val="nil"/>
                  </w:tcBorders>
                  <w:noWrap w:val="0"/>
                  <w:vAlign w:val="center"/>
                </w:tcPr>
                <w:p w14:paraId="7D3AABF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级别</w:t>
                  </w:r>
                </w:p>
              </w:tc>
              <w:tc>
                <w:tcPr>
                  <w:tcW w:w="824" w:type="dxa"/>
                  <w:vMerge w:val="restart"/>
                  <w:tcBorders>
                    <w:tl2br w:val="nil"/>
                    <w:tr2bl w:val="nil"/>
                  </w:tcBorders>
                  <w:noWrap w:val="0"/>
                  <w:vAlign w:val="center"/>
                </w:tcPr>
                <w:p w14:paraId="5DC0873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单位</w:t>
                  </w:r>
                </w:p>
              </w:tc>
              <w:tc>
                <w:tcPr>
                  <w:tcW w:w="1927" w:type="dxa"/>
                  <w:gridSpan w:val="2"/>
                  <w:tcBorders>
                    <w:tl2br w:val="nil"/>
                    <w:tr2bl w:val="nil"/>
                  </w:tcBorders>
                  <w:noWrap w:val="0"/>
                  <w:vAlign w:val="center"/>
                </w:tcPr>
                <w:p w14:paraId="68B0226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标准限值</w:t>
                  </w:r>
                </w:p>
              </w:tc>
            </w:tr>
            <w:tr w14:paraId="57E06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1959" w:type="dxa"/>
                  <w:vMerge w:val="continue"/>
                  <w:tcBorders>
                    <w:tl2br w:val="nil"/>
                    <w:tr2bl w:val="nil"/>
                  </w:tcBorders>
                  <w:noWrap w:val="0"/>
                  <w:vAlign w:val="center"/>
                </w:tcPr>
                <w:p w14:paraId="68B3386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p>
              </w:tc>
              <w:tc>
                <w:tcPr>
                  <w:tcW w:w="1900" w:type="dxa"/>
                  <w:vMerge w:val="continue"/>
                  <w:tcBorders>
                    <w:tl2br w:val="nil"/>
                    <w:tr2bl w:val="nil"/>
                  </w:tcBorders>
                  <w:noWrap w:val="0"/>
                  <w:vAlign w:val="top"/>
                </w:tcPr>
                <w:p w14:paraId="27DC099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p>
              </w:tc>
              <w:tc>
                <w:tcPr>
                  <w:tcW w:w="1347" w:type="dxa"/>
                  <w:vMerge w:val="continue"/>
                  <w:tcBorders>
                    <w:tl2br w:val="nil"/>
                    <w:tr2bl w:val="nil"/>
                  </w:tcBorders>
                  <w:noWrap w:val="0"/>
                  <w:vAlign w:val="top"/>
                </w:tcPr>
                <w:p w14:paraId="3A79667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p>
              </w:tc>
              <w:tc>
                <w:tcPr>
                  <w:tcW w:w="824" w:type="dxa"/>
                  <w:vMerge w:val="continue"/>
                  <w:tcBorders>
                    <w:tl2br w:val="nil"/>
                    <w:tr2bl w:val="nil"/>
                  </w:tcBorders>
                  <w:noWrap w:val="0"/>
                  <w:vAlign w:val="top"/>
                </w:tcPr>
                <w:p w14:paraId="7B39053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p>
              </w:tc>
              <w:tc>
                <w:tcPr>
                  <w:tcW w:w="963" w:type="dxa"/>
                  <w:tcBorders>
                    <w:tl2br w:val="nil"/>
                    <w:tr2bl w:val="nil"/>
                  </w:tcBorders>
                  <w:noWrap w:val="0"/>
                  <w:vAlign w:val="center"/>
                </w:tcPr>
                <w:p w14:paraId="5140C987">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b/>
                      <w:bCs/>
                      <w:color w:val="auto"/>
                      <w:highlight w:val="none"/>
                      <w:u w:val="none" w:color="auto"/>
                      <w:lang w:eastAsia="zh-CN"/>
                    </w:rPr>
                  </w:pPr>
                  <w:r>
                    <w:rPr>
                      <w:rFonts w:hint="default" w:ascii="Times New Roman" w:hAnsi="Times New Roman" w:cs="Times New Roman"/>
                      <w:b/>
                      <w:bCs/>
                      <w:color w:val="auto"/>
                      <w:highlight w:val="none"/>
                      <w:u w:val="none" w:color="auto"/>
                    </w:rPr>
                    <w:t>昼</w:t>
                  </w:r>
                  <w:r>
                    <w:rPr>
                      <w:rFonts w:hint="eastAsia" w:ascii="Times New Roman" w:hAnsi="Times New Roman" w:cs="Times New Roman"/>
                      <w:b/>
                      <w:bCs/>
                      <w:color w:val="auto"/>
                      <w:highlight w:val="none"/>
                      <w:u w:val="none" w:color="auto"/>
                      <w:lang w:eastAsia="zh-CN"/>
                    </w:rPr>
                    <w:t>间</w:t>
                  </w:r>
                </w:p>
              </w:tc>
              <w:tc>
                <w:tcPr>
                  <w:tcW w:w="964" w:type="dxa"/>
                  <w:tcBorders>
                    <w:tl2br w:val="nil"/>
                    <w:tr2bl w:val="nil"/>
                  </w:tcBorders>
                  <w:noWrap w:val="0"/>
                  <w:vAlign w:val="center"/>
                </w:tcPr>
                <w:p w14:paraId="26779AB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夜</w:t>
                  </w:r>
                  <w:r>
                    <w:rPr>
                      <w:rFonts w:hint="eastAsia" w:ascii="Times New Roman" w:hAnsi="Times New Roman" w:cs="Times New Roman"/>
                      <w:b/>
                      <w:bCs/>
                      <w:color w:val="auto"/>
                      <w:highlight w:val="none"/>
                      <w:u w:val="none" w:color="auto"/>
                      <w:lang w:eastAsia="zh-CN"/>
                    </w:rPr>
                    <w:t>间</w:t>
                  </w:r>
                </w:p>
              </w:tc>
            </w:tr>
            <w:tr w14:paraId="7013E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3" w:hRule="atLeast"/>
                <w:jc w:val="center"/>
              </w:trPr>
              <w:tc>
                <w:tcPr>
                  <w:tcW w:w="1959" w:type="dxa"/>
                  <w:tcBorders>
                    <w:tl2br w:val="nil"/>
                    <w:tr2bl w:val="nil"/>
                  </w:tcBorders>
                  <w:noWrap w:val="0"/>
                  <w:vAlign w:val="center"/>
                </w:tcPr>
                <w:p w14:paraId="233B6433">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rPr>
                    <w:t>项目</w:t>
                  </w:r>
                  <w:r>
                    <w:rPr>
                      <w:rFonts w:hint="eastAsia" w:ascii="Times New Roman" w:hAnsi="Times New Roman" w:cs="Times New Roman"/>
                      <w:color w:val="auto"/>
                      <w:szCs w:val="21"/>
                      <w:highlight w:val="none"/>
                      <w:u w:val="none" w:color="auto"/>
                      <w:lang w:eastAsia="zh-CN"/>
                    </w:rPr>
                    <w:t>所在区域</w:t>
                  </w:r>
                </w:p>
              </w:tc>
              <w:tc>
                <w:tcPr>
                  <w:tcW w:w="1900" w:type="dxa"/>
                  <w:tcBorders>
                    <w:tl2br w:val="nil"/>
                    <w:tr2bl w:val="nil"/>
                  </w:tcBorders>
                  <w:noWrap w:val="0"/>
                  <w:vAlign w:val="center"/>
                </w:tcPr>
                <w:p w14:paraId="3E60CBC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《声环境质量标准》（GB3096-2008）</w:t>
                  </w:r>
                </w:p>
              </w:tc>
              <w:tc>
                <w:tcPr>
                  <w:tcW w:w="1347" w:type="dxa"/>
                  <w:tcBorders>
                    <w:tl2br w:val="nil"/>
                    <w:tr2bl w:val="nil"/>
                  </w:tcBorders>
                  <w:noWrap w:val="0"/>
                  <w:vAlign w:val="center"/>
                </w:tcPr>
                <w:p w14:paraId="48537EF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u w:val="none" w:color="auto"/>
                    </w:rPr>
                  </w:pPr>
                  <w:r>
                    <w:rPr>
                      <w:rFonts w:hint="eastAsia" w:cs="Times New Roman"/>
                      <w:color w:val="auto"/>
                      <w:szCs w:val="21"/>
                      <w:highlight w:val="none"/>
                      <w:u w:val="none" w:color="auto"/>
                      <w:lang w:val="en-US" w:eastAsia="zh-CN"/>
                    </w:rPr>
                    <w:t>2</w:t>
                  </w:r>
                  <w:r>
                    <w:rPr>
                      <w:rFonts w:hint="default" w:ascii="Times New Roman" w:hAnsi="Times New Roman" w:cs="Times New Roman"/>
                      <w:color w:val="auto"/>
                      <w:szCs w:val="21"/>
                      <w:highlight w:val="none"/>
                      <w:u w:val="none" w:color="auto"/>
                    </w:rPr>
                    <w:t>类</w:t>
                  </w:r>
                </w:p>
              </w:tc>
              <w:tc>
                <w:tcPr>
                  <w:tcW w:w="824" w:type="dxa"/>
                  <w:tcBorders>
                    <w:tl2br w:val="nil"/>
                    <w:tr2bl w:val="nil"/>
                  </w:tcBorders>
                  <w:noWrap w:val="0"/>
                  <w:vAlign w:val="center"/>
                </w:tcPr>
                <w:p w14:paraId="5929CE3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dB(A)</w:t>
                  </w:r>
                </w:p>
              </w:tc>
              <w:tc>
                <w:tcPr>
                  <w:tcW w:w="963" w:type="dxa"/>
                  <w:tcBorders>
                    <w:tl2br w:val="nil"/>
                    <w:tr2bl w:val="nil"/>
                  </w:tcBorders>
                  <w:noWrap w:val="0"/>
                  <w:vAlign w:val="center"/>
                </w:tcPr>
                <w:p w14:paraId="351DB03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u w:val="none" w:color="auto"/>
                      <w:lang w:val="en-US"/>
                    </w:rPr>
                  </w:pPr>
                  <w:r>
                    <w:rPr>
                      <w:rFonts w:hint="eastAsia" w:cs="Times New Roman"/>
                      <w:color w:val="auto"/>
                      <w:szCs w:val="21"/>
                      <w:highlight w:val="none"/>
                      <w:u w:val="none" w:color="auto"/>
                      <w:lang w:val="en-US" w:eastAsia="zh-CN"/>
                    </w:rPr>
                    <w:t>60</w:t>
                  </w:r>
                </w:p>
              </w:tc>
              <w:tc>
                <w:tcPr>
                  <w:tcW w:w="964" w:type="dxa"/>
                  <w:tcBorders>
                    <w:tl2br w:val="nil"/>
                    <w:tr2bl w:val="nil"/>
                  </w:tcBorders>
                  <w:noWrap w:val="0"/>
                  <w:vAlign w:val="center"/>
                </w:tcPr>
                <w:p w14:paraId="1ED33F2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50</w:t>
                  </w:r>
                </w:p>
              </w:tc>
            </w:tr>
          </w:tbl>
          <w:p w14:paraId="13393061">
            <w:pPr>
              <w:keepNext w:val="0"/>
              <w:keepLines w:val="0"/>
              <w:suppressLineNumbers w:val="0"/>
              <w:snapToGrid w:val="0"/>
              <w:spacing w:before="72" w:beforeLines="30" w:beforeAutospacing="0" w:after="0" w:afterAutospacing="0" w:line="360" w:lineRule="auto"/>
              <w:ind w:left="0" w:right="0"/>
              <w:rPr>
                <w:rFonts w:hint="eastAsia" w:ascii="Times New Roman" w:hAnsi="Times New Roman" w:eastAsia="宋体" w:cs="Times New Roman"/>
                <w:b/>
                <w:color w:val="auto"/>
                <w:sz w:val="24"/>
                <w:highlight w:val="none"/>
                <w:u w:val="none" w:color="auto"/>
                <w:lang w:eastAsia="zh-CN"/>
              </w:rPr>
            </w:pPr>
            <w:r>
              <w:rPr>
                <w:rFonts w:hint="eastAsia" w:ascii="Times New Roman" w:hAnsi="Times New Roman" w:cs="Times New Roman"/>
                <w:b/>
                <w:color w:val="auto"/>
                <w:sz w:val="24"/>
                <w:highlight w:val="none"/>
                <w:u w:val="none" w:color="auto"/>
                <w:lang w:eastAsia="zh-CN"/>
              </w:rPr>
              <w:t>二、污染物排放标准</w:t>
            </w:r>
          </w:p>
          <w:p w14:paraId="3BB4A8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1、废气</w:t>
            </w:r>
          </w:p>
          <w:p w14:paraId="35AE4D12">
            <w:pPr>
              <w:keepNext w:val="0"/>
              <w:keepLines w:val="0"/>
              <w:suppressLineNumbers w:val="0"/>
              <w:snapToGrid w:val="0"/>
              <w:spacing w:before="0" w:beforeAutospacing="0" w:after="0" w:afterAutospacing="0" w:line="360" w:lineRule="auto"/>
              <w:ind w:left="0" w:right="0" w:firstLine="472" w:firstLineChars="197"/>
              <w:rPr>
                <w:rFonts w:hint="eastAsia" w:ascii="Times New Roman" w:hAnsi="Times New Roman" w:eastAsia="宋体" w:cs="Times New Roman"/>
                <w:color w:val="auto"/>
                <w:sz w:val="24"/>
                <w:highlight w:val="none"/>
                <w:u w:val="none" w:color="auto"/>
                <w:lang w:eastAsia="zh-CN"/>
              </w:rPr>
            </w:pPr>
            <w:r>
              <w:rPr>
                <w:rFonts w:hint="eastAsia" w:ascii="Times New Roman" w:hAnsi="Times New Roman" w:cs="Times New Roman"/>
                <w:bCs/>
                <w:color w:val="auto"/>
                <w:sz w:val="24"/>
                <w:highlight w:val="none"/>
                <w:u w:val="none" w:color="auto"/>
                <w:lang w:eastAsia="zh-CN"/>
              </w:rPr>
              <w:t>本项目施工期</w:t>
            </w:r>
            <w:r>
              <w:rPr>
                <w:rFonts w:hint="default" w:ascii="Times New Roman" w:hAnsi="Times New Roman" w:cs="Times New Roman"/>
                <w:bCs/>
                <w:color w:val="auto"/>
                <w:sz w:val="24"/>
                <w:highlight w:val="none"/>
                <w:u w:val="none" w:color="auto"/>
              </w:rPr>
              <w:t>废气</w:t>
            </w:r>
            <w:r>
              <w:rPr>
                <w:rFonts w:hint="default" w:ascii="Times New Roman" w:hAnsi="Times New Roman" w:cs="Times New Roman"/>
                <w:color w:val="auto"/>
                <w:sz w:val="24"/>
                <w:highlight w:val="none"/>
                <w:u w:val="none" w:color="auto"/>
              </w:rPr>
              <w:t>执行《大气污染物综合排放标准》(GB16297-1996)表2无组织排放监控浓度标准限值</w:t>
            </w:r>
            <w:r>
              <w:rPr>
                <w:rFonts w:hint="eastAsia" w:ascii="Times New Roman" w:hAnsi="Times New Roman" w:cs="Times New Roman"/>
                <w:color w:val="auto"/>
                <w:sz w:val="24"/>
                <w:highlight w:val="none"/>
                <w:u w:val="none" w:color="auto"/>
                <w:lang w:eastAsia="zh-CN"/>
              </w:rPr>
              <w:t>；</w:t>
            </w:r>
            <w:r>
              <w:rPr>
                <w:rFonts w:hint="eastAsia" w:ascii="Times New Roman" w:hAnsi="Times New Roman" w:cs="Times New Roman"/>
                <w:color w:val="auto"/>
                <w:sz w:val="24"/>
                <w:highlight w:val="none"/>
                <w:u w:val="none" w:color="auto"/>
                <w:lang w:val="en-US" w:eastAsia="zh-CN"/>
              </w:rPr>
              <w:t>主要污染物评价标准</w:t>
            </w:r>
            <w:r>
              <w:rPr>
                <w:rFonts w:hint="default" w:ascii="Times New Roman" w:hAnsi="Times New Roman" w:cs="Times New Roman"/>
                <w:color w:val="auto"/>
                <w:sz w:val="24"/>
                <w:highlight w:val="none"/>
                <w:u w:val="none" w:color="auto"/>
              </w:rPr>
              <w:t>详见</w:t>
            </w:r>
            <w:r>
              <w:rPr>
                <w:rFonts w:hint="eastAsia" w:ascii="Times New Roman" w:hAnsi="Times New Roman" w:cs="Times New Roman"/>
                <w:color w:val="auto"/>
                <w:sz w:val="24"/>
                <w:highlight w:val="none"/>
                <w:u w:val="none" w:color="auto"/>
                <w:lang w:eastAsia="zh-CN"/>
              </w:rPr>
              <w:t>下</w:t>
            </w:r>
            <w:r>
              <w:rPr>
                <w:rFonts w:hint="default" w:ascii="Times New Roman" w:hAnsi="Times New Roman" w:cs="Times New Roman"/>
                <w:color w:val="auto"/>
                <w:sz w:val="24"/>
                <w:highlight w:val="none"/>
                <w:u w:val="none" w:color="auto"/>
              </w:rPr>
              <w:t>表</w:t>
            </w:r>
            <w:r>
              <w:rPr>
                <w:rFonts w:hint="eastAsia" w:ascii="Times New Roman" w:hAnsi="Times New Roman" w:cs="Times New Roman"/>
                <w:color w:val="auto"/>
                <w:sz w:val="24"/>
                <w:highlight w:val="none"/>
                <w:u w:val="none" w:color="auto"/>
                <w:lang w:eastAsia="zh-CN"/>
              </w:rPr>
              <w:t>：</w:t>
            </w:r>
          </w:p>
          <w:p w14:paraId="7929385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u w:val="none" w:color="auto"/>
                <w:lang w:eastAsia="zh-CN"/>
              </w:rPr>
            </w:pPr>
            <w:r>
              <w:rPr>
                <w:rFonts w:hint="default" w:ascii="Times New Roman" w:hAnsi="Times New Roman" w:eastAsia="宋体" w:cs="Times New Roman"/>
                <w:b/>
                <w:bCs/>
                <w:color w:val="auto"/>
                <w:szCs w:val="21"/>
                <w:highlight w:val="none"/>
                <w:u w:val="none" w:color="auto"/>
                <w:lang w:eastAsia="zh-CN"/>
              </w:rPr>
              <w:t>表</w:t>
            </w:r>
            <w:r>
              <w:rPr>
                <w:rFonts w:hint="eastAsia" w:ascii="Times New Roman" w:hAnsi="Times New Roman" w:eastAsia="宋体" w:cs="Times New Roman"/>
                <w:b/>
                <w:bCs/>
                <w:color w:val="auto"/>
                <w:szCs w:val="21"/>
                <w:highlight w:val="none"/>
                <w:u w:val="none" w:color="auto"/>
                <w:lang w:val="en-US" w:eastAsia="zh-CN"/>
              </w:rPr>
              <w:t>3</w:t>
            </w:r>
            <w:r>
              <w:rPr>
                <w:rFonts w:hint="default" w:ascii="Times New Roman" w:hAnsi="Times New Roman" w:eastAsia="宋体" w:cs="Times New Roman"/>
                <w:b/>
                <w:bCs/>
                <w:color w:val="auto"/>
                <w:szCs w:val="21"/>
                <w:highlight w:val="none"/>
                <w:u w:val="none" w:color="auto"/>
                <w:lang w:eastAsia="zh-CN"/>
              </w:rPr>
              <w:t>-</w:t>
            </w:r>
            <w:r>
              <w:rPr>
                <w:rFonts w:hint="eastAsia" w:ascii="Times New Roman" w:hAnsi="Times New Roman" w:eastAsia="宋体" w:cs="Times New Roman"/>
                <w:b/>
                <w:bCs/>
                <w:color w:val="auto"/>
                <w:szCs w:val="21"/>
                <w:highlight w:val="none"/>
                <w:u w:val="none" w:color="auto"/>
                <w:lang w:val="en-US" w:eastAsia="zh-CN"/>
              </w:rPr>
              <w:t>9</w:t>
            </w:r>
            <w:r>
              <w:rPr>
                <w:rFonts w:hint="default" w:ascii="Times New Roman" w:hAnsi="Times New Roman" w:eastAsia="宋体" w:cs="Times New Roman"/>
                <w:b/>
                <w:bCs/>
                <w:color w:val="auto"/>
                <w:szCs w:val="21"/>
                <w:highlight w:val="none"/>
                <w:u w:val="none" w:color="auto"/>
                <w:lang w:eastAsia="zh-CN"/>
              </w:rPr>
              <w:t>《大气污染物综合排放标准》(GB16297-1996)表2标准</w:t>
            </w:r>
          </w:p>
          <w:tbl>
            <w:tblPr>
              <w:tblStyle w:val="25"/>
              <w:tblW w:w="78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9" w:type="dxa"/>
                <w:bottom w:w="0" w:type="dxa"/>
                <w:right w:w="79" w:type="dxa"/>
              </w:tblCellMar>
            </w:tblPr>
            <w:tblGrid>
              <w:gridCol w:w="2707"/>
              <w:gridCol w:w="5192"/>
            </w:tblGrid>
            <w:tr w14:paraId="1C79B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9" w:type="dxa"/>
                  <w:bottom w:w="0" w:type="dxa"/>
                  <w:right w:w="79" w:type="dxa"/>
                </w:tblCellMar>
              </w:tblPrEx>
              <w:trPr>
                <w:trHeight w:val="283" w:hRule="atLeast"/>
                <w:jc w:val="center"/>
              </w:trPr>
              <w:tc>
                <w:tcPr>
                  <w:tcW w:w="2707" w:type="dxa"/>
                  <w:tcBorders>
                    <w:tl2br w:val="nil"/>
                    <w:tr2bl w:val="nil"/>
                  </w:tcBorders>
                  <w:noWrap w:val="0"/>
                  <w:vAlign w:val="center"/>
                </w:tcPr>
                <w:p w14:paraId="6CA3A80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污染物名称</w:t>
                  </w:r>
                </w:p>
              </w:tc>
              <w:tc>
                <w:tcPr>
                  <w:tcW w:w="5192" w:type="dxa"/>
                  <w:tcBorders>
                    <w:tl2br w:val="nil"/>
                    <w:tr2bl w:val="nil"/>
                  </w:tcBorders>
                  <w:noWrap w:val="0"/>
                  <w:vAlign w:val="center"/>
                </w:tcPr>
                <w:p w14:paraId="7E5B429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无组织排放监控浓度</w:t>
                  </w:r>
                </w:p>
              </w:tc>
            </w:tr>
            <w:tr w14:paraId="20C48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9" w:type="dxa"/>
                  <w:bottom w:w="0" w:type="dxa"/>
                  <w:right w:w="79" w:type="dxa"/>
                </w:tblCellMar>
              </w:tblPrEx>
              <w:trPr>
                <w:trHeight w:val="283" w:hRule="atLeast"/>
                <w:jc w:val="center"/>
              </w:trPr>
              <w:tc>
                <w:tcPr>
                  <w:tcW w:w="2707" w:type="dxa"/>
                  <w:tcBorders>
                    <w:tl2br w:val="nil"/>
                    <w:tr2bl w:val="nil"/>
                  </w:tcBorders>
                  <w:noWrap w:val="0"/>
                  <w:vAlign w:val="center"/>
                </w:tcPr>
                <w:p w14:paraId="057ABD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颗粒物</w:t>
                  </w:r>
                </w:p>
              </w:tc>
              <w:tc>
                <w:tcPr>
                  <w:tcW w:w="5192" w:type="dxa"/>
                  <w:tcBorders>
                    <w:tl2br w:val="nil"/>
                    <w:tr2bl w:val="nil"/>
                  </w:tcBorders>
                  <w:noWrap w:val="0"/>
                  <w:vAlign w:val="center"/>
                </w:tcPr>
                <w:p w14:paraId="27011FE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1.0</w:t>
                  </w:r>
                  <w:r>
                    <w:rPr>
                      <w:rFonts w:hint="default" w:ascii="Times New Roman" w:hAnsi="Times New Roman" w:cs="Times New Roman"/>
                      <w:color w:val="auto"/>
                      <w:kern w:val="0"/>
                      <w:sz w:val="21"/>
                      <w:szCs w:val="21"/>
                      <w:highlight w:val="none"/>
                      <w:u w:val="none" w:color="auto"/>
                    </w:rPr>
                    <w:t>mg/m</w:t>
                  </w:r>
                  <w:r>
                    <w:rPr>
                      <w:rFonts w:hint="default" w:ascii="Times New Roman" w:hAnsi="Times New Roman" w:cs="Times New Roman"/>
                      <w:color w:val="auto"/>
                      <w:kern w:val="0"/>
                      <w:sz w:val="21"/>
                      <w:szCs w:val="21"/>
                      <w:highlight w:val="none"/>
                      <w:u w:val="none" w:color="auto"/>
                      <w:vertAlign w:val="superscript"/>
                    </w:rPr>
                    <w:t>3</w:t>
                  </w:r>
                </w:p>
              </w:tc>
            </w:tr>
            <w:tr w14:paraId="656BF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9" w:type="dxa"/>
                  <w:bottom w:w="0" w:type="dxa"/>
                  <w:right w:w="79" w:type="dxa"/>
                </w:tblCellMar>
              </w:tblPrEx>
              <w:trPr>
                <w:trHeight w:val="283" w:hRule="atLeast"/>
                <w:jc w:val="center"/>
              </w:trPr>
              <w:tc>
                <w:tcPr>
                  <w:tcW w:w="2707" w:type="dxa"/>
                  <w:tcBorders>
                    <w:tl2br w:val="nil"/>
                    <w:tr2bl w:val="nil"/>
                  </w:tcBorders>
                  <w:noWrap w:val="0"/>
                  <w:vAlign w:val="center"/>
                </w:tcPr>
                <w:p w14:paraId="357A722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u w:val="none" w:color="auto"/>
                      <w:lang w:eastAsia="zh-CN"/>
                    </w:rPr>
                  </w:pPr>
                  <w:r>
                    <w:rPr>
                      <w:rFonts w:hint="eastAsia" w:cs="Times New Roman"/>
                      <w:color w:val="auto"/>
                      <w:sz w:val="21"/>
                      <w:szCs w:val="21"/>
                      <w:highlight w:val="none"/>
                      <w:u w:val="none" w:color="auto"/>
                      <w:lang w:eastAsia="zh-CN"/>
                    </w:rPr>
                    <w:t>沥青烟</w:t>
                  </w:r>
                </w:p>
              </w:tc>
              <w:tc>
                <w:tcPr>
                  <w:tcW w:w="5192" w:type="dxa"/>
                  <w:tcBorders>
                    <w:tl2br w:val="nil"/>
                    <w:tr2bl w:val="nil"/>
                  </w:tcBorders>
                  <w:noWrap w:val="0"/>
                  <w:vAlign w:val="center"/>
                </w:tcPr>
                <w:p w14:paraId="43D796D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生产设备不得有明显的无组织排放存在</w:t>
                  </w:r>
                </w:p>
              </w:tc>
            </w:tr>
          </w:tbl>
          <w:p w14:paraId="6D7D5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2、废水</w:t>
            </w:r>
          </w:p>
          <w:p w14:paraId="540351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u w:val="none" w:color="auto"/>
                <w:lang w:eastAsia="zh-CN"/>
              </w:rPr>
            </w:pPr>
            <w:r>
              <w:rPr>
                <w:rFonts w:hint="eastAsia" w:ascii="Times New Roman" w:hAnsi="Times New Roman" w:eastAsia="宋体" w:cs="Times New Roman"/>
                <w:bCs/>
                <w:color w:val="auto"/>
                <w:sz w:val="24"/>
                <w:highlight w:val="none"/>
                <w:u w:val="none" w:color="auto"/>
                <w:lang w:eastAsia="zh-CN"/>
              </w:rPr>
              <w:t>本项目施工期施工废水经沉淀池处理后回用，不外排；</w:t>
            </w:r>
          </w:p>
          <w:p w14:paraId="646663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3、噪声</w:t>
            </w:r>
          </w:p>
          <w:p w14:paraId="0B7761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highlight w:val="none"/>
                <w:u w:val="none" w:color="auto"/>
                <w:lang w:eastAsia="zh-CN"/>
              </w:rPr>
            </w:pPr>
            <w:r>
              <w:rPr>
                <w:rFonts w:hint="eastAsia" w:ascii="Times New Roman" w:hAnsi="Times New Roman" w:eastAsia="宋体" w:cs="Times New Roman"/>
                <w:bCs/>
                <w:color w:val="auto"/>
                <w:sz w:val="24"/>
                <w:highlight w:val="none"/>
                <w:u w:val="none" w:color="auto"/>
                <w:lang w:eastAsia="zh-CN"/>
              </w:rPr>
              <w:t>本项目施工期噪声</w:t>
            </w:r>
            <w:r>
              <w:rPr>
                <w:rFonts w:hint="default" w:ascii="Times New Roman" w:hAnsi="Times New Roman" w:eastAsia="宋体" w:cs="Times New Roman"/>
                <w:bCs/>
                <w:color w:val="auto"/>
                <w:sz w:val="24"/>
                <w:highlight w:val="none"/>
                <w:u w:val="none" w:color="auto"/>
                <w:lang w:eastAsia="zh-CN"/>
              </w:rPr>
              <w:t>执行《</w:t>
            </w:r>
            <w:r>
              <w:rPr>
                <w:rFonts w:hint="eastAsia" w:ascii="Times New Roman" w:hAnsi="Times New Roman" w:eastAsia="宋体" w:cs="Times New Roman"/>
                <w:bCs/>
                <w:color w:val="auto"/>
                <w:sz w:val="24"/>
                <w:highlight w:val="none"/>
                <w:u w:val="none" w:color="auto"/>
                <w:lang w:eastAsia="zh-CN"/>
              </w:rPr>
              <w:t>建筑施工噪声排放标准</w:t>
            </w:r>
            <w:r>
              <w:rPr>
                <w:rFonts w:hint="default" w:ascii="Times New Roman" w:hAnsi="Times New Roman" w:eastAsia="宋体" w:cs="Times New Roman"/>
                <w:bCs/>
                <w:color w:val="auto"/>
                <w:sz w:val="24"/>
                <w:highlight w:val="none"/>
                <w:u w:val="none" w:color="auto"/>
                <w:lang w:eastAsia="zh-CN"/>
              </w:rPr>
              <w:t>》（</w:t>
            </w:r>
            <w:r>
              <w:rPr>
                <w:rFonts w:hint="default" w:ascii="Times New Roman" w:hAnsi="Times New Roman" w:eastAsia="宋体" w:cs="Times New Roman"/>
                <w:bCs/>
                <w:color w:val="auto"/>
                <w:sz w:val="24"/>
                <w:highlight w:val="none"/>
                <w:u w:val="none" w:color="auto"/>
                <w:lang w:eastAsia="zh-CN"/>
              </w:rPr>
              <w:t>GB12523-20</w:t>
            </w:r>
            <w:r>
              <w:rPr>
                <w:rFonts w:hint="eastAsia" w:ascii="Times New Roman" w:hAnsi="Times New Roman" w:eastAsia="宋体" w:cs="Times New Roman"/>
                <w:bCs/>
                <w:color w:val="auto"/>
                <w:sz w:val="24"/>
                <w:highlight w:val="none"/>
                <w:u w:val="none" w:color="auto"/>
                <w:lang w:val="en-US" w:eastAsia="zh-CN"/>
              </w:rPr>
              <w:t>25</w:t>
            </w:r>
            <w:r>
              <w:rPr>
                <w:rFonts w:hint="default" w:ascii="Times New Roman" w:hAnsi="Times New Roman" w:eastAsia="宋体" w:cs="Times New Roman"/>
                <w:bCs/>
                <w:color w:val="auto"/>
                <w:sz w:val="24"/>
                <w:highlight w:val="none"/>
                <w:u w:val="none" w:color="auto"/>
                <w:lang w:eastAsia="zh-CN"/>
              </w:rPr>
              <w:t>）</w:t>
            </w:r>
            <w:r>
              <w:rPr>
                <w:rFonts w:hint="eastAsia" w:ascii="Times New Roman" w:hAnsi="Times New Roman" w:eastAsia="宋体" w:cs="Times New Roman"/>
                <w:bCs/>
                <w:color w:val="auto"/>
                <w:sz w:val="24"/>
                <w:highlight w:val="none"/>
                <w:u w:val="none" w:color="auto"/>
                <w:lang w:eastAsia="zh-CN"/>
              </w:rPr>
              <w:t>；</w:t>
            </w:r>
            <w:r>
              <w:rPr>
                <w:rFonts w:hint="default" w:ascii="Times New Roman" w:hAnsi="Times New Roman" w:eastAsia="宋体" w:cs="Times New Roman"/>
                <w:bCs/>
                <w:color w:val="auto"/>
                <w:sz w:val="24"/>
                <w:highlight w:val="none"/>
                <w:u w:val="none" w:color="auto"/>
                <w:lang w:eastAsia="zh-CN"/>
              </w:rPr>
              <w:t>具体详见</w:t>
            </w:r>
            <w:r>
              <w:rPr>
                <w:rFonts w:hint="eastAsia" w:ascii="Times New Roman" w:hAnsi="Times New Roman" w:eastAsia="宋体" w:cs="Times New Roman"/>
                <w:bCs/>
                <w:color w:val="auto"/>
                <w:sz w:val="24"/>
                <w:highlight w:val="none"/>
                <w:u w:val="none" w:color="auto"/>
                <w:lang w:eastAsia="zh-CN"/>
              </w:rPr>
              <w:t>下</w:t>
            </w:r>
            <w:r>
              <w:rPr>
                <w:rFonts w:hint="default" w:ascii="Times New Roman" w:hAnsi="Times New Roman" w:eastAsia="宋体" w:cs="Times New Roman"/>
                <w:bCs/>
                <w:color w:val="auto"/>
                <w:sz w:val="24"/>
                <w:highlight w:val="none"/>
                <w:u w:val="none" w:color="auto"/>
                <w:lang w:eastAsia="zh-CN"/>
              </w:rPr>
              <w:t>表</w:t>
            </w:r>
            <w:r>
              <w:rPr>
                <w:rFonts w:hint="eastAsia" w:ascii="Times New Roman" w:hAnsi="Times New Roman" w:eastAsia="宋体" w:cs="Times New Roman"/>
                <w:bCs/>
                <w:color w:val="auto"/>
                <w:sz w:val="24"/>
                <w:highlight w:val="none"/>
                <w:u w:val="none" w:color="auto"/>
                <w:lang w:eastAsia="zh-CN"/>
              </w:rPr>
              <w:t>：</w:t>
            </w:r>
          </w:p>
          <w:p w14:paraId="174B494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u w:val="none" w:color="auto"/>
                <w:lang w:val="en-US" w:eastAsia="zh-CN"/>
              </w:rPr>
            </w:pPr>
            <w:r>
              <w:rPr>
                <w:rFonts w:hint="default" w:ascii="Times New Roman" w:hAnsi="Times New Roman" w:eastAsia="宋体" w:cs="Times New Roman"/>
                <w:b/>
                <w:bCs/>
                <w:color w:val="auto"/>
                <w:szCs w:val="21"/>
                <w:highlight w:val="none"/>
                <w:u w:val="none" w:color="auto"/>
                <w:lang w:val="en-US" w:eastAsia="zh-CN"/>
              </w:rPr>
              <w:t>表</w:t>
            </w:r>
            <w:r>
              <w:rPr>
                <w:rFonts w:hint="eastAsia" w:ascii="Times New Roman" w:hAnsi="Times New Roman" w:eastAsia="宋体" w:cs="Times New Roman"/>
                <w:b/>
                <w:bCs/>
                <w:color w:val="auto"/>
                <w:szCs w:val="21"/>
                <w:highlight w:val="none"/>
                <w:u w:val="none" w:color="auto"/>
                <w:lang w:val="en-US" w:eastAsia="zh-CN"/>
              </w:rPr>
              <w:t>3</w:t>
            </w:r>
            <w:r>
              <w:rPr>
                <w:rFonts w:hint="default" w:ascii="Times New Roman" w:hAnsi="Times New Roman" w:eastAsia="宋体" w:cs="Times New Roman"/>
                <w:b/>
                <w:bCs/>
                <w:color w:val="auto"/>
                <w:szCs w:val="21"/>
                <w:highlight w:val="none"/>
                <w:u w:val="none" w:color="auto"/>
                <w:lang w:val="en-US" w:eastAsia="zh-CN"/>
              </w:rPr>
              <w:t>-</w:t>
            </w:r>
            <w:r>
              <w:rPr>
                <w:rFonts w:hint="eastAsia" w:ascii="Times New Roman" w:hAnsi="Times New Roman" w:eastAsia="宋体" w:cs="Times New Roman"/>
                <w:b/>
                <w:bCs/>
                <w:color w:val="auto"/>
                <w:szCs w:val="21"/>
                <w:highlight w:val="none"/>
                <w:u w:val="none" w:color="auto"/>
                <w:lang w:val="en-US" w:eastAsia="zh-CN"/>
              </w:rPr>
              <w:t>1</w:t>
            </w:r>
            <w:r>
              <w:rPr>
                <w:rFonts w:hint="eastAsia" w:cs="Times New Roman"/>
                <w:b/>
                <w:bCs/>
                <w:color w:val="auto"/>
                <w:szCs w:val="21"/>
                <w:highlight w:val="none"/>
                <w:u w:val="none" w:color="auto"/>
                <w:lang w:val="en-US" w:eastAsia="zh-CN"/>
              </w:rPr>
              <w:t>0</w:t>
            </w:r>
            <w:r>
              <w:rPr>
                <w:rFonts w:hint="default" w:ascii="Times New Roman" w:hAnsi="Times New Roman" w:eastAsia="宋体" w:cs="Times New Roman"/>
                <w:b/>
                <w:bCs/>
                <w:color w:val="auto"/>
                <w:szCs w:val="21"/>
                <w:highlight w:val="none"/>
                <w:u w:val="none" w:color="auto"/>
                <w:lang w:val="en-US" w:eastAsia="zh-CN"/>
              </w:rPr>
              <w:t>噪声排放标准</w:t>
            </w:r>
          </w:p>
          <w:tbl>
            <w:tblPr>
              <w:tblStyle w:val="25"/>
              <w:tblW w:w="80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235"/>
              <w:gridCol w:w="1600"/>
              <w:gridCol w:w="1600"/>
              <w:gridCol w:w="3583"/>
            </w:tblGrid>
            <w:tr w14:paraId="32797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52" w:hRule="atLeast"/>
                <w:jc w:val="center"/>
              </w:trPr>
              <w:tc>
                <w:tcPr>
                  <w:tcW w:w="1235" w:type="dxa"/>
                  <w:tcBorders>
                    <w:tl2br w:val="nil"/>
                    <w:tr2bl w:val="nil"/>
                  </w:tcBorders>
                  <w:noWrap w:val="0"/>
                  <w:vAlign w:val="center"/>
                </w:tcPr>
                <w:p w14:paraId="69D14AD9">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b/>
                      <w:bCs/>
                      <w:color w:val="auto"/>
                      <w:sz w:val="21"/>
                      <w:szCs w:val="21"/>
                      <w:highlight w:val="none"/>
                      <w:u w:val="none" w:color="auto"/>
                    </w:rPr>
                  </w:pPr>
                  <w:r>
                    <w:rPr>
                      <w:rFonts w:hint="eastAsia"/>
                      <w:b/>
                      <w:bCs/>
                      <w:color w:val="auto"/>
                      <w:sz w:val="21"/>
                      <w:szCs w:val="21"/>
                      <w:highlight w:val="none"/>
                      <w:u w:val="none" w:color="auto"/>
                    </w:rPr>
                    <w:t>污染</w:t>
                  </w:r>
                  <w:r>
                    <w:rPr>
                      <w:rFonts w:hint="default"/>
                      <w:b/>
                      <w:bCs/>
                      <w:color w:val="auto"/>
                      <w:sz w:val="21"/>
                      <w:szCs w:val="21"/>
                      <w:highlight w:val="none"/>
                      <w:u w:val="none" w:color="auto"/>
                    </w:rPr>
                    <w:t>因子</w:t>
                  </w:r>
                </w:p>
              </w:tc>
              <w:tc>
                <w:tcPr>
                  <w:tcW w:w="3200" w:type="dxa"/>
                  <w:gridSpan w:val="2"/>
                  <w:tcBorders>
                    <w:tl2br w:val="nil"/>
                    <w:tr2bl w:val="nil"/>
                  </w:tcBorders>
                  <w:noWrap w:val="0"/>
                  <w:vAlign w:val="center"/>
                </w:tcPr>
                <w:p w14:paraId="4AE0C2C2">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b/>
                      <w:bCs/>
                      <w:color w:val="auto"/>
                      <w:sz w:val="21"/>
                      <w:szCs w:val="21"/>
                      <w:highlight w:val="none"/>
                      <w:u w:val="none" w:color="auto"/>
                    </w:rPr>
                  </w:pPr>
                  <w:r>
                    <w:rPr>
                      <w:rFonts w:hint="eastAsia"/>
                      <w:b/>
                      <w:bCs/>
                      <w:color w:val="auto"/>
                      <w:sz w:val="21"/>
                      <w:szCs w:val="21"/>
                      <w:highlight w:val="none"/>
                      <w:u w:val="none" w:color="auto"/>
                      <w:lang w:eastAsia="zh-CN"/>
                    </w:rPr>
                    <w:t>标准</w:t>
                  </w:r>
                  <w:r>
                    <w:rPr>
                      <w:rFonts w:hint="default"/>
                      <w:b/>
                      <w:bCs/>
                      <w:color w:val="auto"/>
                      <w:sz w:val="21"/>
                      <w:szCs w:val="21"/>
                      <w:highlight w:val="none"/>
                      <w:u w:val="none" w:color="auto"/>
                    </w:rPr>
                    <w:t>限值</w:t>
                  </w:r>
                  <w:r>
                    <w:rPr>
                      <w:rFonts w:hint="eastAsia"/>
                      <w:b/>
                      <w:bCs/>
                      <w:color w:val="auto"/>
                      <w:sz w:val="21"/>
                      <w:szCs w:val="21"/>
                      <w:highlight w:val="none"/>
                      <w:u w:val="none" w:color="auto"/>
                      <w:lang w:val="en-US" w:eastAsia="zh-CN"/>
                    </w:rPr>
                    <w:t>/</w:t>
                  </w:r>
                  <w:r>
                    <w:rPr>
                      <w:rFonts w:hint="eastAsia"/>
                      <w:b/>
                      <w:bCs/>
                      <w:color w:val="auto"/>
                      <w:sz w:val="21"/>
                      <w:szCs w:val="21"/>
                      <w:highlight w:val="none"/>
                      <w:u w:val="none" w:color="auto"/>
                    </w:rPr>
                    <w:t>dB(A)</w:t>
                  </w:r>
                </w:p>
              </w:tc>
              <w:tc>
                <w:tcPr>
                  <w:tcW w:w="3583" w:type="dxa"/>
                  <w:tcBorders>
                    <w:tl2br w:val="nil"/>
                    <w:tr2bl w:val="nil"/>
                  </w:tcBorders>
                  <w:noWrap w:val="0"/>
                  <w:vAlign w:val="center"/>
                </w:tcPr>
                <w:p w14:paraId="66B5627E">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eastAsia="宋体"/>
                      <w:b/>
                      <w:bCs/>
                      <w:color w:val="auto"/>
                      <w:sz w:val="21"/>
                      <w:szCs w:val="21"/>
                      <w:highlight w:val="none"/>
                      <w:u w:val="none" w:color="auto"/>
                      <w:lang w:eastAsia="zh-CN"/>
                    </w:rPr>
                  </w:pPr>
                  <w:r>
                    <w:rPr>
                      <w:rFonts w:hint="default"/>
                      <w:b/>
                      <w:bCs/>
                      <w:color w:val="auto"/>
                      <w:sz w:val="21"/>
                      <w:szCs w:val="21"/>
                      <w:highlight w:val="none"/>
                      <w:u w:val="none" w:color="auto"/>
                    </w:rPr>
                    <w:t>标准</w:t>
                  </w:r>
                  <w:r>
                    <w:rPr>
                      <w:rFonts w:hint="eastAsia"/>
                      <w:b/>
                      <w:bCs/>
                      <w:color w:val="auto"/>
                      <w:sz w:val="21"/>
                      <w:szCs w:val="21"/>
                      <w:highlight w:val="none"/>
                      <w:u w:val="none" w:color="auto"/>
                      <w:lang w:eastAsia="zh-CN"/>
                    </w:rPr>
                    <w:t>来源</w:t>
                  </w:r>
                </w:p>
              </w:tc>
            </w:tr>
            <w:tr w14:paraId="57FA36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07" w:hRule="atLeast"/>
                <w:jc w:val="center"/>
              </w:trPr>
              <w:tc>
                <w:tcPr>
                  <w:tcW w:w="1235" w:type="dxa"/>
                  <w:vMerge w:val="restart"/>
                  <w:tcBorders>
                    <w:tl2br w:val="nil"/>
                    <w:tr2bl w:val="nil"/>
                  </w:tcBorders>
                  <w:noWrap w:val="0"/>
                  <w:vAlign w:val="center"/>
                </w:tcPr>
                <w:p w14:paraId="6FF40F16">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color w:val="auto"/>
                      <w:sz w:val="21"/>
                      <w:szCs w:val="21"/>
                      <w:highlight w:val="none"/>
                      <w:u w:val="none" w:color="auto"/>
                    </w:rPr>
                  </w:pPr>
                  <w:r>
                    <w:rPr>
                      <w:rFonts w:hint="eastAsia"/>
                      <w:color w:val="auto"/>
                      <w:sz w:val="21"/>
                      <w:szCs w:val="21"/>
                      <w:highlight w:val="none"/>
                      <w:u w:val="none" w:color="auto"/>
                    </w:rPr>
                    <w:t>Leq(A)</w:t>
                  </w:r>
                </w:p>
              </w:tc>
              <w:tc>
                <w:tcPr>
                  <w:tcW w:w="1600" w:type="dxa"/>
                  <w:tcBorders>
                    <w:tl2br w:val="nil"/>
                    <w:tr2bl w:val="nil"/>
                  </w:tcBorders>
                  <w:noWrap w:val="0"/>
                  <w:vAlign w:val="center"/>
                </w:tcPr>
                <w:p w14:paraId="3DA8896F">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color w:val="auto"/>
                      <w:sz w:val="21"/>
                      <w:szCs w:val="21"/>
                      <w:highlight w:val="none"/>
                      <w:u w:val="none" w:color="auto"/>
                    </w:rPr>
                  </w:pPr>
                  <w:r>
                    <w:rPr>
                      <w:rFonts w:hint="eastAsia"/>
                      <w:color w:val="auto"/>
                      <w:sz w:val="21"/>
                      <w:szCs w:val="21"/>
                      <w:highlight w:val="none"/>
                      <w:u w:val="none" w:color="auto"/>
                    </w:rPr>
                    <w:t>昼间</w:t>
                  </w:r>
                </w:p>
              </w:tc>
              <w:tc>
                <w:tcPr>
                  <w:tcW w:w="1600" w:type="dxa"/>
                  <w:tcBorders>
                    <w:tl2br w:val="nil"/>
                    <w:tr2bl w:val="nil"/>
                  </w:tcBorders>
                  <w:noWrap w:val="0"/>
                  <w:vAlign w:val="center"/>
                </w:tcPr>
                <w:p w14:paraId="0F7638EB">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宋体"/>
                      <w:color w:val="auto"/>
                      <w:sz w:val="21"/>
                      <w:szCs w:val="21"/>
                      <w:highlight w:val="none"/>
                      <w:u w:val="none" w:color="auto"/>
                      <w:lang w:val="en-US" w:eastAsia="zh-CN"/>
                    </w:rPr>
                  </w:pPr>
                  <w:r>
                    <w:rPr>
                      <w:rFonts w:hint="eastAsia"/>
                      <w:color w:val="auto"/>
                      <w:sz w:val="21"/>
                      <w:szCs w:val="21"/>
                      <w:highlight w:val="none"/>
                      <w:u w:val="none" w:color="auto"/>
                      <w:lang w:val="en-US" w:eastAsia="zh-CN"/>
                    </w:rPr>
                    <w:t>70</w:t>
                  </w:r>
                </w:p>
              </w:tc>
              <w:tc>
                <w:tcPr>
                  <w:tcW w:w="3583" w:type="dxa"/>
                  <w:vMerge w:val="restart"/>
                  <w:tcBorders>
                    <w:tl2br w:val="nil"/>
                    <w:tr2bl w:val="nil"/>
                  </w:tcBorders>
                  <w:noWrap w:val="0"/>
                  <w:vAlign w:val="center"/>
                </w:tcPr>
                <w:p w14:paraId="50041CE8">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color w:val="auto"/>
                      <w:sz w:val="21"/>
                      <w:szCs w:val="21"/>
                      <w:highlight w:val="none"/>
                      <w:u w:val="none" w:color="auto"/>
                    </w:rPr>
                  </w:pPr>
                  <w:r>
                    <w:rPr>
                      <w:rFonts w:hint="default" w:ascii="Times New Roman" w:hAnsi="Times New Roman" w:eastAsia="宋体" w:cs="宋体"/>
                      <w:color w:val="auto"/>
                      <w:sz w:val="21"/>
                      <w:szCs w:val="21"/>
                      <w:highlight w:val="none"/>
                      <w:u w:val="none" w:color="auto"/>
                      <w:lang w:eastAsia="zh-CN"/>
                    </w:rPr>
                    <w:t>《</w:t>
                  </w:r>
                  <w:r>
                    <w:rPr>
                      <w:rFonts w:hint="eastAsia" w:ascii="Times New Roman" w:hAnsi="Times New Roman" w:eastAsia="宋体" w:cs="宋体"/>
                      <w:color w:val="auto"/>
                      <w:sz w:val="21"/>
                      <w:szCs w:val="21"/>
                      <w:highlight w:val="none"/>
                      <w:u w:val="none" w:color="auto"/>
                      <w:lang w:eastAsia="zh-CN"/>
                    </w:rPr>
                    <w:t>建筑施工噪声排放标准</w:t>
                  </w:r>
                  <w:r>
                    <w:rPr>
                      <w:rFonts w:hint="default" w:ascii="Times New Roman" w:hAnsi="Times New Roman" w:eastAsia="宋体" w:cs="宋体"/>
                      <w:color w:val="auto"/>
                      <w:sz w:val="21"/>
                      <w:szCs w:val="21"/>
                      <w:highlight w:val="none"/>
                      <w:u w:val="none" w:color="auto"/>
                      <w:lang w:eastAsia="zh-CN"/>
                    </w:rPr>
                    <w:t>》（GB12523-20</w:t>
                  </w:r>
                  <w:r>
                    <w:rPr>
                      <w:rFonts w:hint="eastAsia" w:ascii="Times New Roman" w:hAnsi="Times New Roman" w:eastAsia="宋体" w:cs="宋体"/>
                      <w:color w:val="auto"/>
                      <w:sz w:val="21"/>
                      <w:szCs w:val="21"/>
                      <w:highlight w:val="none"/>
                      <w:u w:val="none" w:color="auto"/>
                      <w:lang w:val="en-US" w:eastAsia="zh-CN"/>
                    </w:rPr>
                    <w:t>25</w:t>
                  </w:r>
                  <w:r>
                    <w:rPr>
                      <w:rFonts w:hint="default" w:ascii="Times New Roman" w:hAnsi="Times New Roman" w:eastAsia="宋体" w:cs="宋体"/>
                      <w:color w:val="auto"/>
                      <w:sz w:val="21"/>
                      <w:szCs w:val="21"/>
                      <w:highlight w:val="none"/>
                      <w:u w:val="none" w:color="auto"/>
                      <w:lang w:eastAsia="zh-CN"/>
                    </w:rPr>
                    <w:t>）</w:t>
                  </w:r>
                </w:p>
              </w:tc>
            </w:tr>
            <w:tr w14:paraId="0F5D4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87" w:hRule="atLeast"/>
                <w:jc w:val="center"/>
              </w:trPr>
              <w:tc>
                <w:tcPr>
                  <w:tcW w:w="1235" w:type="dxa"/>
                  <w:vMerge w:val="continue"/>
                  <w:tcBorders>
                    <w:tl2br w:val="nil"/>
                    <w:tr2bl w:val="nil"/>
                  </w:tcBorders>
                  <w:noWrap w:val="0"/>
                  <w:vAlign w:val="center"/>
                </w:tcPr>
                <w:p w14:paraId="3E5F4B01">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color w:val="auto"/>
                      <w:sz w:val="21"/>
                      <w:szCs w:val="21"/>
                      <w:highlight w:val="none"/>
                      <w:u w:val="none" w:color="auto"/>
                    </w:rPr>
                  </w:pPr>
                </w:p>
              </w:tc>
              <w:tc>
                <w:tcPr>
                  <w:tcW w:w="1600" w:type="dxa"/>
                  <w:tcBorders>
                    <w:tl2br w:val="nil"/>
                    <w:tr2bl w:val="nil"/>
                  </w:tcBorders>
                  <w:noWrap w:val="0"/>
                  <w:vAlign w:val="center"/>
                </w:tcPr>
                <w:p w14:paraId="4CDF8112">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color w:val="auto"/>
                      <w:sz w:val="21"/>
                      <w:szCs w:val="21"/>
                      <w:highlight w:val="none"/>
                      <w:u w:val="none" w:color="auto"/>
                    </w:rPr>
                  </w:pPr>
                  <w:r>
                    <w:rPr>
                      <w:rFonts w:hint="eastAsia"/>
                      <w:color w:val="auto"/>
                      <w:sz w:val="21"/>
                      <w:szCs w:val="21"/>
                      <w:highlight w:val="none"/>
                      <w:u w:val="none" w:color="auto"/>
                    </w:rPr>
                    <w:t>夜间</w:t>
                  </w:r>
                </w:p>
              </w:tc>
              <w:tc>
                <w:tcPr>
                  <w:tcW w:w="1600" w:type="dxa"/>
                  <w:tcBorders>
                    <w:tl2br w:val="nil"/>
                    <w:tr2bl w:val="nil"/>
                  </w:tcBorders>
                  <w:noWrap w:val="0"/>
                  <w:vAlign w:val="center"/>
                </w:tcPr>
                <w:p w14:paraId="549E213F">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宋体"/>
                      <w:color w:val="auto"/>
                      <w:sz w:val="21"/>
                      <w:szCs w:val="21"/>
                      <w:highlight w:val="none"/>
                      <w:u w:val="none" w:color="auto"/>
                      <w:lang w:val="en-US" w:eastAsia="zh-CN"/>
                    </w:rPr>
                  </w:pPr>
                  <w:r>
                    <w:rPr>
                      <w:rFonts w:hint="eastAsia"/>
                      <w:color w:val="auto"/>
                      <w:sz w:val="21"/>
                      <w:szCs w:val="21"/>
                      <w:highlight w:val="none"/>
                      <w:u w:val="none" w:color="auto"/>
                      <w:lang w:val="en-US" w:eastAsia="zh-CN"/>
                    </w:rPr>
                    <w:t>55</w:t>
                  </w:r>
                </w:p>
              </w:tc>
              <w:tc>
                <w:tcPr>
                  <w:tcW w:w="3583" w:type="dxa"/>
                  <w:vMerge w:val="continue"/>
                  <w:tcBorders>
                    <w:tl2br w:val="nil"/>
                    <w:tr2bl w:val="nil"/>
                  </w:tcBorders>
                  <w:noWrap w:val="0"/>
                  <w:vAlign w:val="center"/>
                </w:tcPr>
                <w:p w14:paraId="0CA85C56">
                  <w:pPr>
                    <w:pStyle w:val="7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color w:val="auto"/>
                      <w:sz w:val="21"/>
                      <w:szCs w:val="21"/>
                      <w:highlight w:val="none"/>
                      <w:u w:val="none" w:color="auto"/>
                    </w:rPr>
                  </w:pPr>
                </w:p>
              </w:tc>
            </w:tr>
          </w:tbl>
          <w:p w14:paraId="76B0A079">
            <w:pPr>
              <w:keepNext w:val="0"/>
              <w:keepLines w:val="0"/>
              <w:suppressLineNumbers w:val="0"/>
              <w:spacing w:before="0" w:beforeAutospacing="0" w:after="0" w:afterAutospacing="0" w:line="360" w:lineRule="auto"/>
              <w:ind w:left="0" w:right="0" w:firstLine="482" w:firstLineChars="200"/>
              <w:jc w:val="left"/>
              <w:rPr>
                <w:rFonts w:hint="default" w:ascii="Times New Roman" w:hAnsi="Times New Roman" w:cs="Times New Roman"/>
                <w:color w:val="auto"/>
                <w:sz w:val="24"/>
                <w:highlight w:val="none"/>
                <w:u w:val="none" w:color="auto"/>
              </w:rPr>
            </w:pPr>
            <w:r>
              <w:rPr>
                <w:rFonts w:hint="default" w:ascii="Times New Roman" w:hAnsi="Times New Roman" w:cs="Times New Roman"/>
                <w:b/>
                <w:bCs/>
                <w:color w:val="auto"/>
                <w:sz w:val="24"/>
                <w:highlight w:val="none"/>
                <w:u w:val="none" w:color="auto"/>
              </w:rPr>
              <w:t>3、固体废物</w:t>
            </w:r>
          </w:p>
          <w:p w14:paraId="7E88EAB7">
            <w:pPr>
              <w:spacing w:line="360" w:lineRule="auto"/>
              <w:ind w:firstLine="480" w:firstLineChars="200"/>
              <w:rPr>
                <w:rFonts w:cs="宋体"/>
                <w:color w:val="auto"/>
                <w:kern w:val="0"/>
                <w:sz w:val="24"/>
                <w:szCs w:val="21"/>
                <w:u w:val="none" w:color="auto"/>
              </w:rPr>
            </w:pPr>
            <w:r>
              <w:rPr>
                <w:rFonts w:hint="default" w:ascii="Times New Roman" w:hAnsi="Times New Roman" w:eastAsia="宋体" w:cs="Times New Roman"/>
                <w:color w:val="auto"/>
                <w:sz w:val="24"/>
                <w:szCs w:val="24"/>
                <w:highlight w:val="none"/>
                <w:u w:val="none" w:color="auto"/>
              </w:rPr>
              <w:t>一般</w:t>
            </w:r>
            <w:r>
              <w:rPr>
                <w:rFonts w:hint="eastAsia" w:ascii="Times New Roman" w:hAnsi="Times New Roman" w:eastAsia="宋体" w:cs="Times New Roman"/>
                <w:color w:val="auto"/>
                <w:sz w:val="24"/>
                <w:szCs w:val="24"/>
                <w:highlight w:val="none"/>
                <w:u w:val="none" w:color="auto"/>
                <w:lang w:eastAsia="zh-CN"/>
              </w:rPr>
              <w:t>工业</w:t>
            </w:r>
            <w:r>
              <w:rPr>
                <w:rFonts w:hint="default" w:ascii="Times New Roman" w:hAnsi="Times New Roman" w:eastAsia="宋体" w:cs="Times New Roman"/>
                <w:color w:val="auto"/>
                <w:sz w:val="24"/>
                <w:szCs w:val="24"/>
                <w:highlight w:val="none"/>
                <w:u w:val="none" w:color="auto"/>
              </w:rPr>
              <w:t>固体废物执行《一般工业</w:t>
            </w:r>
            <w:r>
              <w:rPr>
                <w:rFonts w:hint="eastAsia" w:ascii="Times New Roman" w:hAnsi="Times New Roman" w:eastAsia="宋体" w:cs="Times New Roman"/>
                <w:color w:val="auto"/>
                <w:sz w:val="24"/>
                <w:szCs w:val="24"/>
                <w:highlight w:val="none"/>
                <w:u w:val="none" w:color="auto"/>
                <w:lang w:eastAsia="zh-CN"/>
              </w:rPr>
              <w:t>固体废物贮存和填埋</w:t>
            </w:r>
            <w:r>
              <w:rPr>
                <w:rFonts w:hint="default" w:ascii="Times New Roman" w:hAnsi="Times New Roman" w:eastAsia="宋体" w:cs="Times New Roman"/>
                <w:color w:val="auto"/>
                <w:sz w:val="24"/>
                <w:szCs w:val="24"/>
                <w:highlight w:val="none"/>
                <w:u w:val="none" w:color="auto"/>
              </w:rPr>
              <w:t>污染控制标准》（GB18599-20</w:t>
            </w:r>
            <w:r>
              <w:rPr>
                <w:rFonts w:hint="eastAsia" w:ascii="Times New Roman" w:hAnsi="Times New Roman" w:eastAsia="宋体" w:cs="Times New Roman"/>
                <w:color w:val="auto"/>
                <w:sz w:val="24"/>
                <w:szCs w:val="24"/>
                <w:highlight w:val="none"/>
                <w:u w:val="none" w:color="auto"/>
                <w:lang w:val="en-US" w:eastAsia="zh-CN"/>
              </w:rPr>
              <w:t>20</w:t>
            </w:r>
            <w:r>
              <w:rPr>
                <w:rFonts w:hint="default" w:ascii="Times New Roman" w:hAnsi="Times New Roman" w:eastAsia="宋体" w:cs="Times New Roman"/>
                <w:color w:val="auto"/>
                <w:sz w:val="24"/>
                <w:szCs w:val="24"/>
                <w:highlight w:val="none"/>
                <w:u w:val="none" w:color="auto"/>
              </w:rPr>
              <w:t>）</w:t>
            </w:r>
            <w:r>
              <w:rPr>
                <w:rFonts w:hint="eastAsia" w:ascii="Times New Roman" w:hAnsi="Times New Roman" w:eastAsia="宋体" w:cs="Times New Roman"/>
                <w:color w:val="auto"/>
                <w:sz w:val="24"/>
                <w:szCs w:val="24"/>
                <w:highlight w:val="none"/>
                <w:u w:val="none" w:color="auto"/>
                <w:lang w:eastAsia="zh-CN"/>
              </w:rPr>
              <w:t>。</w:t>
            </w:r>
            <w:r>
              <w:rPr>
                <w:rFonts w:hint="eastAsia"/>
                <w:color w:val="auto"/>
                <w:sz w:val="24"/>
                <w:u w:val="none" w:color="auto"/>
              </w:rPr>
              <w:t>生活垃圾由垃圾桶集中分类收集后，交由当地环卫部门统一清运处理</w:t>
            </w:r>
            <w:r>
              <w:rPr>
                <w:rFonts w:hint="eastAsia"/>
                <w:color w:val="auto"/>
                <w:sz w:val="24"/>
                <w:u w:val="none" w:color="auto"/>
              </w:rPr>
              <w:t>。</w:t>
            </w:r>
          </w:p>
        </w:tc>
      </w:tr>
      <w:tr w14:paraId="36D09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272" w:hRule="atLeast"/>
          <w:jc w:val="center"/>
        </w:trPr>
        <w:tc>
          <w:tcPr>
            <w:tcW w:w="800" w:type="dxa"/>
            <w:vAlign w:val="center"/>
          </w:tcPr>
          <w:p w14:paraId="5E4E19B1">
            <w:pPr>
              <w:adjustRightInd w:val="0"/>
              <w:snapToGrid w:val="0"/>
              <w:jc w:val="center"/>
              <w:rPr>
                <w:rFonts w:hint="eastAsia" w:eastAsia="宋体" w:cs="宋体"/>
                <w:color w:val="auto"/>
                <w:kern w:val="0"/>
                <w:sz w:val="24"/>
                <w:szCs w:val="21"/>
                <w:u w:val="none" w:color="auto"/>
                <w:lang w:val="en-US" w:eastAsia="zh-CN"/>
              </w:rPr>
            </w:pPr>
            <w:r>
              <w:rPr>
                <w:rFonts w:hint="eastAsia" w:cs="宋体"/>
                <w:color w:val="auto"/>
                <w:kern w:val="0"/>
                <w:sz w:val="24"/>
                <w:szCs w:val="21"/>
                <w:u w:val="none" w:color="auto"/>
                <w:lang w:val="en-US" w:eastAsia="zh-CN"/>
              </w:rPr>
              <w:t>其他</w:t>
            </w:r>
          </w:p>
        </w:tc>
        <w:tc>
          <w:tcPr>
            <w:tcW w:w="8190" w:type="dxa"/>
            <w:vAlign w:val="center"/>
          </w:tcPr>
          <w:p w14:paraId="0689FE46">
            <w:pPr>
              <w:adjustRightInd w:val="0"/>
              <w:snapToGrid w:val="0"/>
              <w:spacing w:line="360" w:lineRule="auto"/>
              <w:ind w:firstLine="480" w:firstLineChars="200"/>
              <w:jc w:val="left"/>
              <w:rPr>
                <w:rFonts w:cs="宋体"/>
                <w:color w:val="auto"/>
                <w:kern w:val="0"/>
                <w:sz w:val="24"/>
                <w:szCs w:val="21"/>
                <w:u w:val="none" w:color="auto"/>
              </w:rPr>
            </w:pPr>
            <w:r>
              <w:rPr>
                <w:rFonts w:hint="eastAsia" w:ascii="Times New Roman" w:hAnsi="Times New Roman" w:cs="Times New Roman"/>
                <w:color w:val="auto"/>
                <w:sz w:val="24"/>
                <w:szCs w:val="32"/>
                <w:highlight w:val="none"/>
                <w:u w:val="none" w:color="auto"/>
                <w:lang w:val="en-US" w:eastAsia="zh-CN"/>
              </w:rPr>
              <w:t>根据国家总量控制有关规定，结合本工程的污染特点和环保部门的要求，本项目为生态影响类项目，施工期间各类生产废水经处理后循环使用，不外排，施工期产生的废气污染物主要为颗粒物，运输过程中会产生一定量的SO</w:t>
            </w:r>
            <w:r>
              <w:rPr>
                <w:rFonts w:hint="eastAsia" w:ascii="Times New Roman" w:hAnsi="Times New Roman" w:cs="Times New Roman"/>
                <w:color w:val="auto"/>
                <w:sz w:val="24"/>
                <w:szCs w:val="32"/>
                <w:highlight w:val="none"/>
                <w:u w:val="none" w:color="auto"/>
                <w:vertAlign w:val="subscript"/>
                <w:lang w:val="en-US" w:eastAsia="zh-CN"/>
              </w:rPr>
              <w:t>2</w:t>
            </w:r>
            <w:r>
              <w:rPr>
                <w:rFonts w:hint="eastAsia" w:ascii="Times New Roman" w:hAnsi="Times New Roman" w:cs="Times New Roman"/>
                <w:color w:val="auto"/>
                <w:sz w:val="24"/>
                <w:szCs w:val="32"/>
                <w:highlight w:val="none"/>
                <w:u w:val="none" w:color="auto"/>
                <w:lang w:val="en-US" w:eastAsia="zh-CN"/>
              </w:rPr>
              <w:t>、NOx等污染物，属于移动污染源，不需申请总量指标。</w:t>
            </w:r>
          </w:p>
        </w:tc>
      </w:tr>
    </w:tbl>
    <w:p w14:paraId="2075E616">
      <w:pPr>
        <w:pStyle w:val="21"/>
        <w:jc w:val="center"/>
        <w:outlineLvl w:val="0"/>
        <w:rPr>
          <w:rFonts w:hint="default" w:ascii="黑体" w:hAnsi="黑体" w:eastAsia="黑体"/>
          <w:snapToGrid w:val="0"/>
          <w:color w:val="auto"/>
          <w:sz w:val="30"/>
          <w:szCs w:val="30"/>
          <w:u w:val="none" w:color="auto"/>
          <w:lang w:val="en-US" w:eastAsia="zh-CN"/>
        </w:rPr>
      </w:pPr>
      <w:r>
        <w:rPr>
          <w:rFonts w:ascii="黑体" w:hAnsi="黑体" w:eastAsia="黑体"/>
          <w:snapToGrid w:val="0"/>
          <w:color w:val="auto"/>
          <w:sz w:val="36"/>
          <w:szCs w:val="36"/>
          <w:u w:val="none" w:color="auto"/>
        </w:rPr>
        <w:br w:type="page"/>
      </w:r>
      <w:bookmarkStart w:id="13" w:name="_Toc9330"/>
      <w:bookmarkStart w:id="14" w:name="_Toc14657"/>
      <w:bookmarkStart w:id="15" w:name="_Toc7491"/>
      <w:bookmarkStart w:id="16" w:name="_Toc11857"/>
      <w:r>
        <w:rPr>
          <w:rFonts w:hint="eastAsia" w:ascii="黑体" w:hAnsi="黑体" w:eastAsia="黑体"/>
          <w:snapToGrid w:val="0"/>
          <w:color w:val="auto"/>
          <w:sz w:val="30"/>
          <w:szCs w:val="30"/>
          <w:u w:val="none" w:color="auto"/>
        </w:rPr>
        <w:t>四、</w:t>
      </w:r>
      <w:bookmarkEnd w:id="13"/>
      <w:r>
        <w:rPr>
          <w:rFonts w:hint="eastAsia" w:ascii="黑体" w:hAnsi="黑体" w:eastAsia="黑体"/>
          <w:snapToGrid w:val="0"/>
          <w:color w:val="auto"/>
          <w:sz w:val="30"/>
          <w:szCs w:val="30"/>
          <w:u w:val="none" w:color="auto"/>
          <w:lang w:val="en-US" w:eastAsia="zh-CN"/>
        </w:rPr>
        <w:t>生态环境影响分析</w:t>
      </w:r>
      <w:bookmarkEnd w:id="14"/>
      <w:bookmarkEnd w:id="15"/>
      <w:bookmarkEnd w:id="16"/>
    </w:p>
    <w:tbl>
      <w:tblPr>
        <w:tblStyle w:val="25"/>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5E125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746" w:type="dxa"/>
            <w:tcMar>
              <w:left w:w="28" w:type="dxa"/>
              <w:right w:w="28" w:type="dxa"/>
            </w:tcMar>
            <w:vAlign w:val="center"/>
          </w:tcPr>
          <w:p w14:paraId="43C5A078">
            <w:pPr>
              <w:pStyle w:val="21"/>
              <w:adjustRightInd w:val="0"/>
              <w:snapToGrid w:val="0"/>
              <w:spacing w:before="0" w:beforeAutospacing="0" w:after="0" w:afterAutospacing="0"/>
              <w:jc w:val="center"/>
              <w:rPr>
                <w:rFonts w:cs="宋体"/>
                <w:color w:val="auto"/>
                <w:kern w:val="2"/>
                <w:szCs w:val="24"/>
                <w:u w:val="none" w:color="auto"/>
              </w:rPr>
            </w:pPr>
            <w:r>
              <w:rPr>
                <w:rFonts w:hint="eastAsia" w:cs="宋体"/>
                <w:color w:val="auto"/>
                <w:kern w:val="2"/>
                <w:szCs w:val="24"/>
                <w:u w:val="none" w:color="auto"/>
              </w:rPr>
              <w:t>施工</w:t>
            </w:r>
          </w:p>
          <w:p w14:paraId="44CC888D">
            <w:pPr>
              <w:pStyle w:val="21"/>
              <w:adjustRightInd w:val="0"/>
              <w:snapToGrid w:val="0"/>
              <w:spacing w:before="0" w:beforeAutospacing="0" w:after="0" w:afterAutospacing="0"/>
              <w:jc w:val="center"/>
              <w:rPr>
                <w:rFonts w:cs="宋体"/>
                <w:bCs/>
                <w:color w:val="auto"/>
                <w:kern w:val="2"/>
                <w:szCs w:val="24"/>
                <w:u w:val="none" w:color="auto"/>
              </w:rPr>
            </w:pPr>
            <w:r>
              <w:rPr>
                <w:rFonts w:hint="eastAsia" w:cs="宋体"/>
                <w:color w:val="auto"/>
                <w:kern w:val="2"/>
                <w:szCs w:val="24"/>
                <w:u w:val="none" w:color="auto"/>
              </w:rPr>
              <w:t>期</w:t>
            </w:r>
            <w:r>
              <w:rPr>
                <w:rFonts w:hint="eastAsia" w:cs="宋体"/>
                <w:color w:val="auto"/>
                <w:kern w:val="2"/>
                <w:szCs w:val="24"/>
                <w:u w:val="none" w:color="auto"/>
                <w:lang w:val="en-US" w:eastAsia="zh-CN"/>
              </w:rPr>
              <w:t>生态环境影响分析</w:t>
            </w:r>
          </w:p>
        </w:tc>
        <w:tc>
          <w:tcPr>
            <w:tcW w:w="8162" w:type="dxa"/>
            <w:vAlign w:val="center"/>
          </w:tcPr>
          <w:p w14:paraId="28DC7B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1</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施工期水环境影响分析</w:t>
            </w:r>
          </w:p>
          <w:p w14:paraId="3B996D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本项目</w:t>
            </w:r>
            <w:r>
              <w:rPr>
                <w:rFonts w:hint="default" w:ascii="Times New Roman" w:hAnsi="Times New Roman" w:cs="Times New Roman"/>
                <w:bCs/>
                <w:color w:val="auto"/>
                <w:sz w:val="24"/>
                <w:u w:val="none" w:color="auto"/>
              </w:rPr>
              <w:t>项目施工期产生的废水主要为施工废水</w:t>
            </w:r>
            <w:r>
              <w:rPr>
                <w:rFonts w:hint="eastAsia" w:cs="Times New Roman"/>
                <w:bCs/>
                <w:color w:val="auto"/>
                <w:sz w:val="24"/>
                <w:u w:val="none" w:color="auto"/>
                <w:lang w:eastAsia="zh-CN"/>
              </w:rPr>
              <w:t>，</w:t>
            </w:r>
            <w:r>
              <w:rPr>
                <w:rFonts w:hint="eastAsia" w:cs="Times New Roman"/>
                <w:bCs/>
                <w:color w:val="auto"/>
                <w:sz w:val="24"/>
                <w:u w:val="none" w:color="auto"/>
                <w:lang w:val="en-US" w:eastAsia="zh-CN"/>
              </w:rPr>
              <w:t>现场不设置施工营地，故无</w:t>
            </w:r>
            <w:r>
              <w:rPr>
                <w:rFonts w:hint="eastAsia" w:ascii="Times New Roman" w:hAnsi="Times New Roman" w:cs="Times New Roman"/>
                <w:bCs/>
                <w:color w:val="auto"/>
                <w:sz w:val="24"/>
                <w:u w:val="none" w:color="auto"/>
                <w:lang w:eastAsia="zh-CN"/>
              </w:rPr>
              <w:t>生活污水</w:t>
            </w:r>
            <w:r>
              <w:rPr>
                <w:rFonts w:hint="eastAsia" w:cs="Times New Roman"/>
                <w:bCs/>
                <w:color w:val="auto"/>
                <w:sz w:val="24"/>
                <w:u w:val="none" w:color="auto"/>
                <w:lang w:val="en-US" w:eastAsia="zh-CN"/>
              </w:rPr>
              <w:t>产生</w:t>
            </w:r>
            <w:r>
              <w:rPr>
                <w:rFonts w:hint="default" w:ascii="Times New Roman" w:hAnsi="Times New Roman" w:cs="Times New Roman"/>
                <w:bCs/>
                <w:color w:val="auto"/>
                <w:sz w:val="24"/>
                <w:u w:val="none" w:color="auto"/>
              </w:rPr>
              <w:t>。施工废水主要为混凝土</w:t>
            </w:r>
            <w:r>
              <w:rPr>
                <w:rFonts w:hint="eastAsia" w:ascii="Times New Roman" w:hAnsi="Times New Roman" w:cs="Times New Roman"/>
                <w:bCs/>
                <w:color w:val="auto"/>
                <w:sz w:val="24"/>
                <w:u w:val="none" w:color="auto"/>
                <w:lang w:eastAsia="zh-CN"/>
              </w:rPr>
              <w:t>施工</w:t>
            </w:r>
            <w:r>
              <w:rPr>
                <w:rFonts w:hint="default" w:ascii="Times New Roman" w:hAnsi="Times New Roman" w:cs="Times New Roman"/>
                <w:bCs/>
                <w:color w:val="auto"/>
                <w:sz w:val="24"/>
                <w:u w:val="none" w:color="auto"/>
              </w:rPr>
              <w:t>废水</w:t>
            </w:r>
            <w:r>
              <w:rPr>
                <w:rFonts w:hint="eastAsia" w:ascii="Times New Roman" w:hAnsi="Times New Roman" w:cs="Times New Roman"/>
                <w:bCs/>
                <w:color w:val="auto"/>
                <w:sz w:val="24"/>
                <w:u w:val="none" w:color="auto"/>
                <w:lang w:eastAsia="zh-CN"/>
              </w:rPr>
              <w:t>、</w:t>
            </w:r>
            <w:r>
              <w:rPr>
                <w:rFonts w:hint="eastAsia" w:ascii="Times New Roman" w:hAnsi="Times New Roman" w:cs="Times New Roman"/>
                <w:bCs/>
                <w:color w:val="auto"/>
                <w:sz w:val="24"/>
                <w:u w:val="none" w:color="auto"/>
                <w:lang w:val="en-US" w:eastAsia="zh-CN"/>
              </w:rPr>
              <w:t>施工机械</w:t>
            </w:r>
            <w:r>
              <w:rPr>
                <w:rFonts w:hint="default" w:ascii="Times New Roman" w:hAnsi="Times New Roman" w:cs="Times New Roman"/>
                <w:bCs/>
                <w:color w:val="auto"/>
                <w:sz w:val="24"/>
                <w:u w:val="none" w:color="auto"/>
              </w:rPr>
              <w:t>冲洗</w:t>
            </w:r>
            <w:r>
              <w:rPr>
                <w:rFonts w:hint="eastAsia" w:ascii="Times New Roman" w:hAnsi="Times New Roman" w:cs="Times New Roman"/>
                <w:bCs/>
                <w:color w:val="auto"/>
                <w:sz w:val="24"/>
                <w:u w:val="none" w:color="auto"/>
                <w:lang w:val="en-US" w:eastAsia="zh-CN"/>
              </w:rPr>
              <w:t>废水</w:t>
            </w:r>
            <w:r>
              <w:rPr>
                <w:rFonts w:hint="default" w:ascii="Times New Roman" w:hAnsi="Times New Roman" w:eastAsia="宋体" w:cs="Times New Roman"/>
                <w:color w:val="auto"/>
                <w:sz w:val="24"/>
                <w:szCs w:val="24"/>
                <w:u w:val="none" w:color="auto"/>
              </w:rPr>
              <w:t>，主要污染物为SS和少量设备跑、冒、滴、漏的污油。针对上述不同的废水，</w:t>
            </w:r>
            <w:r>
              <w:rPr>
                <w:rFonts w:hint="eastAsia" w:ascii="Times New Roman" w:hAnsi="Times New Roman" w:eastAsia="宋体" w:cs="Times New Roman"/>
                <w:color w:val="auto"/>
                <w:sz w:val="24"/>
                <w:szCs w:val="24"/>
                <w:u w:val="none" w:color="auto"/>
                <w:lang w:eastAsia="zh-CN"/>
              </w:rPr>
              <w:t>项目</w:t>
            </w:r>
            <w:r>
              <w:rPr>
                <w:rFonts w:hint="default" w:ascii="Times New Roman" w:hAnsi="Times New Roman" w:eastAsia="宋体" w:cs="Times New Roman"/>
                <w:color w:val="auto"/>
                <w:sz w:val="24"/>
                <w:szCs w:val="24"/>
                <w:u w:val="none" w:color="auto"/>
              </w:rPr>
              <w:t>采取如下防治措施：</w:t>
            </w:r>
          </w:p>
          <w:p w14:paraId="775D17D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color w:val="auto"/>
                <w:sz w:val="24"/>
                <w:u w:val="none" w:color="auto"/>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b w:val="0"/>
                <w:bCs w:val="0"/>
                <w:color w:val="auto"/>
                <w:sz w:val="24"/>
                <w:szCs w:val="24"/>
                <w:u w:val="none" w:color="auto"/>
                <w:lang w:val="en-US" w:eastAsia="zh-CN"/>
              </w:rPr>
              <w:t>1</w:t>
            </w:r>
            <w:r>
              <w:rPr>
                <w:rFonts w:hint="default" w:ascii="Times New Roman" w:hAnsi="Times New Roman" w:eastAsia="宋体" w:cs="Times New Roman"/>
                <w:b w:val="0"/>
                <w:bCs w:val="0"/>
                <w:color w:val="auto"/>
                <w:sz w:val="24"/>
                <w:szCs w:val="24"/>
                <w:u w:val="none" w:color="auto"/>
                <w:lang w:eastAsia="zh-CN"/>
              </w:rPr>
              <w:t>）</w:t>
            </w:r>
            <w:r>
              <w:rPr>
                <w:rFonts w:hint="default" w:ascii="Times New Roman" w:hAnsi="Times New Roman" w:cs="Times New Roman"/>
                <w:b w:val="0"/>
                <w:bCs w:val="0"/>
                <w:color w:val="auto"/>
                <w:sz w:val="24"/>
                <w:u w:val="none" w:color="auto"/>
              </w:rPr>
              <w:t>混凝土</w:t>
            </w:r>
            <w:r>
              <w:rPr>
                <w:rFonts w:hint="eastAsia" w:ascii="Times New Roman" w:hAnsi="Times New Roman" w:cs="Times New Roman"/>
                <w:b w:val="0"/>
                <w:bCs w:val="0"/>
                <w:color w:val="auto"/>
                <w:sz w:val="24"/>
                <w:u w:val="none" w:color="auto"/>
              </w:rPr>
              <w:t>施工</w:t>
            </w:r>
            <w:r>
              <w:rPr>
                <w:rFonts w:hint="default" w:ascii="Times New Roman" w:hAnsi="Times New Roman" w:cs="Times New Roman"/>
                <w:b w:val="0"/>
                <w:bCs w:val="0"/>
                <w:color w:val="auto"/>
                <w:sz w:val="24"/>
                <w:u w:val="none" w:color="auto"/>
              </w:rPr>
              <w:t>废水</w:t>
            </w:r>
          </w:p>
          <w:p w14:paraId="7744EC3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color w:val="auto"/>
                <w:sz w:val="24"/>
                <w:u w:val="none" w:color="auto"/>
              </w:rPr>
            </w:pPr>
            <w:r>
              <w:rPr>
                <w:rFonts w:hint="eastAsia" w:ascii="Times New Roman" w:hAnsi="Times New Roman" w:cs="Times New Roman"/>
                <w:bCs/>
                <w:color w:val="auto"/>
                <w:sz w:val="24"/>
                <w:u w:val="none" w:color="auto"/>
              </w:rPr>
              <w:t>本项目采用商品混凝土，在工程混凝土施工过程中，混凝土浇筑、养护、骨料加工冲洗等将产生大量施工废水，主要污染物为pH、SS等，是施工区的主要污染源。由于工程的施工需要一定的工期，因此，考虑到工程环保经济性和可操作性，拟对</w:t>
            </w:r>
            <w:r>
              <w:rPr>
                <w:rFonts w:hint="default" w:ascii="Times New Roman" w:hAnsi="Times New Roman" w:cs="Times New Roman"/>
                <w:bCs/>
                <w:color w:val="auto"/>
                <w:sz w:val="24"/>
                <w:u w:val="none" w:color="auto"/>
              </w:rPr>
              <w:t>混凝土</w:t>
            </w:r>
            <w:r>
              <w:rPr>
                <w:rFonts w:hint="eastAsia" w:ascii="Times New Roman" w:hAnsi="Times New Roman" w:cs="Times New Roman"/>
                <w:bCs/>
                <w:color w:val="auto"/>
                <w:sz w:val="24"/>
                <w:u w:val="none" w:color="auto"/>
              </w:rPr>
              <w:t>施工产生的废水采用沉淀池进行处理，通过明沟将</w:t>
            </w:r>
            <w:r>
              <w:rPr>
                <w:rFonts w:hint="default" w:ascii="Times New Roman" w:hAnsi="Times New Roman" w:cs="Times New Roman"/>
                <w:bCs/>
                <w:color w:val="auto"/>
                <w:sz w:val="24"/>
                <w:u w:val="none" w:color="auto"/>
              </w:rPr>
              <w:t>混凝土</w:t>
            </w:r>
            <w:r>
              <w:rPr>
                <w:rFonts w:hint="eastAsia" w:ascii="Times New Roman" w:hAnsi="Times New Roman" w:cs="Times New Roman"/>
                <w:bCs/>
                <w:color w:val="auto"/>
                <w:sz w:val="24"/>
                <w:u w:val="none" w:color="auto"/>
              </w:rPr>
              <w:t>施工废水集中收集进入沉淀池，经沉淀处理后回用于</w:t>
            </w:r>
            <w:r>
              <w:rPr>
                <w:rFonts w:hint="eastAsia" w:cs="Times New Roman"/>
                <w:bCs/>
                <w:color w:val="auto"/>
                <w:sz w:val="24"/>
                <w:u w:val="none" w:color="auto"/>
                <w:lang w:val="en-US" w:eastAsia="zh-CN"/>
              </w:rPr>
              <w:t>抑尘</w:t>
            </w:r>
            <w:r>
              <w:rPr>
                <w:rFonts w:hint="eastAsia" w:ascii="Times New Roman" w:hAnsi="Times New Roman" w:cs="Times New Roman"/>
                <w:bCs/>
                <w:color w:val="auto"/>
                <w:sz w:val="24"/>
                <w:u w:val="none" w:color="auto"/>
              </w:rPr>
              <w:t>，不外排。沉淀泥沙由人工定期处理。</w:t>
            </w:r>
          </w:p>
          <w:p w14:paraId="538046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eastAsia" w:ascii="Times New Roman" w:hAnsi="Times New Roman" w:eastAsia="宋体" w:cs="Times New Roman"/>
                <w:bCs/>
                <w:color w:val="auto"/>
                <w:sz w:val="24"/>
                <w:u w:val="none" w:color="auto"/>
                <w:lang w:eastAsia="zh-CN"/>
              </w:rPr>
            </w:pPr>
            <w:r>
              <w:rPr>
                <w:rFonts w:hint="eastAsia" w:ascii="Times New Roman" w:hAnsi="Times New Roman" w:cs="Times New Roman"/>
                <w:bCs/>
                <w:color w:val="auto"/>
                <w:sz w:val="24"/>
                <w:u w:val="none" w:color="auto"/>
                <w:lang w:eastAsia="zh-CN"/>
              </w:rPr>
              <w:t>（</w:t>
            </w:r>
            <w:r>
              <w:rPr>
                <w:rFonts w:hint="eastAsia" w:ascii="Times New Roman" w:hAnsi="Times New Roman" w:cs="Times New Roman"/>
                <w:bCs/>
                <w:color w:val="auto"/>
                <w:sz w:val="24"/>
                <w:u w:val="none" w:color="auto"/>
                <w:lang w:val="en-US" w:eastAsia="zh-CN"/>
              </w:rPr>
              <w:t>2</w:t>
            </w:r>
            <w:r>
              <w:rPr>
                <w:rFonts w:hint="eastAsia" w:ascii="Times New Roman" w:hAnsi="Times New Roman" w:cs="Times New Roman"/>
                <w:bCs/>
                <w:color w:val="auto"/>
                <w:sz w:val="24"/>
                <w:u w:val="none" w:color="auto"/>
                <w:lang w:eastAsia="zh-CN"/>
              </w:rPr>
              <w:t>）</w:t>
            </w:r>
            <w:r>
              <w:rPr>
                <w:rFonts w:hint="eastAsia" w:ascii="Times New Roman" w:hAnsi="Times New Roman" w:cs="Times New Roman"/>
                <w:bCs/>
                <w:color w:val="auto"/>
                <w:sz w:val="24"/>
                <w:u w:val="none" w:color="auto"/>
                <w:lang w:val="en-US" w:eastAsia="zh-CN"/>
              </w:rPr>
              <w:t>施工机械</w:t>
            </w:r>
            <w:r>
              <w:rPr>
                <w:rFonts w:hint="default" w:ascii="Times New Roman" w:hAnsi="Times New Roman" w:cs="Times New Roman"/>
                <w:bCs/>
                <w:color w:val="auto"/>
                <w:sz w:val="24"/>
                <w:u w:val="none" w:color="auto"/>
              </w:rPr>
              <w:t>冲洗</w:t>
            </w:r>
            <w:r>
              <w:rPr>
                <w:rFonts w:hint="eastAsia" w:ascii="Times New Roman" w:hAnsi="Times New Roman" w:cs="Times New Roman"/>
                <w:bCs/>
                <w:color w:val="auto"/>
                <w:sz w:val="24"/>
                <w:u w:val="none" w:color="auto"/>
                <w:lang w:val="en-US" w:eastAsia="zh-CN"/>
              </w:rPr>
              <w:t>废水</w:t>
            </w:r>
          </w:p>
          <w:p w14:paraId="161B9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cs="Times New Roman"/>
                <w:bCs/>
                <w:color w:val="auto"/>
                <w:sz w:val="24"/>
                <w:u w:val="none" w:color="auto"/>
              </w:rPr>
              <w:t>车辆及机械设备的冲洗废水、作业面冲洗废水等废水，主要污染物为pH</w:t>
            </w:r>
            <w:r>
              <w:rPr>
                <w:rFonts w:hint="eastAsia" w:ascii="Times New Roman" w:hAnsi="Times New Roman" w:cs="Times New Roman"/>
                <w:bCs/>
                <w:color w:val="auto"/>
                <w:sz w:val="24"/>
                <w:u w:val="none" w:color="auto"/>
                <w:lang w:eastAsia="zh-CN"/>
              </w:rPr>
              <w:t>、</w:t>
            </w:r>
            <w:r>
              <w:rPr>
                <w:rFonts w:hint="default" w:ascii="Times New Roman" w:hAnsi="Times New Roman" w:cs="Times New Roman"/>
                <w:bCs/>
                <w:color w:val="auto"/>
                <w:sz w:val="24"/>
                <w:u w:val="none" w:color="auto"/>
              </w:rPr>
              <w:t>COD</w:t>
            </w:r>
            <w:r>
              <w:rPr>
                <w:rFonts w:hint="default" w:ascii="Times New Roman" w:hAnsi="Times New Roman" w:cs="Times New Roman"/>
                <w:bCs/>
                <w:color w:val="auto"/>
                <w:sz w:val="24"/>
                <w:u w:val="none" w:color="auto"/>
                <w:vertAlign w:val="subscript"/>
              </w:rPr>
              <w:t>Cr</w:t>
            </w:r>
            <w:r>
              <w:rPr>
                <w:rFonts w:hint="default" w:ascii="Times New Roman" w:hAnsi="Times New Roman" w:cs="Times New Roman"/>
                <w:bCs/>
                <w:color w:val="auto"/>
                <w:sz w:val="24"/>
                <w:u w:val="none" w:color="auto"/>
              </w:rPr>
              <w:t>、BOD</w:t>
            </w:r>
            <w:r>
              <w:rPr>
                <w:rFonts w:hint="default" w:ascii="Times New Roman" w:hAnsi="Times New Roman" w:cs="Times New Roman"/>
                <w:bCs/>
                <w:color w:val="auto"/>
                <w:sz w:val="24"/>
                <w:u w:val="none" w:color="auto"/>
                <w:vertAlign w:val="subscript"/>
              </w:rPr>
              <w:t>5</w:t>
            </w:r>
            <w:r>
              <w:rPr>
                <w:rFonts w:hint="default" w:ascii="Times New Roman" w:hAnsi="Times New Roman" w:cs="Times New Roman"/>
                <w:bCs/>
                <w:color w:val="auto"/>
                <w:sz w:val="24"/>
                <w:u w:val="none" w:color="auto"/>
              </w:rPr>
              <w:t>、SS和石油类等。此类废水应集中收集后进入隔油池和沉淀池进行处理，</w:t>
            </w:r>
            <w:r>
              <w:rPr>
                <w:rFonts w:hint="default" w:ascii="Times New Roman" w:hAnsi="Times New Roman" w:eastAsia="宋体" w:cs="Times New Roman"/>
                <w:color w:val="auto"/>
                <w:sz w:val="24"/>
                <w:szCs w:val="24"/>
                <w:u w:val="none" w:color="auto"/>
              </w:rPr>
              <w:t>以防止油污染</w:t>
            </w:r>
            <w:r>
              <w:rPr>
                <w:rFonts w:hint="eastAsia"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rPr>
              <w:t>经隔油池沉淀处理后的废水可回用于</w:t>
            </w:r>
            <w:r>
              <w:rPr>
                <w:rFonts w:hint="default" w:ascii="Times New Roman" w:hAnsi="Times New Roman" w:cs="Times New Roman"/>
                <w:bCs/>
                <w:color w:val="auto"/>
                <w:sz w:val="24"/>
                <w:u w:val="none" w:color="auto"/>
              </w:rPr>
              <w:t>再次机械冲洗，不外排</w:t>
            </w:r>
            <w:r>
              <w:rPr>
                <w:rFonts w:hint="default" w:ascii="Times New Roman" w:hAnsi="Times New Roman" w:eastAsia="宋体" w:cs="Times New Roman"/>
                <w:color w:val="auto"/>
                <w:sz w:val="24"/>
                <w:szCs w:val="24"/>
                <w:u w:val="none" w:color="auto"/>
              </w:rPr>
              <w:t>。</w:t>
            </w:r>
          </w:p>
          <w:p w14:paraId="42A86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cs="Times New Roman"/>
                <w:b/>
                <w:bCs/>
                <w:color w:val="auto"/>
                <w:sz w:val="24"/>
                <w:u w:val="none" w:color="auto"/>
                <w:lang w:val="en-US" w:eastAsia="zh-CN"/>
              </w:rPr>
            </w:pPr>
            <w:r>
              <w:rPr>
                <w:rFonts w:hint="eastAsia" w:ascii="Times New Roman" w:hAnsi="Times New Roman" w:cs="Times New Roman"/>
                <w:b/>
                <w:bCs/>
                <w:color w:val="auto"/>
                <w:sz w:val="24"/>
                <w:u w:val="none" w:color="auto"/>
                <w:lang w:val="en-US" w:eastAsia="zh-CN"/>
              </w:rPr>
              <w:t>2</w:t>
            </w:r>
            <w:r>
              <w:rPr>
                <w:rFonts w:hint="default" w:ascii="Times New Roman" w:hAnsi="Times New Roman" w:cs="Times New Roman"/>
                <w:b/>
                <w:bCs/>
                <w:color w:val="auto"/>
                <w:sz w:val="24"/>
                <w:u w:val="none" w:color="auto"/>
                <w:lang w:val="en-US" w:eastAsia="zh-CN"/>
              </w:rPr>
              <w:t>、</w:t>
            </w:r>
            <w:r>
              <w:rPr>
                <w:rFonts w:hint="eastAsia" w:ascii="Times New Roman" w:hAnsi="Times New Roman" w:cs="Times New Roman"/>
                <w:b/>
                <w:bCs/>
                <w:color w:val="auto"/>
                <w:sz w:val="24"/>
                <w:u w:val="none" w:color="auto"/>
                <w:lang w:val="en-US" w:eastAsia="zh-CN"/>
              </w:rPr>
              <w:t>施工期大气环境影响分析</w:t>
            </w:r>
          </w:p>
          <w:p w14:paraId="0B30D9A5">
            <w:pPr>
              <w:pStyle w:val="11"/>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szCs w:val="24"/>
                <w:u w:val="none" w:color="auto"/>
                <w:lang w:eastAsia="zh-CN"/>
              </w:rPr>
            </w:pPr>
            <w:r>
              <w:rPr>
                <w:rFonts w:hint="default" w:ascii="Times New Roman" w:hAnsi="Times New Roman" w:cs="Times New Roman"/>
                <w:color w:val="auto"/>
                <w:sz w:val="24"/>
                <w:szCs w:val="24"/>
                <w:u w:val="none" w:color="auto"/>
                <w:lang w:val="en-US" w:eastAsia="zh-CN"/>
              </w:rPr>
              <w:t>本项目建设</w:t>
            </w:r>
            <w:r>
              <w:rPr>
                <w:rFonts w:hint="default" w:ascii="Times New Roman" w:hAnsi="Times New Roman" w:cs="Times New Roman"/>
                <w:color w:val="auto"/>
                <w:sz w:val="24"/>
                <w:szCs w:val="24"/>
                <w:u w:val="none" w:color="auto"/>
                <w:lang w:eastAsia="zh-CN"/>
              </w:rPr>
              <w:t>施工期大气污染的产生源主要有：</w:t>
            </w:r>
            <w:r>
              <w:rPr>
                <w:rFonts w:hint="default" w:ascii="Times New Roman" w:hAnsi="Times New Roman" w:cs="Times New Roman"/>
                <w:color w:val="auto"/>
                <w:sz w:val="24"/>
                <w:szCs w:val="24"/>
                <w:u w:val="none" w:color="auto"/>
                <w:lang w:val="en-US" w:eastAsia="zh-CN"/>
              </w:rPr>
              <w:t>土石方工程、</w:t>
            </w:r>
            <w:r>
              <w:rPr>
                <w:rFonts w:hint="default" w:ascii="Times New Roman" w:hAnsi="Times New Roman" w:cs="Times New Roman"/>
                <w:color w:val="auto"/>
                <w:sz w:val="24"/>
                <w:szCs w:val="24"/>
                <w:u w:val="none" w:color="auto"/>
                <w:lang w:eastAsia="zh-CN"/>
              </w:rPr>
              <w:t>开挖基础、运输车辆和施工机械等产生扬尘；</w:t>
            </w:r>
            <w:r>
              <w:rPr>
                <w:rFonts w:hint="eastAsia" w:ascii="Times New Roman" w:hAnsi="Times New Roman" w:cs="Times New Roman"/>
                <w:color w:val="auto"/>
                <w:u w:val="none" w:color="auto"/>
                <w:lang w:val="en-US" w:eastAsia="zh-CN"/>
              </w:rPr>
              <w:t>拆除原构筑物、</w:t>
            </w:r>
            <w:r>
              <w:rPr>
                <w:rFonts w:hint="default" w:ascii="Times New Roman" w:hAnsi="Times New Roman" w:cs="Times New Roman"/>
                <w:color w:val="auto"/>
                <w:sz w:val="24"/>
                <w:szCs w:val="24"/>
                <w:u w:val="none" w:color="auto"/>
                <w:lang w:eastAsia="zh-CN"/>
              </w:rPr>
              <w:t>运输车辆和施工机械等产生扬尘</w:t>
            </w:r>
            <w:r>
              <w:rPr>
                <w:rFonts w:hint="eastAsia" w:ascii="Times New Roman" w:hAnsi="Times New Roman" w:cs="Times New Roman"/>
                <w:color w:val="auto"/>
                <w:sz w:val="24"/>
                <w:szCs w:val="24"/>
                <w:u w:val="none" w:color="auto"/>
                <w:lang w:eastAsia="zh-CN"/>
              </w:rPr>
              <w:t>；</w:t>
            </w:r>
            <w:r>
              <w:rPr>
                <w:rFonts w:hint="default" w:ascii="Times New Roman" w:hAnsi="Times New Roman" w:cs="Times New Roman"/>
                <w:color w:val="auto"/>
                <w:sz w:val="24"/>
                <w:szCs w:val="24"/>
                <w:u w:val="none" w:color="auto"/>
                <w:lang w:eastAsia="zh-CN"/>
              </w:rPr>
              <w:t>建筑材料(水泥、石灰、砂石料)的运输、装卸、储存和使用过程产生扬尘；各类施工机械和运输车辆所排放的废气等。</w:t>
            </w:r>
          </w:p>
          <w:p w14:paraId="2451CF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b/>
                <w:bCs/>
                <w:color w:val="auto"/>
                <w:sz w:val="24"/>
                <w:szCs w:val="24"/>
                <w:u w:val="none" w:color="auto"/>
                <w:lang w:val="en-US" w:eastAsia="zh-CN"/>
              </w:rPr>
            </w:pPr>
            <w:r>
              <w:rPr>
                <w:rFonts w:hint="eastAsia" w:ascii="Times New Roman" w:hAnsi="Times New Roman" w:cs="Times New Roman"/>
                <w:b/>
                <w:bCs/>
                <w:color w:val="auto"/>
                <w:sz w:val="24"/>
                <w:szCs w:val="24"/>
                <w:u w:val="none" w:color="auto"/>
                <w:lang w:val="en-US" w:eastAsia="zh-CN"/>
              </w:rPr>
              <w:t>（1）施工扬尘</w:t>
            </w:r>
          </w:p>
          <w:p w14:paraId="6332E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①土石方开挖和裸露场地的风力扬尘</w:t>
            </w:r>
          </w:p>
          <w:p w14:paraId="235A3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本工程土石方开挖在短时间内产尘量较大，对现场施工人员将产生不利影响；项目表土清理过程及道路施工区域施工时将造成大面积地表裸露，在气候干燥又有风的情况下，会产生扬尘，同时土方清运过程也会扬起少量扬尘。</w:t>
            </w:r>
          </w:p>
          <w:p w14:paraId="2B279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②拆除原构筑物扬尘</w:t>
            </w:r>
          </w:p>
          <w:p w14:paraId="63068E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本工程拆除原构筑物</w:t>
            </w:r>
            <w:r>
              <w:rPr>
                <w:rFonts w:hint="eastAsia" w:cs="Times New Roman"/>
                <w:bCs/>
                <w:color w:val="auto"/>
                <w:sz w:val="24"/>
                <w:u w:val="none" w:color="auto"/>
                <w:lang w:val="en-US" w:eastAsia="zh-CN"/>
              </w:rPr>
              <w:t>（主要是拆除道路、树池和团洲花园铺装拆除）</w:t>
            </w:r>
            <w:r>
              <w:rPr>
                <w:rFonts w:hint="eastAsia" w:ascii="Times New Roman" w:hAnsi="Times New Roman" w:eastAsia="宋体" w:cs="Times New Roman"/>
                <w:bCs/>
                <w:color w:val="auto"/>
                <w:sz w:val="24"/>
                <w:u w:val="none" w:color="auto"/>
                <w:lang w:val="en-US" w:eastAsia="zh-CN"/>
              </w:rPr>
              <w:t>过程中在短时间内产尘量较大，对现场施工人员将产生不利影响；建筑垃圾清运工程中，在气候干燥又有风的情况下，会产生扬尘，同时土方清运过程也会扬起少量扬尘。</w:t>
            </w:r>
          </w:p>
          <w:p w14:paraId="3275C0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③运输扬尘</w:t>
            </w:r>
          </w:p>
          <w:p w14:paraId="2484AE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运输扬尘主要是由施工车辆在运输施工材料而引起，引起道路扬尘的因素较多，主要跟车辆行驶速度、风速、路面积尘量和路面积尘湿度有关，其中风速还直接影响到扬尘的传输距离，尤其遇到干旱少雨季节，更为严重，将对周围环境带来一定的影响。</w:t>
            </w:r>
          </w:p>
          <w:p w14:paraId="60DE14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default" w:ascii="Times New Roman" w:hAnsi="Times New Roman" w:eastAsia="宋体" w:cs="Times New Roman"/>
                <w:bCs/>
                <w:color w:val="auto"/>
                <w:sz w:val="24"/>
                <w:u w:val="none" w:color="auto"/>
                <w:lang w:val="en-US" w:eastAsia="zh-CN"/>
              </w:rPr>
              <w:t>④</w:t>
            </w:r>
            <w:r>
              <w:rPr>
                <w:rFonts w:hint="eastAsia" w:ascii="Times New Roman" w:hAnsi="Times New Roman" w:eastAsia="宋体" w:cs="Times New Roman"/>
                <w:bCs/>
                <w:color w:val="auto"/>
                <w:sz w:val="24"/>
                <w:u w:val="none" w:color="auto"/>
                <w:lang w:val="en-US" w:eastAsia="zh-CN"/>
              </w:rPr>
              <w:t>堆场扬尘</w:t>
            </w:r>
          </w:p>
          <w:p w14:paraId="1EECB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u w:val="none" w:color="auto"/>
                <w:lang w:val="en-US" w:eastAsia="zh-CN"/>
              </w:rPr>
            </w:pPr>
            <w:r>
              <w:rPr>
                <w:rFonts w:hint="eastAsia" w:ascii="Times New Roman" w:hAnsi="Times New Roman" w:eastAsia="宋体" w:cs="Times New Roman"/>
                <w:bCs/>
                <w:color w:val="auto"/>
                <w:sz w:val="24"/>
                <w:u w:val="none" w:color="auto"/>
                <w:lang w:val="en-US" w:eastAsia="zh-CN"/>
              </w:rPr>
              <w:t>堆场物料的种类、性质及堆场风速与起尘量关系密切，比重小的物料容易受扰动而起尘，物料中细小颗粒比例大时起尘量相应也大。堆场的扬尘包括料堆的风吹扬尘、装卸扬尘和过往车辆引起路面积尘二次扬尘等，均易产生较大的尘污染，对周围环境带来一定的影响。</w:t>
            </w:r>
          </w:p>
          <w:p w14:paraId="54E81F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b/>
                <w:bCs/>
                <w:color w:val="auto"/>
                <w:sz w:val="24"/>
                <w:szCs w:val="24"/>
                <w:u w:val="none" w:color="auto"/>
                <w:lang w:val="en-US" w:eastAsia="zh-CN"/>
              </w:rPr>
            </w:pPr>
            <w:r>
              <w:rPr>
                <w:rFonts w:hint="eastAsia" w:ascii="Times New Roman" w:hAnsi="Times New Roman" w:cs="Times New Roman"/>
                <w:b/>
                <w:bCs/>
                <w:color w:val="auto"/>
                <w:sz w:val="24"/>
                <w:szCs w:val="24"/>
                <w:u w:val="none" w:color="auto"/>
                <w:lang w:val="en-US" w:eastAsia="zh-CN"/>
              </w:rPr>
              <w:t>（</w:t>
            </w:r>
            <w:r>
              <w:rPr>
                <w:rFonts w:hint="default" w:ascii="Times New Roman" w:hAnsi="Times New Roman" w:cs="Times New Roman"/>
                <w:b/>
                <w:bCs/>
                <w:color w:val="auto"/>
                <w:sz w:val="24"/>
                <w:szCs w:val="24"/>
                <w:u w:val="none" w:color="auto"/>
                <w:lang w:val="en-US" w:eastAsia="zh-CN"/>
              </w:rPr>
              <w:t>2</w:t>
            </w:r>
            <w:r>
              <w:rPr>
                <w:rFonts w:hint="eastAsia" w:ascii="Times New Roman" w:hAnsi="Times New Roman" w:cs="Times New Roman"/>
                <w:b/>
                <w:bCs/>
                <w:color w:val="auto"/>
                <w:sz w:val="24"/>
                <w:szCs w:val="24"/>
                <w:u w:val="none" w:color="auto"/>
                <w:lang w:val="en-US" w:eastAsia="zh-CN"/>
              </w:rPr>
              <w:t>）施工废气</w:t>
            </w:r>
          </w:p>
          <w:p w14:paraId="676B77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①机械燃油废气</w:t>
            </w:r>
          </w:p>
          <w:p w14:paraId="3666D7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施工机械废气主要由施工燃油机械和运输车辆产生，污染物主要为</w:t>
            </w:r>
            <w:r>
              <w:rPr>
                <w:rFonts w:hint="default" w:ascii="Times New Roman" w:hAnsi="Times New Roman" w:cs="Times New Roman"/>
                <w:color w:val="auto"/>
                <w:sz w:val="24"/>
                <w:szCs w:val="24"/>
                <w:u w:val="none" w:color="auto"/>
                <w:lang w:val="en-US" w:eastAsia="zh-CN"/>
              </w:rPr>
              <w:t>CO</w:t>
            </w:r>
            <w:r>
              <w:rPr>
                <w:rFonts w:hint="eastAsia" w:ascii="Times New Roman" w:hAnsi="Times New Roman" w:cs="Times New Roman"/>
                <w:color w:val="auto"/>
                <w:sz w:val="24"/>
                <w:szCs w:val="24"/>
                <w:u w:val="none" w:color="auto"/>
                <w:lang w:val="en-US" w:eastAsia="zh-CN"/>
              </w:rPr>
              <w:t>、</w:t>
            </w:r>
            <w:r>
              <w:rPr>
                <w:rFonts w:hint="default" w:ascii="Times New Roman" w:hAnsi="Times New Roman" w:cs="Times New Roman"/>
                <w:color w:val="auto"/>
                <w:sz w:val="24"/>
                <w:szCs w:val="24"/>
                <w:u w:val="none" w:color="auto"/>
                <w:lang w:val="en-US" w:eastAsia="zh-CN"/>
              </w:rPr>
              <w:t>NOx</w:t>
            </w:r>
            <w:r>
              <w:rPr>
                <w:rFonts w:hint="eastAsia" w:ascii="Times New Roman" w:hAnsi="Times New Roman" w:cs="Times New Roman"/>
                <w:color w:val="auto"/>
                <w:sz w:val="24"/>
                <w:szCs w:val="24"/>
                <w:u w:val="none" w:color="auto"/>
                <w:lang w:val="en-US" w:eastAsia="zh-CN"/>
              </w:rPr>
              <w:t>和</w:t>
            </w:r>
            <w:r>
              <w:rPr>
                <w:rFonts w:hint="default" w:ascii="Times New Roman" w:hAnsi="Times New Roman" w:cs="Times New Roman"/>
                <w:color w:val="auto"/>
                <w:sz w:val="24"/>
                <w:szCs w:val="24"/>
                <w:u w:val="none" w:color="auto"/>
                <w:lang w:val="en-US" w:eastAsia="zh-CN"/>
              </w:rPr>
              <w:t>THC</w:t>
            </w:r>
            <w:r>
              <w:rPr>
                <w:rFonts w:hint="eastAsia" w:ascii="Times New Roman" w:hAnsi="Times New Roman" w:cs="Times New Roman"/>
                <w:color w:val="auto"/>
                <w:sz w:val="24"/>
                <w:szCs w:val="24"/>
                <w:u w:val="none" w:color="auto"/>
                <w:lang w:val="en-US" w:eastAsia="zh-CN"/>
              </w:rPr>
              <w:t>等。由于工程施工时间不长，施工机械数量有限，燃油废气排放量相对较小且呈面源污染形式，尾气扩散范围有限，施工机械设备施工作业时对环境空气的影响范围主要局限于施工区内，预计影响范围仅限于下风向</w:t>
            </w:r>
            <w:r>
              <w:rPr>
                <w:rFonts w:hint="default" w:ascii="Times New Roman" w:hAnsi="Times New Roman" w:cs="Times New Roman"/>
                <w:color w:val="auto"/>
                <w:sz w:val="24"/>
                <w:szCs w:val="24"/>
                <w:u w:val="none" w:color="auto"/>
                <w:lang w:val="en-US" w:eastAsia="zh-CN"/>
              </w:rPr>
              <w:t>20</w:t>
            </w:r>
            <w:r>
              <w:rPr>
                <w:rFonts w:hint="eastAsia" w:ascii="Times New Roman" w:hAnsi="Times New Roman" w:cs="Times New Roman"/>
                <w:color w:val="auto"/>
                <w:sz w:val="24"/>
                <w:szCs w:val="24"/>
                <w:u w:val="none" w:color="auto"/>
                <w:lang w:val="en-US" w:eastAsia="zh-CN"/>
              </w:rPr>
              <w:t>~</w:t>
            </w:r>
            <w:r>
              <w:rPr>
                <w:rFonts w:hint="default" w:ascii="Times New Roman" w:hAnsi="Times New Roman" w:cs="Times New Roman"/>
                <w:color w:val="auto"/>
                <w:sz w:val="24"/>
                <w:szCs w:val="24"/>
                <w:u w:val="none" w:color="auto"/>
                <w:lang w:val="en-US" w:eastAsia="zh-CN"/>
              </w:rPr>
              <w:t>30m</w:t>
            </w:r>
            <w:r>
              <w:rPr>
                <w:rFonts w:hint="eastAsia" w:ascii="Times New Roman" w:hAnsi="Times New Roman" w:cs="Times New Roman"/>
                <w:color w:val="auto"/>
                <w:sz w:val="24"/>
                <w:szCs w:val="24"/>
                <w:u w:val="none" w:color="auto"/>
                <w:lang w:val="en-US" w:eastAsia="zh-CN"/>
              </w:rPr>
              <w:t>范围内，同时废气污染源具有间歇性和流动性，且施工区域较为开阔，有利于空气扩散。</w:t>
            </w:r>
          </w:p>
          <w:p w14:paraId="38A239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因此，施工燃油机械和运输车辆产生的燃油废气在空气中经自然扩散和稀释后，对评价区域环境空气质量影响较小。</w:t>
            </w:r>
          </w:p>
          <w:p w14:paraId="61FEA6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0"/>
              <w:jc w:val="left"/>
              <w:textAlignment w:val="auto"/>
              <w:rPr>
                <w:rFonts w:hint="eastAsia"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②柴油发电机尾气</w:t>
            </w:r>
          </w:p>
          <w:p w14:paraId="20C20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2" w:firstLineChars="0"/>
              <w:jc w:val="left"/>
              <w:textAlignment w:val="auto"/>
              <w:rPr>
                <w:rFonts w:hint="eastAsia" w:ascii="Times New Roman" w:hAnsi="Times New Roman"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本项目柴油发电机为备用，使用频率较少，因此柴油发电机尾气较少，项目所在地较为开阔，经过自然扩散后对周围环境空气影响较小。</w:t>
            </w:r>
          </w:p>
          <w:p w14:paraId="1122C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2" w:firstLineChars="0"/>
              <w:jc w:val="left"/>
              <w:textAlignment w:val="auto"/>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cs="Times New Roman"/>
                <w:color w:val="auto"/>
                <w:sz w:val="24"/>
                <w:szCs w:val="24"/>
                <w:u w:val="none" w:color="auto"/>
                <w:lang w:val="en-US" w:eastAsia="zh-CN"/>
              </w:rPr>
              <w:t>③</w:t>
            </w:r>
            <w:r>
              <w:rPr>
                <w:rFonts w:hint="eastAsia" w:ascii="Times New Roman" w:hAnsi="Times New Roman" w:eastAsia="宋体" w:cs="Times New Roman"/>
                <w:color w:val="auto"/>
                <w:sz w:val="24"/>
                <w:szCs w:val="24"/>
                <w:u w:val="none" w:color="auto"/>
                <w:lang w:val="en-US" w:eastAsia="zh-CN"/>
              </w:rPr>
              <w:t>拆除过程粉尘</w:t>
            </w:r>
          </w:p>
          <w:p w14:paraId="0F621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bCs/>
                <w:color w:val="auto"/>
                <w:sz w:val="24"/>
                <w:u w:val="none" w:color="auto"/>
                <w:lang w:val="en-US" w:eastAsia="zh-CN"/>
              </w:rPr>
              <w:t>本工程拆除原构筑物过程中产生的粉尘</w:t>
            </w:r>
            <w:r>
              <w:rPr>
                <w:rFonts w:hint="eastAsia" w:ascii="Times New Roman" w:hAnsi="Times New Roman" w:eastAsia="宋体" w:cs="Times New Roman"/>
                <w:color w:val="auto"/>
                <w:sz w:val="24"/>
                <w:szCs w:val="24"/>
                <w:u w:val="none" w:color="auto"/>
                <w:lang w:val="en-US" w:eastAsia="zh-CN"/>
              </w:rPr>
              <w:t>经自然沉降对环境影响较小。建设单位必须采取相应的施工作业污染防治措施，若施工单位不采取相应污染措施，将会增加局部范围的TSP浓度增加。</w:t>
            </w:r>
          </w:p>
          <w:p w14:paraId="6E3C2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为保护大气环境，降低施工扬尘产生量，减少其对环境敏感点的影响，</w:t>
            </w:r>
            <w:r>
              <w:rPr>
                <w:rFonts w:hint="eastAsia" w:ascii="Times New Roman" w:hAnsi="Times New Roman" w:eastAsia="宋体" w:cs="Times New Roman"/>
                <w:color w:val="auto"/>
                <w:sz w:val="24"/>
                <w:szCs w:val="24"/>
                <w:u w:val="none" w:color="auto"/>
                <w:lang w:val="en-US" w:eastAsia="zh-CN"/>
              </w:rPr>
              <w:t>环评对施工单位提出了一系列严格且细致的要求</w:t>
            </w:r>
            <w:r>
              <w:rPr>
                <w:rFonts w:hint="eastAsia" w:ascii="Times New Roman" w:hAnsi="Times New Roman" w:eastAsia="宋体" w:cs="Times New Roman"/>
                <w:color w:val="auto"/>
                <w:sz w:val="24"/>
                <w:szCs w:val="24"/>
                <w:u w:val="none" w:color="auto"/>
                <w:lang w:val="en-US" w:eastAsia="zh-CN"/>
              </w:rPr>
              <w:t>。在运输管理方面，施工单位需固定建材运输路线，并在运输道路上适时进行洒水抑尘作业。同时，在原构建筑物拆除过程中，也要同步开展洒水抑尘工作，从源头上减少扬尘的产生。施工单位应秉持科学施工、文明施工的理念，当风速大于3m/s时，必须停止施工。施工原材料堆放场需配备防风、防雨、防扬散的配套措施，并且要定期对施工场地周围进行洒水，严格控制扬尘的扩散。在围挡设置上，施工时工地边界需设置2米以上的围挡。考虑到</w:t>
            </w:r>
            <w:r>
              <w:rPr>
                <w:rFonts w:hint="eastAsia" w:cs="Times New Roman"/>
                <w:color w:val="auto"/>
                <w:sz w:val="24"/>
                <w:szCs w:val="24"/>
                <w:u w:val="none" w:color="auto"/>
                <w:lang w:val="en-US" w:eastAsia="zh-CN"/>
              </w:rPr>
              <w:t>周边居民点</w:t>
            </w:r>
            <w:r>
              <w:rPr>
                <w:rFonts w:hint="eastAsia" w:ascii="Times New Roman" w:hAnsi="Times New Roman" w:eastAsia="宋体" w:cs="Times New Roman"/>
                <w:color w:val="auto"/>
                <w:sz w:val="24"/>
                <w:szCs w:val="24"/>
                <w:u w:val="none" w:color="auto"/>
                <w:lang w:val="en-US" w:eastAsia="zh-CN"/>
              </w:rPr>
              <w:t>等敏感区域，应根据实际情况适当增加围挡高度，以增强围挡对扬尘的阻隔效果。对于施工车辆，在施工场地必须实施限速行驶，以减少因车辆行驶产生的扬尘。对于堆土，要采取覆盖防尘布、覆盖防尘网等措施，并配合定期洒水，有效防止风蚀起尘。</w:t>
            </w:r>
          </w:p>
          <w:p w14:paraId="4D2719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④</w:t>
            </w:r>
            <w:r>
              <w:rPr>
                <w:rFonts w:hint="eastAsia" w:ascii="Times New Roman" w:hAnsi="Times New Roman" w:eastAsia="宋体" w:cs="Times New Roman"/>
                <w:color w:val="auto"/>
                <w:sz w:val="24"/>
                <w:szCs w:val="24"/>
                <w:u w:val="none" w:color="auto"/>
                <w:lang w:val="en-US" w:eastAsia="zh-CN"/>
              </w:rPr>
              <w:t>沥青烟的影响分析</w:t>
            </w:r>
          </w:p>
          <w:p w14:paraId="2E16C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本工程全部使用商品沥青混凝土，采用热送、现场热铺工艺，现场不设沥青熔融、拌和，仅在热铺工艺过程中可能产生少量沥青烟。根据国内其他城市道路施工情况可知，采用商品沥青铺设路面时沥青烟基本不会对距离路边</w:t>
            </w:r>
            <w:r>
              <w:rPr>
                <w:rFonts w:hint="default" w:ascii="Times New Roman" w:hAnsi="Times New Roman" w:eastAsia="宋体" w:cs="Times New Roman"/>
                <w:color w:val="auto"/>
                <w:sz w:val="24"/>
                <w:szCs w:val="24"/>
                <w:u w:val="none" w:color="auto"/>
                <w:lang w:val="en-US" w:eastAsia="zh-CN"/>
              </w:rPr>
              <w:t>50m</w:t>
            </w:r>
            <w:r>
              <w:rPr>
                <w:rFonts w:hint="eastAsia" w:ascii="Times New Roman" w:hAnsi="Times New Roman" w:eastAsia="宋体" w:cs="Times New Roman"/>
                <w:color w:val="auto"/>
                <w:sz w:val="24"/>
                <w:szCs w:val="24"/>
                <w:u w:val="none" w:color="auto"/>
                <w:lang w:val="en-US" w:eastAsia="zh-CN"/>
              </w:rPr>
              <w:t>以外区域产生明显影响。只要在工程建设中合理调度，缩短沥青运输车辆在现场等待时间，就可以进一步降低沥青烟的排放量。道路施工期的沥青烟会对工程沿线的环境空气质量产生一定影响，本工程路面沥青铺设施工周期较短，沥青烟的影响也随着施工的结束而消失。</w:t>
            </w:r>
          </w:p>
          <w:p w14:paraId="2FE796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通过落实上述一系列措施，评价认为施工期扬尘不会对周围环境，尤其是对周边的居民造成明显影响。</w:t>
            </w:r>
          </w:p>
          <w:p w14:paraId="1EE508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3</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施工期声环境影响分析</w:t>
            </w:r>
          </w:p>
          <w:p w14:paraId="69D19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color w:val="auto"/>
                <w:sz w:val="24"/>
                <w:u w:val="none" w:color="auto"/>
                <w:lang w:eastAsia="zh-CN"/>
              </w:rPr>
            </w:pPr>
            <w:r>
              <w:rPr>
                <w:rFonts w:hint="default" w:ascii="Times New Roman" w:hAnsi="Times New Roman" w:eastAsia="宋体" w:cs="Times New Roman"/>
                <w:color w:val="auto"/>
                <w:sz w:val="24"/>
                <w:szCs w:val="24"/>
                <w:u w:val="none" w:color="auto"/>
              </w:rPr>
              <w:t>本项目施工期噪声主要有施工机械噪声和运输车辆噪声。施工机械主要</w:t>
            </w:r>
            <w:r>
              <w:rPr>
                <w:rFonts w:hint="eastAsia" w:ascii="Times New Roman" w:hAnsi="Times New Roman" w:eastAsia="宋体" w:cs="Times New Roman"/>
                <w:color w:val="auto"/>
                <w:sz w:val="24"/>
                <w:szCs w:val="24"/>
                <w:u w:val="none" w:color="auto"/>
                <w:lang w:eastAsia="zh-CN"/>
              </w:rPr>
              <w:t>包括</w:t>
            </w:r>
            <w:r>
              <w:rPr>
                <w:rFonts w:hint="default" w:ascii="Times New Roman" w:hAnsi="Times New Roman" w:eastAsia="宋体" w:cs="Times New Roman"/>
                <w:color w:val="auto"/>
                <w:sz w:val="24"/>
                <w:szCs w:val="24"/>
                <w:u w:val="none" w:color="auto"/>
              </w:rPr>
              <w:t>：挖掘机、推土机、运输汽车、</w:t>
            </w:r>
            <w:r>
              <w:rPr>
                <w:rFonts w:hint="eastAsia" w:ascii="Times New Roman" w:hAnsi="Times New Roman" w:eastAsia="宋体" w:cs="Times New Roman"/>
                <w:color w:val="auto"/>
                <w:sz w:val="24"/>
                <w:szCs w:val="24"/>
                <w:u w:val="none" w:color="auto"/>
                <w:lang w:eastAsia="zh-CN"/>
              </w:rPr>
              <w:t>手风钻</w:t>
            </w:r>
            <w:r>
              <w:rPr>
                <w:rFonts w:hint="default" w:ascii="Times New Roman" w:hAnsi="Times New Roman" w:eastAsia="宋体" w:cs="Times New Roman"/>
                <w:color w:val="auto"/>
                <w:sz w:val="24"/>
                <w:szCs w:val="24"/>
                <w:u w:val="none" w:color="auto"/>
              </w:rPr>
              <w:t>、水泵、空压机等，其噪声源强约80-90dB(A)</w:t>
            </w:r>
            <w:r>
              <w:rPr>
                <w:rFonts w:hint="eastAsia" w:ascii="Times New Roman" w:hAnsi="Times New Roman" w:eastAsia="宋体" w:cs="Times New Roman"/>
                <w:color w:val="auto"/>
                <w:sz w:val="24"/>
                <w:szCs w:val="24"/>
                <w:u w:val="none" w:color="auto"/>
                <w:lang w:eastAsia="zh-CN"/>
              </w:rPr>
              <w:t>，上述</w:t>
            </w:r>
            <w:r>
              <w:rPr>
                <w:rFonts w:hint="default" w:ascii="Times New Roman" w:hAnsi="Times New Roman" w:eastAsia="宋体" w:cs="Times New Roman"/>
                <w:color w:val="auto"/>
                <w:sz w:val="24"/>
                <w:szCs w:val="24"/>
                <w:u w:val="none" w:color="auto"/>
              </w:rPr>
              <w:t>施工</w:t>
            </w:r>
            <w:r>
              <w:rPr>
                <w:rFonts w:hint="eastAsia" w:ascii="Times New Roman" w:hAnsi="Times New Roman" w:eastAsia="宋体" w:cs="Times New Roman"/>
                <w:color w:val="auto"/>
                <w:sz w:val="24"/>
                <w:szCs w:val="24"/>
                <w:u w:val="none" w:color="auto"/>
                <w:lang w:eastAsia="zh-CN"/>
              </w:rPr>
              <w:t>机械</w:t>
            </w:r>
            <w:r>
              <w:rPr>
                <w:rFonts w:hint="default" w:ascii="Times New Roman" w:hAnsi="Times New Roman" w:eastAsia="宋体" w:cs="Times New Roman"/>
                <w:color w:val="auto"/>
                <w:sz w:val="24"/>
                <w:szCs w:val="24"/>
                <w:u w:val="none" w:color="auto"/>
              </w:rPr>
              <w:t>噪声将对周围环境产生一定的影响。</w:t>
            </w:r>
            <w:r>
              <w:rPr>
                <w:rFonts w:hint="default" w:ascii="Times New Roman" w:hAnsi="Times New Roman" w:cs="Times New Roman"/>
                <w:color w:val="auto"/>
                <w:sz w:val="24"/>
                <w:u w:val="none" w:color="auto"/>
              </w:rPr>
              <w:t>根据常用机械的实测资料，其污染源强见</w:t>
            </w:r>
            <w:r>
              <w:rPr>
                <w:rFonts w:hint="eastAsia" w:ascii="Times New Roman" w:hAnsi="Times New Roman" w:cs="Times New Roman"/>
                <w:color w:val="auto"/>
                <w:sz w:val="24"/>
                <w:u w:val="none" w:color="auto"/>
                <w:lang w:eastAsia="zh-CN"/>
              </w:rPr>
              <w:t>下</w:t>
            </w:r>
            <w:r>
              <w:rPr>
                <w:rFonts w:hint="default" w:ascii="Times New Roman" w:hAnsi="Times New Roman" w:cs="Times New Roman"/>
                <w:color w:val="auto"/>
                <w:sz w:val="24"/>
                <w:u w:val="none" w:color="auto"/>
              </w:rPr>
              <w:t>表</w:t>
            </w:r>
            <w:r>
              <w:rPr>
                <w:rFonts w:hint="eastAsia" w:ascii="Times New Roman" w:hAnsi="Times New Roman" w:cs="Times New Roman"/>
                <w:color w:val="auto"/>
                <w:sz w:val="24"/>
                <w:u w:val="none" w:color="auto"/>
                <w:lang w:eastAsia="zh-CN"/>
              </w:rPr>
              <w:t>：</w:t>
            </w:r>
          </w:p>
          <w:p w14:paraId="17A932F9">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color="auto"/>
                <w:lang w:eastAsia="zh-CN"/>
              </w:rPr>
            </w:pPr>
            <w:r>
              <w:rPr>
                <w:rFonts w:hint="default" w:ascii="Times New Roman" w:hAnsi="Times New Roman" w:eastAsia="宋体" w:cs="Times New Roman"/>
                <w:b/>
                <w:bCs/>
                <w:color w:val="auto"/>
                <w:szCs w:val="21"/>
                <w:highlight w:val="none"/>
                <w:u w:val="none" w:color="auto"/>
              </w:rPr>
              <w:t>表</w:t>
            </w:r>
            <w:r>
              <w:rPr>
                <w:rFonts w:hint="eastAsia" w:ascii="Times New Roman" w:hAnsi="Times New Roman" w:eastAsia="宋体" w:cs="Times New Roman"/>
                <w:b/>
                <w:bCs/>
                <w:color w:val="auto"/>
                <w:szCs w:val="21"/>
                <w:highlight w:val="none"/>
                <w:u w:val="none" w:color="auto"/>
              </w:rPr>
              <w:t>4</w:t>
            </w:r>
            <w:r>
              <w:rPr>
                <w:rFonts w:hint="default" w:ascii="Times New Roman" w:hAnsi="Times New Roman" w:eastAsia="宋体" w:cs="Times New Roman"/>
                <w:b/>
                <w:bCs/>
                <w:color w:val="auto"/>
                <w:szCs w:val="21"/>
                <w:highlight w:val="none"/>
                <w:u w:val="none" w:color="auto"/>
              </w:rPr>
              <w:t>-</w:t>
            </w:r>
            <w:r>
              <w:rPr>
                <w:rFonts w:hint="eastAsia" w:ascii="Times New Roman" w:hAnsi="Times New Roman" w:eastAsia="宋体" w:cs="Times New Roman"/>
                <w:b/>
                <w:bCs/>
                <w:color w:val="auto"/>
                <w:szCs w:val="21"/>
                <w:highlight w:val="none"/>
                <w:u w:val="none" w:color="auto"/>
                <w:lang w:val="en-US" w:eastAsia="zh-CN"/>
              </w:rPr>
              <w:t>1</w:t>
            </w:r>
            <w:r>
              <w:rPr>
                <w:rFonts w:hint="eastAsia" w:ascii="Times New Roman" w:hAnsi="Times New Roman" w:eastAsia="宋体" w:cs="Times New Roman"/>
                <w:b/>
                <w:bCs/>
                <w:color w:val="auto"/>
                <w:szCs w:val="21"/>
                <w:highlight w:val="none"/>
                <w:u w:val="none" w:color="auto"/>
              </w:rPr>
              <w:t>工程施工</w:t>
            </w:r>
            <w:r>
              <w:rPr>
                <w:rFonts w:hint="eastAsia" w:ascii="Times New Roman" w:hAnsi="Times New Roman" w:eastAsia="宋体" w:cs="Times New Roman"/>
                <w:b/>
                <w:bCs/>
                <w:color w:val="auto"/>
                <w:szCs w:val="21"/>
                <w:highlight w:val="none"/>
                <w:u w:val="none" w:color="auto"/>
                <w:lang w:eastAsia="zh-CN"/>
              </w:rPr>
              <w:t>机械</w:t>
            </w:r>
            <w:r>
              <w:rPr>
                <w:rFonts w:hint="eastAsia" w:ascii="Times New Roman" w:hAnsi="Times New Roman" w:eastAsia="宋体" w:cs="Times New Roman"/>
                <w:b/>
                <w:bCs/>
                <w:color w:val="auto"/>
                <w:szCs w:val="21"/>
                <w:highlight w:val="none"/>
                <w:u w:val="none" w:color="auto"/>
              </w:rPr>
              <w:t>噪声源</w:t>
            </w:r>
            <w:r>
              <w:rPr>
                <w:rFonts w:hint="eastAsia" w:ascii="Times New Roman" w:hAnsi="Times New Roman" w:eastAsia="宋体" w:cs="Times New Roman"/>
                <w:b/>
                <w:bCs/>
                <w:color w:val="auto"/>
                <w:szCs w:val="21"/>
                <w:highlight w:val="none"/>
                <w:u w:val="none" w:color="auto"/>
                <w:lang w:eastAsia="zh-CN"/>
              </w:rPr>
              <w:t>强</w:t>
            </w:r>
          </w:p>
          <w:tbl>
            <w:tblPr>
              <w:tblStyle w:val="72"/>
              <w:tblW w:w="797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75"/>
              <w:gridCol w:w="3374"/>
              <w:gridCol w:w="2730"/>
            </w:tblGrid>
            <w:tr w14:paraId="3E7FE2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875" w:type="dxa"/>
                  <w:tcBorders>
                    <w:tl2br w:val="nil"/>
                    <w:tr2bl w:val="nil"/>
                  </w:tcBorders>
                  <w:noWrap w:val="0"/>
                  <w:vAlign w:val="top"/>
                </w:tcPr>
                <w:p w14:paraId="43DB9A47">
                  <w:pPr>
                    <w:pStyle w:val="81"/>
                    <w:keepNext w:val="0"/>
                    <w:keepLines w:val="0"/>
                    <w:suppressLineNumbers w:val="0"/>
                    <w:spacing w:before="99" w:beforeAutospacing="0" w:after="0" w:afterAutospacing="0" w:line="240" w:lineRule="auto"/>
                    <w:ind w:left="0" w:right="0"/>
                    <w:jc w:val="center"/>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5"/>
                      <w:sz w:val="21"/>
                      <w:szCs w:val="21"/>
                      <w:u w:val="none" w:color="auto"/>
                    </w:rPr>
                    <w:t>序号</w:t>
                  </w:r>
                </w:p>
              </w:tc>
              <w:tc>
                <w:tcPr>
                  <w:tcW w:w="3374" w:type="dxa"/>
                  <w:tcBorders>
                    <w:tl2br w:val="nil"/>
                    <w:tr2bl w:val="nil"/>
                  </w:tcBorders>
                  <w:noWrap w:val="0"/>
                  <w:vAlign w:val="top"/>
                </w:tcPr>
                <w:p w14:paraId="416FF97A">
                  <w:pPr>
                    <w:pStyle w:val="81"/>
                    <w:keepNext w:val="0"/>
                    <w:keepLines w:val="0"/>
                    <w:suppressLineNumbers w:val="0"/>
                    <w:spacing w:before="99" w:beforeAutospacing="0" w:after="0" w:afterAutospacing="0" w:line="240" w:lineRule="auto"/>
                    <w:ind w:left="0" w:right="0"/>
                    <w:jc w:val="center"/>
                    <w:rPr>
                      <w:rFonts w:hint="eastAsia" w:ascii="Times New Roman" w:hAnsi="Times New Roman" w:eastAsia="宋体" w:cs="Times New Roman"/>
                      <w:b/>
                      <w:bCs/>
                      <w:color w:val="auto"/>
                      <w:sz w:val="21"/>
                      <w:szCs w:val="21"/>
                      <w:u w:val="none" w:color="auto"/>
                      <w:lang w:eastAsia="zh-CN"/>
                    </w:rPr>
                  </w:pPr>
                  <w:r>
                    <w:rPr>
                      <w:rFonts w:hint="default" w:ascii="Times New Roman" w:hAnsi="Times New Roman" w:eastAsia="宋体" w:cs="Times New Roman"/>
                      <w:b/>
                      <w:bCs/>
                      <w:color w:val="auto"/>
                      <w:spacing w:val="5"/>
                      <w:sz w:val="21"/>
                      <w:szCs w:val="21"/>
                      <w:u w:val="none" w:color="auto"/>
                    </w:rPr>
                    <w:t>机械</w:t>
                  </w:r>
                  <w:r>
                    <w:rPr>
                      <w:rFonts w:hint="eastAsia" w:ascii="Times New Roman" w:hAnsi="Times New Roman" w:cs="Times New Roman"/>
                      <w:b/>
                      <w:bCs/>
                      <w:color w:val="auto"/>
                      <w:spacing w:val="5"/>
                      <w:sz w:val="21"/>
                      <w:szCs w:val="21"/>
                      <w:u w:val="none" w:color="auto"/>
                      <w:lang w:eastAsia="zh-CN"/>
                    </w:rPr>
                    <w:t>类型</w:t>
                  </w:r>
                </w:p>
              </w:tc>
              <w:tc>
                <w:tcPr>
                  <w:tcW w:w="2730" w:type="dxa"/>
                  <w:tcBorders>
                    <w:tl2br w:val="nil"/>
                    <w:tr2bl w:val="nil"/>
                  </w:tcBorders>
                  <w:noWrap w:val="0"/>
                  <w:vAlign w:val="top"/>
                </w:tcPr>
                <w:p w14:paraId="662481AC">
                  <w:pPr>
                    <w:pStyle w:val="81"/>
                    <w:keepNext w:val="0"/>
                    <w:keepLines w:val="0"/>
                    <w:suppressLineNumbers w:val="0"/>
                    <w:spacing w:before="99" w:beforeAutospacing="0" w:after="0" w:afterAutospacing="0" w:line="240" w:lineRule="auto"/>
                    <w:ind w:left="0" w:right="0"/>
                    <w:jc w:val="center"/>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3"/>
                      <w:sz w:val="21"/>
                      <w:szCs w:val="21"/>
                      <w:u w:val="none" w:color="auto"/>
                    </w:rPr>
                    <w:t>声级</w:t>
                  </w:r>
                  <w:r>
                    <w:rPr>
                      <w:rFonts w:hint="eastAsia" w:ascii="Times New Roman" w:hAnsi="Times New Roman" w:cs="Times New Roman"/>
                      <w:b/>
                      <w:bCs/>
                      <w:color w:val="auto"/>
                      <w:spacing w:val="3"/>
                      <w:sz w:val="21"/>
                      <w:szCs w:val="21"/>
                      <w:u w:val="none" w:color="auto"/>
                      <w:lang w:val="en-US" w:eastAsia="zh-CN"/>
                    </w:rPr>
                    <w:t>dB(A)</w:t>
                  </w:r>
                </w:p>
              </w:tc>
            </w:tr>
            <w:tr w14:paraId="7343B1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875" w:type="dxa"/>
                  <w:tcBorders>
                    <w:tl2br w:val="nil"/>
                    <w:tr2bl w:val="nil"/>
                  </w:tcBorders>
                  <w:noWrap w:val="0"/>
                  <w:vAlign w:val="top"/>
                </w:tcPr>
                <w:p w14:paraId="51DE5615">
                  <w:pPr>
                    <w:keepNext w:val="0"/>
                    <w:keepLines w:val="0"/>
                    <w:suppressLineNumbers w:val="0"/>
                    <w:spacing w:before="129"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1</w:t>
                  </w:r>
                </w:p>
              </w:tc>
              <w:tc>
                <w:tcPr>
                  <w:tcW w:w="3374" w:type="dxa"/>
                  <w:tcBorders>
                    <w:tl2br w:val="nil"/>
                    <w:tr2bl w:val="nil"/>
                  </w:tcBorders>
                  <w:noWrap w:val="0"/>
                  <w:vAlign w:val="top"/>
                </w:tcPr>
                <w:p w14:paraId="436ABF75">
                  <w:pPr>
                    <w:pStyle w:val="81"/>
                    <w:keepNext w:val="0"/>
                    <w:keepLines w:val="0"/>
                    <w:suppressLineNumbers w:val="0"/>
                    <w:spacing w:before="97"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6"/>
                      <w:sz w:val="21"/>
                      <w:szCs w:val="21"/>
                      <w:u w:val="none" w:color="auto"/>
                    </w:rPr>
                    <w:t>挖掘机</w:t>
                  </w:r>
                </w:p>
              </w:tc>
              <w:tc>
                <w:tcPr>
                  <w:tcW w:w="2730" w:type="dxa"/>
                  <w:tcBorders>
                    <w:tl2br w:val="nil"/>
                    <w:tr2bl w:val="nil"/>
                  </w:tcBorders>
                  <w:noWrap w:val="0"/>
                  <w:vAlign w:val="top"/>
                </w:tcPr>
                <w:p w14:paraId="04085044">
                  <w:pPr>
                    <w:keepNext w:val="0"/>
                    <w:keepLines w:val="0"/>
                    <w:suppressLineNumbers w:val="0"/>
                    <w:spacing w:before="129"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1"/>
                      <w:sz w:val="21"/>
                      <w:szCs w:val="21"/>
                      <w:u w:val="none" w:color="auto"/>
                    </w:rPr>
                    <w:t>88</w:t>
                  </w:r>
                </w:p>
              </w:tc>
            </w:tr>
            <w:tr w14:paraId="393DF9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875" w:type="dxa"/>
                  <w:tcBorders>
                    <w:tl2br w:val="nil"/>
                    <w:tr2bl w:val="nil"/>
                  </w:tcBorders>
                  <w:noWrap w:val="0"/>
                  <w:vAlign w:val="top"/>
                </w:tcPr>
                <w:p w14:paraId="2F8B81F2">
                  <w:pPr>
                    <w:keepNext w:val="0"/>
                    <w:keepLines w:val="0"/>
                    <w:suppressLineNumbers w:val="0"/>
                    <w:spacing w:before="128"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2</w:t>
                  </w:r>
                </w:p>
              </w:tc>
              <w:tc>
                <w:tcPr>
                  <w:tcW w:w="3374" w:type="dxa"/>
                  <w:tcBorders>
                    <w:tl2br w:val="nil"/>
                    <w:tr2bl w:val="nil"/>
                  </w:tcBorders>
                  <w:noWrap w:val="0"/>
                  <w:vAlign w:val="top"/>
                </w:tcPr>
                <w:p w14:paraId="5200EEC2">
                  <w:pPr>
                    <w:pStyle w:val="81"/>
                    <w:keepNext w:val="0"/>
                    <w:keepLines w:val="0"/>
                    <w:suppressLineNumbers w:val="0"/>
                    <w:spacing w:before="96"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6"/>
                      <w:sz w:val="21"/>
                      <w:szCs w:val="21"/>
                      <w:u w:val="none" w:color="auto"/>
                    </w:rPr>
                    <w:t>推土机</w:t>
                  </w:r>
                </w:p>
              </w:tc>
              <w:tc>
                <w:tcPr>
                  <w:tcW w:w="2730" w:type="dxa"/>
                  <w:tcBorders>
                    <w:tl2br w:val="nil"/>
                    <w:tr2bl w:val="nil"/>
                  </w:tcBorders>
                  <w:noWrap w:val="0"/>
                  <w:vAlign w:val="top"/>
                </w:tcPr>
                <w:p w14:paraId="47E0460C">
                  <w:pPr>
                    <w:keepNext w:val="0"/>
                    <w:keepLines w:val="0"/>
                    <w:suppressLineNumbers w:val="0"/>
                    <w:spacing w:before="128"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1"/>
                      <w:sz w:val="21"/>
                      <w:szCs w:val="21"/>
                      <w:u w:val="none" w:color="auto"/>
                    </w:rPr>
                    <w:t>85</w:t>
                  </w:r>
                </w:p>
              </w:tc>
            </w:tr>
            <w:tr w14:paraId="65C6E8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875" w:type="dxa"/>
                  <w:tcBorders>
                    <w:tl2br w:val="nil"/>
                    <w:tr2bl w:val="nil"/>
                  </w:tcBorders>
                  <w:noWrap w:val="0"/>
                  <w:vAlign w:val="top"/>
                </w:tcPr>
                <w:p w14:paraId="5F0355ED">
                  <w:pPr>
                    <w:keepNext w:val="0"/>
                    <w:keepLines w:val="0"/>
                    <w:suppressLineNumbers w:val="0"/>
                    <w:spacing w:before="133"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3</w:t>
                  </w:r>
                </w:p>
              </w:tc>
              <w:tc>
                <w:tcPr>
                  <w:tcW w:w="3374" w:type="dxa"/>
                  <w:tcBorders>
                    <w:tl2br w:val="nil"/>
                    <w:tr2bl w:val="nil"/>
                  </w:tcBorders>
                  <w:noWrap w:val="0"/>
                  <w:vAlign w:val="top"/>
                </w:tcPr>
                <w:p w14:paraId="1783699D">
                  <w:pPr>
                    <w:pStyle w:val="81"/>
                    <w:keepNext w:val="0"/>
                    <w:keepLines w:val="0"/>
                    <w:suppressLineNumbers w:val="0"/>
                    <w:spacing w:before="101"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6"/>
                      <w:sz w:val="21"/>
                      <w:szCs w:val="21"/>
                      <w:u w:val="none" w:color="auto"/>
                    </w:rPr>
                    <w:t>运输汽车</w:t>
                  </w:r>
                </w:p>
              </w:tc>
              <w:tc>
                <w:tcPr>
                  <w:tcW w:w="2730" w:type="dxa"/>
                  <w:tcBorders>
                    <w:tl2br w:val="nil"/>
                    <w:tr2bl w:val="nil"/>
                  </w:tcBorders>
                  <w:noWrap w:val="0"/>
                  <w:vAlign w:val="top"/>
                </w:tcPr>
                <w:p w14:paraId="7B91AE05">
                  <w:pPr>
                    <w:keepNext w:val="0"/>
                    <w:keepLines w:val="0"/>
                    <w:suppressLineNumbers w:val="0"/>
                    <w:spacing w:before="133" w:beforeAutospacing="0" w:after="0" w:afterAutospacing="0" w:line="240" w:lineRule="auto"/>
                    <w:ind w:left="0" w:right="0"/>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82</w:t>
                  </w:r>
                </w:p>
              </w:tc>
            </w:tr>
            <w:tr w14:paraId="44343A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1875" w:type="dxa"/>
                  <w:tcBorders>
                    <w:tl2br w:val="nil"/>
                    <w:tr2bl w:val="nil"/>
                  </w:tcBorders>
                  <w:shd w:val="clear" w:color="auto" w:fill="auto"/>
                  <w:noWrap w:val="0"/>
                  <w:vAlign w:val="top"/>
                </w:tcPr>
                <w:p w14:paraId="2174BA24">
                  <w:pPr>
                    <w:keepNext w:val="0"/>
                    <w:keepLines w:val="0"/>
                    <w:suppressLineNumbers w:val="0"/>
                    <w:spacing w:before="131"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color w:val="auto"/>
                      <w:sz w:val="21"/>
                      <w:szCs w:val="21"/>
                      <w:u w:val="none" w:color="auto"/>
                      <w:lang w:val="en-US" w:eastAsia="zh-CN"/>
                    </w:rPr>
                    <w:t>4</w:t>
                  </w:r>
                </w:p>
              </w:tc>
              <w:tc>
                <w:tcPr>
                  <w:tcW w:w="3374" w:type="dxa"/>
                  <w:tcBorders>
                    <w:tl2br w:val="nil"/>
                    <w:tr2bl w:val="nil"/>
                  </w:tcBorders>
                  <w:shd w:val="clear" w:color="auto" w:fill="auto"/>
                  <w:noWrap w:val="0"/>
                  <w:vAlign w:val="top"/>
                </w:tcPr>
                <w:p w14:paraId="05E669B7">
                  <w:pPr>
                    <w:pStyle w:val="81"/>
                    <w:keepNext w:val="0"/>
                    <w:keepLines w:val="0"/>
                    <w:suppressLineNumbers w:val="0"/>
                    <w:spacing w:before="97" w:beforeAutospacing="0" w:after="0" w:afterAutospacing="0" w:line="240" w:lineRule="auto"/>
                    <w:ind w:left="0" w:right="0"/>
                    <w:jc w:val="center"/>
                    <w:rPr>
                      <w:rFonts w:hint="default" w:ascii="Times New Roman" w:hAnsi="Times New Roman" w:eastAsia="宋体" w:cs="Times New Roman"/>
                      <w:color w:val="auto"/>
                      <w:spacing w:val="4"/>
                      <w:kern w:val="2"/>
                      <w:sz w:val="21"/>
                      <w:szCs w:val="21"/>
                      <w:u w:val="none" w:color="auto"/>
                      <w:lang w:val="en-US" w:eastAsia="en-US" w:bidi="ar-SA"/>
                    </w:rPr>
                  </w:pPr>
                  <w:r>
                    <w:rPr>
                      <w:rFonts w:hint="eastAsia" w:ascii="Times New Roman" w:hAnsi="Times New Roman" w:eastAsia="宋体" w:cs="Times New Roman"/>
                      <w:color w:val="auto"/>
                      <w:spacing w:val="4"/>
                      <w:sz w:val="21"/>
                      <w:szCs w:val="21"/>
                      <w:u w:val="none" w:color="auto"/>
                      <w:lang w:eastAsia="zh-CN"/>
                    </w:rPr>
                    <w:t>手风钻</w:t>
                  </w:r>
                </w:p>
              </w:tc>
              <w:tc>
                <w:tcPr>
                  <w:tcW w:w="2730" w:type="dxa"/>
                  <w:tcBorders>
                    <w:tl2br w:val="nil"/>
                    <w:tr2bl w:val="nil"/>
                  </w:tcBorders>
                  <w:shd w:val="clear" w:color="auto" w:fill="auto"/>
                  <w:noWrap w:val="0"/>
                  <w:vAlign w:val="top"/>
                </w:tcPr>
                <w:p w14:paraId="6E595B79">
                  <w:pPr>
                    <w:keepNext w:val="0"/>
                    <w:keepLines w:val="0"/>
                    <w:suppressLineNumbers w:val="0"/>
                    <w:spacing w:before="129"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pacing w:val="-1"/>
                      <w:sz w:val="21"/>
                      <w:szCs w:val="21"/>
                      <w:u w:val="none" w:color="auto"/>
                    </w:rPr>
                    <w:t>88</w:t>
                  </w:r>
                </w:p>
              </w:tc>
            </w:tr>
            <w:tr w14:paraId="77FED4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875" w:type="dxa"/>
                  <w:tcBorders>
                    <w:tl2br w:val="nil"/>
                    <w:tr2bl w:val="nil"/>
                  </w:tcBorders>
                  <w:shd w:val="clear" w:color="auto" w:fill="auto"/>
                  <w:noWrap w:val="0"/>
                  <w:vAlign w:val="top"/>
                </w:tcPr>
                <w:p w14:paraId="7E9BCEEB">
                  <w:pPr>
                    <w:keepNext w:val="0"/>
                    <w:keepLines w:val="0"/>
                    <w:suppressLineNumbers w:val="0"/>
                    <w:spacing w:before="133"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color w:val="auto"/>
                      <w:sz w:val="21"/>
                      <w:szCs w:val="21"/>
                      <w:u w:val="none" w:color="auto"/>
                      <w:lang w:val="en-US" w:eastAsia="zh-CN"/>
                    </w:rPr>
                    <w:t>5</w:t>
                  </w:r>
                </w:p>
              </w:tc>
              <w:tc>
                <w:tcPr>
                  <w:tcW w:w="3374" w:type="dxa"/>
                  <w:tcBorders>
                    <w:tl2br w:val="nil"/>
                    <w:tr2bl w:val="nil"/>
                  </w:tcBorders>
                  <w:shd w:val="clear" w:color="auto" w:fill="auto"/>
                  <w:noWrap w:val="0"/>
                  <w:vAlign w:val="top"/>
                </w:tcPr>
                <w:p w14:paraId="68E26682">
                  <w:pPr>
                    <w:pStyle w:val="81"/>
                    <w:keepNext w:val="0"/>
                    <w:keepLines w:val="0"/>
                    <w:suppressLineNumbers w:val="0"/>
                    <w:spacing w:before="97" w:beforeAutospacing="0" w:after="0" w:afterAutospacing="0" w:line="240" w:lineRule="auto"/>
                    <w:ind w:left="0" w:right="0"/>
                    <w:jc w:val="center"/>
                    <w:rPr>
                      <w:rFonts w:hint="default" w:ascii="Times New Roman" w:hAnsi="Times New Roman" w:eastAsia="宋体" w:cs="Times New Roman"/>
                      <w:color w:val="auto"/>
                      <w:spacing w:val="4"/>
                      <w:kern w:val="2"/>
                      <w:sz w:val="21"/>
                      <w:szCs w:val="21"/>
                      <w:u w:val="none" w:color="auto"/>
                      <w:lang w:val="en-US" w:eastAsia="en-US" w:bidi="ar-SA"/>
                    </w:rPr>
                  </w:pPr>
                  <w:r>
                    <w:rPr>
                      <w:rFonts w:hint="default" w:ascii="Times New Roman" w:hAnsi="Times New Roman" w:eastAsia="宋体" w:cs="Times New Roman"/>
                      <w:color w:val="auto"/>
                      <w:spacing w:val="4"/>
                      <w:sz w:val="21"/>
                      <w:szCs w:val="21"/>
                      <w:u w:val="none" w:color="auto"/>
                    </w:rPr>
                    <w:t>水泵</w:t>
                  </w:r>
                </w:p>
              </w:tc>
              <w:tc>
                <w:tcPr>
                  <w:tcW w:w="2730" w:type="dxa"/>
                  <w:tcBorders>
                    <w:tl2br w:val="nil"/>
                    <w:tr2bl w:val="nil"/>
                  </w:tcBorders>
                  <w:shd w:val="clear" w:color="auto" w:fill="auto"/>
                  <w:noWrap w:val="0"/>
                  <w:vAlign w:val="top"/>
                </w:tcPr>
                <w:p w14:paraId="5EF2A896">
                  <w:pPr>
                    <w:keepNext w:val="0"/>
                    <w:keepLines w:val="0"/>
                    <w:suppressLineNumbers w:val="0"/>
                    <w:spacing w:before="128"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pacing w:val="-2"/>
                      <w:sz w:val="21"/>
                      <w:szCs w:val="21"/>
                      <w:u w:val="none" w:color="auto"/>
                    </w:rPr>
                    <w:t>82</w:t>
                  </w:r>
                </w:p>
              </w:tc>
            </w:tr>
            <w:tr w14:paraId="1CB9C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1875" w:type="dxa"/>
                  <w:tcBorders>
                    <w:tl2br w:val="nil"/>
                    <w:tr2bl w:val="nil"/>
                  </w:tcBorders>
                  <w:shd w:val="clear" w:color="auto" w:fill="auto"/>
                  <w:noWrap w:val="0"/>
                  <w:vAlign w:val="top"/>
                </w:tcPr>
                <w:p w14:paraId="1AFE94A5">
                  <w:pPr>
                    <w:keepNext w:val="0"/>
                    <w:keepLines w:val="0"/>
                    <w:suppressLineNumbers w:val="0"/>
                    <w:spacing w:before="135"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color w:val="auto"/>
                      <w:sz w:val="21"/>
                      <w:szCs w:val="21"/>
                      <w:u w:val="none" w:color="auto"/>
                      <w:lang w:val="en-US" w:eastAsia="zh-CN"/>
                    </w:rPr>
                    <w:t>6</w:t>
                  </w:r>
                </w:p>
              </w:tc>
              <w:tc>
                <w:tcPr>
                  <w:tcW w:w="3374" w:type="dxa"/>
                  <w:tcBorders>
                    <w:tl2br w:val="nil"/>
                    <w:tr2bl w:val="nil"/>
                  </w:tcBorders>
                  <w:shd w:val="clear" w:color="auto" w:fill="auto"/>
                  <w:noWrap w:val="0"/>
                  <w:vAlign w:val="top"/>
                </w:tcPr>
                <w:p w14:paraId="0738EC4F">
                  <w:pPr>
                    <w:pStyle w:val="81"/>
                    <w:keepNext w:val="0"/>
                    <w:keepLines w:val="0"/>
                    <w:suppressLineNumbers w:val="0"/>
                    <w:spacing w:before="97" w:beforeAutospacing="0" w:after="0" w:afterAutospacing="0" w:line="240" w:lineRule="auto"/>
                    <w:ind w:left="0" w:right="0"/>
                    <w:jc w:val="center"/>
                    <w:rPr>
                      <w:rFonts w:hint="default" w:ascii="Times New Roman" w:hAnsi="Times New Roman" w:eastAsia="宋体" w:cs="Times New Roman"/>
                      <w:color w:val="auto"/>
                      <w:spacing w:val="4"/>
                      <w:kern w:val="2"/>
                      <w:sz w:val="21"/>
                      <w:szCs w:val="21"/>
                      <w:u w:val="none" w:color="auto"/>
                      <w:lang w:val="en-US" w:eastAsia="en-US" w:bidi="ar-SA"/>
                    </w:rPr>
                  </w:pPr>
                  <w:r>
                    <w:rPr>
                      <w:rFonts w:hint="default" w:ascii="Times New Roman" w:hAnsi="Times New Roman" w:eastAsia="宋体" w:cs="Times New Roman"/>
                      <w:color w:val="auto"/>
                      <w:spacing w:val="4"/>
                      <w:sz w:val="21"/>
                      <w:szCs w:val="21"/>
                      <w:u w:val="none" w:color="auto"/>
                    </w:rPr>
                    <w:t>空压机</w:t>
                  </w:r>
                </w:p>
              </w:tc>
              <w:tc>
                <w:tcPr>
                  <w:tcW w:w="2730" w:type="dxa"/>
                  <w:tcBorders>
                    <w:tl2br w:val="nil"/>
                    <w:tr2bl w:val="nil"/>
                  </w:tcBorders>
                  <w:shd w:val="clear" w:color="auto" w:fill="auto"/>
                  <w:noWrap w:val="0"/>
                  <w:vAlign w:val="top"/>
                </w:tcPr>
                <w:p w14:paraId="2A8D4DFE">
                  <w:pPr>
                    <w:keepNext w:val="0"/>
                    <w:keepLines w:val="0"/>
                    <w:suppressLineNumbers w:val="0"/>
                    <w:spacing w:before="133" w:beforeAutospacing="0" w:after="0" w:afterAutospacing="0" w:line="240" w:lineRule="auto"/>
                    <w:ind w:left="0" w:right="0"/>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pacing w:val="-1"/>
                      <w:sz w:val="21"/>
                      <w:szCs w:val="21"/>
                      <w:u w:val="none" w:color="auto"/>
                    </w:rPr>
                    <w:t>83</w:t>
                  </w:r>
                </w:p>
              </w:tc>
            </w:tr>
          </w:tbl>
          <w:p w14:paraId="6A097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eastAsia" w:ascii="Times New Roman" w:hAnsi="Times New Roman" w:eastAsia="宋体" w:cs="Times New Roman"/>
                <w:color w:val="auto"/>
                <w:sz w:val="24"/>
                <w:szCs w:val="24"/>
                <w:u w:val="none" w:color="auto"/>
                <w:lang w:eastAsia="zh-CN"/>
              </w:rPr>
              <w:t>项目</w:t>
            </w:r>
            <w:r>
              <w:rPr>
                <w:rFonts w:hint="default" w:ascii="Times New Roman" w:hAnsi="Times New Roman" w:eastAsia="宋体" w:cs="Times New Roman"/>
                <w:color w:val="auto"/>
                <w:sz w:val="24"/>
                <w:szCs w:val="24"/>
                <w:u w:val="none" w:color="auto"/>
              </w:rPr>
              <w:t>产生的噪声主要有以下特点：</w:t>
            </w:r>
          </w:p>
          <w:p w14:paraId="176C93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①施工机械种类繁多，不同的施工阶段有不同的施工机械，同一施工阶段投入的施工机械也有多有少，使得工程施工噪声具有偶然性的特点。</w:t>
            </w:r>
          </w:p>
          <w:p w14:paraId="57FBE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②不同设备的噪声源特性不同，其中有些设备噪声呈振动式的、突发的及脉冲</w:t>
            </w:r>
            <w:r>
              <w:rPr>
                <w:rFonts w:hint="eastAsia" w:ascii="Times New Roman" w:hAnsi="Times New Roman" w:eastAsia="宋体" w:cs="Times New Roman"/>
                <w:color w:val="auto"/>
                <w:sz w:val="24"/>
                <w:szCs w:val="24"/>
                <w:u w:val="none" w:color="auto"/>
                <w:lang w:eastAsia="zh-CN"/>
              </w:rPr>
              <w:t>型</w:t>
            </w:r>
            <w:r>
              <w:rPr>
                <w:rFonts w:hint="default" w:ascii="Times New Roman" w:hAnsi="Times New Roman" w:eastAsia="宋体" w:cs="Times New Roman"/>
                <w:color w:val="auto"/>
                <w:sz w:val="24"/>
                <w:szCs w:val="24"/>
                <w:u w:val="none" w:color="auto"/>
              </w:rPr>
              <w:t>的，对人的影响较大。</w:t>
            </w:r>
          </w:p>
          <w:p w14:paraId="77455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③施工既有固定噪声源，又有流动源噪声源，施工机械往往暴露在室外，而且它们会在某段时间内在一定的小范围内移动，这与固定源相比增加了这段时间内的噪声污染范围，但与流动源相比施工噪声污染还在局部范围之内。</w:t>
            </w:r>
          </w:p>
          <w:p w14:paraId="04889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④施工设备与其影响到的范围比相对较小，因此，施工设备噪声基本上可以认作点声源。</w:t>
            </w:r>
          </w:p>
          <w:p w14:paraId="6F5AAC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rPr>
              <w:t>⑤工程</w:t>
            </w:r>
            <w:r>
              <w:rPr>
                <w:rFonts w:hint="eastAsia" w:ascii="Times New Roman" w:hAnsi="Times New Roman" w:eastAsia="宋体" w:cs="Times New Roman"/>
                <w:color w:val="auto"/>
                <w:sz w:val="24"/>
                <w:szCs w:val="24"/>
                <w:u w:val="none" w:color="auto"/>
                <w:lang w:eastAsia="zh-CN"/>
              </w:rPr>
              <w:t>施工</w:t>
            </w:r>
            <w:r>
              <w:rPr>
                <w:rFonts w:hint="default" w:ascii="Times New Roman" w:hAnsi="Times New Roman" w:eastAsia="宋体" w:cs="Times New Roman"/>
                <w:color w:val="auto"/>
                <w:sz w:val="24"/>
                <w:szCs w:val="24"/>
                <w:u w:val="none" w:color="auto"/>
              </w:rPr>
              <w:t>使用的施工机械大部分噪声源具有一定的移动性，非连续性，其中运输车辆移动范围较大，而推土机、挖掘机等移动区域较小，移动范围较小，其特点与流动车辆声源有一定不同。所以，影响具有明显的时限性</w:t>
            </w:r>
            <w:r>
              <w:rPr>
                <w:rFonts w:hint="eastAsia" w:ascii="Times New Roman" w:hAnsi="Times New Roman" w:eastAsia="宋体" w:cs="Times New Roman"/>
                <w:color w:val="auto"/>
                <w:sz w:val="24"/>
                <w:szCs w:val="24"/>
                <w:u w:val="none" w:color="auto"/>
                <w:lang w:eastAsia="zh-CN"/>
              </w:rPr>
              <w:t>。</w:t>
            </w:r>
          </w:p>
          <w:p w14:paraId="6D204D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（1）噪声影响预测分析</w:t>
            </w:r>
          </w:p>
          <w:p w14:paraId="4C211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鉴于施工噪声的复杂性和施工噪声影响的区域性和阶段性，本评价仅根据《建筑施工场界环境噪声排放标准》（GB12523-2011），针对不同施工阶段计算出不同施工设备的噪声影响范围，以便施工单位在施工时结合实际情况采取适当的噪声污染防治措施。</w:t>
            </w:r>
          </w:p>
          <w:p w14:paraId="1C4354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rPr>
              <w:t>施工设备噪声源均按点声源计，其噪声预测模式为</w:t>
            </w:r>
            <w:r>
              <w:rPr>
                <w:rFonts w:hint="eastAsia" w:ascii="Times New Roman" w:hAnsi="Times New Roman" w:eastAsia="宋体" w:cs="Times New Roman"/>
                <w:color w:val="auto"/>
                <w:sz w:val="24"/>
                <w:szCs w:val="24"/>
                <w:u w:val="none" w:color="auto"/>
                <w:lang w:eastAsia="zh-CN"/>
              </w:rPr>
              <w:t>：</w:t>
            </w:r>
          </w:p>
          <w:p w14:paraId="31479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color w:val="auto"/>
                <w:position w:val="-17"/>
                <w:u w:val="none" w:color="auto"/>
                <w:lang w:eastAsia="zh-CN"/>
              </w:rPr>
            </w:pPr>
            <w:r>
              <w:rPr>
                <w:rFonts w:hint="eastAsia" w:ascii="Times New Roman" w:hAnsi="Times New Roman" w:eastAsia="宋体" w:cs="Times New Roman"/>
                <w:color w:val="auto"/>
                <w:position w:val="-32"/>
                <w:u w:val="none" w:color="auto"/>
                <w:lang w:eastAsia="zh-CN"/>
              </w:rPr>
              <w:object>
                <v:shape id="_x0000_i1025" o:spt="75" type="#_x0000_t75" style="height:37pt;width:120pt;" o:ole="t" filled="f" o:preferrelative="t" stroked="f" coordsize="21600,21600">
                  <v:path/>
                  <v:fill on="f" focussize="0,0"/>
                  <v:stroke on="f"/>
                  <v:imagedata r:id="rId32" o:title=""/>
                  <o:lock v:ext="edit" aspectratio="t"/>
                  <w10:wrap type="none"/>
                  <w10:anchorlock/>
                </v:shape>
                <o:OLEObject Type="Embed" ProgID="Equation.KSEE3" ShapeID="_x0000_i1025" DrawAspect="Content" ObjectID="_1468075725" r:id="rId31">
                  <o:LockedField>false</o:LockedField>
                </o:OLEObject>
              </w:object>
            </w:r>
          </w:p>
          <w:p w14:paraId="040DCF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式中：</w:t>
            </w:r>
          </w:p>
          <w:p w14:paraId="68368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i/>
                <w:iCs/>
                <w:color w:val="auto"/>
                <w:sz w:val="24"/>
                <w:szCs w:val="24"/>
                <w:u w:val="none" w:color="auto"/>
              </w:rPr>
              <w:t>L</w:t>
            </w:r>
            <w:r>
              <w:rPr>
                <w:rFonts w:hint="default" w:ascii="Times New Roman" w:hAnsi="Times New Roman" w:eastAsia="宋体" w:cs="Times New Roman"/>
                <w:i/>
                <w:iCs/>
                <w:color w:val="auto"/>
                <w:sz w:val="24"/>
                <w:szCs w:val="24"/>
                <w:u w:val="none" w:color="auto"/>
                <w:vertAlign w:val="subscript"/>
              </w:rPr>
              <w:t>i</w:t>
            </w:r>
            <w:r>
              <w:rPr>
                <w:rFonts w:hint="default" w:ascii="Times New Roman" w:hAnsi="Times New Roman" w:eastAsia="宋体" w:cs="Times New Roman"/>
                <w:color w:val="auto"/>
                <w:sz w:val="24"/>
                <w:szCs w:val="24"/>
                <w:u w:val="none" w:color="auto"/>
              </w:rPr>
              <w:t>和</w:t>
            </w:r>
            <w:r>
              <w:rPr>
                <w:rFonts w:hint="default" w:ascii="Times New Roman" w:hAnsi="Times New Roman" w:eastAsia="宋体" w:cs="Times New Roman"/>
                <w:i/>
                <w:iCs/>
                <w:color w:val="auto"/>
                <w:sz w:val="24"/>
                <w:szCs w:val="24"/>
                <w:u w:val="none" w:color="auto"/>
              </w:rPr>
              <w:t>L</w:t>
            </w:r>
            <w:r>
              <w:rPr>
                <w:rFonts w:hint="default" w:ascii="Times New Roman" w:hAnsi="Times New Roman" w:eastAsia="宋体" w:cs="Times New Roman"/>
                <w:color w:val="auto"/>
                <w:sz w:val="24"/>
                <w:szCs w:val="24"/>
                <w:u w:val="none" w:color="auto"/>
                <w:vertAlign w:val="subscript"/>
              </w:rPr>
              <w:t>0</w:t>
            </w:r>
            <w:r>
              <w:rPr>
                <w:rFonts w:hint="default" w:ascii="Times New Roman" w:hAnsi="Times New Roman" w:eastAsia="宋体" w:cs="Times New Roman"/>
                <w:color w:val="auto"/>
                <w:sz w:val="24"/>
                <w:szCs w:val="24"/>
                <w:u w:val="none" w:color="auto"/>
              </w:rPr>
              <w:t>分别为距离设备</w:t>
            </w:r>
            <w:r>
              <w:rPr>
                <w:rFonts w:hint="default" w:ascii="Times New Roman" w:hAnsi="Times New Roman" w:eastAsia="宋体" w:cs="Times New Roman"/>
                <w:i/>
                <w:iCs/>
                <w:color w:val="auto"/>
                <w:sz w:val="24"/>
                <w:szCs w:val="24"/>
                <w:u w:val="none" w:color="auto"/>
              </w:rPr>
              <w:t>R</w:t>
            </w:r>
            <w:r>
              <w:rPr>
                <w:rFonts w:hint="default" w:ascii="Times New Roman" w:hAnsi="Times New Roman" w:eastAsia="宋体" w:cs="Times New Roman"/>
                <w:i/>
                <w:iCs/>
                <w:color w:val="auto"/>
                <w:sz w:val="24"/>
                <w:szCs w:val="24"/>
                <w:u w:val="none" w:color="auto"/>
                <w:vertAlign w:val="subscript"/>
              </w:rPr>
              <w:t>i</w:t>
            </w:r>
            <w:r>
              <w:rPr>
                <w:rFonts w:hint="default" w:ascii="Times New Roman" w:hAnsi="Times New Roman" w:eastAsia="宋体" w:cs="Times New Roman"/>
                <w:color w:val="auto"/>
                <w:sz w:val="24"/>
                <w:szCs w:val="24"/>
                <w:u w:val="none" w:color="auto"/>
              </w:rPr>
              <w:t>和R</w:t>
            </w:r>
            <w:r>
              <w:rPr>
                <w:rFonts w:hint="default" w:ascii="Times New Roman" w:hAnsi="Times New Roman" w:eastAsia="宋体" w:cs="Times New Roman"/>
                <w:color w:val="auto"/>
                <w:sz w:val="24"/>
                <w:szCs w:val="24"/>
                <w:u w:val="none" w:color="auto"/>
                <w:vertAlign w:val="subscript"/>
              </w:rPr>
              <w:t>0</w:t>
            </w:r>
            <w:r>
              <w:rPr>
                <w:rFonts w:hint="default" w:ascii="Times New Roman" w:hAnsi="Times New Roman" w:eastAsia="宋体" w:cs="Times New Roman"/>
                <w:color w:val="auto"/>
                <w:sz w:val="24"/>
                <w:szCs w:val="24"/>
                <w:u w:val="none" w:color="auto"/>
              </w:rPr>
              <w:t>处的设备噪声级；</w:t>
            </w:r>
          </w:p>
          <w:p w14:paraId="5D1D0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ΔL为障碍物、植被、空气等产生的附加衰减量。</w:t>
            </w:r>
          </w:p>
          <w:p w14:paraId="2A995E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对于多台施工机械对某个预测点的影响，应进行声级</w:t>
            </w:r>
            <w:r>
              <w:rPr>
                <w:rFonts w:hint="eastAsia" w:ascii="Times New Roman" w:hAnsi="Times New Roman" w:eastAsia="宋体" w:cs="Times New Roman"/>
                <w:color w:val="auto"/>
                <w:sz w:val="24"/>
                <w:szCs w:val="24"/>
                <w:u w:val="none" w:color="auto"/>
                <w:lang w:eastAsia="zh-CN"/>
              </w:rPr>
              <w:t>叠</w:t>
            </w:r>
            <w:r>
              <w:rPr>
                <w:rFonts w:hint="default" w:ascii="Times New Roman" w:hAnsi="Times New Roman" w:eastAsia="宋体" w:cs="Times New Roman"/>
                <w:color w:val="auto"/>
                <w:sz w:val="24"/>
                <w:szCs w:val="24"/>
                <w:u w:val="none" w:color="auto"/>
              </w:rPr>
              <w:t>加：</w:t>
            </w:r>
          </w:p>
          <w:p w14:paraId="1E219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color w:val="auto"/>
                <w:position w:val="-11"/>
                <w:u w:val="none" w:color="auto"/>
                <w:lang w:eastAsia="zh-CN"/>
              </w:rPr>
            </w:pPr>
            <w:r>
              <w:rPr>
                <w:rFonts w:hint="eastAsia" w:ascii="Times New Roman" w:hAnsi="Times New Roman" w:eastAsia="宋体" w:cs="Times New Roman"/>
                <w:color w:val="auto"/>
                <w:position w:val="-14"/>
                <w:u w:val="none" w:color="auto"/>
                <w:lang w:eastAsia="zh-CN"/>
              </w:rPr>
              <w:object>
                <v:shape id="_x0000_i1026" o:spt="75" type="#_x0000_t75" style="height:24.8pt;width:107.05pt;" o:ole="t" filled="f" o:preferrelative="t" stroked="f" coordsize="21600,21600">
                  <v:path/>
                  <v:fill on="f" focussize="0,0"/>
                  <v:stroke on="f"/>
                  <v:imagedata r:id="rId34" o:title=""/>
                  <o:lock v:ext="edit" aspectratio="t"/>
                  <w10:wrap type="none"/>
                  <w10:anchorlock/>
                </v:shape>
                <o:OLEObject Type="Embed" ProgID="Equation.KSEE3" ShapeID="_x0000_i1026" DrawAspect="Content" ObjectID="_1468075726" r:id="rId33">
                  <o:LockedField>false</o:LockedField>
                </o:OLEObject>
              </w:object>
            </w:r>
          </w:p>
          <w:p w14:paraId="66E40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（2）施工噪声影响范围计算和分析</w:t>
            </w:r>
          </w:p>
          <w:p w14:paraId="05F64A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rPr>
              <w:t>根据</w:t>
            </w:r>
            <w:r>
              <w:rPr>
                <w:rFonts w:hint="eastAsia" w:ascii="Times New Roman" w:hAnsi="Times New Roman" w:eastAsia="宋体" w:cs="Times New Roman"/>
                <w:color w:val="auto"/>
                <w:sz w:val="24"/>
                <w:szCs w:val="24"/>
                <w:u w:val="none" w:color="auto"/>
                <w:lang w:eastAsia="zh-CN"/>
              </w:rPr>
              <w:t>上述</w:t>
            </w:r>
            <w:r>
              <w:rPr>
                <w:rFonts w:hint="default" w:ascii="Times New Roman" w:hAnsi="Times New Roman" w:eastAsia="宋体" w:cs="Times New Roman"/>
                <w:color w:val="auto"/>
                <w:sz w:val="24"/>
                <w:szCs w:val="24"/>
                <w:u w:val="none" w:color="auto"/>
              </w:rPr>
              <w:t>的预测方法和预测模式，在不考虑树林及建筑物的噪声衰减量的情况下，各类施工机械</w:t>
            </w:r>
            <w:r>
              <w:rPr>
                <w:rFonts w:hint="eastAsia" w:ascii="Times New Roman" w:hAnsi="Times New Roman" w:eastAsia="宋体" w:cs="Times New Roman"/>
                <w:color w:val="auto"/>
                <w:sz w:val="24"/>
                <w:szCs w:val="24"/>
                <w:u w:val="none" w:color="auto"/>
                <w:lang w:eastAsia="zh-CN"/>
              </w:rPr>
              <w:t>（设备）</w:t>
            </w:r>
            <w:r>
              <w:rPr>
                <w:rFonts w:hint="default" w:ascii="Times New Roman" w:hAnsi="Times New Roman" w:eastAsia="宋体" w:cs="Times New Roman"/>
                <w:color w:val="auto"/>
                <w:sz w:val="24"/>
                <w:szCs w:val="24"/>
                <w:u w:val="none" w:color="auto"/>
              </w:rPr>
              <w:t>在不同距离处的噪声值（未与现状值叠加）预测结果见下表</w:t>
            </w:r>
            <w:r>
              <w:rPr>
                <w:rFonts w:hint="eastAsia" w:ascii="Times New Roman" w:hAnsi="Times New Roman" w:eastAsia="宋体" w:cs="Times New Roman"/>
                <w:color w:val="auto"/>
                <w:sz w:val="24"/>
                <w:szCs w:val="24"/>
                <w:u w:val="none" w:color="auto"/>
                <w:lang w:eastAsia="zh-CN"/>
              </w:rPr>
              <w:t>：</w:t>
            </w:r>
          </w:p>
          <w:p w14:paraId="3A7FD6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cs="Times New Roman"/>
                <w:b/>
                <w:color w:val="auto"/>
                <w:szCs w:val="21"/>
                <w:highlight w:val="none"/>
                <w:u w:val="none" w:color="auto"/>
              </w:rPr>
              <w:t>表</w:t>
            </w:r>
            <w:r>
              <w:rPr>
                <w:rFonts w:hint="eastAsia" w:ascii="Times New Roman" w:hAnsi="Times New Roman" w:eastAsia="宋体" w:cs="Times New Roman"/>
                <w:b/>
                <w:bCs/>
                <w:color w:val="auto"/>
                <w:szCs w:val="21"/>
                <w:highlight w:val="none"/>
                <w:u w:val="none" w:color="auto"/>
              </w:rPr>
              <w:t>4</w:t>
            </w:r>
            <w:r>
              <w:rPr>
                <w:rFonts w:hint="default" w:ascii="Times New Roman" w:hAnsi="Times New Roman" w:eastAsia="宋体" w:cs="Times New Roman"/>
                <w:b/>
                <w:bCs/>
                <w:color w:val="auto"/>
                <w:szCs w:val="21"/>
                <w:highlight w:val="none"/>
                <w:u w:val="none" w:color="auto"/>
              </w:rPr>
              <w:t>-</w:t>
            </w:r>
            <w:r>
              <w:rPr>
                <w:rFonts w:hint="eastAsia" w:ascii="Times New Roman" w:hAnsi="Times New Roman" w:eastAsia="宋体" w:cs="Times New Roman"/>
                <w:b/>
                <w:bCs/>
                <w:color w:val="auto"/>
                <w:szCs w:val="21"/>
                <w:highlight w:val="none"/>
                <w:u w:val="none" w:color="auto"/>
                <w:lang w:val="en-US" w:eastAsia="zh-CN"/>
              </w:rPr>
              <w:t>2</w:t>
            </w:r>
            <w:r>
              <w:rPr>
                <w:rFonts w:hint="eastAsia" w:ascii="Times New Roman" w:hAnsi="Times New Roman" w:eastAsia="宋体" w:cs="Times New Roman"/>
                <w:b/>
                <w:bCs/>
                <w:color w:val="auto"/>
                <w:szCs w:val="21"/>
                <w:highlight w:val="none"/>
                <w:u w:val="none" w:color="auto"/>
              </w:rPr>
              <w:t>各类施工机械</w:t>
            </w:r>
            <w:r>
              <w:rPr>
                <w:rFonts w:hint="eastAsia" w:ascii="Times New Roman" w:hAnsi="Times New Roman" w:eastAsia="宋体" w:cs="Times New Roman"/>
                <w:b/>
                <w:bCs/>
                <w:color w:val="auto"/>
                <w:szCs w:val="21"/>
                <w:highlight w:val="none"/>
                <w:u w:val="none" w:color="auto"/>
                <w:lang w:eastAsia="zh-CN"/>
              </w:rPr>
              <w:t>（设备）</w:t>
            </w:r>
            <w:r>
              <w:rPr>
                <w:rFonts w:hint="eastAsia" w:ascii="Times New Roman" w:hAnsi="Times New Roman" w:eastAsia="宋体" w:cs="Times New Roman"/>
                <w:b/>
                <w:bCs/>
                <w:color w:val="auto"/>
                <w:szCs w:val="21"/>
                <w:highlight w:val="none"/>
                <w:u w:val="none" w:color="auto"/>
              </w:rPr>
              <w:t>在不同距离处的噪声预测值单位：dB(A)</w:t>
            </w:r>
          </w:p>
          <w:tbl>
            <w:tblPr>
              <w:tblStyle w:val="72"/>
              <w:tblW w:w="80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34"/>
              <w:gridCol w:w="1469"/>
              <w:gridCol w:w="733"/>
              <w:gridCol w:w="736"/>
              <w:gridCol w:w="739"/>
              <w:gridCol w:w="736"/>
              <w:gridCol w:w="736"/>
              <w:gridCol w:w="759"/>
              <w:gridCol w:w="757"/>
              <w:gridCol w:w="779"/>
            </w:tblGrid>
            <w:tr w14:paraId="3A8617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634" w:type="dxa"/>
                  <w:vMerge w:val="restart"/>
                  <w:tcBorders>
                    <w:tl2br w:val="nil"/>
                    <w:tr2bl w:val="nil"/>
                  </w:tcBorders>
                  <w:noWrap w:val="0"/>
                  <w:vAlign w:val="center"/>
                </w:tcPr>
                <w:p w14:paraId="7E18B5C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2"/>
                      <w:sz w:val="21"/>
                      <w:szCs w:val="21"/>
                      <w:u w:val="none" w:color="auto"/>
                    </w:rPr>
                    <w:t>序号</w:t>
                  </w:r>
                </w:p>
              </w:tc>
              <w:tc>
                <w:tcPr>
                  <w:tcW w:w="1469" w:type="dxa"/>
                  <w:vMerge w:val="restart"/>
                  <w:tcBorders>
                    <w:tl2br w:val="nil"/>
                    <w:tr2bl w:val="nil"/>
                  </w:tcBorders>
                  <w:noWrap w:val="0"/>
                  <w:vAlign w:val="center"/>
                </w:tcPr>
                <w:p w14:paraId="7CAD5AC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3"/>
                      <w:sz w:val="21"/>
                      <w:szCs w:val="21"/>
                      <w:u w:val="none" w:color="auto"/>
                    </w:rPr>
                    <w:t>机械</w:t>
                  </w:r>
                  <w:r>
                    <w:rPr>
                      <w:rFonts w:hint="eastAsia" w:ascii="Times New Roman" w:hAnsi="Times New Roman" w:cs="Times New Roman"/>
                      <w:b/>
                      <w:bCs/>
                      <w:color w:val="auto"/>
                      <w:spacing w:val="-3"/>
                      <w:sz w:val="21"/>
                      <w:szCs w:val="21"/>
                      <w:u w:val="none" w:color="auto"/>
                      <w:lang w:eastAsia="zh-CN"/>
                    </w:rPr>
                    <w:t>（设备）</w:t>
                  </w:r>
                  <w:r>
                    <w:rPr>
                      <w:rFonts w:hint="default" w:ascii="Times New Roman" w:hAnsi="Times New Roman" w:eastAsia="宋体" w:cs="Times New Roman"/>
                      <w:b/>
                      <w:bCs/>
                      <w:color w:val="auto"/>
                      <w:spacing w:val="-3"/>
                      <w:sz w:val="21"/>
                      <w:szCs w:val="21"/>
                      <w:u w:val="none" w:color="auto"/>
                    </w:rPr>
                    <w:t>类型</w:t>
                  </w:r>
                </w:p>
              </w:tc>
              <w:tc>
                <w:tcPr>
                  <w:tcW w:w="5975" w:type="dxa"/>
                  <w:gridSpan w:val="8"/>
                  <w:tcBorders>
                    <w:tl2br w:val="nil"/>
                    <w:tr2bl w:val="nil"/>
                  </w:tcBorders>
                  <w:noWrap w:val="0"/>
                  <w:vAlign w:val="center"/>
                </w:tcPr>
                <w:p w14:paraId="2F63F9F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8"/>
                      <w:sz w:val="21"/>
                      <w:szCs w:val="21"/>
                      <w:u w:val="none" w:color="auto"/>
                    </w:rPr>
                    <w:t>噪声预测值</w:t>
                  </w:r>
                </w:p>
              </w:tc>
            </w:tr>
            <w:tr w14:paraId="7F4A7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34" w:type="dxa"/>
                  <w:vMerge w:val="continue"/>
                  <w:tcBorders>
                    <w:tl2br w:val="nil"/>
                    <w:tr2bl w:val="nil"/>
                  </w:tcBorders>
                  <w:noWrap w:val="0"/>
                  <w:vAlign w:val="center"/>
                </w:tcPr>
                <w:p w14:paraId="395530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p>
              </w:tc>
              <w:tc>
                <w:tcPr>
                  <w:tcW w:w="1469" w:type="dxa"/>
                  <w:vMerge w:val="continue"/>
                  <w:tcBorders>
                    <w:tl2br w:val="nil"/>
                    <w:tr2bl w:val="nil"/>
                  </w:tcBorders>
                  <w:noWrap w:val="0"/>
                  <w:vAlign w:val="center"/>
                </w:tcPr>
                <w:p w14:paraId="40F9D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p>
              </w:tc>
              <w:tc>
                <w:tcPr>
                  <w:tcW w:w="733" w:type="dxa"/>
                  <w:tcBorders>
                    <w:tl2br w:val="nil"/>
                    <w:tr2bl w:val="nil"/>
                  </w:tcBorders>
                  <w:noWrap w:val="0"/>
                  <w:vAlign w:val="center"/>
                </w:tcPr>
                <w:p w14:paraId="31589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2"/>
                      <w:sz w:val="21"/>
                      <w:szCs w:val="21"/>
                      <w:u w:val="none" w:color="auto"/>
                    </w:rPr>
                    <w:t>5m</w:t>
                  </w:r>
                </w:p>
              </w:tc>
              <w:tc>
                <w:tcPr>
                  <w:tcW w:w="736" w:type="dxa"/>
                  <w:tcBorders>
                    <w:tl2br w:val="nil"/>
                    <w:tr2bl w:val="nil"/>
                  </w:tcBorders>
                  <w:noWrap w:val="0"/>
                  <w:vAlign w:val="center"/>
                </w:tcPr>
                <w:p w14:paraId="2E09A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5"/>
                      <w:sz w:val="21"/>
                      <w:szCs w:val="21"/>
                      <w:u w:val="none" w:color="auto"/>
                    </w:rPr>
                    <w:t>10m</w:t>
                  </w:r>
                </w:p>
              </w:tc>
              <w:tc>
                <w:tcPr>
                  <w:tcW w:w="739" w:type="dxa"/>
                  <w:tcBorders>
                    <w:tl2br w:val="nil"/>
                    <w:tr2bl w:val="nil"/>
                  </w:tcBorders>
                  <w:noWrap w:val="0"/>
                  <w:vAlign w:val="center"/>
                </w:tcPr>
                <w:p w14:paraId="25EF5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1"/>
                      <w:sz w:val="21"/>
                      <w:szCs w:val="21"/>
                      <w:u w:val="none" w:color="auto"/>
                    </w:rPr>
                    <w:t>20m</w:t>
                  </w:r>
                </w:p>
              </w:tc>
              <w:tc>
                <w:tcPr>
                  <w:tcW w:w="736" w:type="dxa"/>
                  <w:tcBorders>
                    <w:tl2br w:val="nil"/>
                    <w:tr2bl w:val="nil"/>
                  </w:tcBorders>
                  <w:noWrap w:val="0"/>
                  <w:vAlign w:val="center"/>
                </w:tcPr>
                <w:p w14:paraId="03CA16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1"/>
                      <w:sz w:val="21"/>
                      <w:szCs w:val="21"/>
                      <w:u w:val="none" w:color="auto"/>
                    </w:rPr>
                    <w:t>40m</w:t>
                  </w:r>
                </w:p>
              </w:tc>
              <w:tc>
                <w:tcPr>
                  <w:tcW w:w="736" w:type="dxa"/>
                  <w:tcBorders>
                    <w:tl2br w:val="nil"/>
                    <w:tr2bl w:val="nil"/>
                  </w:tcBorders>
                  <w:noWrap w:val="0"/>
                  <w:vAlign w:val="center"/>
                </w:tcPr>
                <w:p w14:paraId="57781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3"/>
                      <w:sz w:val="21"/>
                      <w:szCs w:val="21"/>
                      <w:u w:val="none" w:color="auto"/>
                    </w:rPr>
                    <w:t>80m</w:t>
                  </w:r>
                </w:p>
              </w:tc>
              <w:tc>
                <w:tcPr>
                  <w:tcW w:w="759" w:type="dxa"/>
                  <w:tcBorders>
                    <w:tl2br w:val="nil"/>
                    <w:tr2bl w:val="nil"/>
                  </w:tcBorders>
                  <w:noWrap w:val="0"/>
                  <w:vAlign w:val="center"/>
                </w:tcPr>
                <w:p w14:paraId="7D855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7"/>
                      <w:sz w:val="21"/>
                      <w:szCs w:val="21"/>
                      <w:u w:val="none" w:color="auto"/>
                    </w:rPr>
                    <w:t>100m</w:t>
                  </w:r>
                </w:p>
              </w:tc>
              <w:tc>
                <w:tcPr>
                  <w:tcW w:w="757" w:type="dxa"/>
                  <w:tcBorders>
                    <w:tl2br w:val="nil"/>
                    <w:tr2bl w:val="nil"/>
                  </w:tcBorders>
                  <w:noWrap w:val="0"/>
                  <w:vAlign w:val="center"/>
                </w:tcPr>
                <w:p w14:paraId="05958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7"/>
                      <w:sz w:val="21"/>
                      <w:szCs w:val="21"/>
                      <w:u w:val="none" w:color="auto"/>
                    </w:rPr>
                    <w:t>160m</w:t>
                  </w:r>
                </w:p>
              </w:tc>
              <w:tc>
                <w:tcPr>
                  <w:tcW w:w="779" w:type="dxa"/>
                  <w:tcBorders>
                    <w:tl2br w:val="nil"/>
                    <w:tr2bl w:val="nil"/>
                  </w:tcBorders>
                  <w:noWrap w:val="0"/>
                  <w:vAlign w:val="center"/>
                </w:tcPr>
                <w:p w14:paraId="36CD9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pacing w:val="-2"/>
                      <w:sz w:val="21"/>
                      <w:szCs w:val="21"/>
                      <w:u w:val="none" w:color="auto"/>
                    </w:rPr>
                    <w:t>200m</w:t>
                  </w:r>
                </w:p>
              </w:tc>
            </w:tr>
            <w:tr w14:paraId="1FC3B0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634" w:type="dxa"/>
                  <w:tcBorders>
                    <w:tl2br w:val="nil"/>
                    <w:tr2bl w:val="nil"/>
                  </w:tcBorders>
                  <w:noWrap w:val="0"/>
                  <w:vAlign w:val="center"/>
                </w:tcPr>
                <w:p w14:paraId="3D553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1</w:t>
                  </w:r>
                </w:p>
              </w:tc>
              <w:tc>
                <w:tcPr>
                  <w:tcW w:w="1469" w:type="dxa"/>
                  <w:tcBorders>
                    <w:tl2br w:val="nil"/>
                    <w:tr2bl w:val="nil"/>
                  </w:tcBorders>
                  <w:noWrap w:val="0"/>
                  <w:vAlign w:val="center"/>
                </w:tcPr>
                <w:p w14:paraId="729E964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挖掘机</w:t>
                  </w:r>
                </w:p>
              </w:tc>
              <w:tc>
                <w:tcPr>
                  <w:tcW w:w="733" w:type="dxa"/>
                  <w:tcBorders>
                    <w:tl2br w:val="nil"/>
                    <w:tr2bl w:val="nil"/>
                  </w:tcBorders>
                  <w:noWrap w:val="0"/>
                  <w:vAlign w:val="center"/>
                </w:tcPr>
                <w:p w14:paraId="004890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85.0</w:t>
                  </w:r>
                </w:p>
              </w:tc>
              <w:tc>
                <w:tcPr>
                  <w:tcW w:w="736" w:type="dxa"/>
                  <w:tcBorders>
                    <w:tl2br w:val="nil"/>
                    <w:tr2bl w:val="nil"/>
                  </w:tcBorders>
                  <w:noWrap w:val="0"/>
                  <w:vAlign w:val="center"/>
                </w:tcPr>
                <w:p w14:paraId="137B52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79.0</w:t>
                  </w:r>
                </w:p>
              </w:tc>
              <w:tc>
                <w:tcPr>
                  <w:tcW w:w="739" w:type="dxa"/>
                  <w:tcBorders>
                    <w:tl2br w:val="nil"/>
                    <w:tr2bl w:val="nil"/>
                  </w:tcBorders>
                  <w:noWrap w:val="0"/>
                  <w:vAlign w:val="center"/>
                </w:tcPr>
                <w:p w14:paraId="3E203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73.0</w:t>
                  </w:r>
                </w:p>
              </w:tc>
              <w:tc>
                <w:tcPr>
                  <w:tcW w:w="736" w:type="dxa"/>
                  <w:tcBorders>
                    <w:tl2br w:val="nil"/>
                    <w:tr2bl w:val="nil"/>
                  </w:tcBorders>
                  <w:noWrap w:val="0"/>
                  <w:vAlign w:val="center"/>
                </w:tcPr>
                <w:p w14:paraId="363AB8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67.0</w:t>
                  </w:r>
                </w:p>
              </w:tc>
              <w:tc>
                <w:tcPr>
                  <w:tcW w:w="736" w:type="dxa"/>
                  <w:tcBorders>
                    <w:tl2br w:val="nil"/>
                    <w:tr2bl w:val="nil"/>
                  </w:tcBorders>
                  <w:noWrap w:val="0"/>
                  <w:vAlign w:val="center"/>
                </w:tcPr>
                <w:p w14:paraId="454295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61.0</w:t>
                  </w:r>
                </w:p>
              </w:tc>
              <w:tc>
                <w:tcPr>
                  <w:tcW w:w="759" w:type="dxa"/>
                  <w:tcBorders>
                    <w:tl2br w:val="nil"/>
                    <w:tr2bl w:val="nil"/>
                  </w:tcBorders>
                  <w:noWrap w:val="0"/>
                  <w:vAlign w:val="center"/>
                </w:tcPr>
                <w:p w14:paraId="1D4AE1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59.0</w:t>
                  </w:r>
                </w:p>
              </w:tc>
              <w:tc>
                <w:tcPr>
                  <w:tcW w:w="757" w:type="dxa"/>
                  <w:tcBorders>
                    <w:tl2br w:val="nil"/>
                    <w:tr2bl w:val="nil"/>
                  </w:tcBorders>
                  <w:noWrap w:val="0"/>
                  <w:vAlign w:val="center"/>
                </w:tcPr>
                <w:p w14:paraId="7B966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55.0</w:t>
                  </w:r>
                </w:p>
              </w:tc>
              <w:tc>
                <w:tcPr>
                  <w:tcW w:w="779" w:type="dxa"/>
                  <w:tcBorders>
                    <w:tl2br w:val="nil"/>
                    <w:tr2bl w:val="nil"/>
                  </w:tcBorders>
                  <w:noWrap w:val="0"/>
                  <w:vAlign w:val="center"/>
                </w:tcPr>
                <w:p w14:paraId="051E8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53.0</w:t>
                  </w:r>
                </w:p>
              </w:tc>
            </w:tr>
            <w:tr w14:paraId="0D61FB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34" w:type="dxa"/>
                  <w:tcBorders>
                    <w:tl2br w:val="nil"/>
                    <w:tr2bl w:val="nil"/>
                  </w:tcBorders>
                  <w:noWrap w:val="0"/>
                  <w:vAlign w:val="center"/>
                </w:tcPr>
                <w:p w14:paraId="10B84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2</w:t>
                  </w:r>
                </w:p>
              </w:tc>
              <w:tc>
                <w:tcPr>
                  <w:tcW w:w="1469" w:type="dxa"/>
                  <w:tcBorders>
                    <w:tl2br w:val="nil"/>
                    <w:tr2bl w:val="nil"/>
                  </w:tcBorders>
                  <w:noWrap w:val="0"/>
                  <w:vAlign w:val="center"/>
                </w:tcPr>
                <w:p w14:paraId="380942C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推土机</w:t>
                  </w:r>
                </w:p>
              </w:tc>
              <w:tc>
                <w:tcPr>
                  <w:tcW w:w="733" w:type="dxa"/>
                  <w:tcBorders>
                    <w:tl2br w:val="nil"/>
                    <w:tr2bl w:val="nil"/>
                  </w:tcBorders>
                  <w:noWrap w:val="0"/>
                  <w:vAlign w:val="center"/>
                </w:tcPr>
                <w:p w14:paraId="6E1E8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82.0</w:t>
                  </w:r>
                </w:p>
              </w:tc>
              <w:tc>
                <w:tcPr>
                  <w:tcW w:w="736" w:type="dxa"/>
                  <w:tcBorders>
                    <w:tl2br w:val="nil"/>
                    <w:tr2bl w:val="nil"/>
                  </w:tcBorders>
                  <w:noWrap w:val="0"/>
                  <w:vAlign w:val="center"/>
                </w:tcPr>
                <w:p w14:paraId="05681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76.0</w:t>
                  </w:r>
                </w:p>
              </w:tc>
              <w:tc>
                <w:tcPr>
                  <w:tcW w:w="739" w:type="dxa"/>
                  <w:tcBorders>
                    <w:tl2br w:val="nil"/>
                    <w:tr2bl w:val="nil"/>
                  </w:tcBorders>
                  <w:noWrap w:val="0"/>
                  <w:vAlign w:val="center"/>
                </w:tcPr>
                <w:p w14:paraId="7CD93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70.0</w:t>
                  </w:r>
                </w:p>
              </w:tc>
              <w:tc>
                <w:tcPr>
                  <w:tcW w:w="736" w:type="dxa"/>
                  <w:tcBorders>
                    <w:tl2br w:val="nil"/>
                    <w:tr2bl w:val="nil"/>
                  </w:tcBorders>
                  <w:noWrap w:val="0"/>
                  <w:vAlign w:val="center"/>
                </w:tcPr>
                <w:p w14:paraId="4C55DA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64.0</w:t>
                  </w:r>
                </w:p>
              </w:tc>
              <w:tc>
                <w:tcPr>
                  <w:tcW w:w="736" w:type="dxa"/>
                  <w:tcBorders>
                    <w:tl2br w:val="nil"/>
                    <w:tr2bl w:val="nil"/>
                  </w:tcBorders>
                  <w:noWrap w:val="0"/>
                  <w:vAlign w:val="center"/>
                </w:tcPr>
                <w:p w14:paraId="7BDC35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58.0</w:t>
                  </w:r>
                </w:p>
              </w:tc>
              <w:tc>
                <w:tcPr>
                  <w:tcW w:w="759" w:type="dxa"/>
                  <w:tcBorders>
                    <w:tl2br w:val="nil"/>
                    <w:tr2bl w:val="nil"/>
                  </w:tcBorders>
                  <w:noWrap w:val="0"/>
                  <w:vAlign w:val="center"/>
                </w:tcPr>
                <w:p w14:paraId="53637E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56.0</w:t>
                  </w:r>
                </w:p>
              </w:tc>
              <w:tc>
                <w:tcPr>
                  <w:tcW w:w="757" w:type="dxa"/>
                  <w:tcBorders>
                    <w:tl2br w:val="nil"/>
                    <w:tr2bl w:val="nil"/>
                  </w:tcBorders>
                  <w:noWrap w:val="0"/>
                  <w:vAlign w:val="center"/>
                </w:tcPr>
                <w:p w14:paraId="69B574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52.0</w:t>
                  </w:r>
                </w:p>
              </w:tc>
              <w:tc>
                <w:tcPr>
                  <w:tcW w:w="779" w:type="dxa"/>
                  <w:tcBorders>
                    <w:tl2br w:val="nil"/>
                    <w:tr2bl w:val="nil"/>
                  </w:tcBorders>
                  <w:noWrap w:val="0"/>
                  <w:vAlign w:val="center"/>
                </w:tcPr>
                <w:p w14:paraId="4FC2C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50.0</w:t>
                  </w:r>
                </w:p>
              </w:tc>
            </w:tr>
            <w:tr w14:paraId="0522E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634" w:type="dxa"/>
                  <w:tcBorders>
                    <w:tl2br w:val="nil"/>
                    <w:tr2bl w:val="nil"/>
                  </w:tcBorders>
                  <w:noWrap w:val="0"/>
                  <w:vAlign w:val="center"/>
                </w:tcPr>
                <w:p w14:paraId="032560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3</w:t>
                  </w:r>
                </w:p>
              </w:tc>
              <w:tc>
                <w:tcPr>
                  <w:tcW w:w="1469" w:type="dxa"/>
                  <w:tcBorders>
                    <w:tl2br w:val="nil"/>
                    <w:tr2bl w:val="nil"/>
                  </w:tcBorders>
                  <w:noWrap w:val="0"/>
                  <w:vAlign w:val="center"/>
                </w:tcPr>
                <w:p w14:paraId="06522F4E">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汽车</w:t>
                  </w:r>
                </w:p>
              </w:tc>
              <w:tc>
                <w:tcPr>
                  <w:tcW w:w="733" w:type="dxa"/>
                  <w:tcBorders>
                    <w:tl2br w:val="nil"/>
                    <w:tr2bl w:val="nil"/>
                  </w:tcBorders>
                  <w:noWrap w:val="0"/>
                  <w:vAlign w:val="center"/>
                </w:tcPr>
                <w:p w14:paraId="73FD7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80.0</w:t>
                  </w:r>
                </w:p>
              </w:tc>
              <w:tc>
                <w:tcPr>
                  <w:tcW w:w="736" w:type="dxa"/>
                  <w:tcBorders>
                    <w:tl2br w:val="nil"/>
                    <w:tr2bl w:val="nil"/>
                  </w:tcBorders>
                  <w:noWrap w:val="0"/>
                  <w:vAlign w:val="center"/>
                </w:tcPr>
                <w:p w14:paraId="7B970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74.0</w:t>
                  </w:r>
                </w:p>
              </w:tc>
              <w:tc>
                <w:tcPr>
                  <w:tcW w:w="739" w:type="dxa"/>
                  <w:tcBorders>
                    <w:tl2br w:val="nil"/>
                    <w:tr2bl w:val="nil"/>
                  </w:tcBorders>
                  <w:noWrap w:val="0"/>
                  <w:vAlign w:val="center"/>
                </w:tcPr>
                <w:p w14:paraId="6FD36D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68.0</w:t>
                  </w:r>
                </w:p>
              </w:tc>
              <w:tc>
                <w:tcPr>
                  <w:tcW w:w="736" w:type="dxa"/>
                  <w:tcBorders>
                    <w:tl2br w:val="nil"/>
                    <w:tr2bl w:val="nil"/>
                  </w:tcBorders>
                  <w:noWrap w:val="0"/>
                  <w:vAlign w:val="center"/>
                </w:tcPr>
                <w:p w14:paraId="46B9E1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62.0</w:t>
                  </w:r>
                </w:p>
              </w:tc>
              <w:tc>
                <w:tcPr>
                  <w:tcW w:w="736" w:type="dxa"/>
                  <w:tcBorders>
                    <w:tl2br w:val="nil"/>
                    <w:tr2bl w:val="nil"/>
                  </w:tcBorders>
                  <w:noWrap w:val="0"/>
                  <w:vAlign w:val="center"/>
                </w:tcPr>
                <w:p w14:paraId="5C3888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56.0</w:t>
                  </w:r>
                </w:p>
              </w:tc>
              <w:tc>
                <w:tcPr>
                  <w:tcW w:w="759" w:type="dxa"/>
                  <w:tcBorders>
                    <w:tl2br w:val="nil"/>
                    <w:tr2bl w:val="nil"/>
                  </w:tcBorders>
                  <w:noWrap w:val="0"/>
                  <w:vAlign w:val="center"/>
                </w:tcPr>
                <w:p w14:paraId="3D5118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54.0</w:t>
                  </w:r>
                </w:p>
              </w:tc>
              <w:tc>
                <w:tcPr>
                  <w:tcW w:w="757" w:type="dxa"/>
                  <w:tcBorders>
                    <w:tl2br w:val="nil"/>
                    <w:tr2bl w:val="nil"/>
                  </w:tcBorders>
                  <w:noWrap w:val="0"/>
                  <w:vAlign w:val="center"/>
                </w:tcPr>
                <w:p w14:paraId="0664F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50.0</w:t>
                  </w:r>
                </w:p>
              </w:tc>
              <w:tc>
                <w:tcPr>
                  <w:tcW w:w="779" w:type="dxa"/>
                  <w:tcBorders>
                    <w:tl2br w:val="nil"/>
                    <w:tr2bl w:val="nil"/>
                  </w:tcBorders>
                  <w:noWrap w:val="0"/>
                  <w:vAlign w:val="center"/>
                </w:tcPr>
                <w:p w14:paraId="6697D8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1"/>
                      <w:sz w:val="21"/>
                      <w:szCs w:val="21"/>
                      <w:u w:val="none" w:color="auto"/>
                    </w:rPr>
                    <w:t>48.0</w:t>
                  </w:r>
                </w:p>
              </w:tc>
            </w:tr>
            <w:tr w14:paraId="574954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34" w:type="dxa"/>
                  <w:tcBorders>
                    <w:tl2br w:val="nil"/>
                    <w:tr2bl w:val="nil"/>
                  </w:tcBorders>
                  <w:noWrap w:val="0"/>
                  <w:vAlign w:val="center"/>
                </w:tcPr>
                <w:p w14:paraId="2110D9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color="auto"/>
                      <w:lang w:eastAsia="zh-CN"/>
                    </w:rPr>
                  </w:pPr>
                  <w:r>
                    <w:rPr>
                      <w:rFonts w:hint="eastAsia" w:ascii="Times New Roman" w:hAnsi="Times New Roman" w:eastAsia="宋体" w:cs="Times New Roman"/>
                      <w:color w:val="auto"/>
                      <w:sz w:val="21"/>
                      <w:szCs w:val="21"/>
                      <w:u w:val="none" w:color="auto"/>
                      <w:lang w:val="en-US" w:eastAsia="zh-CN"/>
                    </w:rPr>
                    <w:t>4</w:t>
                  </w:r>
                </w:p>
              </w:tc>
              <w:tc>
                <w:tcPr>
                  <w:tcW w:w="1469" w:type="dxa"/>
                  <w:tcBorders>
                    <w:tl2br w:val="nil"/>
                    <w:tr2bl w:val="nil"/>
                  </w:tcBorders>
                  <w:noWrap w:val="0"/>
                  <w:vAlign w:val="center"/>
                </w:tcPr>
                <w:p w14:paraId="671FCB7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pacing w:val="-2"/>
                      <w:sz w:val="21"/>
                      <w:szCs w:val="21"/>
                      <w:u w:val="none" w:color="auto"/>
                      <w:lang w:eastAsia="zh-CN"/>
                    </w:rPr>
                    <w:t>手风钻</w:t>
                  </w:r>
                </w:p>
              </w:tc>
              <w:tc>
                <w:tcPr>
                  <w:tcW w:w="733" w:type="dxa"/>
                  <w:tcBorders>
                    <w:tl2br w:val="nil"/>
                    <w:tr2bl w:val="nil"/>
                  </w:tcBorders>
                  <w:noWrap w:val="0"/>
                  <w:vAlign w:val="center"/>
                </w:tcPr>
                <w:p w14:paraId="0EF7D5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88.0</w:t>
                  </w:r>
                </w:p>
              </w:tc>
              <w:tc>
                <w:tcPr>
                  <w:tcW w:w="736" w:type="dxa"/>
                  <w:tcBorders>
                    <w:tl2br w:val="nil"/>
                    <w:tr2bl w:val="nil"/>
                  </w:tcBorders>
                  <w:noWrap w:val="0"/>
                  <w:vAlign w:val="center"/>
                </w:tcPr>
                <w:p w14:paraId="0E20B1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82.0</w:t>
                  </w:r>
                </w:p>
              </w:tc>
              <w:tc>
                <w:tcPr>
                  <w:tcW w:w="739" w:type="dxa"/>
                  <w:tcBorders>
                    <w:tl2br w:val="nil"/>
                    <w:tr2bl w:val="nil"/>
                  </w:tcBorders>
                  <w:noWrap w:val="0"/>
                  <w:vAlign w:val="center"/>
                </w:tcPr>
                <w:p w14:paraId="1CC55A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76.0</w:t>
                  </w:r>
                </w:p>
              </w:tc>
              <w:tc>
                <w:tcPr>
                  <w:tcW w:w="736" w:type="dxa"/>
                  <w:tcBorders>
                    <w:tl2br w:val="nil"/>
                    <w:tr2bl w:val="nil"/>
                  </w:tcBorders>
                  <w:noWrap w:val="0"/>
                  <w:vAlign w:val="center"/>
                </w:tcPr>
                <w:p w14:paraId="1FF43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70.0</w:t>
                  </w:r>
                </w:p>
              </w:tc>
              <w:tc>
                <w:tcPr>
                  <w:tcW w:w="736" w:type="dxa"/>
                  <w:tcBorders>
                    <w:tl2br w:val="nil"/>
                    <w:tr2bl w:val="nil"/>
                  </w:tcBorders>
                  <w:noWrap w:val="0"/>
                  <w:vAlign w:val="center"/>
                </w:tcPr>
                <w:p w14:paraId="649633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64.0</w:t>
                  </w:r>
                </w:p>
              </w:tc>
              <w:tc>
                <w:tcPr>
                  <w:tcW w:w="759" w:type="dxa"/>
                  <w:tcBorders>
                    <w:tl2br w:val="nil"/>
                    <w:tr2bl w:val="nil"/>
                  </w:tcBorders>
                  <w:noWrap w:val="0"/>
                  <w:vAlign w:val="center"/>
                </w:tcPr>
                <w:p w14:paraId="3B046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62.0</w:t>
                  </w:r>
                </w:p>
              </w:tc>
              <w:tc>
                <w:tcPr>
                  <w:tcW w:w="757" w:type="dxa"/>
                  <w:tcBorders>
                    <w:tl2br w:val="nil"/>
                    <w:tr2bl w:val="nil"/>
                  </w:tcBorders>
                  <w:noWrap w:val="0"/>
                  <w:vAlign w:val="center"/>
                </w:tcPr>
                <w:p w14:paraId="5D04BE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58.0</w:t>
                  </w:r>
                </w:p>
              </w:tc>
              <w:tc>
                <w:tcPr>
                  <w:tcW w:w="779" w:type="dxa"/>
                  <w:tcBorders>
                    <w:tl2br w:val="nil"/>
                    <w:tr2bl w:val="nil"/>
                  </w:tcBorders>
                  <w:noWrap w:val="0"/>
                  <w:vAlign w:val="center"/>
                </w:tcPr>
                <w:p w14:paraId="2A1D6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56.0</w:t>
                  </w:r>
                </w:p>
              </w:tc>
            </w:tr>
            <w:tr w14:paraId="46F3D4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634" w:type="dxa"/>
                  <w:tcBorders>
                    <w:tl2br w:val="nil"/>
                    <w:tr2bl w:val="nil"/>
                  </w:tcBorders>
                  <w:noWrap w:val="0"/>
                  <w:vAlign w:val="center"/>
                </w:tcPr>
                <w:p w14:paraId="496CDD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color="auto"/>
                      <w:lang w:eastAsia="zh-CN"/>
                    </w:rPr>
                  </w:pPr>
                  <w:r>
                    <w:rPr>
                      <w:rFonts w:hint="eastAsia" w:ascii="Times New Roman" w:hAnsi="Times New Roman" w:eastAsia="宋体" w:cs="Times New Roman"/>
                      <w:color w:val="auto"/>
                      <w:sz w:val="21"/>
                      <w:szCs w:val="21"/>
                      <w:u w:val="none" w:color="auto"/>
                      <w:lang w:val="en-US" w:eastAsia="zh-CN"/>
                    </w:rPr>
                    <w:t>5</w:t>
                  </w:r>
                </w:p>
              </w:tc>
              <w:tc>
                <w:tcPr>
                  <w:tcW w:w="1469" w:type="dxa"/>
                  <w:tcBorders>
                    <w:tl2br w:val="nil"/>
                    <w:tr2bl w:val="nil"/>
                  </w:tcBorders>
                  <w:noWrap w:val="0"/>
                  <w:vAlign w:val="center"/>
                </w:tcPr>
                <w:p w14:paraId="2D6B54D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水泵</w:t>
                  </w:r>
                </w:p>
              </w:tc>
              <w:tc>
                <w:tcPr>
                  <w:tcW w:w="733" w:type="dxa"/>
                  <w:tcBorders>
                    <w:tl2br w:val="nil"/>
                    <w:tr2bl w:val="nil"/>
                  </w:tcBorders>
                  <w:noWrap w:val="0"/>
                  <w:vAlign w:val="center"/>
                </w:tcPr>
                <w:p w14:paraId="3F7F0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80.0</w:t>
                  </w:r>
                </w:p>
              </w:tc>
              <w:tc>
                <w:tcPr>
                  <w:tcW w:w="736" w:type="dxa"/>
                  <w:tcBorders>
                    <w:tl2br w:val="nil"/>
                    <w:tr2bl w:val="nil"/>
                  </w:tcBorders>
                  <w:noWrap w:val="0"/>
                  <w:vAlign w:val="center"/>
                </w:tcPr>
                <w:p w14:paraId="0A96F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74.0</w:t>
                  </w:r>
                </w:p>
              </w:tc>
              <w:tc>
                <w:tcPr>
                  <w:tcW w:w="739" w:type="dxa"/>
                  <w:tcBorders>
                    <w:tl2br w:val="nil"/>
                    <w:tr2bl w:val="nil"/>
                  </w:tcBorders>
                  <w:noWrap w:val="0"/>
                  <w:vAlign w:val="center"/>
                </w:tcPr>
                <w:p w14:paraId="26DDD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68.0</w:t>
                  </w:r>
                </w:p>
              </w:tc>
              <w:tc>
                <w:tcPr>
                  <w:tcW w:w="736" w:type="dxa"/>
                  <w:tcBorders>
                    <w:tl2br w:val="nil"/>
                    <w:tr2bl w:val="nil"/>
                  </w:tcBorders>
                  <w:noWrap w:val="0"/>
                  <w:vAlign w:val="center"/>
                </w:tcPr>
                <w:p w14:paraId="61A02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62.0</w:t>
                  </w:r>
                </w:p>
              </w:tc>
              <w:tc>
                <w:tcPr>
                  <w:tcW w:w="736" w:type="dxa"/>
                  <w:tcBorders>
                    <w:tl2br w:val="nil"/>
                    <w:tr2bl w:val="nil"/>
                  </w:tcBorders>
                  <w:noWrap w:val="0"/>
                  <w:vAlign w:val="center"/>
                </w:tcPr>
                <w:p w14:paraId="6B4FC0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56.0</w:t>
                  </w:r>
                </w:p>
              </w:tc>
              <w:tc>
                <w:tcPr>
                  <w:tcW w:w="759" w:type="dxa"/>
                  <w:tcBorders>
                    <w:tl2br w:val="nil"/>
                    <w:tr2bl w:val="nil"/>
                  </w:tcBorders>
                  <w:noWrap w:val="0"/>
                  <w:vAlign w:val="center"/>
                </w:tcPr>
                <w:p w14:paraId="0F39BB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54.0</w:t>
                  </w:r>
                </w:p>
              </w:tc>
              <w:tc>
                <w:tcPr>
                  <w:tcW w:w="757" w:type="dxa"/>
                  <w:tcBorders>
                    <w:tl2br w:val="nil"/>
                    <w:tr2bl w:val="nil"/>
                  </w:tcBorders>
                  <w:noWrap w:val="0"/>
                  <w:vAlign w:val="center"/>
                </w:tcPr>
                <w:p w14:paraId="28279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50.0</w:t>
                  </w:r>
                </w:p>
              </w:tc>
              <w:tc>
                <w:tcPr>
                  <w:tcW w:w="779" w:type="dxa"/>
                  <w:tcBorders>
                    <w:tl2br w:val="nil"/>
                    <w:tr2bl w:val="nil"/>
                  </w:tcBorders>
                  <w:noWrap w:val="0"/>
                  <w:vAlign w:val="center"/>
                </w:tcPr>
                <w:p w14:paraId="7F8722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1"/>
                      <w:sz w:val="21"/>
                      <w:szCs w:val="21"/>
                      <w:u w:val="none" w:color="auto"/>
                    </w:rPr>
                    <w:t>48.0</w:t>
                  </w:r>
                </w:p>
              </w:tc>
            </w:tr>
            <w:tr w14:paraId="7911F8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634" w:type="dxa"/>
                  <w:tcBorders>
                    <w:tl2br w:val="nil"/>
                    <w:tr2bl w:val="nil"/>
                  </w:tcBorders>
                  <w:noWrap w:val="0"/>
                  <w:vAlign w:val="center"/>
                </w:tcPr>
                <w:p w14:paraId="2C88A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color="auto"/>
                      <w:lang w:eastAsia="zh-CN"/>
                    </w:rPr>
                  </w:pPr>
                  <w:r>
                    <w:rPr>
                      <w:rFonts w:hint="eastAsia" w:ascii="Times New Roman" w:hAnsi="Times New Roman" w:eastAsia="宋体" w:cs="Times New Roman"/>
                      <w:color w:val="auto"/>
                      <w:sz w:val="21"/>
                      <w:szCs w:val="21"/>
                      <w:u w:val="none" w:color="auto"/>
                      <w:lang w:val="en-US" w:eastAsia="zh-CN"/>
                    </w:rPr>
                    <w:t>6</w:t>
                  </w:r>
                </w:p>
              </w:tc>
              <w:tc>
                <w:tcPr>
                  <w:tcW w:w="1469" w:type="dxa"/>
                  <w:tcBorders>
                    <w:tl2br w:val="nil"/>
                    <w:tr2bl w:val="nil"/>
                  </w:tcBorders>
                  <w:noWrap w:val="0"/>
                  <w:vAlign w:val="center"/>
                </w:tcPr>
                <w:p w14:paraId="2EB6531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3"/>
                      <w:sz w:val="21"/>
                      <w:szCs w:val="21"/>
                      <w:u w:val="none" w:color="auto"/>
                      <w:lang w:eastAsia="zh-CN"/>
                    </w:rPr>
                  </w:pPr>
                  <w:r>
                    <w:rPr>
                      <w:rFonts w:hint="default" w:ascii="Times New Roman" w:hAnsi="Times New Roman" w:eastAsia="宋体" w:cs="Times New Roman"/>
                      <w:color w:val="auto"/>
                      <w:spacing w:val="-3"/>
                      <w:sz w:val="21"/>
                      <w:szCs w:val="21"/>
                      <w:u w:val="none" w:color="auto"/>
                    </w:rPr>
                    <w:t>空压机</w:t>
                  </w:r>
                  <w:r>
                    <w:rPr>
                      <w:rFonts w:hint="eastAsia" w:ascii="Times New Roman" w:hAnsi="Times New Roman" w:eastAsia="宋体" w:cs="Times New Roman"/>
                      <w:color w:val="auto"/>
                      <w:spacing w:val="-3"/>
                      <w:sz w:val="21"/>
                      <w:szCs w:val="21"/>
                      <w:u w:val="none" w:color="auto"/>
                      <w:lang w:eastAsia="zh-CN"/>
                    </w:rPr>
                    <w:t>（设备）</w:t>
                  </w:r>
                </w:p>
              </w:tc>
              <w:tc>
                <w:tcPr>
                  <w:tcW w:w="733" w:type="dxa"/>
                  <w:tcBorders>
                    <w:tl2br w:val="nil"/>
                    <w:tr2bl w:val="nil"/>
                  </w:tcBorders>
                  <w:noWrap w:val="0"/>
                  <w:vAlign w:val="center"/>
                </w:tcPr>
                <w:p w14:paraId="3C29B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4"/>
                      <w:sz w:val="21"/>
                      <w:szCs w:val="21"/>
                      <w:u w:val="none" w:color="auto"/>
                    </w:rPr>
                    <w:t>81.0</w:t>
                  </w:r>
                </w:p>
              </w:tc>
              <w:tc>
                <w:tcPr>
                  <w:tcW w:w="736" w:type="dxa"/>
                  <w:tcBorders>
                    <w:tl2br w:val="nil"/>
                    <w:tr2bl w:val="nil"/>
                  </w:tcBorders>
                  <w:noWrap w:val="0"/>
                  <w:vAlign w:val="center"/>
                </w:tcPr>
                <w:p w14:paraId="35C56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2"/>
                      <w:sz w:val="21"/>
                      <w:szCs w:val="21"/>
                      <w:u w:val="none" w:color="auto"/>
                    </w:rPr>
                    <w:t>75.0</w:t>
                  </w:r>
                </w:p>
              </w:tc>
              <w:tc>
                <w:tcPr>
                  <w:tcW w:w="739" w:type="dxa"/>
                  <w:tcBorders>
                    <w:tl2br w:val="nil"/>
                    <w:tr2bl w:val="nil"/>
                  </w:tcBorders>
                  <w:noWrap w:val="0"/>
                  <w:vAlign w:val="center"/>
                </w:tcPr>
                <w:p w14:paraId="51F517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69.0</w:t>
                  </w:r>
                </w:p>
              </w:tc>
              <w:tc>
                <w:tcPr>
                  <w:tcW w:w="736" w:type="dxa"/>
                  <w:tcBorders>
                    <w:tl2br w:val="nil"/>
                    <w:tr2bl w:val="nil"/>
                  </w:tcBorders>
                  <w:noWrap w:val="0"/>
                  <w:vAlign w:val="center"/>
                </w:tcPr>
                <w:p w14:paraId="05E348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63.0</w:t>
                  </w:r>
                </w:p>
              </w:tc>
              <w:tc>
                <w:tcPr>
                  <w:tcW w:w="736" w:type="dxa"/>
                  <w:tcBorders>
                    <w:tl2br w:val="nil"/>
                    <w:tr2bl w:val="nil"/>
                  </w:tcBorders>
                  <w:noWrap w:val="0"/>
                  <w:vAlign w:val="center"/>
                </w:tcPr>
                <w:p w14:paraId="6C2DF8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57.0</w:t>
                  </w:r>
                </w:p>
              </w:tc>
              <w:tc>
                <w:tcPr>
                  <w:tcW w:w="759" w:type="dxa"/>
                  <w:tcBorders>
                    <w:tl2br w:val="nil"/>
                    <w:tr2bl w:val="nil"/>
                  </w:tcBorders>
                  <w:noWrap w:val="0"/>
                  <w:vAlign w:val="center"/>
                </w:tcPr>
                <w:p w14:paraId="28B47D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55.0</w:t>
                  </w:r>
                </w:p>
              </w:tc>
              <w:tc>
                <w:tcPr>
                  <w:tcW w:w="757" w:type="dxa"/>
                  <w:tcBorders>
                    <w:tl2br w:val="nil"/>
                    <w:tr2bl w:val="nil"/>
                  </w:tcBorders>
                  <w:noWrap w:val="0"/>
                  <w:vAlign w:val="center"/>
                </w:tcPr>
                <w:p w14:paraId="4DAA2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3"/>
                      <w:sz w:val="21"/>
                      <w:szCs w:val="21"/>
                      <w:u w:val="none" w:color="auto"/>
                    </w:rPr>
                    <w:t>51.0</w:t>
                  </w:r>
                </w:p>
              </w:tc>
              <w:tc>
                <w:tcPr>
                  <w:tcW w:w="779" w:type="dxa"/>
                  <w:tcBorders>
                    <w:tl2br w:val="nil"/>
                    <w:tr2bl w:val="nil"/>
                  </w:tcBorders>
                  <w:noWrap w:val="0"/>
                  <w:vAlign w:val="center"/>
                </w:tcPr>
                <w:p w14:paraId="13B85E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pacing w:val="-1"/>
                      <w:sz w:val="21"/>
                      <w:szCs w:val="21"/>
                      <w:u w:val="none" w:color="auto"/>
                    </w:rPr>
                    <w:t>49.0</w:t>
                  </w:r>
                </w:p>
              </w:tc>
            </w:tr>
          </w:tbl>
          <w:p w14:paraId="17A647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rPr>
              <w:t>由上表预测</w:t>
            </w:r>
            <w:r>
              <w:rPr>
                <w:rFonts w:hint="eastAsia" w:ascii="Times New Roman" w:hAnsi="Times New Roman" w:eastAsia="宋体" w:cs="Times New Roman"/>
                <w:color w:val="auto"/>
                <w:sz w:val="24"/>
                <w:szCs w:val="24"/>
                <w:u w:val="none" w:color="auto"/>
                <w:lang w:eastAsia="zh-CN"/>
              </w:rPr>
              <w:t>结果</w:t>
            </w:r>
            <w:r>
              <w:rPr>
                <w:rFonts w:hint="default" w:ascii="Times New Roman" w:hAnsi="Times New Roman" w:eastAsia="宋体" w:cs="Times New Roman"/>
                <w:color w:val="auto"/>
                <w:sz w:val="24"/>
                <w:szCs w:val="24"/>
                <w:u w:val="none" w:color="auto"/>
              </w:rPr>
              <w:t>可知，工程施工噪声最远可影响的居民距离达160米；若夜间施工，则200m以内的环境噪声超过50dB(A)的夜间标准值。主体工程建设阶段噪声源以挖掘机、推土机、运输汽车、卷扬机、钻机、水泵、空压机为主，施工生产区以混凝土罐装车等为主，环评要求建设方采取隔声、减</w:t>
            </w:r>
            <w:r>
              <w:rPr>
                <w:rFonts w:hint="eastAsia" w:ascii="Times New Roman" w:hAnsi="Times New Roman" w:eastAsia="宋体" w:cs="Times New Roman"/>
                <w:color w:val="auto"/>
                <w:sz w:val="24"/>
                <w:szCs w:val="24"/>
                <w:u w:val="none" w:color="auto"/>
                <w:lang w:eastAsia="zh-CN"/>
              </w:rPr>
              <w:t>振</w:t>
            </w:r>
            <w:r>
              <w:rPr>
                <w:rFonts w:hint="default" w:ascii="Times New Roman" w:hAnsi="Times New Roman" w:eastAsia="宋体" w:cs="Times New Roman"/>
                <w:color w:val="auto"/>
                <w:sz w:val="24"/>
                <w:szCs w:val="24"/>
                <w:u w:val="none" w:color="auto"/>
              </w:rPr>
              <w:t>及设置隔声屏障等多项切实可行的降噪措施减低项目建设过程中噪声对周围环境的影响</w:t>
            </w:r>
            <w:r>
              <w:rPr>
                <w:rFonts w:hint="eastAsia" w:ascii="Times New Roman" w:hAnsi="Times New Roman" w:eastAsia="宋体" w:cs="Times New Roman"/>
                <w:color w:val="auto"/>
                <w:sz w:val="24"/>
                <w:szCs w:val="24"/>
                <w:u w:val="none" w:color="auto"/>
                <w:lang w:eastAsia="zh-CN"/>
              </w:rPr>
              <w:t>。</w:t>
            </w:r>
          </w:p>
          <w:p w14:paraId="126BAA98">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本项目在具体施工的过程中严格执行噪声防治等法律法规，工</w:t>
            </w:r>
            <w:r>
              <w:rPr>
                <w:rFonts w:ascii="宋体" w:hAnsi="宋体" w:eastAsia="宋体" w:cs="宋体"/>
                <w:color w:val="auto"/>
                <w:spacing w:val="-4"/>
                <w:sz w:val="24"/>
                <w:szCs w:val="24"/>
                <w:u w:val="none" w:color="auto"/>
              </w:rPr>
              <w:t>程四周边界执</w:t>
            </w:r>
            <w:r>
              <w:rPr>
                <w:rFonts w:ascii="宋体" w:hAnsi="宋体" w:eastAsia="宋体" w:cs="宋体"/>
                <w:color w:val="auto"/>
                <w:spacing w:val="1"/>
                <w:sz w:val="24"/>
                <w:szCs w:val="24"/>
                <w:u w:val="none" w:color="auto"/>
              </w:rPr>
              <w:t>行</w:t>
            </w:r>
            <w:r>
              <w:rPr>
                <w:rFonts w:hint="default" w:ascii="Times New Roman" w:hAnsi="Times New Roman" w:eastAsia="宋体" w:cs="Times New Roman"/>
                <w:bCs/>
                <w:color w:val="auto"/>
                <w:sz w:val="24"/>
                <w:highlight w:val="none"/>
                <w:u w:val="none" w:color="auto"/>
                <w:lang w:eastAsia="zh-CN"/>
              </w:rPr>
              <w:t>《</w:t>
            </w:r>
            <w:r>
              <w:rPr>
                <w:rFonts w:hint="eastAsia" w:ascii="Times New Roman" w:hAnsi="Times New Roman" w:eastAsia="宋体" w:cs="Times New Roman"/>
                <w:bCs/>
                <w:color w:val="auto"/>
                <w:sz w:val="24"/>
                <w:highlight w:val="none"/>
                <w:u w:val="none" w:color="auto"/>
                <w:lang w:eastAsia="zh-CN"/>
              </w:rPr>
              <w:t>建筑施工噪声排放标准</w:t>
            </w:r>
            <w:r>
              <w:rPr>
                <w:rFonts w:hint="default" w:ascii="Times New Roman" w:hAnsi="Times New Roman" w:eastAsia="宋体" w:cs="Times New Roman"/>
                <w:bCs/>
                <w:color w:val="auto"/>
                <w:sz w:val="24"/>
                <w:highlight w:val="none"/>
                <w:u w:val="none" w:color="auto"/>
                <w:lang w:eastAsia="zh-CN"/>
              </w:rPr>
              <w:t>》（GB12523-20</w:t>
            </w:r>
            <w:r>
              <w:rPr>
                <w:rFonts w:hint="eastAsia" w:ascii="Times New Roman" w:hAnsi="Times New Roman" w:eastAsia="宋体" w:cs="Times New Roman"/>
                <w:bCs/>
                <w:color w:val="auto"/>
                <w:sz w:val="24"/>
                <w:highlight w:val="none"/>
                <w:u w:val="none" w:color="auto"/>
                <w:lang w:val="en-US" w:eastAsia="zh-CN"/>
              </w:rPr>
              <w:t>25</w:t>
            </w:r>
            <w:r>
              <w:rPr>
                <w:rFonts w:hint="default" w:ascii="Times New Roman" w:hAnsi="Times New Roman" w:eastAsia="宋体" w:cs="Times New Roman"/>
                <w:bCs/>
                <w:color w:val="auto"/>
                <w:sz w:val="24"/>
                <w:highlight w:val="none"/>
                <w:u w:val="none" w:color="auto"/>
                <w:lang w:eastAsia="zh-CN"/>
              </w:rPr>
              <w:t>）</w:t>
            </w:r>
            <w:r>
              <w:rPr>
                <w:rFonts w:ascii="宋体" w:hAnsi="宋体" w:eastAsia="宋体" w:cs="宋体"/>
                <w:color w:val="auto"/>
                <w:spacing w:val="23"/>
                <w:sz w:val="24"/>
                <w:szCs w:val="24"/>
                <w:u w:val="none" w:color="auto"/>
              </w:rPr>
              <w:t>，</w:t>
            </w:r>
            <w:r>
              <w:rPr>
                <w:rFonts w:ascii="宋体" w:hAnsi="宋体" w:eastAsia="宋体" w:cs="宋体"/>
                <w:color w:val="auto"/>
                <w:spacing w:val="1"/>
                <w:sz w:val="24"/>
                <w:szCs w:val="24"/>
                <w:u w:val="none" w:color="auto"/>
              </w:rPr>
              <w:t>以减少和消除施工</w:t>
            </w:r>
            <w:r>
              <w:rPr>
                <w:rFonts w:ascii="宋体" w:hAnsi="宋体" w:eastAsia="宋体" w:cs="宋体"/>
                <w:color w:val="auto"/>
                <w:spacing w:val="-3"/>
                <w:sz w:val="24"/>
                <w:szCs w:val="24"/>
                <w:u w:val="none" w:color="auto"/>
              </w:rPr>
              <w:t>期间噪声对周围居民的影响。通过预测结果可知，项目施工期部分施工设备所产生的噪声超过标准的要求，为减少其噪声对周围环境的影响，环评要求从以下几</w:t>
            </w:r>
            <w:r>
              <w:rPr>
                <w:rFonts w:ascii="宋体" w:hAnsi="宋体" w:eastAsia="宋体" w:cs="宋体"/>
                <w:color w:val="auto"/>
                <w:spacing w:val="-1"/>
                <w:sz w:val="24"/>
                <w:szCs w:val="24"/>
                <w:u w:val="none" w:color="auto"/>
              </w:rPr>
              <w:t>个方面采取适当的实施措施来减轻其噪声的影响。</w:t>
            </w:r>
          </w:p>
          <w:p w14:paraId="27C9AEC9">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①施工单位应合理安排施工进度，噪声源强大的作业须放在昼间</w:t>
            </w:r>
            <w:r>
              <w:rPr>
                <w:rFonts w:ascii="宋体" w:hAnsi="宋体" w:eastAsia="宋体" w:cs="宋体"/>
                <w:color w:val="auto"/>
                <w:spacing w:val="-4"/>
                <w:sz w:val="24"/>
                <w:szCs w:val="24"/>
                <w:u w:val="none" w:color="auto"/>
              </w:rPr>
              <w:t>进行，</w:t>
            </w:r>
            <w:r>
              <w:rPr>
                <w:rFonts w:ascii="宋体" w:hAnsi="宋体" w:eastAsia="宋体" w:cs="宋体"/>
                <w:color w:val="auto"/>
                <w:spacing w:val="-4"/>
                <w:sz w:val="24"/>
                <w:szCs w:val="24"/>
                <w:u w:val="none" w:color="auto"/>
              </w:rPr>
              <w:t>中午</w:t>
            </w:r>
          </w:p>
          <w:p w14:paraId="1C4EB062">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Times New Roman" w:hAnsi="Times New Roman" w:eastAsia="Times New Roman" w:cs="Times New Roman"/>
                <w:color w:val="auto"/>
                <w:spacing w:val="-3"/>
                <w:sz w:val="24"/>
                <w:szCs w:val="24"/>
                <w:u w:val="none" w:color="auto"/>
              </w:rPr>
              <w:t>12:00~</w:t>
            </w:r>
            <w:r>
              <w:rPr>
                <w:rFonts w:ascii="Times New Roman" w:hAnsi="Times New Roman" w:eastAsia="Times New Roman" w:cs="Times New Roman"/>
                <w:color w:val="auto"/>
                <w:spacing w:val="-16"/>
                <w:sz w:val="24"/>
                <w:szCs w:val="24"/>
                <w:u w:val="none" w:color="auto"/>
              </w:rPr>
              <w:t xml:space="preserve"> </w:t>
            </w:r>
            <w:r>
              <w:rPr>
                <w:rFonts w:ascii="Times New Roman" w:hAnsi="Times New Roman" w:eastAsia="Times New Roman" w:cs="Times New Roman"/>
                <w:color w:val="auto"/>
                <w:spacing w:val="-3"/>
                <w:sz w:val="24"/>
                <w:szCs w:val="24"/>
                <w:u w:val="none" w:color="auto"/>
              </w:rPr>
              <w:t>14</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 xml:space="preserve">00 </w:t>
            </w:r>
            <w:r>
              <w:rPr>
                <w:rFonts w:ascii="宋体" w:hAnsi="宋体" w:eastAsia="宋体" w:cs="宋体"/>
                <w:color w:val="auto"/>
                <w:spacing w:val="-3"/>
                <w:sz w:val="24"/>
                <w:szCs w:val="24"/>
                <w:u w:val="none" w:color="auto"/>
              </w:rPr>
              <w:t>及夜间</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3"/>
                <w:sz w:val="24"/>
                <w:szCs w:val="24"/>
                <w:u w:val="none" w:color="auto"/>
              </w:rPr>
              <w:t>22</w:t>
            </w:r>
            <w:r>
              <w:rPr>
                <w:rFonts w:ascii="宋体" w:hAnsi="宋体" w:eastAsia="宋体" w:cs="宋体"/>
                <w:color w:val="auto"/>
                <w:spacing w:val="-3"/>
                <w:sz w:val="24"/>
                <w:szCs w:val="24"/>
                <w:u w:val="none" w:color="auto"/>
              </w:rPr>
              <w:t>时至次日凌晨</w:t>
            </w:r>
            <w:r>
              <w:rPr>
                <w:rFonts w:ascii="宋体" w:hAnsi="宋体" w:eastAsia="宋体" w:cs="宋体"/>
                <w:color w:val="auto"/>
                <w:spacing w:val="-50"/>
                <w:sz w:val="24"/>
                <w:szCs w:val="24"/>
                <w:u w:val="none" w:color="auto"/>
              </w:rPr>
              <w:t xml:space="preserve"> </w:t>
            </w:r>
            <w:r>
              <w:rPr>
                <w:rFonts w:ascii="Times New Roman" w:hAnsi="Times New Roman" w:eastAsia="Times New Roman" w:cs="Times New Roman"/>
                <w:color w:val="auto"/>
                <w:spacing w:val="-3"/>
                <w:sz w:val="24"/>
                <w:szCs w:val="24"/>
                <w:u w:val="none" w:color="auto"/>
              </w:rPr>
              <w:t>6</w:t>
            </w:r>
            <w:r>
              <w:rPr>
                <w:rFonts w:ascii="宋体" w:hAnsi="宋体" w:eastAsia="宋体" w:cs="宋体"/>
                <w:color w:val="auto"/>
                <w:spacing w:val="-3"/>
                <w:sz w:val="24"/>
                <w:szCs w:val="24"/>
                <w:u w:val="none" w:color="auto"/>
              </w:rPr>
              <w:t>时，除抢修和抢险作业外，禁止施工单</w:t>
            </w:r>
            <w:r>
              <w:rPr>
                <w:rFonts w:ascii="宋体" w:hAnsi="宋体" w:eastAsia="宋体" w:cs="宋体"/>
                <w:color w:val="auto"/>
                <w:spacing w:val="-5"/>
                <w:sz w:val="24"/>
                <w:szCs w:val="24"/>
                <w:u w:val="none" w:color="auto"/>
              </w:rPr>
              <w:t>位措施从事影响居民休息的强噪声建筑施工作业</w:t>
            </w:r>
            <w:r>
              <w:rPr>
                <w:rFonts w:ascii="宋体" w:hAnsi="宋体" w:eastAsia="宋体" w:cs="宋体"/>
                <w:color w:val="auto"/>
                <w:spacing w:val="-5"/>
                <w:sz w:val="24"/>
                <w:szCs w:val="24"/>
                <w:u w:val="none" w:color="auto"/>
              </w:rPr>
              <w:t>。确因特殊需要必须连续作业的，</w:t>
            </w:r>
            <w:r>
              <w:rPr>
                <w:rFonts w:ascii="宋体" w:hAnsi="宋体" w:eastAsia="宋体" w:cs="宋体"/>
                <w:color w:val="auto"/>
                <w:spacing w:val="-2"/>
                <w:sz w:val="24"/>
                <w:szCs w:val="24"/>
                <w:u w:val="none" w:color="auto"/>
              </w:rPr>
              <w:t>必须在工程开工</w:t>
            </w:r>
            <w:r>
              <w:rPr>
                <w:rFonts w:ascii="宋体" w:hAnsi="宋体" w:eastAsia="宋体" w:cs="宋体"/>
                <w:color w:val="auto"/>
                <w:spacing w:val="-28"/>
                <w:sz w:val="24"/>
                <w:szCs w:val="24"/>
                <w:u w:val="none" w:color="auto"/>
              </w:rPr>
              <w:t xml:space="preserve"> </w:t>
            </w:r>
            <w:r>
              <w:rPr>
                <w:rFonts w:ascii="Times New Roman" w:hAnsi="Times New Roman" w:eastAsia="Times New Roman" w:cs="Times New Roman"/>
                <w:color w:val="auto"/>
                <w:spacing w:val="-2"/>
                <w:sz w:val="24"/>
                <w:szCs w:val="24"/>
                <w:u w:val="none" w:color="auto"/>
              </w:rPr>
              <w:t>15</w:t>
            </w:r>
            <w:r>
              <w:rPr>
                <w:rFonts w:ascii="宋体" w:hAnsi="宋体" w:eastAsia="宋体" w:cs="宋体"/>
                <w:color w:val="auto"/>
                <w:spacing w:val="-2"/>
                <w:sz w:val="24"/>
                <w:szCs w:val="24"/>
                <w:u w:val="none" w:color="auto"/>
              </w:rPr>
              <w:t>日前向建设部门提出申请，经取得延长夜间施工作业时间的</w:t>
            </w:r>
            <w:r>
              <w:rPr>
                <w:rFonts w:ascii="宋体" w:hAnsi="宋体" w:eastAsia="宋体" w:cs="宋体"/>
                <w:color w:val="auto"/>
                <w:sz w:val="24"/>
                <w:szCs w:val="24"/>
                <w:u w:val="none" w:color="auto"/>
              </w:rPr>
              <w:t>证明后方能施工作业。获准夜间施工的单位应当合理安排作业时间。连续运输、</w:t>
            </w:r>
            <w:r>
              <w:rPr>
                <w:rFonts w:ascii="宋体" w:hAnsi="宋体" w:eastAsia="宋体" w:cs="宋体"/>
                <w:color w:val="auto"/>
                <w:spacing w:val="-3"/>
                <w:sz w:val="24"/>
                <w:szCs w:val="24"/>
                <w:u w:val="none" w:color="auto"/>
              </w:rPr>
              <w:t>浇灌混凝土的夜间作业，一般一次不得超过</w:t>
            </w:r>
            <w:r>
              <w:rPr>
                <w:rFonts w:ascii="宋体" w:hAnsi="宋体" w:eastAsia="宋体" w:cs="宋体"/>
                <w:color w:val="auto"/>
                <w:spacing w:val="-54"/>
                <w:sz w:val="24"/>
                <w:szCs w:val="24"/>
                <w:u w:val="none" w:color="auto"/>
              </w:rPr>
              <w:t xml:space="preserve"> </w:t>
            </w:r>
            <w:r>
              <w:rPr>
                <w:rFonts w:ascii="Times New Roman" w:hAnsi="Times New Roman" w:eastAsia="Times New Roman" w:cs="Times New Roman"/>
                <w:color w:val="auto"/>
                <w:spacing w:val="-3"/>
                <w:sz w:val="24"/>
                <w:szCs w:val="24"/>
                <w:u w:val="none" w:color="auto"/>
              </w:rPr>
              <w:t>2</w:t>
            </w:r>
            <w:r>
              <w:rPr>
                <w:rFonts w:ascii="宋体" w:hAnsi="宋体" w:eastAsia="宋体" w:cs="宋体"/>
                <w:color w:val="auto"/>
                <w:spacing w:val="-3"/>
                <w:sz w:val="24"/>
                <w:szCs w:val="24"/>
                <w:u w:val="none" w:color="auto"/>
              </w:rPr>
              <w:t>个昼夜。除加盖市重点建设项</w:t>
            </w:r>
            <w:r>
              <w:rPr>
                <w:rFonts w:ascii="宋体" w:hAnsi="宋体" w:eastAsia="宋体" w:cs="宋体"/>
                <w:color w:val="auto"/>
                <w:spacing w:val="-4"/>
                <w:sz w:val="24"/>
                <w:szCs w:val="24"/>
                <w:u w:val="none" w:color="auto"/>
              </w:rPr>
              <w:t>目绿</w:t>
            </w:r>
            <w:r>
              <w:rPr>
                <w:rFonts w:ascii="宋体" w:hAnsi="宋体" w:eastAsia="宋体" w:cs="宋体"/>
                <w:color w:val="auto"/>
                <w:spacing w:val="-3"/>
                <w:sz w:val="24"/>
                <w:szCs w:val="24"/>
                <w:u w:val="none" w:color="auto"/>
              </w:rPr>
              <w:t>色通道专用章的重点保障工程外，装卸其他建筑材料、土石方和建筑废料不得超</w:t>
            </w:r>
            <w:r>
              <w:rPr>
                <w:rFonts w:ascii="宋体" w:hAnsi="宋体" w:eastAsia="宋体" w:cs="宋体"/>
                <w:color w:val="auto"/>
                <w:spacing w:val="-6"/>
                <w:sz w:val="24"/>
                <w:szCs w:val="24"/>
                <w:u w:val="none" w:color="auto"/>
              </w:rPr>
              <w:t>过当日</w:t>
            </w:r>
            <w:r>
              <w:rPr>
                <w:rFonts w:ascii="宋体" w:hAnsi="宋体" w:eastAsia="宋体" w:cs="宋体"/>
                <w:color w:val="auto"/>
                <w:spacing w:val="-50"/>
                <w:sz w:val="24"/>
                <w:szCs w:val="24"/>
                <w:u w:val="none" w:color="auto"/>
              </w:rPr>
              <w:t xml:space="preserve"> </w:t>
            </w:r>
            <w:r>
              <w:rPr>
                <w:rFonts w:ascii="Times New Roman" w:hAnsi="Times New Roman" w:eastAsia="Times New Roman" w:cs="Times New Roman"/>
                <w:color w:val="auto"/>
                <w:spacing w:val="-6"/>
                <w:sz w:val="24"/>
                <w:szCs w:val="24"/>
                <w:u w:val="none" w:color="auto"/>
              </w:rPr>
              <w:t>22</w:t>
            </w:r>
            <w:r>
              <w:rPr>
                <w:rFonts w:ascii="宋体" w:hAnsi="宋体" w:eastAsia="宋体" w:cs="宋体"/>
                <w:color w:val="auto"/>
                <w:spacing w:val="-6"/>
                <w:sz w:val="24"/>
                <w:szCs w:val="24"/>
                <w:u w:val="none" w:color="auto"/>
              </w:rPr>
              <w:t>时。</w:t>
            </w:r>
          </w:p>
          <w:p w14:paraId="0F848429">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②必须认真落实《中华人民共和国噪声污染防治法》等规定，严格</w:t>
            </w:r>
            <w:r>
              <w:rPr>
                <w:rFonts w:ascii="宋体" w:hAnsi="宋体" w:eastAsia="宋体" w:cs="宋体"/>
                <w:color w:val="auto"/>
                <w:spacing w:val="-4"/>
                <w:sz w:val="24"/>
                <w:szCs w:val="24"/>
                <w:u w:val="none" w:color="auto"/>
              </w:rPr>
              <w:t>控制建筑</w:t>
            </w:r>
            <w:r>
              <w:rPr>
                <w:rFonts w:ascii="宋体" w:hAnsi="宋体" w:eastAsia="宋体" w:cs="宋体"/>
                <w:color w:val="auto"/>
                <w:spacing w:val="30"/>
                <w:sz w:val="24"/>
                <w:szCs w:val="24"/>
                <w:u w:val="none" w:color="auto"/>
              </w:rPr>
              <w:t>施工噪声</w:t>
            </w:r>
            <w:r>
              <w:rPr>
                <w:rFonts w:ascii="宋体" w:hAnsi="宋体" w:eastAsia="宋体" w:cs="宋体"/>
                <w:color w:val="auto"/>
                <w:spacing w:val="-53"/>
                <w:sz w:val="24"/>
                <w:szCs w:val="24"/>
                <w:u w:val="none" w:color="auto"/>
              </w:rPr>
              <w:t xml:space="preserve"> </w:t>
            </w:r>
            <w:r>
              <w:rPr>
                <w:rFonts w:ascii="宋体" w:hAnsi="宋体" w:eastAsia="宋体" w:cs="宋体"/>
                <w:color w:val="auto"/>
                <w:spacing w:val="30"/>
                <w:sz w:val="24"/>
                <w:szCs w:val="24"/>
                <w:u w:val="none" w:color="auto"/>
              </w:rPr>
              <w:t>，施工期噪声排放满足</w:t>
            </w:r>
            <w:r>
              <w:rPr>
                <w:rFonts w:hint="default" w:ascii="Times New Roman" w:hAnsi="Times New Roman" w:eastAsia="宋体" w:cs="Times New Roman"/>
                <w:bCs/>
                <w:color w:val="auto"/>
                <w:sz w:val="24"/>
                <w:highlight w:val="none"/>
                <w:u w:val="none" w:color="auto"/>
                <w:lang w:eastAsia="zh-CN"/>
              </w:rPr>
              <w:t>《</w:t>
            </w:r>
            <w:r>
              <w:rPr>
                <w:rFonts w:hint="eastAsia" w:ascii="Times New Roman" w:hAnsi="Times New Roman" w:eastAsia="宋体" w:cs="Times New Roman"/>
                <w:bCs/>
                <w:color w:val="auto"/>
                <w:sz w:val="24"/>
                <w:highlight w:val="none"/>
                <w:u w:val="none" w:color="auto"/>
                <w:lang w:eastAsia="zh-CN"/>
              </w:rPr>
              <w:t>建筑施工噪声排放标准</w:t>
            </w:r>
            <w:r>
              <w:rPr>
                <w:rFonts w:hint="default" w:ascii="Times New Roman" w:hAnsi="Times New Roman" w:eastAsia="宋体" w:cs="Times New Roman"/>
                <w:bCs/>
                <w:color w:val="auto"/>
                <w:sz w:val="24"/>
                <w:highlight w:val="none"/>
                <w:u w:val="none" w:color="auto"/>
                <w:lang w:eastAsia="zh-CN"/>
              </w:rPr>
              <w:t>》（GB12523-20</w:t>
            </w:r>
            <w:r>
              <w:rPr>
                <w:rFonts w:hint="eastAsia" w:ascii="Times New Roman" w:hAnsi="Times New Roman" w:eastAsia="宋体" w:cs="Times New Roman"/>
                <w:bCs/>
                <w:color w:val="auto"/>
                <w:sz w:val="24"/>
                <w:highlight w:val="none"/>
                <w:u w:val="none" w:color="auto"/>
                <w:lang w:val="en-US" w:eastAsia="zh-CN"/>
              </w:rPr>
              <w:t>25</w:t>
            </w:r>
            <w:r>
              <w:rPr>
                <w:rFonts w:hint="default" w:ascii="Times New Roman" w:hAnsi="Times New Roman" w:eastAsia="宋体" w:cs="Times New Roman"/>
                <w:bCs/>
                <w:color w:val="auto"/>
                <w:sz w:val="24"/>
                <w:highlight w:val="none"/>
                <w:u w:val="none" w:color="auto"/>
                <w:lang w:eastAsia="zh-CN"/>
              </w:rPr>
              <w:t>）</w:t>
            </w:r>
            <w:r>
              <w:rPr>
                <w:rFonts w:ascii="宋体" w:hAnsi="宋体" w:eastAsia="宋体" w:cs="宋体"/>
                <w:color w:val="auto"/>
                <w:spacing w:val="-2"/>
                <w:sz w:val="24"/>
                <w:szCs w:val="24"/>
                <w:u w:val="none" w:color="auto"/>
              </w:rPr>
              <w:t>的规定。</w:t>
            </w:r>
          </w:p>
          <w:p w14:paraId="1EB1D458">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③施工单位应使用低噪声施工工艺、施工机械和其他辅助施工设备</w:t>
            </w:r>
            <w:r>
              <w:rPr>
                <w:rFonts w:ascii="宋体" w:hAnsi="宋体" w:eastAsia="宋体" w:cs="宋体"/>
                <w:color w:val="auto"/>
                <w:spacing w:val="-4"/>
                <w:sz w:val="24"/>
                <w:szCs w:val="24"/>
                <w:u w:val="none" w:color="auto"/>
              </w:rPr>
              <w:t>。禁止使</w:t>
            </w:r>
            <w:r>
              <w:rPr>
                <w:rFonts w:ascii="宋体" w:hAnsi="宋体" w:eastAsia="宋体" w:cs="宋体"/>
                <w:color w:val="auto"/>
                <w:spacing w:val="-3"/>
                <w:sz w:val="24"/>
                <w:szCs w:val="24"/>
                <w:u w:val="none" w:color="auto"/>
              </w:rPr>
              <w:t>用国家明令淘汰的产生噪声污染的落后施工工艺和施工机械设备。产生噪声的设备尽可能安装在远离居民住宅的位置，减少施工噪声对居民正常生活的影响。施工单位应合理安排高噪声设备在场地的布局，并采取临时隔音设施，减小对环境</w:t>
            </w:r>
            <w:r>
              <w:rPr>
                <w:rFonts w:ascii="宋体" w:hAnsi="宋体" w:eastAsia="宋体" w:cs="宋体"/>
                <w:color w:val="auto"/>
                <w:spacing w:val="-1"/>
                <w:sz w:val="24"/>
                <w:szCs w:val="24"/>
                <w:u w:val="none" w:color="auto"/>
              </w:rPr>
              <w:t>敏感点的影响，并尽量避免多台设备同时作业。</w:t>
            </w:r>
          </w:p>
          <w:p w14:paraId="28DFFD22">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④施工单位应当在建筑施工工地显著悬挂《建筑施工现场标牌》，</w:t>
            </w:r>
            <w:r>
              <w:rPr>
                <w:rFonts w:ascii="宋体" w:hAnsi="宋体" w:eastAsia="宋体" w:cs="宋体"/>
                <w:color w:val="auto"/>
                <w:spacing w:val="-4"/>
                <w:sz w:val="24"/>
                <w:szCs w:val="24"/>
                <w:u w:val="none" w:color="auto"/>
              </w:rPr>
              <w:t>载明工程</w:t>
            </w:r>
            <w:r>
              <w:rPr>
                <w:rFonts w:ascii="宋体" w:hAnsi="宋体" w:eastAsia="宋体" w:cs="宋体"/>
                <w:color w:val="auto"/>
                <w:spacing w:val="-3"/>
                <w:sz w:val="24"/>
                <w:szCs w:val="24"/>
                <w:u w:val="none" w:color="auto"/>
              </w:rPr>
              <w:t>项目名称、施工单位名称。施工单位负责人姓名、工程起止日期、建筑施</w:t>
            </w:r>
            <w:r>
              <w:rPr>
                <w:rFonts w:ascii="宋体" w:hAnsi="宋体" w:eastAsia="宋体" w:cs="宋体"/>
                <w:color w:val="auto"/>
                <w:spacing w:val="-4"/>
                <w:sz w:val="24"/>
                <w:szCs w:val="24"/>
                <w:u w:val="none" w:color="auto"/>
              </w:rPr>
              <w:t>工污染</w:t>
            </w:r>
            <w:r>
              <w:rPr>
                <w:rFonts w:ascii="宋体" w:hAnsi="宋体" w:eastAsia="宋体" w:cs="宋体"/>
                <w:color w:val="auto"/>
                <w:spacing w:val="-1"/>
                <w:sz w:val="24"/>
                <w:szCs w:val="24"/>
                <w:u w:val="none" w:color="auto"/>
              </w:rPr>
              <w:t>防治措施和联系电话等事项，及时妥善处理市民污染投诉。</w:t>
            </w:r>
          </w:p>
          <w:p w14:paraId="51A18F63">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ascii="宋体" w:hAnsi="宋体" w:eastAsia="宋体" w:cs="宋体"/>
                <w:color w:val="auto"/>
                <w:sz w:val="24"/>
                <w:szCs w:val="24"/>
                <w:u w:val="none" w:color="auto"/>
              </w:rPr>
            </w:pPr>
            <w:r>
              <w:rPr>
                <w:rFonts w:ascii="宋体" w:hAnsi="宋体" w:eastAsia="宋体" w:cs="宋体"/>
                <w:color w:val="auto"/>
                <w:sz w:val="24"/>
                <w:szCs w:val="24"/>
                <w:u w:val="none" w:color="auto"/>
              </w:rPr>
              <w:t>⑤加强运输车辆的管理，按规定组织车辆运输，</w:t>
            </w:r>
            <w:r>
              <w:rPr>
                <w:rFonts w:ascii="宋体" w:hAnsi="宋体" w:eastAsia="宋体" w:cs="宋体"/>
                <w:color w:val="auto"/>
                <w:spacing w:val="-1"/>
                <w:sz w:val="24"/>
                <w:szCs w:val="24"/>
                <w:u w:val="none" w:color="auto"/>
              </w:rPr>
              <w:t>合理规定运输通道。</w:t>
            </w:r>
          </w:p>
          <w:p w14:paraId="4442037A">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both"/>
              <w:textAlignment w:val="auto"/>
              <w:rPr>
                <w:rFonts w:ascii="宋体" w:hAnsi="宋体" w:eastAsia="宋体" w:cs="宋体"/>
                <w:color w:val="auto"/>
                <w:spacing w:val="-2"/>
                <w:sz w:val="24"/>
                <w:szCs w:val="24"/>
                <w:u w:val="none" w:color="auto"/>
              </w:rPr>
            </w:pPr>
            <w:r>
              <w:rPr>
                <w:rFonts w:ascii="宋体" w:hAnsi="宋体" w:eastAsia="宋体" w:cs="宋体"/>
                <w:color w:val="auto"/>
                <w:spacing w:val="-3"/>
                <w:sz w:val="24"/>
                <w:szCs w:val="24"/>
                <w:u w:val="none" w:color="auto"/>
              </w:rPr>
              <w:t>⑥合理安排原辅材料和土方运输方案，运输线路、进出施工场地的</w:t>
            </w:r>
            <w:r>
              <w:rPr>
                <w:rFonts w:ascii="宋体" w:hAnsi="宋体" w:eastAsia="宋体" w:cs="宋体"/>
                <w:color w:val="auto"/>
                <w:spacing w:val="-4"/>
                <w:sz w:val="24"/>
                <w:szCs w:val="24"/>
                <w:u w:val="none" w:color="auto"/>
              </w:rPr>
              <w:t>出入口应</w:t>
            </w:r>
            <w:r>
              <w:rPr>
                <w:rFonts w:ascii="宋体" w:hAnsi="宋体" w:eastAsia="宋体" w:cs="宋体"/>
                <w:color w:val="auto"/>
                <w:spacing w:val="-2"/>
                <w:sz w:val="24"/>
                <w:szCs w:val="24"/>
                <w:u w:val="none" w:color="auto"/>
              </w:rPr>
              <w:t>尽量远离环境敏感点。</w:t>
            </w:r>
          </w:p>
          <w:p w14:paraId="32DEA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jc w:val="both"/>
              <w:textAlignment w:val="auto"/>
              <w:rPr>
                <w:rFonts w:hint="eastAsia" w:ascii="Times New Roman" w:hAnsi="Times New Roman" w:eastAsia="宋体" w:cs="Times New Roman"/>
                <w:color w:val="auto"/>
                <w:sz w:val="24"/>
                <w:szCs w:val="24"/>
                <w:u w:val="none" w:color="auto"/>
                <w:lang w:eastAsia="zh-CN"/>
              </w:rPr>
            </w:pPr>
            <w:r>
              <w:rPr>
                <w:rFonts w:ascii="宋体" w:hAnsi="宋体" w:eastAsia="宋体" w:cs="宋体"/>
                <w:color w:val="auto"/>
                <w:spacing w:val="-3"/>
                <w:sz w:val="24"/>
                <w:szCs w:val="24"/>
                <w:u w:val="none" w:color="auto"/>
              </w:rPr>
              <w:t>综上，施工单位通过采取相应的噪声防治措施，降低施工</w:t>
            </w:r>
            <w:r>
              <w:rPr>
                <w:rFonts w:ascii="宋体" w:hAnsi="宋体" w:eastAsia="宋体" w:cs="宋体"/>
                <w:color w:val="auto"/>
                <w:spacing w:val="-4"/>
                <w:sz w:val="24"/>
                <w:szCs w:val="24"/>
                <w:u w:val="none" w:color="auto"/>
              </w:rPr>
              <w:t>噪声对周边敏感点</w:t>
            </w:r>
            <w:r>
              <w:rPr>
                <w:rFonts w:ascii="宋体" w:hAnsi="宋体" w:eastAsia="宋体" w:cs="宋体"/>
                <w:color w:val="auto"/>
                <w:spacing w:val="-3"/>
                <w:sz w:val="24"/>
                <w:szCs w:val="24"/>
                <w:u w:val="none" w:color="auto"/>
              </w:rPr>
              <w:t>的影响，如合理规划安排施工场地，尽量远离敏感点，采取在施工场地边缘设置</w:t>
            </w:r>
            <w:r>
              <w:rPr>
                <w:rFonts w:ascii="宋体" w:hAnsi="宋体" w:eastAsia="宋体" w:cs="宋体"/>
                <w:color w:val="auto"/>
                <w:spacing w:val="-2"/>
                <w:sz w:val="24"/>
                <w:szCs w:val="24"/>
                <w:u w:val="none" w:color="auto"/>
              </w:rPr>
              <w:t>不低于</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2"/>
                <w:sz w:val="24"/>
                <w:szCs w:val="24"/>
                <w:u w:val="none" w:color="auto"/>
              </w:rPr>
              <w:t>2</w:t>
            </w:r>
            <w:r>
              <w:rPr>
                <w:rFonts w:ascii="宋体" w:hAnsi="宋体" w:eastAsia="宋体" w:cs="宋体"/>
                <w:color w:val="auto"/>
                <w:spacing w:val="-2"/>
                <w:sz w:val="24"/>
                <w:szCs w:val="24"/>
                <w:u w:val="none" w:color="auto"/>
              </w:rPr>
              <w:t>米高的围挡，严禁高噪音、高振动的设备在中午及夜间休息时间作业，</w:t>
            </w:r>
            <w:r>
              <w:rPr>
                <w:rFonts w:ascii="宋体" w:hAnsi="宋体" w:eastAsia="宋体" w:cs="宋体"/>
                <w:color w:val="auto"/>
                <w:spacing w:val="-3"/>
                <w:sz w:val="24"/>
                <w:szCs w:val="24"/>
                <w:u w:val="none" w:color="auto"/>
              </w:rPr>
              <w:t>选用低噪音机械设备或隔声、消声设备等噪声防治措施。其他道路施工实际经验表明，只要施工单位加强施工管理并采取一系列噪声污染防治措施，能够将道路</w:t>
            </w:r>
            <w:r>
              <w:rPr>
                <w:rFonts w:ascii="宋体" w:hAnsi="宋体" w:eastAsia="宋体" w:cs="宋体"/>
                <w:color w:val="auto"/>
                <w:spacing w:val="-1"/>
                <w:sz w:val="24"/>
                <w:szCs w:val="24"/>
                <w:u w:val="none" w:color="auto"/>
              </w:rPr>
              <w:t>施工噪声污染影响范围及影响程度控制在可接受范围内。</w:t>
            </w:r>
          </w:p>
          <w:p w14:paraId="0F1A11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4</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施工期固体废物环境影响分析</w:t>
            </w:r>
          </w:p>
          <w:p w14:paraId="629DBF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施工期产生的固体废物主要有建筑垃圾以及施工人员产生的生活垃圾。建筑垃圾包括</w:t>
            </w:r>
            <w:r>
              <w:rPr>
                <w:rFonts w:hint="eastAsia" w:ascii="Times New Roman" w:hAnsi="Times New Roman" w:cs="Times New Roman"/>
                <w:color w:val="auto"/>
                <w:sz w:val="24"/>
                <w:szCs w:val="24"/>
                <w:highlight w:val="none"/>
                <w:u w:val="none" w:color="auto"/>
                <w:lang w:eastAsia="zh-CN"/>
              </w:rPr>
              <w:t>散落</w:t>
            </w:r>
            <w:r>
              <w:rPr>
                <w:rFonts w:hint="default" w:ascii="Times New Roman" w:hAnsi="Times New Roman" w:cs="Times New Roman"/>
                <w:color w:val="auto"/>
                <w:sz w:val="24"/>
                <w:szCs w:val="24"/>
                <w:highlight w:val="none"/>
                <w:u w:val="none" w:color="auto"/>
              </w:rPr>
              <w:t>的砂石料、</w:t>
            </w:r>
            <w:r>
              <w:rPr>
                <w:rFonts w:hint="eastAsia" w:ascii="Times New Roman" w:hAnsi="Times New Roman" w:cs="Times New Roman"/>
                <w:color w:val="auto"/>
                <w:sz w:val="24"/>
                <w:szCs w:val="24"/>
                <w:highlight w:val="none"/>
                <w:u w:val="none" w:color="auto"/>
                <w:lang w:val="en-US" w:eastAsia="zh-CN"/>
              </w:rPr>
              <w:t>弃渣</w:t>
            </w:r>
            <w:r>
              <w:rPr>
                <w:rFonts w:hint="default" w:ascii="Times New Roman" w:hAnsi="Times New Roman" w:cs="Times New Roman"/>
                <w:color w:val="auto"/>
                <w:sz w:val="24"/>
                <w:szCs w:val="24"/>
                <w:highlight w:val="none"/>
                <w:u w:val="none" w:color="auto"/>
              </w:rPr>
              <w:t>等。生活垃圾主要是施工人员的废弃物品，由生活条件所限，产生量很小。这些固废在运输、处置过程中都可能对环境产生影响，车辆装载过多将导致沿程洒落满地，车辆</w:t>
            </w:r>
            <w:r>
              <w:rPr>
                <w:rFonts w:hint="eastAsia" w:ascii="Times New Roman" w:hAnsi="Times New Roman" w:cs="Times New Roman"/>
                <w:color w:val="auto"/>
                <w:sz w:val="24"/>
                <w:szCs w:val="24"/>
                <w:highlight w:val="none"/>
                <w:u w:val="none" w:color="auto"/>
                <w:lang w:eastAsia="zh-CN"/>
              </w:rPr>
              <w:t>沾满泥土</w:t>
            </w:r>
            <w:r>
              <w:rPr>
                <w:rFonts w:hint="default" w:ascii="Times New Roman" w:hAnsi="Times New Roman" w:cs="Times New Roman"/>
                <w:color w:val="auto"/>
                <w:sz w:val="24"/>
                <w:szCs w:val="24"/>
                <w:highlight w:val="none"/>
                <w:u w:val="none" w:color="auto"/>
              </w:rPr>
              <w:t>会导致运输公路布满泥土，晴天尘土飞扬，雨天路面泥泞，影响行人和当地环境质量。废弃物处置不当或无规划乱丢乱放，将影响城市的建设和整洁，故固体废物的合理储存和处置显</w:t>
            </w:r>
            <w:r>
              <w:rPr>
                <w:rFonts w:hint="eastAsia" w:ascii="Times New Roman" w:hAnsi="Times New Roman" w:cs="Times New Roman"/>
                <w:color w:val="auto"/>
                <w:sz w:val="24"/>
                <w:szCs w:val="24"/>
                <w:highlight w:val="none"/>
                <w:u w:val="none" w:color="auto"/>
                <w:lang w:eastAsia="zh-CN"/>
              </w:rPr>
              <w:t>得相当</w:t>
            </w:r>
            <w:r>
              <w:rPr>
                <w:rFonts w:hint="default" w:ascii="Times New Roman" w:hAnsi="Times New Roman" w:cs="Times New Roman"/>
                <w:color w:val="auto"/>
                <w:sz w:val="24"/>
                <w:szCs w:val="24"/>
                <w:highlight w:val="none"/>
                <w:u w:val="none" w:color="auto"/>
              </w:rPr>
              <w:t>重要。建设单位必须采取措施减少并降低施工废物和生活垃圾对周围环境的影响，须采取以下措施：</w:t>
            </w:r>
          </w:p>
          <w:p w14:paraId="65616B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highlight w:val="none"/>
                <w:u w:val="none" w:color="auto"/>
                <w:lang w:eastAsia="zh-CN"/>
              </w:rPr>
              <w:t>①</w:t>
            </w:r>
            <w:r>
              <w:rPr>
                <w:rFonts w:hint="default" w:ascii="Times New Roman" w:hAnsi="Times New Roman" w:cs="Times New Roman"/>
                <w:color w:val="auto"/>
                <w:sz w:val="24"/>
                <w:szCs w:val="24"/>
                <w:highlight w:val="none"/>
                <w:u w:val="none" w:color="auto"/>
              </w:rPr>
              <w:t>施工现场的建筑垃圾及时清运。土方、工程渣土和垃圾</w:t>
            </w:r>
            <w:r>
              <w:rPr>
                <w:rFonts w:hint="default" w:ascii="Times New Roman" w:hAnsi="Times New Roman" w:cs="Times New Roman"/>
                <w:color w:val="auto"/>
                <w:sz w:val="24"/>
                <w:szCs w:val="24"/>
                <w:u w:val="none" w:color="auto"/>
              </w:rPr>
              <w:t>堆放高度不得超出围挡高度，并采取苫盖、固化措施。</w:t>
            </w:r>
          </w:p>
          <w:p w14:paraId="6CF048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lang w:eastAsia="zh-CN"/>
              </w:rPr>
              <w:t>②</w:t>
            </w:r>
            <w:r>
              <w:rPr>
                <w:rFonts w:hint="default" w:ascii="Times New Roman" w:hAnsi="Times New Roman" w:cs="Times New Roman"/>
                <w:color w:val="auto"/>
                <w:sz w:val="24"/>
                <w:szCs w:val="24"/>
                <w:u w:val="none" w:color="auto"/>
              </w:rPr>
              <w:t>施工人员生活垃圾要袋装收集。</w:t>
            </w:r>
            <w:r>
              <w:rPr>
                <w:rFonts w:hint="default" w:ascii="Times New Roman" w:hAnsi="Times New Roman" w:cs="Times New Roman"/>
                <w:color w:val="auto"/>
                <w:sz w:val="24"/>
                <w:szCs w:val="24"/>
                <w:u w:val="none" w:color="auto"/>
                <w:lang w:val="en-US" w:eastAsia="zh-CN"/>
              </w:rPr>
              <w:t>依托</w:t>
            </w:r>
            <w:r>
              <w:rPr>
                <w:rFonts w:hint="eastAsia" w:ascii="Times New Roman" w:hAnsi="Times New Roman" w:cs="Times New Roman"/>
                <w:color w:val="auto"/>
                <w:sz w:val="24"/>
                <w:szCs w:val="24"/>
                <w:u w:val="none" w:color="auto"/>
                <w:lang w:val="en-US" w:eastAsia="zh-CN"/>
              </w:rPr>
              <w:t>乡镇</w:t>
            </w:r>
            <w:r>
              <w:rPr>
                <w:rFonts w:hint="default" w:ascii="Times New Roman" w:hAnsi="Times New Roman" w:cs="Times New Roman"/>
                <w:color w:val="auto"/>
                <w:sz w:val="24"/>
                <w:szCs w:val="24"/>
                <w:u w:val="none" w:color="auto"/>
                <w:lang w:val="en-US" w:eastAsia="zh-CN"/>
              </w:rPr>
              <w:t>环卫部门</w:t>
            </w:r>
            <w:r>
              <w:rPr>
                <w:rFonts w:hint="default" w:ascii="Times New Roman" w:hAnsi="Times New Roman" w:cs="Times New Roman"/>
                <w:color w:val="auto"/>
                <w:sz w:val="24"/>
                <w:szCs w:val="24"/>
                <w:u w:val="none" w:color="auto"/>
              </w:rPr>
              <w:t>做到日产日清，避免长期堆存</w:t>
            </w:r>
            <w:r>
              <w:rPr>
                <w:rFonts w:hint="default" w:ascii="Times New Roman" w:hAnsi="Times New Roman" w:cs="Times New Roman"/>
                <w:color w:val="auto"/>
                <w:sz w:val="24"/>
                <w:szCs w:val="24"/>
                <w:u w:val="none" w:color="auto"/>
                <w:lang w:val="en-US" w:eastAsia="zh-CN"/>
              </w:rPr>
              <w:t>滋生</w:t>
            </w:r>
            <w:r>
              <w:rPr>
                <w:rFonts w:hint="default" w:ascii="Times New Roman" w:hAnsi="Times New Roman" w:cs="Times New Roman"/>
                <w:color w:val="auto"/>
                <w:sz w:val="24"/>
                <w:szCs w:val="24"/>
                <w:u w:val="none" w:color="auto"/>
              </w:rPr>
              <w:t>蚊蝇和致病菌，影响健康。</w:t>
            </w:r>
          </w:p>
          <w:p w14:paraId="760101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u w:val="none" w:color="auto"/>
                <w:lang w:eastAsia="zh-CN"/>
              </w:rPr>
            </w:pPr>
            <w:r>
              <w:rPr>
                <w:rFonts w:hint="default" w:ascii="Times New Roman" w:hAnsi="Times New Roman" w:cs="Times New Roman"/>
                <w:color w:val="auto"/>
                <w:sz w:val="24"/>
                <w:szCs w:val="24"/>
                <w:u w:val="none" w:color="auto"/>
                <w:lang w:eastAsia="zh-CN"/>
              </w:rPr>
              <w:t>③施工弃渣严禁</w:t>
            </w:r>
            <w:r>
              <w:rPr>
                <w:rFonts w:hint="eastAsia" w:ascii="Times New Roman" w:hAnsi="Times New Roman" w:cs="Times New Roman"/>
                <w:color w:val="auto"/>
                <w:sz w:val="24"/>
                <w:szCs w:val="24"/>
                <w:u w:val="none" w:color="auto"/>
                <w:lang w:eastAsia="zh-CN"/>
              </w:rPr>
              <w:t>随意</w:t>
            </w:r>
            <w:r>
              <w:rPr>
                <w:rFonts w:hint="default" w:ascii="Times New Roman" w:hAnsi="Times New Roman" w:cs="Times New Roman"/>
                <w:color w:val="auto"/>
                <w:sz w:val="24"/>
                <w:szCs w:val="24"/>
                <w:u w:val="none" w:color="auto"/>
                <w:lang w:eastAsia="zh-CN"/>
              </w:rPr>
              <w:t>倾倒，堆放时应严格按照水土保持方案提出的相关工程措施、临时措施及植物措施等进行防护，以有效防治水土流失。</w:t>
            </w:r>
          </w:p>
          <w:p w14:paraId="10EA56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lang w:eastAsia="zh-CN"/>
              </w:rPr>
              <w:t>④</w:t>
            </w:r>
            <w:r>
              <w:rPr>
                <w:rFonts w:hint="default" w:ascii="Times New Roman" w:hAnsi="Times New Roman" w:cs="Times New Roman"/>
                <w:color w:val="auto"/>
                <w:sz w:val="24"/>
                <w:szCs w:val="24"/>
                <w:u w:val="none" w:color="auto"/>
              </w:rPr>
              <w:t>施工期间的工程废弃物应及时清运，要求按规定路线运输，运输车辆必须按有关要求配装密闭装置。</w:t>
            </w:r>
          </w:p>
          <w:p w14:paraId="3D1234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8" w:lineRule="auto"/>
              <w:ind w:left="0" w:right="0"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lang w:eastAsia="zh-CN"/>
              </w:rPr>
              <w:t>⑤</w:t>
            </w:r>
            <w:r>
              <w:rPr>
                <w:rFonts w:hint="default" w:ascii="Times New Roman" w:hAnsi="Times New Roman" w:cs="Times New Roman"/>
                <w:color w:val="auto"/>
                <w:sz w:val="24"/>
                <w:szCs w:val="24"/>
                <w:u w:val="none" w:color="auto"/>
              </w:rPr>
              <w:t>工程承包单位应对施工人员加强教育和管理，做到不随意乱丢废物，要设立环保卫生监督监察人员，避免污染环境，影响市容</w:t>
            </w:r>
            <w:r>
              <w:rPr>
                <w:rFonts w:hint="eastAsia" w:ascii="Times New Roman" w:hAnsi="Times New Roman" w:cs="Times New Roman"/>
                <w:color w:val="auto"/>
                <w:sz w:val="24"/>
                <w:szCs w:val="24"/>
                <w:u w:val="none" w:color="auto"/>
                <w:lang w:eastAsia="zh-CN"/>
              </w:rPr>
              <w:t>。</w:t>
            </w:r>
          </w:p>
          <w:p w14:paraId="73EC754D">
            <w:pPr>
              <w:keepNext w:val="0"/>
              <w:keepLines w:val="0"/>
              <w:pageBreakBefore w:val="0"/>
              <w:widowControl w:val="0"/>
              <w:suppressLineNumbers w:val="0"/>
              <w:kinsoku/>
              <w:wordWrap w:val="0"/>
              <w:overflowPunct/>
              <w:topLinePunct/>
              <w:autoSpaceDE/>
              <w:autoSpaceDN/>
              <w:bidi w:val="0"/>
              <w:adjustRightInd w:val="0"/>
              <w:snapToGrid w:val="0"/>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cs="Times New Roman"/>
                <w:color w:val="auto"/>
                <w:sz w:val="24"/>
                <w:szCs w:val="24"/>
                <w:u w:val="none" w:color="auto"/>
              </w:rPr>
              <w:t>建设单位应负责对施工单位进行监督和协调管理，确保以上措施得到落实</w:t>
            </w:r>
            <w:r>
              <w:rPr>
                <w:rFonts w:hint="eastAsia" w:ascii="Times New Roman" w:hAnsi="Times New Roman" w:cs="Times New Roman"/>
                <w:color w:val="auto"/>
                <w:sz w:val="24"/>
                <w:szCs w:val="24"/>
                <w:u w:val="none" w:color="auto"/>
                <w:lang w:eastAsia="zh-CN"/>
              </w:rPr>
              <w:t>。</w:t>
            </w:r>
          </w:p>
          <w:p w14:paraId="1B2A5AC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both"/>
              <w:textAlignment w:val="auto"/>
              <w:rPr>
                <w:rFonts w:hint="eastAsia" w:ascii="Times New Roman" w:hAnsi="Times New Roman" w:cs="Times New Roman"/>
                <w:b/>
                <w:bCs/>
                <w:color w:val="auto"/>
                <w:sz w:val="24"/>
                <w:highlight w:val="none"/>
                <w:u w:val="none" w:color="auto"/>
                <w:lang w:eastAsia="zh-CN"/>
              </w:rPr>
            </w:pPr>
            <w:r>
              <w:rPr>
                <w:rFonts w:hint="eastAsia" w:cs="Times New Roman"/>
                <w:b/>
                <w:bCs/>
                <w:color w:val="auto"/>
                <w:kern w:val="2"/>
                <w:sz w:val="24"/>
                <w:szCs w:val="24"/>
                <w:u w:val="none" w:color="auto"/>
                <w:lang w:val="en-US" w:eastAsia="zh-CN" w:bidi="ar-SA"/>
              </w:rPr>
              <w:t>5</w:t>
            </w:r>
            <w:r>
              <w:rPr>
                <w:rFonts w:hint="eastAsia" w:ascii="Times New Roman" w:hAnsi="Times New Roman" w:eastAsia="宋体" w:cs="Times New Roman"/>
                <w:b/>
                <w:bCs/>
                <w:color w:val="auto"/>
                <w:kern w:val="2"/>
                <w:sz w:val="24"/>
                <w:szCs w:val="24"/>
                <w:u w:val="none" w:color="auto"/>
                <w:lang w:val="en-US" w:eastAsia="zh-CN" w:bidi="ar-SA"/>
              </w:rPr>
              <w:t>、</w:t>
            </w:r>
            <w:r>
              <w:rPr>
                <w:rFonts w:hint="eastAsia" w:ascii="Times New Roman" w:hAnsi="Times New Roman" w:cs="Times New Roman"/>
                <w:b/>
                <w:bCs/>
                <w:color w:val="auto"/>
                <w:sz w:val="24"/>
                <w:highlight w:val="none"/>
                <w:u w:val="none" w:color="auto"/>
                <w:lang w:eastAsia="zh-CN"/>
              </w:rPr>
              <w:t>施工期生态环境影响分析</w:t>
            </w:r>
          </w:p>
          <w:p w14:paraId="41B62C66">
            <w:pPr>
              <w:pStyle w:val="2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eastAsia="宋体" w:cs="Times New Roman"/>
                <w:bCs w:val="0"/>
                <w:color w:val="auto"/>
                <w:kern w:val="2"/>
                <w:sz w:val="24"/>
                <w:szCs w:val="24"/>
                <w:u w:val="none" w:color="auto"/>
                <w:lang w:val="en-US" w:eastAsia="zh-CN" w:bidi="ar-SA"/>
              </w:rPr>
            </w:pPr>
            <w:r>
              <w:rPr>
                <w:rFonts w:hint="default" w:ascii="Times New Roman" w:hAnsi="Times New Roman" w:eastAsia="宋体" w:cs="Times New Roman"/>
                <w:bCs w:val="0"/>
                <w:color w:val="auto"/>
                <w:kern w:val="2"/>
                <w:sz w:val="24"/>
                <w:szCs w:val="24"/>
                <w:u w:val="none" w:color="auto"/>
                <w:lang w:val="en-US" w:eastAsia="zh-CN" w:bidi="ar-SA"/>
              </w:rPr>
              <w:t>详见生态</w:t>
            </w:r>
            <w:r>
              <w:rPr>
                <w:rFonts w:hint="eastAsia" w:ascii="Times New Roman" w:hAnsi="Times New Roman" w:eastAsia="宋体" w:cs="Times New Roman"/>
                <w:bCs w:val="0"/>
                <w:color w:val="auto"/>
                <w:kern w:val="2"/>
                <w:sz w:val="24"/>
                <w:szCs w:val="24"/>
                <w:u w:val="none" w:color="auto"/>
                <w:lang w:val="en-US" w:eastAsia="zh-CN" w:bidi="ar-SA"/>
              </w:rPr>
              <w:t>专项评价</w:t>
            </w:r>
            <w:r>
              <w:rPr>
                <w:rFonts w:hint="default" w:ascii="Times New Roman" w:hAnsi="Times New Roman" w:eastAsia="宋体" w:cs="Times New Roman"/>
                <w:bCs w:val="0"/>
                <w:color w:val="auto"/>
                <w:kern w:val="2"/>
                <w:sz w:val="24"/>
                <w:szCs w:val="24"/>
                <w:u w:val="none" w:color="auto"/>
                <w:lang w:val="en-US" w:eastAsia="zh-CN" w:bidi="ar-SA"/>
              </w:rPr>
              <w:t>。</w:t>
            </w:r>
          </w:p>
          <w:p w14:paraId="022650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cs="Times New Roman"/>
                <w:b/>
                <w:bCs/>
                <w:color w:val="auto"/>
                <w:sz w:val="24"/>
                <w:u w:val="none" w:color="auto"/>
                <w:lang w:val="en-US" w:eastAsia="zh-CN"/>
              </w:rPr>
              <w:t>6</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施工期对交通影响分析</w:t>
            </w:r>
          </w:p>
          <w:p w14:paraId="2ABF4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rPr>
              <w:t>施工期间，现场需要一定量建筑材料运入，运输车辆将会对城市的交通带来一定影响。项目各施工段距离镇区均不远，周边城市道路完善。施工生产区及项目建设地通过施工便道连接。建设单位应做好进出运输道路以及施工便道的清扫和洒水降尘工作，以减少对沿路居民的影响。同时应加强对运输车辆的管理，防止噪声对道路周边居民产生影响。建设单位、施工单位应会同交通部门定制合理的运输路线和时间，尽量避开繁忙道路和交通高峰时段，以缓解施工期对交通带来的影响。另外建设单位应与运输部门共同做好驾驶员的职业道德教育，按规定路线运输，按规定地点处置，并不定期地检查执行的情况。采取上述措施后，可有效地减轻施工期对交通的影响</w:t>
            </w:r>
            <w:r>
              <w:rPr>
                <w:rFonts w:hint="eastAsia" w:ascii="Times New Roman" w:hAnsi="Times New Roman" w:eastAsia="宋体" w:cs="Times New Roman"/>
                <w:color w:val="auto"/>
                <w:sz w:val="24"/>
                <w:szCs w:val="24"/>
                <w:u w:val="none" w:color="auto"/>
                <w:lang w:eastAsia="zh-CN"/>
              </w:rPr>
              <w:t>。</w:t>
            </w:r>
          </w:p>
          <w:p w14:paraId="0C8A10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auto"/>
                <w:spacing w:val="-10"/>
                <w:sz w:val="24"/>
                <w:u w:val="none" w:color="auto"/>
              </w:rPr>
            </w:pPr>
            <w:r>
              <w:rPr>
                <w:rFonts w:hint="default" w:ascii="Times New Roman" w:hAnsi="Times New Roman" w:eastAsia="宋体" w:cs="Times New Roman"/>
                <w:color w:val="auto"/>
                <w:sz w:val="24"/>
                <w:szCs w:val="24"/>
                <w:u w:val="none" w:color="auto"/>
              </w:rPr>
              <w:t>总之，项目施工期对环境产生的上述影响，均为可逆的、短期的，项目建成后，影响即自行消除。建设单位和施工单位在施工过程中只要切实落实对施工产生的扬尘、废水、噪声、固体废物的管理和控制措施，</w:t>
            </w:r>
            <w:r>
              <w:rPr>
                <w:rFonts w:hint="eastAsia" w:ascii="Times New Roman" w:hAnsi="Times New Roman" w:eastAsia="宋体" w:cs="Times New Roman"/>
                <w:color w:val="auto"/>
                <w:sz w:val="24"/>
                <w:szCs w:val="24"/>
                <w:u w:val="none" w:color="auto"/>
                <w:lang w:eastAsia="zh-CN"/>
              </w:rPr>
              <w:t>项目</w:t>
            </w:r>
            <w:r>
              <w:rPr>
                <w:rFonts w:hint="default" w:ascii="Times New Roman" w:hAnsi="Times New Roman" w:eastAsia="宋体" w:cs="Times New Roman"/>
                <w:color w:val="auto"/>
                <w:sz w:val="24"/>
                <w:szCs w:val="24"/>
                <w:u w:val="none" w:color="auto"/>
              </w:rPr>
              <w:t>施工期</w:t>
            </w:r>
            <w:r>
              <w:rPr>
                <w:rFonts w:hint="eastAsia" w:ascii="Times New Roman" w:hAnsi="Times New Roman" w:eastAsia="宋体" w:cs="Times New Roman"/>
                <w:color w:val="auto"/>
                <w:sz w:val="24"/>
                <w:szCs w:val="24"/>
                <w:u w:val="none" w:color="auto"/>
                <w:lang w:eastAsia="zh-CN"/>
              </w:rPr>
              <w:t>对</w:t>
            </w:r>
            <w:r>
              <w:rPr>
                <w:rFonts w:hint="default" w:ascii="Times New Roman" w:hAnsi="Times New Roman" w:eastAsia="宋体" w:cs="Times New Roman"/>
                <w:color w:val="auto"/>
                <w:sz w:val="24"/>
                <w:szCs w:val="24"/>
                <w:u w:val="none" w:color="auto"/>
              </w:rPr>
              <w:t>环境影响较小</w:t>
            </w:r>
            <w:r>
              <w:rPr>
                <w:rFonts w:hint="eastAsia" w:ascii="Times New Roman" w:hAnsi="Times New Roman" w:eastAsia="宋体" w:cs="Times New Roman"/>
                <w:color w:val="auto"/>
                <w:sz w:val="24"/>
                <w:szCs w:val="24"/>
                <w:u w:val="none" w:color="auto"/>
                <w:lang w:eastAsia="zh-CN"/>
              </w:rPr>
              <w:t>。</w:t>
            </w:r>
          </w:p>
        </w:tc>
      </w:tr>
      <w:tr w14:paraId="08728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Mar>
              <w:left w:w="28" w:type="dxa"/>
              <w:right w:w="28" w:type="dxa"/>
            </w:tcMar>
            <w:vAlign w:val="center"/>
          </w:tcPr>
          <w:p w14:paraId="0640679D">
            <w:pPr>
              <w:adjustRightInd w:val="0"/>
              <w:snapToGrid w:val="0"/>
              <w:jc w:val="center"/>
              <w:rPr>
                <w:rFonts w:ascii="宋体" w:hAnsi="宋体" w:cs="宋体"/>
                <w:bCs/>
                <w:color w:val="auto"/>
                <w:sz w:val="24"/>
                <w:u w:val="none" w:color="auto"/>
              </w:rPr>
            </w:pPr>
            <w:r>
              <w:rPr>
                <w:rFonts w:hint="eastAsia" w:ascii="宋体" w:hAnsi="宋体" w:cs="宋体"/>
                <w:bCs/>
                <w:color w:val="auto"/>
                <w:sz w:val="24"/>
                <w:u w:val="none" w:color="auto"/>
              </w:rPr>
              <w:t>运营</w:t>
            </w:r>
          </w:p>
          <w:p w14:paraId="54EF80A9">
            <w:pPr>
              <w:adjustRightInd w:val="0"/>
              <w:snapToGrid w:val="0"/>
              <w:jc w:val="center"/>
              <w:rPr>
                <w:rFonts w:ascii="宋体" w:hAnsi="宋体" w:cs="宋体"/>
                <w:bCs/>
                <w:color w:val="auto"/>
                <w:sz w:val="24"/>
                <w:u w:val="none" w:color="auto"/>
              </w:rPr>
            </w:pPr>
            <w:r>
              <w:rPr>
                <w:rFonts w:hint="eastAsia" w:ascii="宋体" w:hAnsi="宋体" w:cs="宋体"/>
                <w:bCs/>
                <w:color w:val="auto"/>
                <w:sz w:val="24"/>
                <w:u w:val="none" w:color="auto"/>
              </w:rPr>
              <w:t>期</w:t>
            </w:r>
            <w:r>
              <w:rPr>
                <w:rFonts w:hint="eastAsia" w:ascii="宋体" w:hAnsi="宋体" w:cs="宋体"/>
                <w:bCs/>
                <w:color w:val="auto"/>
                <w:sz w:val="24"/>
                <w:u w:val="none" w:color="auto"/>
                <w:lang w:val="en-US" w:eastAsia="zh-CN"/>
              </w:rPr>
              <w:t>生态环境影响分析</w:t>
            </w:r>
          </w:p>
        </w:tc>
        <w:tc>
          <w:tcPr>
            <w:tcW w:w="8162" w:type="dxa"/>
            <w:vAlign w:val="center"/>
          </w:tcPr>
          <w:p w14:paraId="2FB8B7AE">
            <w:pPr>
              <w:numPr>
                <w:ilvl w:val="0"/>
                <w:numId w:val="0"/>
              </w:numPr>
              <w:adjustRightInd w:val="0"/>
              <w:snapToGrid w:val="0"/>
              <w:spacing w:line="360" w:lineRule="auto"/>
              <w:rPr>
                <w:rFonts w:hint="eastAsia"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1、生态环境影响分析</w:t>
            </w:r>
          </w:p>
          <w:p w14:paraId="389B20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项目运营期生态环境影响分析</w:t>
            </w:r>
            <w:r>
              <w:rPr>
                <w:rFonts w:hint="default" w:ascii="Times New Roman" w:hAnsi="Times New Roman" w:eastAsia="宋体" w:cs="Times New Roman"/>
                <w:color w:val="auto"/>
                <w:sz w:val="24"/>
                <w:u w:val="none" w:color="auto"/>
                <w:lang w:val="en-US" w:eastAsia="zh-CN"/>
              </w:rPr>
              <w:t>详见</w:t>
            </w:r>
            <w:r>
              <w:rPr>
                <w:rFonts w:hint="eastAsia" w:ascii="Times New Roman" w:hAnsi="Times New Roman" w:eastAsia="宋体" w:cs="Times New Roman"/>
                <w:color w:val="auto"/>
                <w:sz w:val="24"/>
                <w:u w:val="none" w:color="auto"/>
                <w:lang w:val="en-US" w:eastAsia="zh-CN"/>
              </w:rPr>
              <w:t>生态</w:t>
            </w:r>
            <w:r>
              <w:rPr>
                <w:rFonts w:hint="default" w:ascii="Times New Roman" w:hAnsi="Times New Roman" w:eastAsia="宋体" w:cs="Times New Roman"/>
                <w:color w:val="auto"/>
                <w:sz w:val="24"/>
                <w:u w:val="none" w:color="auto"/>
                <w:lang w:val="en-US" w:eastAsia="zh-CN"/>
              </w:rPr>
              <w:t>环境影响</w:t>
            </w:r>
            <w:r>
              <w:rPr>
                <w:rFonts w:hint="eastAsia" w:ascii="Times New Roman" w:hAnsi="Times New Roman" w:eastAsia="宋体" w:cs="Times New Roman"/>
                <w:color w:val="auto"/>
                <w:sz w:val="24"/>
                <w:u w:val="none" w:color="auto"/>
                <w:lang w:val="en-US" w:eastAsia="zh-CN"/>
              </w:rPr>
              <w:t>专项报告</w:t>
            </w:r>
          </w:p>
          <w:p w14:paraId="4321C292">
            <w:pPr>
              <w:numPr>
                <w:ilvl w:val="0"/>
                <w:numId w:val="3"/>
              </w:numPr>
              <w:adjustRightInd w:val="0"/>
              <w:snapToGrid w:val="0"/>
              <w:spacing w:line="360" w:lineRule="auto"/>
              <w:jc w:val="left"/>
              <w:rPr>
                <w:rFonts w:hint="eastAsia"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本项目在运营期无废水、固废产生，本次环评不再进行评价。</w:t>
            </w:r>
          </w:p>
          <w:p w14:paraId="72AA8857">
            <w:pPr>
              <w:numPr>
                <w:ilvl w:val="0"/>
                <w:numId w:val="3"/>
              </w:numPr>
              <w:adjustRightInd w:val="0"/>
              <w:snapToGrid w:val="0"/>
              <w:spacing w:line="360" w:lineRule="auto"/>
              <w:jc w:val="left"/>
              <w:rPr>
                <w:rFonts w:hint="eastAsia"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营运期噪声环境影响分析</w:t>
            </w:r>
          </w:p>
          <w:p w14:paraId="7103B0E4">
            <w:pPr>
              <w:spacing w:before="78" w:line="360" w:lineRule="auto"/>
              <w:ind w:left="128" w:right="119" w:firstLine="481"/>
              <w:jc w:val="both"/>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本工程建成后施工设备与施工人员已经退出，噪声主要来自路</w:t>
            </w:r>
            <w:r>
              <w:rPr>
                <w:rFonts w:ascii="宋体" w:hAnsi="宋体" w:eastAsia="宋体" w:cs="宋体"/>
                <w:color w:val="auto"/>
                <w:spacing w:val="-4"/>
                <w:sz w:val="24"/>
                <w:szCs w:val="24"/>
                <w:u w:val="none" w:color="auto"/>
              </w:rPr>
              <w:t>面行驶的机动</w:t>
            </w:r>
            <w:r>
              <w:rPr>
                <w:rFonts w:ascii="宋体" w:hAnsi="宋体" w:eastAsia="宋体" w:cs="宋体"/>
                <w:color w:val="auto"/>
                <w:spacing w:val="-3"/>
                <w:sz w:val="24"/>
                <w:szCs w:val="24"/>
                <w:u w:val="none" w:color="auto"/>
              </w:rPr>
              <w:t>车产生的交通噪声。交通噪声主要由发动机噪声、排气噪声、车体振动噪声、制动噪声、传动机械噪声等声源组成，其中发动机噪声是主要的噪声源，噪声源一</w:t>
            </w:r>
            <w:r>
              <w:rPr>
                <w:rFonts w:ascii="宋体" w:hAnsi="宋体" w:eastAsia="宋体" w:cs="宋体"/>
                <w:color w:val="auto"/>
                <w:spacing w:val="-2"/>
                <w:sz w:val="24"/>
                <w:szCs w:val="24"/>
                <w:u w:val="none" w:color="auto"/>
              </w:rPr>
              <w:t>般为非稳定态源。</w:t>
            </w:r>
          </w:p>
          <w:p w14:paraId="2F3C028E">
            <w:pPr>
              <w:spacing w:before="5" w:line="359" w:lineRule="auto"/>
              <w:ind w:left="130" w:right="119" w:firstLine="479"/>
              <w:jc w:val="both"/>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拟建道路进入运营期对声环境的影响主要来自交通噪声。本工程</w:t>
            </w:r>
            <w:r>
              <w:rPr>
                <w:rFonts w:ascii="宋体" w:hAnsi="宋体" w:eastAsia="宋体" w:cs="宋体"/>
                <w:color w:val="auto"/>
                <w:spacing w:val="-4"/>
                <w:sz w:val="24"/>
                <w:szCs w:val="24"/>
                <w:u w:val="none" w:color="auto"/>
              </w:rPr>
              <w:t>沿线存在敏</w:t>
            </w:r>
            <w:r>
              <w:rPr>
                <w:rFonts w:ascii="宋体" w:hAnsi="宋体" w:eastAsia="宋体" w:cs="宋体"/>
                <w:color w:val="auto"/>
                <w:spacing w:val="-3"/>
                <w:sz w:val="24"/>
                <w:szCs w:val="24"/>
                <w:u w:val="none" w:color="auto"/>
              </w:rPr>
              <w:t>感点，因此有必要对该道路建成通车后在近、中、远期的噪声总体水平及其对周围评价范围内敏感点的噪声影响作出预测和评价，以便根据噪声影响的实际情况</w:t>
            </w:r>
            <w:r>
              <w:rPr>
                <w:rFonts w:ascii="宋体" w:hAnsi="宋体" w:eastAsia="宋体" w:cs="宋体"/>
                <w:color w:val="auto"/>
                <w:spacing w:val="-1"/>
                <w:sz w:val="24"/>
                <w:szCs w:val="24"/>
                <w:u w:val="none" w:color="auto"/>
              </w:rPr>
              <w:t>因地制宜的制定合理的降噪措施。</w:t>
            </w:r>
          </w:p>
          <w:p w14:paraId="7DDEC9C7">
            <w:pPr>
              <w:spacing w:line="348" w:lineRule="auto"/>
              <w:ind w:left="128" w:right="119" w:firstLine="483"/>
              <w:jc w:val="both"/>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本项目特征年交通量预测结果见表</w:t>
            </w:r>
            <w:r>
              <w:rPr>
                <w:rFonts w:ascii="宋体" w:hAnsi="宋体" w:eastAsia="宋体" w:cs="宋体"/>
                <w:color w:val="auto"/>
                <w:spacing w:val="-43"/>
                <w:sz w:val="24"/>
                <w:szCs w:val="24"/>
                <w:u w:val="none" w:color="auto"/>
              </w:rPr>
              <w:t xml:space="preserve"> </w:t>
            </w:r>
            <w:r>
              <w:rPr>
                <w:rFonts w:ascii="Times New Roman" w:hAnsi="Times New Roman" w:eastAsia="Times New Roman" w:cs="Times New Roman"/>
                <w:color w:val="auto"/>
                <w:spacing w:val="-3"/>
                <w:sz w:val="24"/>
                <w:szCs w:val="24"/>
                <w:u w:val="none" w:color="auto"/>
              </w:rPr>
              <w:t>4-</w:t>
            </w:r>
            <w:r>
              <w:rPr>
                <w:rFonts w:hint="eastAsia" w:eastAsia="宋体" w:cs="Times New Roman"/>
                <w:color w:val="auto"/>
                <w:spacing w:val="-3"/>
                <w:sz w:val="24"/>
                <w:szCs w:val="24"/>
                <w:u w:val="none" w:color="auto"/>
                <w:lang w:val="en-US" w:eastAsia="zh-CN"/>
              </w:rPr>
              <w:t>3</w:t>
            </w:r>
            <w:r>
              <w:rPr>
                <w:rFonts w:ascii="宋体" w:hAnsi="宋体" w:eastAsia="宋体" w:cs="宋体"/>
                <w:color w:val="auto"/>
                <w:spacing w:val="-3"/>
                <w:sz w:val="24"/>
                <w:szCs w:val="24"/>
                <w:u w:val="none" w:color="auto"/>
              </w:rPr>
              <w:t>，项目预计于</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3"/>
                <w:sz w:val="24"/>
                <w:szCs w:val="24"/>
                <w:u w:val="none" w:color="auto"/>
              </w:rPr>
              <w:t>202</w:t>
            </w:r>
            <w:r>
              <w:rPr>
                <w:rFonts w:hint="eastAsia" w:ascii="Times New Roman" w:hAnsi="Times New Roman" w:eastAsia="宋体" w:cs="Times New Roman"/>
                <w:color w:val="auto"/>
                <w:spacing w:val="-3"/>
                <w:sz w:val="24"/>
                <w:szCs w:val="24"/>
                <w:u w:val="none" w:color="auto"/>
                <w:lang w:val="en-US" w:eastAsia="zh-CN"/>
              </w:rPr>
              <w:t>6</w:t>
            </w:r>
            <w:r>
              <w:rPr>
                <w:rFonts w:ascii="宋体" w:hAnsi="宋体" w:eastAsia="宋体" w:cs="宋体"/>
                <w:color w:val="auto"/>
                <w:spacing w:val="-5"/>
                <w:sz w:val="24"/>
                <w:szCs w:val="24"/>
                <w:u w:val="none" w:color="auto"/>
              </w:rPr>
              <w:t>年</w:t>
            </w:r>
            <w:r>
              <w:rPr>
                <w:rFonts w:ascii="宋体" w:hAnsi="宋体" w:eastAsia="宋体" w:cs="宋体"/>
                <w:color w:val="auto"/>
                <w:spacing w:val="-32"/>
                <w:sz w:val="24"/>
                <w:szCs w:val="24"/>
                <w:u w:val="none" w:color="auto"/>
              </w:rPr>
              <w:t xml:space="preserve"> </w:t>
            </w:r>
            <w:r>
              <w:rPr>
                <w:rFonts w:hint="eastAsia" w:ascii="Times New Roman" w:hAnsi="Times New Roman" w:eastAsia="宋体" w:cs="Times New Roman"/>
                <w:color w:val="auto"/>
                <w:spacing w:val="-5"/>
                <w:sz w:val="24"/>
                <w:szCs w:val="24"/>
                <w:u w:val="none" w:color="auto"/>
                <w:lang w:val="en-US" w:eastAsia="zh-CN"/>
              </w:rPr>
              <w:t>6</w:t>
            </w:r>
            <w:r>
              <w:rPr>
                <w:rFonts w:ascii="宋体" w:hAnsi="宋体" w:eastAsia="宋体" w:cs="宋体"/>
                <w:color w:val="auto"/>
                <w:spacing w:val="-5"/>
                <w:sz w:val="24"/>
                <w:szCs w:val="24"/>
                <w:u w:val="none" w:color="auto"/>
              </w:rPr>
              <w:t>月底建成通车，</w:t>
            </w:r>
            <w:r>
              <w:rPr>
                <w:rFonts w:hint="eastAsia" w:ascii="宋体" w:hAnsi="宋体" w:eastAsia="宋体" w:cs="宋体"/>
                <w:color w:val="auto"/>
                <w:spacing w:val="-5"/>
                <w:sz w:val="24"/>
                <w:szCs w:val="24"/>
                <w:u w:val="none" w:color="auto"/>
                <w:lang w:val="en-US" w:eastAsia="zh-CN"/>
              </w:rPr>
              <w:t>由于月牙湖大道和团结路均属于改造，改造后，道路的交通流量不会改变，新建道路为团胜路，团胜路穿过安置区三期，</w:t>
            </w:r>
            <w:r>
              <w:rPr>
                <w:rFonts w:ascii="宋体" w:hAnsi="宋体" w:eastAsia="宋体" w:cs="宋体"/>
                <w:color w:val="auto"/>
                <w:spacing w:val="-5"/>
                <w:sz w:val="24"/>
                <w:szCs w:val="24"/>
                <w:u w:val="none" w:color="auto"/>
              </w:rPr>
              <w:t>本环评</w:t>
            </w:r>
            <w:r>
              <w:rPr>
                <w:rFonts w:hint="eastAsia" w:ascii="宋体" w:hAnsi="宋体" w:eastAsia="宋体" w:cs="宋体"/>
                <w:color w:val="auto"/>
                <w:spacing w:val="-5"/>
                <w:sz w:val="24"/>
                <w:szCs w:val="24"/>
                <w:u w:val="none" w:color="auto"/>
                <w:lang w:val="en-US" w:eastAsia="zh-CN"/>
              </w:rPr>
              <w:t>仅对团胜路</w:t>
            </w:r>
            <w:r>
              <w:rPr>
                <w:rFonts w:ascii="宋体" w:hAnsi="宋体" w:eastAsia="宋体" w:cs="宋体"/>
                <w:color w:val="auto"/>
                <w:spacing w:val="-5"/>
                <w:sz w:val="24"/>
                <w:szCs w:val="24"/>
                <w:u w:val="none" w:color="auto"/>
              </w:rPr>
              <w:t>按建成通车后的第</w:t>
            </w:r>
            <w:r>
              <w:rPr>
                <w:rFonts w:ascii="Times New Roman" w:hAnsi="Times New Roman" w:eastAsia="Times New Roman" w:cs="Times New Roman"/>
                <w:color w:val="auto"/>
                <w:spacing w:val="-5"/>
                <w:sz w:val="24"/>
                <w:szCs w:val="24"/>
                <w:u w:val="none" w:color="auto"/>
              </w:rPr>
              <w:t>1</w:t>
            </w:r>
            <w:r>
              <w:rPr>
                <w:rFonts w:ascii="宋体" w:hAnsi="宋体" w:eastAsia="宋体" w:cs="宋体"/>
                <w:color w:val="auto"/>
                <w:spacing w:val="-6"/>
                <w:sz w:val="24"/>
                <w:szCs w:val="24"/>
                <w:u w:val="none" w:color="auto"/>
              </w:rPr>
              <w:t>年、第</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6"/>
                <w:sz w:val="24"/>
                <w:szCs w:val="24"/>
                <w:u w:val="none" w:color="auto"/>
              </w:rPr>
              <w:t>7</w:t>
            </w:r>
            <w:r>
              <w:rPr>
                <w:rFonts w:ascii="宋体" w:hAnsi="宋体" w:eastAsia="宋体" w:cs="宋体"/>
                <w:color w:val="auto"/>
                <w:spacing w:val="-6"/>
                <w:sz w:val="24"/>
                <w:szCs w:val="24"/>
                <w:u w:val="none" w:color="auto"/>
              </w:rPr>
              <w:t>年、第</w:t>
            </w:r>
            <w:r>
              <w:rPr>
                <w:rFonts w:ascii="Times New Roman" w:hAnsi="Times New Roman" w:eastAsia="Times New Roman" w:cs="Times New Roman"/>
                <w:color w:val="auto"/>
                <w:spacing w:val="-6"/>
                <w:sz w:val="24"/>
                <w:szCs w:val="24"/>
                <w:u w:val="none" w:color="auto"/>
              </w:rPr>
              <w:t>15</w:t>
            </w:r>
            <w:r>
              <w:rPr>
                <w:rFonts w:ascii="宋体" w:hAnsi="宋体" w:eastAsia="宋体" w:cs="宋体"/>
                <w:color w:val="auto"/>
                <w:spacing w:val="-6"/>
                <w:sz w:val="24"/>
                <w:szCs w:val="24"/>
                <w:u w:val="none" w:color="auto"/>
              </w:rPr>
              <w:t>年分别进行</w:t>
            </w:r>
            <w:r>
              <w:rPr>
                <w:rFonts w:ascii="宋体" w:hAnsi="宋体" w:eastAsia="宋体" w:cs="宋体"/>
                <w:color w:val="auto"/>
                <w:spacing w:val="-1"/>
                <w:sz w:val="24"/>
                <w:szCs w:val="24"/>
                <w:u w:val="none" w:color="auto"/>
              </w:rPr>
              <w:t>近、中、远期预测，即近期（</w:t>
            </w:r>
            <w:r>
              <w:rPr>
                <w:rFonts w:ascii="Times New Roman" w:hAnsi="Times New Roman" w:eastAsia="Times New Roman" w:cs="Times New Roman"/>
                <w:color w:val="auto"/>
                <w:spacing w:val="-1"/>
                <w:sz w:val="24"/>
                <w:szCs w:val="24"/>
                <w:u w:val="none" w:color="auto"/>
              </w:rPr>
              <w:t>202</w:t>
            </w:r>
            <w:r>
              <w:rPr>
                <w:rFonts w:hint="eastAsia" w:ascii="Times New Roman" w:hAnsi="Times New Roman" w:eastAsia="宋体" w:cs="Times New Roman"/>
                <w:color w:val="auto"/>
                <w:spacing w:val="-1"/>
                <w:sz w:val="24"/>
                <w:szCs w:val="24"/>
                <w:u w:val="none" w:color="auto"/>
                <w:lang w:val="en-US" w:eastAsia="zh-CN"/>
              </w:rPr>
              <w:t>7</w:t>
            </w:r>
            <w:r>
              <w:rPr>
                <w:rFonts w:ascii="宋体" w:hAnsi="宋体" w:eastAsia="宋体" w:cs="宋体"/>
                <w:color w:val="auto"/>
                <w:spacing w:val="-1"/>
                <w:sz w:val="24"/>
                <w:szCs w:val="24"/>
                <w:u w:val="none" w:color="auto"/>
              </w:rPr>
              <w:t>年）、中期（</w:t>
            </w:r>
            <w:r>
              <w:rPr>
                <w:rFonts w:ascii="Times New Roman" w:hAnsi="Times New Roman" w:eastAsia="Times New Roman" w:cs="Times New Roman"/>
                <w:color w:val="auto"/>
                <w:spacing w:val="-1"/>
                <w:sz w:val="24"/>
                <w:szCs w:val="24"/>
                <w:u w:val="none" w:color="auto"/>
              </w:rPr>
              <w:t>203</w:t>
            </w:r>
            <w:r>
              <w:rPr>
                <w:rFonts w:hint="eastAsia" w:ascii="Times New Roman" w:hAnsi="Times New Roman" w:eastAsia="宋体" w:cs="Times New Roman"/>
                <w:color w:val="auto"/>
                <w:spacing w:val="-1"/>
                <w:sz w:val="24"/>
                <w:szCs w:val="24"/>
                <w:u w:val="none" w:color="auto"/>
                <w:lang w:val="en-US" w:eastAsia="zh-CN"/>
              </w:rPr>
              <w:t>3</w:t>
            </w:r>
            <w:r>
              <w:rPr>
                <w:rFonts w:ascii="宋体" w:hAnsi="宋体" w:eastAsia="宋体" w:cs="宋体"/>
                <w:color w:val="auto"/>
                <w:spacing w:val="-1"/>
                <w:sz w:val="24"/>
                <w:szCs w:val="24"/>
                <w:u w:val="none" w:color="auto"/>
              </w:rPr>
              <w:t>年）、远期（</w:t>
            </w:r>
            <w:r>
              <w:rPr>
                <w:rFonts w:ascii="Times New Roman" w:hAnsi="Times New Roman" w:eastAsia="Times New Roman" w:cs="Times New Roman"/>
                <w:color w:val="auto"/>
                <w:spacing w:val="-1"/>
                <w:sz w:val="24"/>
                <w:szCs w:val="24"/>
                <w:u w:val="none" w:color="auto"/>
              </w:rPr>
              <w:t>204</w:t>
            </w:r>
            <w:r>
              <w:rPr>
                <w:rFonts w:hint="eastAsia" w:ascii="Times New Roman" w:hAnsi="Times New Roman" w:eastAsia="宋体" w:cs="Times New Roman"/>
                <w:color w:val="auto"/>
                <w:spacing w:val="-1"/>
                <w:sz w:val="24"/>
                <w:szCs w:val="24"/>
                <w:u w:val="none" w:color="auto"/>
                <w:lang w:val="en-US" w:eastAsia="zh-CN"/>
              </w:rPr>
              <w:t>1</w:t>
            </w:r>
            <w:r>
              <w:rPr>
                <w:rFonts w:ascii="宋体" w:hAnsi="宋体" w:eastAsia="宋体" w:cs="宋体"/>
                <w:color w:val="auto"/>
                <w:spacing w:val="-1"/>
                <w:sz w:val="24"/>
                <w:szCs w:val="24"/>
                <w:u w:val="none" w:color="auto"/>
              </w:rPr>
              <w:t>年</w:t>
            </w:r>
            <w:r>
              <w:rPr>
                <w:rFonts w:ascii="宋体" w:hAnsi="宋体" w:eastAsia="宋体" w:cs="宋体"/>
                <w:color w:val="auto"/>
                <w:spacing w:val="-2"/>
                <w:sz w:val="24"/>
                <w:szCs w:val="24"/>
                <w:u w:val="none" w:color="auto"/>
              </w:rPr>
              <w:t>）。</w:t>
            </w:r>
          </w:p>
          <w:p w14:paraId="55DE280A">
            <w:pPr>
              <w:spacing w:line="227" w:lineRule="auto"/>
              <w:ind w:left="2426"/>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6"/>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3</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项目特征年高峰小时交通量预测</w:t>
            </w:r>
          </w:p>
          <w:p w14:paraId="087AED1A">
            <w:pPr>
              <w:spacing w:line="145" w:lineRule="auto"/>
              <w:rPr>
                <w:rFonts w:ascii="Arial"/>
                <w:color w:val="auto"/>
                <w:sz w:val="2"/>
                <w:u w:val="none" w:color="auto"/>
              </w:rPr>
            </w:pPr>
          </w:p>
          <w:tbl>
            <w:tblPr>
              <w:tblStyle w:val="72"/>
              <w:tblW w:w="7779"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875"/>
              <w:gridCol w:w="1629"/>
              <w:gridCol w:w="1630"/>
              <w:gridCol w:w="1645"/>
            </w:tblGrid>
            <w:tr w14:paraId="3CBE90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2875" w:type="dxa"/>
                  <w:tcBorders>
                    <w:tl2br w:val="nil"/>
                    <w:tr2bl w:val="nil"/>
                  </w:tcBorders>
                  <w:vAlign w:val="top"/>
                </w:tcPr>
                <w:p w14:paraId="15612861">
                  <w:pPr>
                    <w:pStyle w:val="81"/>
                    <w:spacing w:before="86" w:line="228" w:lineRule="auto"/>
                    <w:ind w:left="1149"/>
                    <w:rPr>
                      <w:color w:val="auto"/>
                      <w:sz w:val="20"/>
                      <w:szCs w:val="20"/>
                      <w:u w:val="none" w:color="auto"/>
                    </w:rPr>
                  </w:pPr>
                  <w:r>
                    <w:rPr>
                      <w:color w:val="auto"/>
                      <w:spacing w:val="7"/>
                      <w:sz w:val="20"/>
                      <w:szCs w:val="20"/>
                      <w:u w:val="none" w:color="auto"/>
                    </w:rPr>
                    <w:t>道路名称</w:t>
                  </w:r>
                </w:p>
              </w:tc>
              <w:tc>
                <w:tcPr>
                  <w:tcW w:w="4904" w:type="dxa"/>
                  <w:gridSpan w:val="3"/>
                  <w:tcBorders>
                    <w:tl2br w:val="nil"/>
                    <w:tr2bl w:val="nil"/>
                  </w:tcBorders>
                  <w:vAlign w:val="top"/>
                </w:tcPr>
                <w:p w14:paraId="4B1E972D">
                  <w:pPr>
                    <w:pStyle w:val="81"/>
                    <w:spacing w:before="86" w:line="221" w:lineRule="auto"/>
                    <w:ind w:left="1144"/>
                    <w:rPr>
                      <w:color w:val="auto"/>
                      <w:sz w:val="20"/>
                      <w:szCs w:val="20"/>
                      <w:u w:val="none" w:color="auto"/>
                    </w:rPr>
                  </w:pPr>
                  <w:r>
                    <w:rPr>
                      <w:color w:val="auto"/>
                      <w:spacing w:val="8"/>
                      <w:sz w:val="20"/>
                      <w:szCs w:val="20"/>
                      <w:u w:val="none" w:color="auto"/>
                    </w:rPr>
                    <w:t>预测年高峰小时交通量（</w:t>
                  </w:r>
                  <w:r>
                    <w:rPr>
                      <w:rFonts w:ascii="Times New Roman" w:hAnsi="Times New Roman" w:eastAsia="Times New Roman" w:cs="Times New Roman"/>
                      <w:color w:val="auto"/>
                      <w:sz w:val="20"/>
                      <w:szCs w:val="20"/>
                      <w:u w:val="none" w:color="auto"/>
                    </w:rPr>
                    <w:t>pcu</w:t>
                  </w:r>
                  <w:r>
                    <w:rPr>
                      <w:rFonts w:ascii="Times New Roman" w:hAnsi="Times New Roman" w:eastAsia="Times New Roman" w:cs="Times New Roman"/>
                      <w:color w:val="auto"/>
                      <w:spacing w:val="8"/>
                      <w:sz w:val="20"/>
                      <w:szCs w:val="20"/>
                      <w:u w:val="none" w:color="auto"/>
                    </w:rPr>
                    <w:t>/h*</w:t>
                  </w:r>
                  <w:r>
                    <w:rPr>
                      <w:color w:val="auto"/>
                      <w:spacing w:val="8"/>
                      <w:sz w:val="20"/>
                      <w:szCs w:val="20"/>
                      <w:u w:val="none" w:color="auto"/>
                    </w:rPr>
                    <w:t>）</w:t>
                  </w:r>
                </w:p>
              </w:tc>
            </w:tr>
            <w:tr w14:paraId="1129EE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875" w:type="dxa"/>
                  <w:vMerge w:val="restart"/>
                  <w:tcBorders>
                    <w:tl2br w:val="nil"/>
                    <w:tr2bl w:val="nil"/>
                  </w:tcBorders>
                  <w:vAlign w:val="top"/>
                </w:tcPr>
                <w:p w14:paraId="265CAC9E">
                  <w:pPr>
                    <w:pStyle w:val="81"/>
                    <w:spacing w:before="279" w:line="227" w:lineRule="auto"/>
                    <w:ind w:left="107"/>
                    <w:jc w:val="center"/>
                    <w:rPr>
                      <w:rFonts w:hint="eastAsia" w:eastAsia="宋体"/>
                      <w:color w:val="auto"/>
                      <w:sz w:val="20"/>
                      <w:szCs w:val="20"/>
                      <w:u w:val="none" w:color="auto"/>
                      <w:lang w:eastAsia="zh-CN"/>
                    </w:rPr>
                  </w:pPr>
                  <w:r>
                    <w:rPr>
                      <w:rFonts w:hint="eastAsia"/>
                      <w:color w:val="auto"/>
                      <w:spacing w:val="8"/>
                      <w:sz w:val="20"/>
                      <w:szCs w:val="20"/>
                      <w:u w:val="none" w:color="auto"/>
                      <w:lang w:val="en-US" w:eastAsia="zh-CN"/>
                    </w:rPr>
                    <w:t>团胜路</w:t>
                  </w:r>
                </w:p>
              </w:tc>
              <w:tc>
                <w:tcPr>
                  <w:tcW w:w="1629" w:type="dxa"/>
                  <w:tcBorders>
                    <w:tl2br w:val="nil"/>
                    <w:tr2bl w:val="nil"/>
                  </w:tcBorders>
                  <w:vAlign w:val="top"/>
                </w:tcPr>
                <w:p w14:paraId="280669F7">
                  <w:pPr>
                    <w:pStyle w:val="81"/>
                    <w:spacing w:before="87" w:line="228" w:lineRule="auto"/>
                    <w:ind w:left="553"/>
                    <w:rPr>
                      <w:color w:val="auto"/>
                      <w:sz w:val="20"/>
                      <w:szCs w:val="20"/>
                      <w:u w:val="none" w:color="auto"/>
                    </w:rPr>
                  </w:pPr>
                  <w:r>
                    <w:rPr>
                      <w:rFonts w:ascii="Times New Roman" w:hAnsi="Times New Roman" w:eastAsia="Times New Roman" w:cs="Times New Roman"/>
                      <w:color w:val="auto"/>
                      <w:spacing w:val="2"/>
                      <w:sz w:val="20"/>
                      <w:szCs w:val="20"/>
                      <w:u w:val="none" w:color="auto"/>
                    </w:rPr>
                    <w:t>202</w:t>
                  </w:r>
                  <w:r>
                    <w:rPr>
                      <w:rFonts w:hint="eastAsia" w:ascii="Times New Roman" w:hAnsi="Times New Roman" w:eastAsia="宋体" w:cs="Times New Roman"/>
                      <w:color w:val="auto"/>
                      <w:spacing w:val="2"/>
                      <w:sz w:val="20"/>
                      <w:szCs w:val="20"/>
                      <w:u w:val="none" w:color="auto"/>
                      <w:lang w:val="en-US" w:eastAsia="zh-CN"/>
                    </w:rPr>
                    <w:t>7</w:t>
                  </w:r>
                  <w:r>
                    <w:rPr>
                      <w:color w:val="auto"/>
                      <w:spacing w:val="2"/>
                      <w:sz w:val="20"/>
                      <w:szCs w:val="20"/>
                      <w:u w:val="none" w:color="auto"/>
                    </w:rPr>
                    <w:t>年</w:t>
                  </w:r>
                </w:p>
              </w:tc>
              <w:tc>
                <w:tcPr>
                  <w:tcW w:w="1630" w:type="dxa"/>
                  <w:tcBorders>
                    <w:tl2br w:val="nil"/>
                    <w:tr2bl w:val="nil"/>
                  </w:tcBorders>
                  <w:vAlign w:val="top"/>
                </w:tcPr>
                <w:p w14:paraId="067C23BB">
                  <w:pPr>
                    <w:pStyle w:val="81"/>
                    <w:spacing w:before="87" w:line="228" w:lineRule="auto"/>
                    <w:ind w:left="558"/>
                    <w:rPr>
                      <w:color w:val="auto"/>
                      <w:sz w:val="20"/>
                      <w:szCs w:val="20"/>
                      <w:u w:val="none" w:color="auto"/>
                    </w:rPr>
                  </w:pPr>
                  <w:r>
                    <w:rPr>
                      <w:rFonts w:ascii="Times New Roman" w:hAnsi="Times New Roman" w:eastAsia="Times New Roman" w:cs="Times New Roman"/>
                      <w:color w:val="auto"/>
                      <w:spacing w:val="3"/>
                      <w:sz w:val="20"/>
                      <w:szCs w:val="20"/>
                      <w:u w:val="none" w:color="auto"/>
                    </w:rPr>
                    <w:t>203</w:t>
                  </w:r>
                  <w:r>
                    <w:rPr>
                      <w:rFonts w:hint="eastAsia" w:ascii="Times New Roman" w:hAnsi="Times New Roman" w:eastAsia="宋体" w:cs="Times New Roman"/>
                      <w:color w:val="auto"/>
                      <w:spacing w:val="3"/>
                      <w:sz w:val="20"/>
                      <w:szCs w:val="20"/>
                      <w:u w:val="none" w:color="auto"/>
                      <w:lang w:val="en-US" w:eastAsia="zh-CN"/>
                    </w:rPr>
                    <w:t>3</w:t>
                  </w:r>
                  <w:r>
                    <w:rPr>
                      <w:color w:val="auto"/>
                      <w:spacing w:val="3"/>
                      <w:sz w:val="20"/>
                      <w:szCs w:val="20"/>
                      <w:u w:val="none" w:color="auto"/>
                    </w:rPr>
                    <w:t>年</w:t>
                  </w:r>
                </w:p>
              </w:tc>
              <w:tc>
                <w:tcPr>
                  <w:tcW w:w="1645" w:type="dxa"/>
                  <w:tcBorders>
                    <w:tl2br w:val="nil"/>
                    <w:tr2bl w:val="nil"/>
                  </w:tcBorders>
                  <w:vAlign w:val="top"/>
                </w:tcPr>
                <w:p w14:paraId="5B558B88">
                  <w:pPr>
                    <w:pStyle w:val="81"/>
                    <w:spacing w:before="87" w:line="228" w:lineRule="auto"/>
                    <w:ind w:left="563"/>
                    <w:rPr>
                      <w:color w:val="auto"/>
                      <w:sz w:val="20"/>
                      <w:szCs w:val="20"/>
                      <w:u w:val="none" w:color="auto"/>
                    </w:rPr>
                  </w:pPr>
                  <w:r>
                    <w:rPr>
                      <w:rFonts w:ascii="Times New Roman" w:hAnsi="Times New Roman" w:eastAsia="Times New Roman" w:cs="Times New Roman"/>
                      <w:color w:val="auto"/>
                      <w:spacing w:val="3"/>
                      <w:sz w:val="20"/>
                      <w:szCs w:val="20"/>
                      <w:u w:val="none" w:color="auto"/>
                    </w:rPr>
                    <w:t>204</w:t>
                  </w:r>
                  <w:r>
                    <w:rPr>
                      <w:rFonts w:hint="eastAsia" w:ascii="Times New Roman" w:hAnsi="Times New Roman" w:eastAsia="宋体" w:cs="Times New Roman"/>
                      <w:color w:val="auto"/>
                      <w:spacing w:val="3"/>
                      <w:sz w:val="20"/>
                      <w:szCs w:val="20"/>
                      <w:u w:val="none" w:color="auto"/>
                      <w:lang w:val="en-US" w:eastAsia="zh-CN"/>
                    </w:rPr>
                    <w:t>1</w:t>
                  </w:r>
                  <w:r>
                    <w:rPr>
                      <w:color w:val="auto"/>
                      <w:spacing w:val="3"/>
                      <w:sz w:val="20"/>
                      <w:szCs w:val="20"/>
                      <w:u w:val="none" w:color="auto"/>
                    </w:rPr>
                    <w:t>年</w:t>
                  </w:r>
                </w:p>
              </w:tc>
            </w:tr>
            <w:tr w14:paraId="5F5659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875" w:type="dxa"/>
                  <w:vMerge w:val="continue"/>
                  <w:tcBorders>
                    <w:tl2br w:val="nil"/>
                    <w:tr2bl w:val="nil"/>
                  </w:tcBorders>
                  <w:vAlign w:val="top"/>
                </w:tcPr>
                <w:p w14:paraId="57564BC8">
                  <w:pPr>
                    <w:rPr>
                      <w:rFonts w:ascii="Arial"/>
                      <w:color w:val="auto"/>
                      <w:sz w:val="21"/>
                      <w:u w:val="none" w:color="auto"/>
                    </w:rPr>
                  </w:pPr>
                </w:p>
              </w:tc>
              <w:tc>
                <w:tcPr>
                  <w:tcW w:w="1629" w:type="dxa"/>
                  <w:tcBorders>
                    <w:tl2br w:val="nil"/>
                    <w:tr2bl w:val="nil"/>
                  </w:tcBorders>
                  <w:vAlign w:val="top"/>
                </w:tcPr>
                <w:p w14:paraId="6E31E87E">
                  <w:pPr>
                    <w:spacing w:before="128" w:line="195" w:lineRule="auto"/>
                    <w:ind w:left="73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72</w:t>
                  </w:r>
                </w:p>
              </w:tc>
              <w:tc>
                <w:tcPr>
                  <w:tcW w:w="1630" w:type="dxa"/>
                  <w:tcBorders>
                    <w:tl2br w:val="nil"/>
                    <w:tr2bl w:val="nil"/>
                  </w:tcBorders>
                  <w:vAlign w:val="top"/>
                </w:tcPr>
                <w:p w14:paraId="30F6B750">
                  <w:pPr>
                    <w:spacing w:before="128" w:line="195" w:lineRule="auto"/>
                    <w:ind w:left="752"/>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131</w:t>
                  </w:r>
                </w:p>
              </w:tc>
              <w:tc>
                <w:tcPr>
                  <w:tcW w:w="1645" w:type="dxa"/>
                  <w:tcBorders>
                    <w:tl2br w:val="nil"/>
                    <w:tr2bl w:val="nil"/>
                  </w:tcBorders>
                  <w:vAlign w:val="top"/>
                </w:tcPr>
                <w:p w14:paraId="7BFF98B0">
                  <w:pPr>
                    <w:spacing w:before="128" w:line="195" w:lineRule="auto"/>
                    <w:ind w:left="715"/>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2"/>
                      <w:sz w:val="20"/>
                      <w:szCs w:val="20"/>
                      <w:u w:val="none" w:color="auto"/>
                      <w:lang w:val="en-US" w:eastAsia="zh-CN"/>
                    </w:rPr>
                    <w:t>238</w:t>
                  </w:r>
                </w:p>
              </w:tc>
            </w:tr>
            <w:tr w14:paraId="09B191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7779" w:type="dxa"/>
                  <w:gridSpan w:val="4"/>
                  <w:tcBorders>
                    <w:tl2br w:val="nil"/>
                    <w:tr2bl w:val="nil"/>
                  </w:tcBorders>
                  <w:vAlign w:val="top"/>
                </w:tcPr>
                <w:p w14:paraId="3B024162">
                  <w:pPr>
                    <w:pStyle w:val="81"/>
                    <w:spacing w:before="66" w:line="262" w:lineRule="auto"/>
                    <w:ind w:left="107" w:right="97"/>
                    <w:rPr>
                      <w:color w:val="auto"/>
                      <w:sz w:val="20"/>
                      <w:szCs w:val="20"/>
                      <w:u w:val="none" w:color="auto"/>
                    </w:rPr>
                  </w:pPr>
                  <w:r>
                    <w:rPr>
                      <w:color w:val="auto"/>
                      <w:spacing w:val="7"/>
                      <w:sz w:val="20"/>
                      <w:szCs w:val="20"/>
                      <w:u w:val="none" w:color="auto"/>
                    </w:rPr>
                    <w:t>备注</w:t>
                  </w:r>
                  <w:r>
                    <w:rPr>
                      <w:rFonts w:ascii="Times New Roman" w:hAnsi="Times New Roman" w:eastAsia="Times New Roman" w:cs="Times New Roman"/>
                      <w:color w:val="auto"/>
                      <w:spacing w:val="7"/>
                      <w:sz w:val="20"/>
                      <w:szCs w:val="20"/>
                      <w:u w:val="none" w:color="auto"/>
                    </w:rPr>
                    <w:t>*</w:t>
                  </w:r>
                  <w:r>
                    <w:rPr>
                      <w:color w:val="auto"/>
                      <w:spacing w:val="7"/>
                      <w:sz w:val="20"/>
                      <w:szCs w:val="20"/>
                      <w:u w:val="none" w:color="auto"/>
                    </w:rPr>
                    <w:t>：</w:t>
                  </w:r>
                  <w:r>
                    <w:rPr>
                      <w:rFonts w:ascii="Times New Roman" w:hAnsi="Times New Roman" w:eastAsia="Times New Roman" w:cs="Times New Roman"/>
                      <w:color w:val="auto"/>
                      <w:sz w:val="20"/>
                      <w:szCs w:val="20"/>
                      <w:u w:val="none" w:color="auto"/>
                    </w:rPr>
                    <w:t>pcu</w:t>
                  </w:r>
                  <w:r>
                    <w:rPr>
                      <w:rFonts w:ascii="Times New Roman" w:hAnsi="Times New Roman" w:eastAsia="Times New Roman" w:cs="Times New Roman"/>
                      <w:color w:val="auto"/>
                      <w:spacing w:val="7"/>
                      <w:sz w:val="20"/>
                      <w:szCs w:val="20"/>
                      <w:u w:val="none" w:color="auto"/>
                    </w:rPr>
                    <w:t>/h</w:t>
                  </w:r>
                  <w:r>
                    <w:rPr>
                      <w:rFonts w:ascii="Times New Roman" w:hAnsi="Times New Roman" w:eastAsia="Times New Roman" w:cs="Times New Roman"/>
                      <w:color w:val="auto"/>
                      <w:spacing w:val="17"/>
                      <w:sz w:val="20"/>
                      <w:szCs w:val="20"/>
                      <w:u w:val="none" w:color="auto"/>
                    </w:rPr>
                    <w:t xml:space="preserve"> </w:t>
                  </w:r>
                  <w:r>
                    <w:rPr>
                      <w:color w:val="auto"/>
                      <w:spacing w:val="7"/>
                      <w:sz w:val="20"/>
                      <w:szCs w:val="20"/>
                      <w:u w:val="none" w:color="auto"/>
                    </w:rPr>
                    <w:t>也称当量交通量，是将实际的各种机动车和非机动车交通量按一定的</w:t>
                  </w:r>
                  <w:r>
                    <w:rPr>
                      <w:color w:val="auto"/>
                      <w:spacing w:val="6"/>
                      <w:sz w:val="20"/>
                      <w:szCs w:val="20"/>
                      <w:u w:val="none" w:color="auto"/>
                    </w:rPr>
                    <w:t>折算系数</w:t>
                  </w:r>
                  <w:r>
                    <w:rPr>
                      <w:color w:val="auto"/>
                      <w:spacing w:val="8"/>
                      <w:sz w:val="20"/>
                      <w:szCs w:val="20"/>
                      <w:u w:val="none" w:color="auto"/>
                    </w:rPr>
                    <w:t>换算成某种标准车型的当量交通量。</w:t>
                  </w:r>
                </w:p>
              </w:tc>
            </w:tr>
          </w:tbl>
          <w:p w14:paraId="0D287075">
            <w:pPr>
              <w:spacing w:before="115" w:line="219" w:lineRule="auto"/>
              <w:ind w:left="609"/>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根据高峰小时车流量计算公式：</w:t>
            </w:r>
          </w:p>
          <w:p w14:paraId="4E645DB9">
            <w:pPr>
              <w:spacing w:before="204" w:line="196" w:lineRule="auto"/>
              <w:ind w:left="3522"/>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i/>
                <w:iCs/>
                <w:color w:val="auto"/>
                <w:spacing w:val="-21"/>
                <w:position w:val="1"/>
                <w:sz w:val="35"/>
                <w:szCs w:val="35"/>
                <w:u w:val="none" w:color="auto"/>
              </w:rPr>
              <w:t>Q</w:t>
            </w:r>
            <w:r>
              <w:rPr>
                <w:rFonts w:ascii="Times New Roman" w:hAnsi="Times New Roman" w:eastAsia="Times New Roman" w:cs="Times New Roman"/>
                <w:i/>
                <w:iCs/>
                <w:color w:val="auto"/>
                <w:spacing w:val="-21"/>
                <w:position w:val="-7"/>
                <w:sz w:val="23"/>
                <w:szCs w:val="23"/>
                <w:u w:val="none" w:color="auto"/>
              </w:rPr>
              <w:t>G</w:t>
            </w:r>
            <w:r>
              <w:rPr>
                <w:rFonts w:ascii="Times New Roman" w:hAnsi="Times New Roman" w:eastAsia="Times New Roman" w:cs="Times New Roman"/>
                <w:i/>
                <w:iCs/>
                <w:color w:val="auto"/>
                <w:spacing w:val="11"/>
                <w:position w:val="-7"/>
                <w:sz w:val="23"/>
                <w:szCs w:val="23"/>
                <w:u w:val="none" w:color="auto"/>
              </w:rPr>
              <w:t xml:space="preserve"> </w:t>
            </w:r>
            <w:r>
              <w:rPr>
                <w:rFonts w:ascii="微软雅黑" w:hAnsi="微软雅黑" w:eastAsia="微软雅黑" w:cs="微软雅黑"/>
                <w:color w:val="auto"/>
                <w:spacing w:val="-21"/>
                <w:position w:val="5"/>
                <w:sz w:val="23"/>
                <w:szCs w:val="23"/>
                <w:u w:val="none" w:color="auto"/>
              </w:rPr>
              <w:t xml:space="preserve">= </w:t>
            </w:r>
            <w:r>
              <w:rPr>
                <w:rFonts w:ascii="Times New Roman" w:hAnsi="Times New Roman" w:eastAsia="Times New Roman" w:cs="Times New Roman"/>
                <w:i/>
                <w:iCs/>
                <w:color w:val="auto"/>
                <w:spacing w:val="-21"/>
                <w:position w:val="1"/>
                <w:sz w:val="35"/>
                <w:szCs w:val="35"/>
                <w:u w:val="none" w:color="auto"/>
              </w:rPr>
              <w:t>Q</w:t>
            </w:r>
            <w:r>
              <w:rPr>
                <w:rFonts w:ascii="Times New Roman" w:hAnsi="Times New Roman" w:eastAsia="Times New Roman" w:cs="Times New Roman"/>
                <w:i/>
                <w:iCs/>
                <w:color w:val="auto"/>
                <w:spacing w:val="30"/>
                <w:position w:val="1"/>
                <w:sz w:val="35"/>
                <w:szCs w:val="35"/>
                <w:u w:val="none" w:color="auto"/>
              </w:rPr>
              <w:t xml:space="preserve"> </w:t>
            </w:r>
            <w:r>
              <w:rPr>
                <w:rFonts w:ascii="微软雅黑" w:hAnsi="微软雅黑" w:eastAsia="微软雅黑" w:cs="微软雅黑"/>
                <w:color w:val="auto"/>
                <w:spacing w:val="-21"/>
                <w:position w:val="-1"/>
                <w:sz w:val="23"/>
                <w:szCs w:val="23"/>
                <w:u w:val="none" w:color="auto"/>
              </w:rPr>
              <w:t>●</w:t>
            </w:r>
            <w:r>
              <w:rPr>
                <w:rFonts w:ascii="微软雅黑" w:hAnsi="微软雅黑" w:eastAsia="微软雅黑" w:cs="微软雅黑"/>
                <w:color w:val="auto"/>
                <w:spacing w:val="-22"/>
                <w:position w:val="-1"/>
                <w:sz w:val="23"/>
                <w:szCs w:val="23"/>
                <w:u w:val="none" w:color="auto"/>
              </w:rPr>
              <w:t xml:space="preserve"> </w:t>
            </w:r>
            <w:r>
              <w:rPr>
                <w:rFonts w:ascii="Times New Roman" w:hAnsi="Times New Roman" w:eastAsia="Times New Roman" w:cs="Times New Roman"/>
                <w:i/>
                <w:iCs/>
                <w:color w:val="auto"/>
                <w:spacing w:val="11"/>
                <w:position w:val="-1"/>
                <w:sz w:val="35"/>
                <w:szCs w:val="35"/>
                <w:u w:val="none" w:color="auto"/>
              </w:rPr>
              <w:t>A</w:t>
            </w:r>
            <w:r>
              <w:rPr>
                <w:rFonts w:ascii="Times New Roman" w:hAnsi="Times New Roman" w:eastAsia="Times New Roman" w:cs="Times New Roman"/>
                <w:i/>
                <w:iCs/>
                <w:color w:val="auto"/>
                <w:spacing w:val="11"/>
                <w:position w:val="-3"/>
                <w:sz w:val="13"/>
                <w:szCs w:val="13"/>
                <w:u w:val="none" w:color="auto"/>
              </w:rPr>
              <w:t>G</w:t>
            </w:r>
          </w:p>
          <w:p w14:paraId="655D6D8F">
            <w:pPr>
              <w:spacing w:before="217" w:line="220" w:lineRule="auto"/>
              <w:ind w:left="614"/>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7B1D8712">
            <w:pPr>
              <w:spacing w:before="182" w:line="360" w:lineRule="auto"/>
              <w:ind w:left="608" w:right="2560" w:hanging="6"/>
              <w:rPr>
                <w:rFonts w:ascii="宋体" w:hAnsi="宋体" w:eastAsia="宋体" w:cs="宋体"/>
                <w:color w:val="auto"/>
                <w:sz w:val="24"/>
                <w:szCs w:val="24"/>
                <w:u w:val="none" w:color="auto"/>
              </w:rPr>
            </w:pPr>
            <w:r>
              <w:rPr>
                <w:rFonts w:ascii="Times New Roman" w:hAnsi="Times New Roman" w:eastAsia="Times New Roman" w:cs="Times New Roman"/>
                <w:color w:val="auto"/>
                <w:spacing w:val="-3"/>
                <w:sz w:val="24"/>
                <w:szCs w:val="24"/>
                <w:u w:val="none" w:color="auto"/>
              </w:rPr>
              <w:t>A</w:t>
            </w:r>
            <w:r>
              <w:rPr>
                <w:rFonts w:ascii="Times New Roman" w:hAnsi="Times New Roman" w:eastAsia="Times New Roman" w:cs="Times New Roman"/>
                <w:color w:val="auto"/>
                <w:spacing w:val="-3"/>
                <w:position w:val="-1"/>
                <w:sz w:val="15"/>
                <w:szCs w:val="15"/>
                <w:u w:val="none" w:color="auto"/>
              </w:rPr>
              <w:t>G</w:t>
            </w:r>
            <w:r>
              <w:rPr>
                <w:rFonts w:ascii="Times New Roman" w:hAnsi="Times New Roman" w:eastAsia="Times New Roman" w:cs="Times New Roman"/>
                <w:color w:val="auto"/>
                <w:spacing w:val="-3"/>
                <w:sz w:val="24"/>
                <w:szCs w:val="24"/>
                <w:u w:val="none" w:color="auto"/>
              </w:rPr>
              <w:t>——</w:t>
            </w:r>
            <w:r>
              <w:rPr>
                <w:rFonts w:ascii="宋体" w:hAnsi="宋体" w:eastAsia="宋体" w:cs="宋体"/>
                <w:color w:val="auto"/>
                <w:spacing w:val="-3"/>
                <w:sz w:val="24"/>
                <w:szCs w:val="24"/>
                <w:u w:val="none" w:color="auto"/>
              </w:rPr>
              <w:t>高峰小时系数，根据工程设计资料取值</w:t>
            </w:r>
            <w:r>
              <w:rPr>
                <w:rFonts w:ascii="宋体" w:hAnsi="宋体" w:eastAsia="宋体" w:cs="宋体"/>
                <w:color w:val="auto"/>
                <w:spacing w:val="-46"/>
                <w:sz w:val="24"/>
                <w:szCs w:val="24"/>
                <w:u w:val="none" w:color="auto"/>
              </w:rPr>
              <w:t xml:space="preserve"> </w:t>
            </w:r>
            <w:r>
              <w:rPr>
                <w:rFonts w:ascii="Times New Roman" w:hAnsi="Times New Roman" w:eastAsia="Times New Roman" w:cs="Times New Roman"/>
                <w:color w:val="auto"/>
                <w:spacing w:val="-3"/>
                <w:sz w:val="24"/>
                <w:szCs w:val="24"/>
                <w:u w:val="none" w:color="auto"/>
              </w:rPr>
              <w:t>0.1</w:t>
            </w:r>
            <w:r>
              <w:rPr>
                <w:rFonts w:ascii="宋体" w:hAnsi="宋体" w:eastAsia="宋体" w:cs="宋体"/>
                <w:color w:val="auto"/>
                <w:spacing w:val="-3"/>
                <w:sz w:val="24"/>
                <w:szCs w:val="24"/>
                <w:u w:val="none" w:color="auto"/>
              </w:rPr>
              <w:t>；</w:t>
            </w:r>
            <w:r>
              <w:rPr>
                <w:rFonts w:ascii="宋体" w:hAnsi="宋体" w:eastAsia="宋体" w:cs="宋体"/>
                <w:color w:val="auto"/>
                <w:sz w:val="24"/>
                <w:szCs w:val="24"/>
                <w:u w:val="none" w:color="auto"/>
              </w:rPr>
              <w:t xml:space="preserve"> </w:t>
            </w:r>
            <w:r>
              <w:rPr>
                <w:rFonts w:ascii="Times New Roman" w:hAnsi="Times New Roman" w:eastAsia="Times New Roman" w:cs="Times New Roman"/>
                <w:color w:val="auto"/>
                <w:spacing w:val="-2"/>
                <w:sz w:val="24"/>
                <w:szCs w:val="24"/>
                <w:u w:val="none" w:color="auto"/>
              </w:rPr>
              <w:t>Q——</w:t>
            </w:r>
            <w:r>
              <w:rPr>
                <w:rFonts w:ascii="宋体" w:hAnsi="宋体" w:eastAsia="宋体" w:cs="宋体"/>
                <w:color w:val="auto"/>
                <w:spacing w:val="-2"/>
                <w:sz w:val="24"/>
                <w:szCs w:val="24"/>
                <w:u w:val="none" w:color="auto"/>
              </w:rPr>
              <w:t>各预测年的</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2"/>
                <w:sz w:val="24"/>
                <w:szCs w:val="24"/>
                <w:u w:val="none" w:color="auto"/>
              </w:rPr>
              <w:t>24</w:t>
            </w:r>
            <w:r>
              <w:rPr>
                <w:rFonts w:ascii="宋体" w:hAnsi="宋体" w:eastAsia="宋体" w:cs="宋体"/>
                <w:color w:val="auto"/>
                <w:spacing w:val="-2"/>
                <w:sz w:val="24"/>
                <w:szCs w:val="24"/>
                <w:u w:val="none" w:color="auto"/>
              </w:rPr>
              <w:t>小时交通流量。</w:t>
            </w:r>
          </w:p>
          <w:p w14:paraId="1F75FC91">
            <w:pPr>
              <w:spacing w:before="1" w:line="219" w:lineRule="auto"/>
              <w:ind w:left="611"/>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经计算，项目预测年平均日交通量预测结果如下：</w:t>
            </w:r>
          </w:p>
          <w:p w14:paraId="557911EA">
            <w:pPr>
              <w:spacing w:before="121" w:line="228" w:lineRule="auto"/>
              <w:ind w:left="2954"/>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表</w:t>
            </w:r>
            <w:r>
              <w:rPr>
                <w:rFonts w:ascii="宋体" w:hAnsi="宋体" w:eastAsia="宋体" w:cs="宋体"/>
                <w:color w:val="auto"/>
                <w:spacing w:val="-32"/>
                <w:sz w:val="20"/>
                <w:szCs w:val="20"/>
                <w:u w:val="none" w:color="auto"/>
              </w:rPr>
              <w:t xml:space="preserve"> </w:t>
            </w:r>
            <w:r>
              <w:rPr>
                <w:rFonts w:ascii="Times New Roman" w:hAnsi="Times New Roman" w:eastAsia="Times New Roman" w:cs="Times New Roman"/>
                <w:b/>
                <w:bCs/>
                <w:color w:val="auto"/>
                <w:spacing w:val="5"/>
                <w:sz w:val="20"/>
                <w:szCs w:val="20"/>
                <w:u w:val="none" w:color="auto"/>
              </w:rPr>
              <w:t>4-</w:t>
            </w:r>
            <w:r>
              <w:rPr>
                <w:rFonts w:hint="eastAsia" w:eastAsia="宋体" w:cs="Times New Roman"/>
                <w:b/>
                <w:bCs/>
                <w:color w:val="auto"/>
                <w:spacing w:val="5"/>
                <w:sz w:val="20"/>
                <w:szCs w:val="20"/>
                <w:u w:val="none" w:color="auto"/>
                <w:lang w:val="en-US" w:eastAsia="zh-CN"/>
              </w:rPr>
              <w:t>4</w:t>
            </w:r>
            <w:r>
              <w:rPr>
                <w:rFonts w:ascii="Times New Roman" w:hAnsi="Times New Roman" w:eastAsia="Times New Roman" w:cs="Times New Roman"/>
                <w:b/>
                <w:bCs/>
                <w:color w:val="auto"/>
                <w:spacing w:val="5"/>
                <w:sz w:val="20"/>
                <w:szCs w:val="20"/>
                <w:u w:val="none" w:color="auto"/>
              </w:rPr>
              <w:t xml:space="preserve">    </w:t>
            </w:r>
            <w:r>
              <w:rPr>
                <w:rFonts w:ascii="宋体" w:hAnsi="宋体" w:eastAsia="宋体" w:cs="宋体"/>
                <w:b/>
                <w:bCs/>
                <w:color w:val="auto"/>
                <w:spacing w:val="5"/>
                <w:sz w:val="20"/>
                <w:szCs w:val="20"/>
                <w:u w:val="none" w:color="auto"/>
              </w:rPr>
              <w:t>项目交通量预测结果</w:t>
            </w:r>
          </w:p>
          <w:p w14:paraId="57458ABA">
            <w:pPr>
              <w:spacing w:line="138" w:lineRule="auto"/>
              <w:rPr>
                <w:rFonts w:ascii="Arial"/>
                <w:color w:val="auto"/>
                <w:sz w:val="2"/>
                <w:u w:val="none" w:color="auto"/>
              </w:rPr>
            </w:pPr>
          </w:p>
          <w:tbl>
            <w:tblPr>
              <w:tblStyle w:val="72"/>
              <w:tblW w:w="7879"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244"/>
              <w:gridCol w:w="1991"/>
              <w:gridCol w:w="1978"/>
              <w:gridCol w:w="1666"/>
            </w:tblGrid>
            <w:tr w14:paraId="531D86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2244" w:type="dxa"/>
                  <w:tcBorders>
                    <w:tl2br w:val="nil"/>
                    <w:tr2bl w:val="nil"/>
                  </w:tcBorders>
                  <w:vAlign w:val="top"/>
                </w:tcPr>
                <w:p w14:paraId="35E14BFC">
                  <w:pPr>
                    <w:pStyle w:val="81"/>
                    <w:spacing w:before="86" w:line="228" w:lineRule="auto"/>
                    <w:jc w:val="center"/>
                    <w:rPr>
                      <w:color w:val="auto"/>
                      <w:sz w:val="20"/>
                      <w:szCs w:val="20"/>
                      <w:u w:val="none" w:color="auto"/>
                    </w:rPr>
                  </w:pPr>
                  <w:r>
                    <w:rPr>
                      <w:color w:val="auto"/>
                      <w:spacing w:val="7"/>
                      <w:sz w:val="20"/>
                      <w:szCs w:val="20"/>
                      <w:u w:val="none" w:color="auto"/>
                    </w:rPr>
                    <w:t>道路名称</w:t>
                  </w:r>
                </w:p>
              </w:tc>
              <w:tc>
                <w:tcPr>
                  <w:tcW w:w="5635" w:type="dxa"/>
                  <w:gridSpan w:val="3"/>
                  <w:tcBorders>
                    <w:tl2br w:val="nil"/>
                    <w:tr2bl w:val="nil"/>
                  </w:tcBorders>
                  <w:vAlign w:val="top"/>
                </w:tcPr>
                <w:p w14:paraId="470B98B5">
                  <w:pPr>
                    <w:pStyle w:val="81"/>
                    <w:spacing w:before="86" w:line="221" w:lineRule="auto"/>
                    <w:ind w:left="565"/>
                    <w:rPr>
                      <w:color w:val="auto"/>
                      <w:sz w:val="20"/>
                      <w:szCs w:val="20"/>
                      <w:u w:val="none" w:color="auto"/>
                    </w:rPr>
                  </w:pPr>
                  <w:r>
                    <w:rPr>
                      <w:color w:val="auto"/>
                      <w:spacing w:val="10"/>
                      <w:sz w:val="20"/>
                      <w:szCs w:val="20"/>
                      <w:u w:val="none" w:color="auto"/>
                    </w:rPr>
                    <w:t>年平均日交通量（折合标准小客车</w:t>
                  </w:r>
                  <w:r>
                    <w:rPr>
                      <w:color w:val="auto"/>
                      <w:sz w:val="20"/>
                      <w:szCs w:val="20"/>
                      <w:u w:val="none" w:color="auto"/>
                    </w:rPr>
                    <w:t>）（</w:t>
                  </w:r>
                  <w:r>
                    <w:rPr>
                      <w:rFonts w:ascii="Times New Roman" w:hAnsi="Times New Roman" w:eastAsia="Times New Roman" w:cs="Times New Roman"/>
                      <w:color w:val="auto"/>
                      <w:sz w:val="20"/>
                      <w:szCs w:val="20"/>
                      <w:u w:val="none" w:color="auto"/>
                    </w:rPr>
                    <w:t>pcu</w:t>
                  </w:r>
                  <w:r>
                    <w:rPr>
                      <w:rFonts w:ascii="Times New Roman" w:hAnsi="Times New Roman" w:eastAsia="Times New Roman" w:cs="Times New Roman"/>
                      <w:color w:val="auto"/>
                      <w:spacing w:val="10"/>
                      <w:sz w:val="20"/>
                      <w:szCs w:val="20"/>
                      <w:u w:val="none" w:color="auto"/>
                    </w:rPr>
                    <w:t>/d</w:t>
                  </w:r>
                  <w:r>
                    <w:rPr>
                      <w:color w:val="auto"/>
                      <w:spacing w:val="10"/>
                      <w:sz w:val="20"/>
                      <w:szCs w:val="20"/>
                      <w:u w:val="none" w:color="auto"/>
                    </w:rPr>
                    <w:t>）</w:t>
                  </w:r>
                </w:p>
              </w:tc>
            </w:tr>
            <w:tr w14:paraId="31C5B2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244" w:type="dxa"/>
                  <w:vMerge w:val="restart"/>
                  <w:tcBorders>
                    <w:tl2br w:val="nil"/>
                    <w:tr2bl w:val="nil"/>
                  </w:tcBorders>
                  <w:vAlign w:val="top"/>
                </w:tcPr>
                <w:p w14:paraId="081ACB8B">
                  <w:pPr>
                    <w:pStyle w:val="81"/>
                    <w:spacing w:before="282" w:line="227" w:lineRule="auto"/>
                    <w:ind w:left="107"/>
                    <w:jc w:val="center"/>
                    <w:rPr>
                      <w:color w:val="auto"/>
                      <w:sz w:val="20"/>
                      <w:szCs w:val="20"/>
                      <w:u w:val="none" w:color="auto"/>
                    </w:rPr>
                  </w:pPr>
                  <w:r>
                    <w:rPr>
                      <w:rFonts w:hint="eastAsia"/>
                      <w:color w:val="auto"/>
                      <w:spacing w:val="8"/>
                      <w:sz w:val="20"/>
                      <w:szCs w:val="20"/>
                      <w:u w:val="none" w:color="auto"/>
                      <w:lang w:val="en-US" w:eastAsia="zh-CN"/>
                    </w:rPr>
                    <w:t>团胜路</w:t>
                  </w:r>
                </w:p>
              </w:tc>
              <w:tc>
                <w:tcPr>
                  <w:tcW w:w="1991" w:type="dxa"/>
                  <w:tcBorders>
                    <w:tl2br w:val="nil"/>
                    <w:tr2bl w:val="nil"/>
                  </w:tcBorders>
                  <w:vAlign w:val="top"/>
                </w:tcPr>
                <w:p w14:paraId="4445EC27">
                  <w:pPr>
                    <w:pStyle w:val="81"/>
                    <w:spacing w:before="90" w:line="228" w:lineRule="auto"/>
                    <w:ind w:left="136"/>
                    <w:rPr>
                      <w:color w:val="auto"/>
                      <w:sz w:val="20"/>
                      <w:szCs w:val="20"/>
                      <w:u w:val="none" w:color="auto"/>
                    </w:rPr>
                  </w:pPr>
                  <w:r>
                    <w:rPr>
                      <w:color w:val="auto"/>
                      <w:spacing w:val="5"/>
                      <w:sz w:val="20"/>
                      <w:szCs w:val="20"/>
                      <w:u w:val="none" w:color="auto"/>
                    </w:rPr>
                    <w:t>近期（</w:t>
                  </w:r>
                  <w:r>
                    <w:rPr>
                      <w:rFonts w:ascii="Times New Roman" w:hAnsi="Times New Roman" w:eastAsia="Times New Roman" w:cs="Times New Roman"/>
                      <w:color w:val="auto"/>
                      <w:spacing w:val="5"/>
                      <w:sz w:val="20"/>
                      <w:szCs w:val="20"/>
                      <w:u w:val="none" w:color="auto"/>
                    </w:rPr>
                    <w:t>202</w:t>
                  </w:r>
                  <w:r>
                    <w:rPr>
                      <w:rFonts w:hint="eastAsia" w:ascii="Times New Roman" w:hAnsi="Times New Roman" w:eastAsia="宋体" w:cs="Times New Roman"/>
                      <w:color w:val="auto"/>
                      <w:spacing w:val="5"/>
                      <w:sz w:val="20"/>
                      <w:szCs w:val="20"/>
                      <w:u w:val="none" w:color="auto"/>
                      <w:lang w:val="en-US" w:eastAsia="zh-CN"/>
                    </w:rPr>
                    <w:t>7</w:t>
                  </w:r>
                  <w:r>
                    <w:rPr>
                      <w:color w:val="auto"/>
                      <w:spacing w:val="5"/>
                      <w:sz w:val="20"/>
                      <w:szCs w:val="20"/>
                      <w:u w:val="none" w:color="auto"/>
                    </w:rPr>
                    <w:t>年）</w:t>
                  </w:r>
                </w:p>
              </w:tc>
              <w:tc>
                <w:tcPr>
                  <w:tcW w:w="1978" w:type="dxa"/>
                  <w:tcBorders>
                    <w:tl2br w:val="nil"/>
                    <w:tr2bl w:val="nil"/>
                  </w:tcBorders>
                  <w:vAlign w:val="top"/>
                </w:tcPr>
                <w:p w14:paraId="3932A5A9">
                  <w:pPr>
                    <w:pStyle w:val="81"/>
                    <w:spacing w:before="90" w:line="228" w:lineRule="auto"/>
                    <w:ind w:left="162"/>
                    <w:rPr>
                      <w:color w:val="auto"/>
                      <w:sz w:val="20"/>
                      <w:szCs w:val="20"/>
                      <w:u w:val="none" w:color="auto"/>
                    </w:rPr>
                  </w:pPr>
                  <w:r>
                    <w:rPr>
                      <w:color w:val="auto"/>
                      <w:spacing w:val="3"/>
                      <w:sz w:val="20"/>
                      <w:szCs w:val="20"/>
                      <w:u w:val="none" w:color="auto"/>
                    </w:rPr>
                    <w:t>中期（</w:t>
                  </w:r>
                  <w:r>
                    <w:rPr>
                      <w:rFonts w:ascii="Times New Roman" w:hAnsi="Times New Roman" w:eastAsia="Times New Roman" w:cs="Times New Roman"/>
                      <w:color w:val="auto"/>
                      <w:spacing w:val="3"/>
                      <w:sz w:val="20"/>
                      <w:szCs w:val="20"/>
                      <w:u w:val="none" w:color="auto"/>
                    </w:rPr>
                    <w:t>203</w:t>
                  </w:r>
                  <w:r>
                    <w:rPr>
                      <w:rFonts w:hint="eastAsia" w:ascii="Times New Roman" w:hAnsi="Times New Roman" w:eastAsia="宋体" w:cs="Times New Roman"/>
                      <w:color w:val="auto"/>
                      <w:spacing w:val="3"/>
                      <w:sz w:val="20"/>
                      <w:szCs w:val="20"/>
                      <w:u w:val="none" w:color="auto"/>
                      <w:lang w:val="en-US" w:eastAsia="zh-CN"/>
                    </w:rPr>
                    <w:t>3</w:t>
                  </w:r>
                  <w:r>
                    <w:rPr>
                      <w:color w:val="auto"/>
                      <w:spacing w:val="3"/>
                      <w:sz w:val="20"/>
                      <w:szCs w:val="20"/>
                      <w:u w:val="none" w:color="auto"/>
                    </w:rPr>
                    <w:t>年）</w:t>
                  </w:r>
                </w:p>
              </w:tc>
              <w:tc>
                <w:tcPr>
                  <w:tcW w:w="1666" w:type="dxa"/>
                  <w:tcBorders>
                    <w:tl2br w:val="nil"/>
                    <w:tr2bl w:val="nil"/>
                  </w:tcBorders>
                  <w:vAlign w:val="top"/>
                </w:tcPr>
                <w:p w14:paraId="5E44E923">
                  <w:pPr>
                    <w:pStyle w:val="81"/>
                    <w:spacing w:before="90" w:line="228" w:lineRule="auto"/>
                    <w:ind w:left="147"/>
                    <w:rPr>
                      <w:color w:val="auto"/>
                      <w:sz w:val="20"/>
                      <w:szCs w:val="20"/>
                      <w:u w:val="none" w:color="auto"/>
                    </w:rPr>
                  </w:pPr>
                  <w:r>
                    <w:rPr>
                      <w:color w:val="auto"/>
                      <w:spacing w:val="5"/>
                      <w:sz w:val="20"/>
                      <w:szCs w:val="20"/>
                      <w:u w:val="none" w:color="auto"/>
                    </w:rPr>
                    <w:t>远期（</w:t>
                  </w:r>
                  <w:r>
                    <w:rPr>
                      <w:rFonts w:ascii="Times New Roman" w:hAnsi="Times New Roman" w:eastAsia="Times New Roman" w:cs="Times New Roman"/>
                      <w:color w:val="auto"/>
                      <w:spacing w:val="5"/>
                      <w:sz w:val="20"/>
                      <w:szCs w:val="20"/>
                      <w:u w:val="none" w:color="auto"/>
                    </w:rPr>
                    <w:t>204</w:t>
                  </w:r>
                  <w:r>
                    <w:rPr>
                      <w:rFonts w:hint="eastAsia" w:ascii="Times New Roman" w:hAnsi="Times New Roman" w:eastAsia="宋体" w:cs="Times New Roman"/>
                      <w:color w:val="auto"/>
                      <w:spacing w:val="5"/>
                      <w:sz w:val="20"/>
                      <w:szCs w:val="20"/>
                      <w:u w:val="none" w:color="auto"/>
                      <w:lang w:val="en-US" w:eastAsia="zh-CN"/>
                    </w:rPr>
                    <w:t>1</w:t>
                  </w:r>
                  <w:r>
                    <w:rPr>
                      <w:color w:val="auto"/>
                      <w:spacing w:val="5"/>
                      <w:sz w:val="20"/>
                      <w:szCs w:val="20"/>
                      <w:u w:val="none" w:color="auto"/>
                    </w:rPr>
                    <w:t>年）</w:t>
                  </w:r>
                </w:p>
              </w:tc>
            </w:tr>
            <w:tr w14:paraId="481329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2244" w:type="dxa"/>
                  <w:vMerge w:val="continue"/>
                  <w:tcBorders>
                    <w:tl2br w:val="nil"/>
                    <w:tr2bl w:val="nil"/>
                  </w:tcBorders>
                  <w:vAlign w:val="top"/>
                </w:tcPr>
                <w:p w14:paraId="6D7E29CE">
                  <w:pPr>
                    <w:rPr>
                      <w:rFonts w:ascii="Arial"/>
                      <w:color w:val="auto"/>
                      <w:sz w:val="21"/>
                      <w:u w:val="none" w:color="auto"/>
                    </w:rPr>
                  </w:pPr>
                </w:p>
              </w:tc>
              <w:tc>
                <w:tcPr>
                  <w:tcW w:w="1991" w:type="dxa"/>
                  <w:tcBorders>
                    <w:tl2br w:val="nil"/>
                    <w:tr2bl w:val="nil"/>
                  </w:tcBorders>
                  <w:vAlign w:val="top"/>
                </w:tcPr>
                <w:p w14:paraId="1793E34B">
                  <w:pPr>
                    <w:spacing w:before="134" w:line="195" w:lineRule="auto"/>
                    <w:ind w:left="682"/>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4"/>
                      <w:sz w:val="20"/>
                      <w:szCs w:val="20"/>
                      <w:u w:val="none" w:color="auto"/>
                      <w:lang w:val="en-US" w:eastAsia="zh-CN"/>
                    </w:rPr>
                    <w:t>720</w:t>
                  </w:r>
                </w:p>
              </w:tc>
              <w:tc>
                <w:tcPr>
                  <w:tcW w:w="1978" w:type="dxa"/>
                  <w:tcBorders>
                    <w:tl2br w:val="nil"/>
                    <w:tr2bl w:val="nil"/>
                  </w:tcBorders>
                  <w:vAlign w:val="top"/>
                </w:tcPr>
                <w:p w14:paraId="4F76F966">
                  <w:pPr>
                    <w:spacing w:before="134" w:line="195" w:lineRule="auto"/>
                    <w:ind w:left="696"/>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2"/>
                      <w:sz w:val="20"/>
                      <w:szCs w:val="20"/>
                      <w:u w:val="none" w:color="auto"/>
                      <w:lang w:val="en-US" w:eastAsia="zh-CN"/>
                    </w:rPr>
                    <w:t>1310</w:t>
                  </w:r>
                </w:p>
              </w:tc>
              <w:tc>
                <w:tcPr>
                  <w:tcW w:w="1666" w:type="dxa"/>
                  <w:tcBorders>
                    <w:tl2br w:val="nil"/>
                    <w:tr2bl w:val="nil"/>
                  </w:tcBorders>
                  <w:vAlign w:val="top"/>
                </w:tcPr>
                <w:p w14:paraId="7337FE3D">
                  <w:pPr>
                    <w:spacing w:before="134" w:line="195" w:lineRule="auto"/>
                    <w:ind w:left="662"/>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2380</w:t>
                  </w:r>
                </w:p>
              </w:tc>
            </w:tr>
          </w:tbl>
          <w:p w14:paraId="3AA51DA3">
            <w:pPr>
              <w:spacing w:before="123" w:line="348" w:lineRule="auto"/>
              <w:ind w:left="23" w:right="53" w:firstLine="517" w:firstLineChars="221"/>
              <w:jc w:val="both"/>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根据</w:t>
            </w:r>
            <w:r>
              <w:rPr>
                <w:rFonts w:ascii="宋体" w:hAnsi="宋体" w:eastAsia="宋体" w:cs="宋体"/>
                <w:color w:val="auto"/>
                <w:sz w:val="24"/>
                <w:szCs w:val="24"/>
                <w:u w:val="none" w:color="auto"/>
              </w:rPr>
              <w:t>周边道路实际情况，项目各特征年昼间</w:t>
            </w:r>
            <w:r>
              <w:rPr>
                <w:rFonts w:ascii="Times New Roman" w:hAnsi="Times New Roman" w:eastAsia="Times New Roman" w:cs="Times New Roman"/>
                <w:color w:val="auto"/>
                <w:sz w:val="24"/>
                <w:szCs w:val="24"/>
                <w:u w:val="none" w:color="auto"/>
              </w:rPr>
              <w:t>(16</w:t>
            </w:r>
            <w:r>
              <w:rPr>
                <w:rFonts w:ascii="宋体" w:hAnsi="宋体" w:eastAsia="宋体" w:cs="宋体"/>
                <w:color w:val="auto"/>
                <w:sz w:val="24"/>
                <w:szCs w:val="24"/>
                <w:u w:val="none" w:color="auto"/>
              </w:rPr>
              <w:t>小时，</w:t>
            </w:r>
            <w:r>
              <w:rPr>
                <w:rFonts w:ascii="Times New Roman" w:hAnsi="Times New Roman" w:eastAsia="Times New Roman" w:cs="Times New Roman"/>
                <w:color w:val="auto"/>
                <w:sz w:val="24"/>
                <w:szCs w:val="24"/>
                <w:u w:val="none" w:color="auto"/>
              </w:rPr>
              <w:t>06:00~22:00)</w:t>
            </w:r>
            <w:r>
              <w:rPr>
                <w:rFonts w:ascii="宋体" w:hAnsi="宋体" w:eastAsia="宋体" w:cs="宋体"/>
                <w:color w:val="auto"/>
                <w:sz w:val="24"/>
                <w:szCs w:val="24"/>
                <w:u w:val="none" w:color="auto"/>
              </w:rPr>
              <w:t>交通量占全天的</w:t>
            </w:r>
            <w:r>
              <w:rPr>
                <w:rFonts w:ascii="宋体" w:hAnsi="宋体" w:eastAsia="宋体" w:cs="宋体"/>
                <w:color w:val="auto"/>
                <w:spacing w:val="-40"/>
                <w:sz w:val="24"/>
                <w:szCs w:val="24"/>
                <w:u w:val="none" w:color="auto"/>
              </w:rPr>
              <w:t xml:space="preserve"> </w:t>
            </w:r>
            <w:r>
              <w:rPr>
                <w:rFonts w:ascii="Times New Roman" w:hAnsi="Times New Roman" w:eastAsia="Times New Roman" w:cs="Times New Roman"/>
                <w:color w:val="auto"/>
                <w:sz w:val="24"/>
                <w:szCs w:val="24"/>
                <w:u w:val="none" w:color="auto"/>
              </w:rPr>
              <w:t>80%</w:t>
            </w:r>
            <w:r>
              <w:rPr>
                <w:rFonts w:ascii="Times New Roman" w:hAnsi="Times New Roman" w:eastAsia="Times New Roman" w:cs="Times New Roman"/>
                <w:color w:val="auto"/>
                <w:spacing w:val="-27"/>
                <w:sz w:val="24"/>
                <w:szCs w:val="24"/>
                <w:u w:val="none" w:color="auto"/>
              </w:rPr>
              <w:t xml:space="preserve"> </w:t>
            </w:r>
            <w:r>
              <w:rPr>
                <w:rFonts w:ascii="宋体" w:hAnsi="宋体" w:eastAsia="宋体" w:cs="宋体"/>
                <w:color w:val="auto"/>
                <w:sz w:val="24"/>
                <w:szCs w:val="24"/>
                <w:u w:val="none" w:color="auto"/>
              </w:rPr>
              <w:t>，夜间</w:t>
            </w:r>
            <w:r>
              <w:rPr>
                <w:rFonts w:ascii="Times New Roman" w:hAnsi="Times New Roman" w:eastAsia="Times New Roman" w:cs="Times New Roman"/>
                <w:color w:val="auto"/>
                <w:sz w:val="24"/>
                <w:szCs w:val="24"/>
                <w:u w:val="none" w:color="auto"/>
              </w:rPr>
              <w:t>(</w:t>
            </w:r>
            <w:r>
              <w:rPr>
                <w:rFonts w:ascii="Times New Roman" w:hAnsi="Times New Roman" w:eastAsia="Times New Roman" w:cs="Times New Roman"/>
                <w:color w:val="auto"/>
                <w:spacing w:val="-1"/>
                <w:sz w:val="24"/>
                <w:szCs w:val="24"/>
                <w:u w:val="none" w:color="auto"/>
              </w:rPr>
              <w:t>8</w:t>
            </w:r>
            <w:r>
              <w:rPr>
                <w:rFonts w:ascii="宋体" w:hAnsi="宋体" w:eastAsia="宋体" w:cs="宋体"/>
                <w:color w:val="auto"/>
                <w:spacing w:val="-1"/>
                <w:sz w:val="24"/>
                <w:szCs w:val="24"/>
                <w:u w:val="none" w:color="auto"/>
              </w:rPr>
              <w:t>小时，</w:t>
            </w:r>
            <w:r>
              <w:rPr>
                <w:rFonts w:ascii="Times New Roman" w:hAnsi="Times New Roman" w:eastAsia="Times New Roman" w:cs="Times New Roman"/>
                <w:color w:val="auto"/>
                <w:spacing w:val="-1"/>
                <w:sz w:val="24"/>
                <w:szCs w:val="24"/>
                <w:u w:val="none" w:color="auto"/>
              </w:rPr>
              <w:t>22:00~</w:t>
            </w:r>
            <w:r>
              <w:rPr>
                <w:rFonts w:ascii="宋体" w:hAnsi="宋体" w:eastAsia="宋体" w:cs="宋体"/>
                <w:color w:val="auto"/>
                <w:spacing w:val="-1"/>
                <w:sz w:val="24"/>
                <w:szCs w:val="24"/>
                <w:u w:val="none" w:color="auto"/>
              </w:rPr>
              <w:t>次日</w:t>
            </w:r>
            <w:r>
              <w:rPr>
                <w:rFonts w:ascii="宋体" w:hAnsi="宋体" w:eastAsia="宋体" w:cs="宋体"/>
                <w:color w:val="auto"/>
                <w:spacing w:val="-47"/>
                <w:sz w:val="24"/>
                <w:szCs w:val="24"/>
                <w:u w:val="none" w:color="auto"/>
              </w:rPr>
              <w:t xml:space="preserve"> </w:t>
            </w:r>
            <w:r>
              <w:rPr>
                <w:rFonts w:ascii="Times New Roman" w:hAnsi="Times New Roman" w:eastAsia="Times New Roman" w:cs="Times New Roman"/>
                <w:color w:val="auto"/>
                <w:spacing w:val="-1"/>
                <w:sz w:val="24"/>
                <w:szCs w:val="24"/>
                <w:u w:val="none" w:color="auto"/>
              </w:rPr>
              <w:t>06:00)</w:t>
            </w:r>
            <w:r>
              <w:rPr>
                <w:rFonts w:ascii="宋体" w:hAnsi="宋体" w:eastAsia="宋体" w:cs="宋体"/>
                <w:color w:val="auto"/>
                <w:spacing w:val="-1"/>
                <w:sz w:val="24"/>
                <w:szCs w:val="24"/>
                <w:u w:val="none" w:color="auto"/>
              </w:rPr>
              <w:t>交通</w:t>
            </w:r>
            <w:r>
              <w:rPr>
                <w:rFonts w:ascii="宋体" w:hAnsi="宋体" w:eastAsia="宋体" w:cs="宋体"/>
                <w:color w:val="auto"/>
                <w:spacing w:val="-4"/>
                <w:sz w:val="24"/>
                <w:szCs w:val="24"/>
                <w:u w:val="none" w:color="auto"/>
              </w:rPr>
              <w:t>量占全天的</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4"/>
                <w:sz w:val="24"/>
                <w:szCs w:val="24"/>
                <w:u w:val="none" w:color="auto"/>
              </w:rPr>
              <w:t>20%</w:t>
            </w:r>
            <w:r>
              <w:rPr>
                <w:rFonts w:ascii="Times New Roman" w:hAnsi="Times New Roman" w:eastAsia="Times New Roman" w:cs="Times New Roman"/>
                <w:color w:val="auto"/>
                <w:spacing w:val="-32"/>
                <w:sz w:val="24"/>
                <w:szCs w:val="24"/>
                <w:u w:val="none" w:color="auto"/>
              </w:rPr>
              <w:t xml:space="preserve"> </w:t>
            </w:r>
            <w:r>
              <w:rPr>
                <w:rFonts w:ascii="宋体" w:hAnsi="宋体" w:eastAsia="宋体" w:cs="宋体"/>
                <w:color w:val="auto"/>
                <w:spacing w:val="-4"/>
                <w:sz w:val="24"/>
                <w:szCs w:val="24"/>
                <w:u w:val="none" w:color="auto"/>
              </w:rPr>
              <w:t>，交通量昼夜比为</w:t>
            </w:r>
            <w:r>
              <w:rPr>
                <w:rFonts w:ascii="宋体" w:hAnsi="宋体" w:eastAsia="宋体" w:cs="宋体"/>
                <w:color w:val="auto"/>
                <w:spacing w:val="-45"/>
                <w:sz w:val="24"/>
                <w:szCs w:val="24"/>
                <w:u w:val="none" w:color="auto"/>
              </w:rPr>
              <w:t xml:space="preserve"> </w:t>
            </w:r>
            <w:r>
              <w:rPr>
                <w:rFonts w:ascii="Times New Roman" w:hAnsi="Times New Roman" w:eastAsia="Times New Roman" w:cs="Times New Roman"/>
                <w:color w:val="auto"/>
                <w:spacing w:val="-4"/>
                <w:sz w:val="24"/>
                <w:szCs w:val="24"/>
                <w:u w:val="none" w:color="auto"/>
              </w:rPr>
              <w:t>8:2</w:t>
            </w:r>
            <w:r>
              <w:rPr>
                <w:rFonts w:ascii="Times New Roman" w:hAnsi="Times New Roman" w:eastAsia="Times New Roman" w:cs="Times New Roman"/>
                <w:color w:val="auto"/>
                <w:spacing w:val="-27"/>
                <w:sz w:val="24"/>
                <w:szCs w:val="24"/>
                <w:u w:val="none" w:color="auto"/>
              </w:rPr>
              <w:t xml:space="preserve"> </w:t>
            </w:r>
            <w:r>
              <w:rPr>
                <w:rFonts w:ascii="宋体" w:hAnsi="宋体" w:eastAsia="宋体" w:cs="宋体"/>
                <w:color w:val="auto"/>
                <w:spacing w:val="-4"/>
                <w:sz w:val="24"/>
                <w:szCs w:val="24"/>
                <w:u w:val="none" w:color="auto"/>
              </w:rPr>
              <w:t>。车型构成比例分别为小型车</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4"/>
                <w:sz w:val="24"/>
                <w:szCs w:val="24"/>
                <w:u w:val="none" w:color="auto"/>
              </w:rPr>
              <w:t>70%</w:t>
            </w:r>
            <w:r>
              <w:rPr>
                <w:rFonts w:ascii="Times New Roman" w:hAnsi="Times New Roman" w:eastAsia="Times New Roman" w:cs="Times New Roman"/>
                <w:color w:val="auto"/>
                <w:spacing w:val="-32"/>
                <w:sz w:val="24"/>
                <w:szCs w:val="24"/>
                <w:u w:val="none" w:color="auto"/>
              </w:rPr>
              <w:t xml:space="preserve"> </w:t>
            </w:r>
            <w:r>
              <w:rPr>
                <w:rFonts w:ascii="宋体" w:hAnsi="宋体" w:eastAsia="宋体" w:cs="宋体"/>
                <w:color w:val="auto"/>
                <w:spacing w:val="-4"/>
                <w:sz w:val="24"/>
                <w:szCs w:val="24"/>
                <w:u w:val="none" w:color="auto"/>
              </w:rPr>
              <w:t>，中型</w:t>
            </w:r>
            <w:r>
              <w:rPr>
                <w:rFonts w:ascii="宋体" w:hAnsi="宋体" w:eastAsia="宋体" w:cs="宋体"/>
                <w:color w:val="auto"/>
                <w:spacing w:val="-3"/>
                <w:sz w:val="24"/>
                <w:szCs w:val="24"/>
                <w:u w:val="none" w:color="auto"/>
              </w:rPr>
              <w:t>车</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3"/>
                <w:sz w:val="24"/>
                <w:szCs w:val="24"/>
                <w:u w:val="none" w:color="auto"/>
              </w:rPr>
              <w:t>20%</w:t>
            </w:r>
            <w:r>
              <w:rPr>
                <w:rFonts w:ascii="Times New Roman" w:hAnsi="Times New Roman" w:eastAsia="Times New Roman" w:cs="Times New Roman"/>
                <w:color w:val="auto"/>
                <w:spacing w:val="-32"/>
                <w:sz w:val="24"/>
                <w:szCs w:val="24"/>
                <w:u w:val="none" w:color="auto"/>
              </w:rPr>
              <w:t xml:space="preserve"> </w:t>
            </w:r>
            <w:r>
              <w:rPr>
                <w:rFonts w:ascii="宋体" w:hAnsi="宋体" w:eastAsia="宋体" w:cs="宋体"/>
                <w:color w:val="auto"/>
                <w:spacing w:val="-3"/>
                <w:sz w:val="24"/>
                <w:szCs w:val="24"/>
                <w:u w:val="none" w:color="auto"/>
              </w:rPr>
              <w:t>，大型车</w:t>
            </w:r>
            <w:r>
              <w:rPr>
                <w:rFonts w:ascii="宋体" w:hAnsi="宋体" w:eastAsia="宋体" w:cs="宋体"/>
                <w:color w:val="auto"/>
                <w:spacing w:val="-32"/>
                <w:sz w:val="24"/>
                <w:szCs w:val="24"/>
                <w:u w:val="none" w:color="auto"/>
              </w:rPr>
              <w:t xml:space="preserve"> </w:t>
            </w:r>
            <w:r>
              <w:rPr>
                <w:rFonts w:ascii="Times New Roman" w:hAnsi="Times New Roman" w:eastAsia="Times New Roman" w:cs="Times New Roman"/>
                <w:color w:val="auto"/>
                <w:spacing w:val="-3"/>
                <w:sz w:val="24"/>
                <w:szCs w:val="24"/>
                <w:u w:val="none" w:color="auto"/>
              </w:rPr>
              <w:t>10%</w:t>
            </w:r>
            <w:r>
              <w:rPr>
                <w:rFonts w:ascii="Times New Roman" w:hAnsi="Times New Roman" w:eastAsia="Times New Roman" w:cs="Times New Roman"/>
                <w:color w:val="auto"/>
                <w:spacing w:val="-27"/>
                <w:sz w:val="24"/>
                <w:szCs w:val="24"/>
                <w:u w:val="none" w:color="auto"/>
              </w:rPr>
              <w:t xml:space="preserve"> </w:t>
            </w:r>
            <w:r>
              <w:rPr>
                <w:rFonts w:ascii="宋体" w:hAnsi="宋体" w:eastAsia="宋体" w:cs="宋体"/>
                <w:color w:val="auto"/>
                <w:spacing w:val="-3"/>
                <w:sz w:val="24"/>
                <w:szCs w:val="24"/>
                <w:u w:val="none" w:color="auto"/>
              </w:rPr>
              <w:t>。本项目分车型和时段交</w:t>
            </w:r>
            <w:r>
              <w:rPr>
                <w:rFonts w:ascii="宋体" w:hAnsi="宋体" w:eastAsia="宋体" w:cs="宋体"/>
                <w:color w:val="auto"/>
                <w:spacing w:val="-4"/>
                <w:sz w:val="24"/>
                <w:szCs w:val="24"/>
                <w:u w:val="none" w:color="auto"/>
              </w:rPr>
              <w:t>通量预测结果见下表：</w:t>
            </w:r>
          </w:p>
          <w:p w14:paraId="0D4FEB9E">
            <w:pPr>
              <w:spacing w:line="227" w:lineRule="auto"/>
              <w:ind w:left="2128"/>
              <w:rPr>
                <w:rFonts w:ascii="宋体" w:hAnsi="宋体" w:eastAsia="宋体" w:cs="宋体"/>
                <w:b/>
                <w:bCs/>
                <w:color w:val="auto"/>
                <w:spacing w:val="6"/>
                <w:sz w:val="20"/>
                <w:szCs w:val="20"/>
                <w:u w:val="none" w:color="auto"/>
              </w:rPr>
            </w:pPr>
          </w:p>
          <w:p w14:paraId="1DF832D8">
            <w:pPr>
              <w:spacing w:line="227" w:lineRule="auto"/>
              <w:ind w:left="2128"/>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9"/>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5</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项目交通量预测结果</w:t>
            </w:r>
            <w:r>
              <w:rPr>
                <w:rFonts w:ascii="宋体" w:hAnsi="宋体" w:eastAsia="宋体" w:cs="宋体"/>
                <w:color w:val="auto"/>
                <w:spacing w:val="6"/>
                <w:sz w:val="20"/>
                <w:szCs w:val="20"/>
                <w:u w:val="none" w:color="auto"/>
              </w:rPr>
              <w:t xml:space="preserve">    </w:t>
            </w:r>
            <w:r>
              <w:rPr>
                <w:rFonts w:ascii="宋体" w:hAnsi="宋体" w:eastAsia="宋体" w:cs="宋体"/>
                <w:b/>
                <w:bCs/>
                <w:color w:val="auto"/>
                <w:spacing w:val="5"/>
                <w:sz w:val="20"/>
                <w:szCs w:val="20"/>
                <w:u w:val="none" w:color="auto"/>
              </w:rPr>
              <w:t>单位：辆</w:t>
            </w:r>
            <w:r>
              <w:rPr>
                <w:rFonts w:ascii="Times New Roman" w:hAnsi="Times New Roman" w:eastAsia="Times New Roman" w:cs="Times New Roman"/>
                <w:b/>
                <w:bCs/>
                <w:color w:val="auto"/>
                <w:spacing w:val="5"/>
                <w:sz w:val="20"/>
                <w:szCs w:val="20"/>
                <w:u w:val="none" w:color="auto"/>
              </w:rPr>
              <w:t>/h</w:t>
            </w:r>
          </w:p>
          <w:p w14:paraId="0C3D7D97">
            <w:pPr>
              <w:spacing w:line="141" w:lineRule="auto"/>
              <w:rPr>
                <w:rFonts w:ascii="Arial"/>
                <w:color w:val="auto"/>
                <w:sz w:val="2"/>
                <w:u w:val="none" w:color="auto"/>
              </w:rPr>
            </w:pPr>
          </w:p>
          <w:tbl>
            <w:tblPr>
              <w:tblStyle w:val="72"/>
              <w:tblW w:w="7819" w:type="dxa"/>
              <w:tblInd w:w="17"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45"/>
              <w:gridCol w:w="1126"/>
              <w:gridCol w:w="1126"/>
              <w:gridCol w:w="1126"/>
              <w:gridCol w:w="1126"/>
              <w:gridCol w:w="1127"/>
              <w:gridCol w:w="1143"/>
            </w:tblGrid>
            <w:tr w14:paraId="510E27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1045" w:type="dxa"/>
                  <w:tcBorders>
                    <w:tl2br w:val="nil"/>
                    <w:tr2bl w:val="nil"/>
                  </w:tcBorders>
                  <w:vAlign w:val="top"/>
                </w:tcPr>
                <w:p w14:paraId="0B824C7A">
                  <w:pPr>
                    <w:pStyle w:val="81"/>
                    <w:spacing w:before="56" w:line="228" w:lineRule="auto"/>
                    <w:ind w:left="339"/>
                    <w:rPr>
                      <w:color w:val="auto"/>
                      <w:sz w:val="20"/>
                      <w:szCs w:val="20"/>
                      <w:u w:val="none" w:color="auto"/>
                    </w:rPr>
                  </w:pPr>
                  <w:r>
                    <w:rPr>
                      <w:color w:val="auto"/>
                      <w:spacing w:val="3"/>
                      <w:sz w:val="20"/>
                      <w:szCs w:val="20"/>
                      <w:u w:val="none" w:color="auto"/>
                    </w:rPr>
                    <w:t>项目</w:t>
                  </w:r>
                </w:p>
              </w:tc>
              <w:tc>
                <w:tcPr>
                  <w:tcW w:w="3378" w:type="dxa"/>
                  <w:gridSpan w:val="3"/>
                  <w:tcBorders>
                    <w:tl2br w:val="nil"/>
                    <w:tr2bl w:val="nil"/>
                  </w:tcBorders>
                  <w:vAlign w:val="top"/>
                </w:tcPr>
                <w:p w14:paraId="220611D6">
                  <w:pPr>
                    <w:pStyle w:val="81"/>
                    <w:spacing w:before="55" w:line="231" w:lineRule="auto"/>
                    <w:ind w:left="1583"/>
                    <w:rPr>
                      <w:color w:val="auto"/>
                      <w:sz w:val="20"/>
                      <w:szCs w:val="20"/>
                      <w:u w:val="none" w:color="auto"/>
                    </w:rPr>
                  </w:pPr>
                  <w:r>
                    <w:rPr>
                      <w:color w:val="auto"/>
                      <w:spacing w:val="5"/>
                      <w:sz w:val="20"/>
                      <w:szCs w:val="20"/>
                      <w:u w:val="none" w:color="auto"/>
                    </w:rPr>
                    <w:t>昼间</w:t>
                  </w:r>
                </w:p>
              </w:tc>
              <w:tc>
                <w:tcPr>
                  <w:tcW w:w="3396" w:type="dxa"/>
                  <w:gridSpan w:val="3"/>
                  <w:tcBorders>
                    <w:tl2br w:val="nil"/>
                    <w:tr2bl w:val="nil"/>
                  </w:tcBorders>
                  <w:vAlign w:val="top"/>
                </w:tcPr>
                <w:p w14:paraId="5A7F7459">
                  <w:pPr>
                    <w:pStyle w:val="81"/>
                    <w:spacing w:before="55" w:line="228" w:lineRule="auto"/>
                    <w:ind w:left="1602"/>
                    <w:rPr>
                      <w:color w:val="auto"/>
                      <w:sz w:val="20"/>
                      <w:szCs w:val="20"/>
                      <w:u w:val="none" w:color="auto"/>
                    </w:rPr>
                  </w:pPr>
                  <w:r>
                    <w:rPr>
                      <w:color w:val="auto"/>
                      <w:spacing w:val="3"/>
                      <w:sz w:val="20"/>
                      <w:szCs w:val="20"/>
                      <w:u w:val="none" w:color="auto"/>
                    </w:rPr>
                    <w:t>夜间</w:t>
                  </w:r>
                </w:p>
              </w:tc>
            </w:tr>
            <w:tr w14:paraId="3F2564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5" w:type="dxa"/>
                  <w:tcBorders>
                    <w:tl2br w:val="nil"/>
                    <w:tr2bl w:val="nil"/>
                  </w:tcBorders>
                  <w:vAlign w:val="top"/>
                </w:tcPr>
                <w:p w14:paraId="7EEB76D2">
                  <w:pPr>
                    <w:pStyle w:val="81"/>
                    <w:spacing w:before="56" w:line="227" w:lineRule="auto"/>
                    <w:ind w:left="234"/>
                    <w:rPr>
                      <w:color w:val="auto"/>
                      <w:sz w:val="20"/>
                      <w:szCs w:val="20"/>
                      <w:u w:val="none" w:color="auto"/>
                    </w:rPr>
                  </w:pPr>
                  <w:r>
                    <w:rPr>
                      <w:color w:val="auto"/>
                      <w:spacing w:val="6"/>
                      <w:sz w:val="20"/>
                      <w:szCs w:val="20"/>
                      <w:u w:val="none" w:color="auto"/>
                    </w:rPr>
                    <w:t>预测年</w:t>
                  </w:r>
                </w:p>
              </w:tc>
              <w:tc>
                <w:tcPr>
                  <w:tcW w:w="1126" w:type="dxa"/>
                  <w:tcBorders>
                    <w:tl2br w:val="nil"/>
                    <w:tr2bl w:val="nil"/>
                  </w:tcBorders>
                  <w:vAlign w:val="top"/>
                </w:tcPr>
                <w:p w14:paraId="71E67EC5">
                  <w:pPr>
                    <w:pStyle w:val="81"/>
                    <w:spacing w:before="56" w:line="227" w:lineRule="auto"/>
                    <w:ind w:left="286"/>
                    <w:rPr>
                      <w:color w:val="auto"/>
                      <w:sz w:val="20"/>
                      <w:szCs w:val="20"/>
                      <w:u w:val="none" w:color="auto"/>
                    </w:rPr>
                  </w:pPr>
                  <w:r>
                    <w:rPr>
                      <w:color w:val="auto"/>
                      <w:spacing w:val="5"/>
                      <w:sz w:val="20"/>
                      <w:szCs w:val="20"/>
                      <w:u w:val="none" w:color="auto"/>
                    </w:rPr>
                    <w:t>小型车</w:t>
                  </w:r>
                </w:p>
              </w:tc>
              <w:tc>
                <w:tcPr>
                  <w:tcW w:w="1126" w:type="dxa"/>
                  <w:tcBorders>
                    <w:tl2br w:val="nil"/>
                    <w:tr2bl w:val="nil"/>
                  </w:tcBorders>
                  <w:vAlign w:val="top"/>
                </w:tcPr>
                <w:p w14:paraId="025254B2">
                  <w:pPr>
                    <w:pStyle w:val="81"/>
                    <w:spacing w:before="56" w:line="227" w:lineRule="auto"/>
                    <w:ind w:left="302"/>
                    <w:rPr>
                      <w:color w:val="auto"/>
                      <w:sz w:val="20"/>
                      <w:szCs w:val="20"/>
                      <w:u w:val="none" w:color="auto"/>
                    </w:rPr>
                  </w:pPr>
                  <w:r>
                    <w:rPr>
                      <w:color w:val="auto"/>
                      <w:sz w:val="20"/>
                      <w:szCs w:val="20"/>
                      <w:u w:val="none" w:color="auto"/>
                    </w:rPr>
                    <w:t>中型车</w:t>
                  </w:r>
                </w:p>
              </w:tc>
              <w:tc>
                <w:tcPr>
                  <w:tcW w:w="1126" w:type="dxa"/>
                  <w:tcBorders>
                    <w:tl2br w:val="nil"/>
                    <w:tr2bl w:val="nil"/>
                  </w:tcBorders>
                  <w:vAlign w:val="top"/>
                </w:tcPr>
                <w:p w14:paraId="2B7C3139">
                  <w:pPr>
                    <w:pStyle w:val="81"/>
                    <w:spacing w:before="56" w:line="227" w:lineRule="auto"/>
                    <w:ind w:left="290"/>
                    <w:rPr>
                      <w:color w:val="auto"/>
                      <w:sz w:val="20"/>
                      <w:szCs w:val="20"/>
                      <w:u w:val="none" w:color="auto"/>
                    </w:rPr>
                  </w:pPr>
                  <w:r>
                    <w:rPr>
                      <w:color w:val="auto"/>
                      <w:spacing w:val="6"/>
                      <w:sz w:val="20"/>
                      <w:szCs w:val="20"/>
                      <w:u w:val="none" w:color="auto"/>
                    </w:rPr>
                    <w:t>大型车</w:t>
                  </w:r>
                </w:p>
              </w:tc>
              <w:tc>
                <w:tcPr>
                  <w:tcW w:w="1126" w:type="dxa"/>
                  <w:tcBorders>
                    <w:tl2br w:val="nil"/>
                    <w:tr2bl w:val="nil"/>
                  </w:tcBorders>
                  <w:vAlign w:val="top"/>
                </w:tcPr>
                <w:p w14:paraId="2BBA8737">
                  <w:pPr>
                    <w:pStyle w:val="81"/>
                    <w:spacing w:before="56" w:line="227" w:lineRule="auto"/>
                    <w:ind w:left="298"/>
                    <w:rPr>
                      <w:color w:val="auto"/>
                      <w:sz w:val="20"/>
                      <w:szCs w:val="20"/>
                      <w:u w:val="none" w:color="auto"/>
                    </w:rPr>
                  </w:pPr>
                  <w:r>
                    <w:rPr>
                      <w:color w:val="auto"/>
                      <w:spacing w:val="5"/>
                      <w:sz w:val="20"/>
                      <w:szCs w:val="20"/>
                      <w:u w:val="none" w:color="auto"/>
                    </w:rPr>
                    <w:t>小型车</w:t>
                  </w:r>
                </w:p>
              </w:tc>
              <w:tc>
                <w:tcPr>
                  <w:tcW w:w="1127" w:type="dxa"/>
                  <w:tcBorders>
                    <w:tl2br w:val="nil"/>
                    <w:tr2bl w:val="nil"/>
                  </w:tcBorders>
                  <w:vAlign w:val="top"/>
                </w:tcPr>
                <w:p w14:paraId="7DFA2C4F">
                  <w:pPr>
                    <w:pStyle w:val="81"/>
                    <w:spacing w:before="56" w:line="227" w:lineRule="auto"/>
                    <w:ind w:left="315"/>
                    <w:rPr>
                      <w:color w:val="auto"/>
                      <w:sz w:val="20"/>
                      <w:szCs w:val="20"/>
                      <w:u w:val="none" w:color="auto"/>
                    </w:rPr>
                  </w:pPr>
                  <w:r>
                    <w:rPr>
                      <w:color w:val="auto"/>
                      <w:sz w:val="20"/>
                      <w:szCs w:val="20"/>
                      <w:u w:val="none" w:color="auto"/>
                    </w:rPr>
                    <w:t>中型车</w:t>
                  </w:r>
                </w:p>
              </w:tc>
              <w:tc>
                <w:tcPr>
                  <w:tcW w:w="1143" w:type="dxa"/>
                  <w:tcBorders>
                    <w:tl2br w:val="nil"/>
                    <w:tr2bl w:val="nil"/>
                  </w:tcBorders>
                  <w:vAlign w:val="top"/>
                </w:tcPr>
                <w:p w14:paraId="6082099D">
                  <w:pPr>
                    <w:pStyle w:val="81"/>
                    <w:spacing w:before="56" w:line="227" w:lineRule="auto"/>
                    <w:ind w:left="304"/>
                    <w:rPr>
                      <w:color w:val="auto"/>
                      <w:sz w:val="20"/>
                      <w:szCs w:val="20"/>
                      <w:u w:val="none" w:color="auto"/>
                    </w:rPr>
                  </w:pPr>
                  <w:r>
                    <w:rPr>
                      <w:color w:val="auto"/>
                      <w:spacing w:val="6"/>
                      <w:sz w:val="20"/>
                      <w:szCs w:val="20"/>
                      <w:u w:val="none" w:color="auto"/>
                    </w:rPr>
                    <w:t>大型车</w:t>
                  </w:r>
                </w:p>
              </w:tc>
            </w:tr>
            <w:tr w14:paraId="6E6E91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5" w:type="dxa"/>
                  <w:tcBorders>
                    <w:tl2br w:val="nil"/>
                    <w:tr2bl w:val="nil"/>
                  </w:tcBorders>
                  <w:vAlign w:val="top"/>
                </w:tcPr>
                <w:p w14:paraId="78C6423D">
                  <w:pPr>
                    <w:spacing w:before="99" w:line="195" w:lineRule="auto"/>
                    <w:ind w:left="331"/>
                    <w:rPr>
                      <w:rFonts w:hint="eastAsia" w:ascii="Times New Roman" w:hAnsi="Times New Roman" w:eastAsia="宋体" w:cs="Times New Roman"/>
                      <w:color w:val="auto"/>
                      <w:sz w:val="20"/>
                      <w:szCs w:val="20"/>
                      <w:u w:val="none" w:color="auto"/>
                      <w:lang w:eastAsia="zh-CN"/>
                    </w:rPr>
                  </w:pPr>
                  <w:r>
                    <w:rPr>
                      <w:rFonts w:ascii="Times New Roman" w:hAnsi="Times New Roman" w:eastAsia="Times New Roman" w:cs="Times New Roman"/>
                      <w:color w:val="auto"/>
                      <w:spacing w:val="4"/>
                      <w:sz w:val="20"/>
                      <w:szCs w:val="20"/>
                      <w:u w:val="none" w:color="auto"/>
                    </w:rPr>
                    <w:t>202</w:t>
                  </w:r>
                  <w:r>
                    <w:rPr>
                      <w:rFonts w:hint="eastAsia" w:ascii="Times New Roman" w:hAnsi="Times New Roman" w:eastAsia="宋体" w:cs="Times New Roman"/>
                      <w:color w:val="auto"/>
                      <w:spacing w:val="4"/>
                      <w:sz w:val="20"/>
                      <w:szCs w:val="20"/>
                      <w:u w:val="none" w:color="auto"/>
                      <w:lang w:val="en-US" w:eastAsia="zh-CN"/>
                    </w:rPr>
                    <w:t>7</w:t>
                  </w:r>
                </w:p>
              </w:tc>
              <w:tc>
                <w:tcPr>
                  <w:tcW w:w="1126" w:type="dxa"/>
                  <w:tcBorders>
                    <w:tl2br w:val="nil"/>
                    <w:tr2bl w:val="nil"/>
                  </w:tcBorders>
                  <w:vAlign w:val="top"/>
                </w:tcPr>
                <w:p w14:paraId="2F3D8543">
                  <w:pPr>
                    <w:spacing w:before="99" w:line="195" w:lineRule="auto"/>
                    <w:ind w:left="455"/>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42</w:t>
                  </w:r>
                </w:p>
              </w:tc>
              <w:tc>
                <w:tcPr>
                  <w:tcW w:w="1126" w:type="dxa"/>
                  <w:tcBorders>
                    <w:tl2br w:val="nil"/>
                    <w:tr2bl w:val="nil"/>
                  </w:tcBorders>
                  <w:vAlign w:val="top"/>
                </w:tcPr>
                <w:p w14:paraId="5D6BBF8D">
                  <w:pPr>
                    <w:spacing w:before="99" w:line="195" w:lineRule="auto"/>
                    <w:ind w:left="489"/>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11</w:t>
                  </w:r>
                </w:p>
              </w:tc>
              <w:tc>
                <w:tcPr>
                  <w:tcW w:w="1126" w:type="dxa"/>
                  <w:tcBorders>
                    <w:tl2br w:val="nil"/>
                    <w:tr2bl w:val="nil"/>
                  </w:tcBorders>
                  <w:vAlign w:val="top"/>
                </w:tcPr>
                <w:p w14:paraId="4B4CB8B0">
                  <w:pPr>
                    <w:spacing w:before="99" w:line="195" w:lineRule="auto"/>
                    <w:ind w:left="495"/>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5</w:t>
                  </w:r>
                </w:p>
              </w:tc>
              <w:tc>
                <w:tcPr>
                  <w:tcW w:w="1126" w:type="dxa"/>
                  <w:tcBorders>
                    <w:tl2br w:val="nil"/>
                    <w:tr2bl w:val="nil"/>
                  </w:tcBorders>
                  <w:vAlign w:val="top"/>
                </w:tcPr>
                <w:p w14:paraId="57E8B1BA">
                  <w:pPr>
                    <w:spacing w:before="99" w:line="195" w:lineRule="auto"/>
                    <w:ind w:left="497"/>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10</w:t>
                  </w:r>
                </w:p>
              </w:tc>
              <w:tc>
                <w:tcPr>
                  <w:tcW w:w="1127" w:type="dxa"/>
                  <w:tcBorders>
                    <w:tl2br w:val="nil"/>
                    <w:tr2bl w:val="nil"/>
                  </w:tcBorders>
                  <w:vAlign w:val="top"/>
                </w:tcPr>
                <w:p w14:paraId="348E32FE">
                  <w:pPr>
                    <w:spacing w:before="99" w:line="195" w:lineRule="auto"/>
                    <w:ind w:left="523"/>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3</w:t>
                  </w:r>
                </w:p>
              </w:tc>
              <w:tc>
                <w:tcPr>
                  <w:tcW w:w="1143" w:type="dxa"/>
                  <w:tcBorders>
                    <w:tl2br w:val="nil"/>
                    <w:tr2bl w:val="nil"/>
                  </w:tcBorders>
                  <w:vAlign w:val="top"/>
                </w:tcPr>
                <w:p w14:paraId="21654FD9">
                  <w:pPr>
                    <w:spacing w:before="99" w:line="195" w:lineRule="auto"/>
                    <w:ind w:left="564"/>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w:t>
                  </w:r>
                </w:p>
              </w:tc>
            </w:tr>
            <w:tr w14:paraId="272CDE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5" w:type="dxa"/>
                  <w:tcBorders>
                    <w:tl2br w:val="nil"/>
                    <w:tr2bl w:val="nil"/>
                  </w:tcBorders>
                  <w:vAlign w:val="top"/>
                </w:tcPr>
                <w:p w14:paraId="3E668529">
                  <w:pPr>
                    <w:spacing w:before="103" w:line="195" w:lineRule="auto"/>
                    <w:ind w:left="331"/>
                    <w:rPr>
                      <w:rFonts w:hint="eastAsia" w:ascii="Times New Roman" w:hAnsi="Times New Roman" w:eastAsia="宋体" w:cs="Times New Roman"/>
                      <w:color w:val="auto"/>
                      <w:sz w:val="20"/>
                      <w:szCs w:val="20"/>
                      <w:u w:val="none" w:color="auto"/>
                      <w:lang w:eastAsia="zh-CN"/>
                    </w:rPr>
                  </w:pPr>
                  <w:r>
                    <w:rPr>
                      <w:rFonts w:ascii="Times New Roman" w:hAnsi="Times New Roman" w:eastAsia="Times New Roman" w:cs="Times New Roman"/>
                      <w:color w:val="auto"/>
                      <w:spacing w:val="4"/>
                      <w:sz w:val="20"/>
                      <w:szCs w:val="20"/>
                      <w:u w:val="none" w:color="auto"/>
                    </w:rPr>
                    <w:t>203</w:t>
                  </w:r>
                  <w:r>
                    <w:rPr>
                      <w:rFonts w:hint="eastAsia" w:ascii="Times New Roman" w:hAnsi="Times New Roman" w:eastAsia="宋体" w:cs="Times New Roman"/>
                      <w:color w:val="auto"/>
                      <w:spacing w:val="4"/>
                      <w:sz w:val="20"/>
                      <w:szCs w:val="20"/>
                      <w:u w:val="none" w:color="auto"/>
                      <w:lang w:val="en-US" w:eastAsia="zh-CN"/>
                    </w:rPr>
                    <w:t>3</w:t>
                  </w:r>
                </w:p>
              </w:tc>
              <w:tc>
                <w:tcPr>
                  <w:tcW w:w="1126" w:type="dxa"/>
                  <w:tcBorders>
                    <w:tl2br w:val="nil"/>
                    <w:tr2bl w:val="nil"/>
                  </w:tcBorders>
                  <w:vAlign w:val="top"/>
                </w:tcPr>
                <w:p w14:paraId="1C96B455">
                  <w:pPr>
                    <w:spacing w:before="103" w:line="195" w:lineRule="auto"/>
                    <w:ind w:left="435"/>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94</w:t>
                  </w:r>
                </w:p>
              </w:tc>
              <w:tc>
                <w:tcPr>
                  <w:tcW w:w="1126" w:type="dxa"/>
                  <w:tcBorders>
                    <w:tl2br w:val="nil"/>
                    <w:tr2bl w:val="nil"/>
                  </w:tcBorders>
                  <w:vAlign w:val="top"/>
                </w:tcPr>
                <w:p w14:paraId="078E052B">
                  <w:pPr>
                    <w:spacing w:before="103" w:line="195" w:lineRule="auto"/>
                    <w:ind w:left="499"/>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21</w:t>
                  </w:r>
                </w:p>
              </w:tc>
              <w:tc>
                <w:tcPr>
                  <w:tcW w:w="1126" w:type="dxa"/>
                  <w:tcBorders>
                    <w:tl2br w:val="nil"/>
                    <w:tr2bl w:val="nil"/>
                  </w:tcBorders>
                  <w:vAlign w:val="top"/>
                </w:tcPr>
                <w:p w14:paraId="3B14763F">
                  <w:pPr>
                    <w:spacing w:before="103" w:line="195" w:lineRule="auto"/>
                    <w:ind w:left="494"/>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10</w:t>
                  </w:r>
                </w:p>
              </w:tc>
              <w:tc>
                <w:tcPr>
                  <w:tcW w:w="1126" w:type="dxa"/>
                  <w:tcBorders>
                    <w:tl2br w:val="nil"/>
                    <w:tr2bl w:val="nil"/>
                  </w:tcBorders>
                  <w:vAlign w:val="top"/>
                </w:tcPr>
                <w:p w14:paraId="6757DD25">
                  <w:pPr>
                    <w:spacing w:before="103" w:line="195" w:lineRule="auto"/>
                    <w:ind w:left="501"/>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19</w:t>
                  </w:r>
                </w:p>
              </w:tc>
              <w:tc>
                <w:tcPr>
                  <w:tcW w:w="1127" w:type="dxa"/>
                  <w:tcBorders>
                    <w:tl2br w:val="nil"/>
                    <w:tr2bl w:val="nil"/>
                  </w:tcBorders>
                  <w:vAlign w:val="top"/>
                </w:tcPr>
                <w:p w14:paraId="2C0606ED">
                  <w:pPr>
                    <w:spacing w:before="103" w:line="195" w:lineRule="auto"/>
                    <w:ind w:left="503"/>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5</w:t>
                  </w:r>
                </w:p>
              </w:tc>
              <w:tc>
                <w:tcPr>
                  <w:tcW w:w="1143" w:type="dxa"/>
                  <w:tcBorders>
                    <w:tl2br w:val="nil"/>
                    <w:tr2bl w:val="nil"/>
                  </w:tcBorders>
                  <w:vAlign w:val="top"/>
                </w:tcPr>
                <w:p w14:paraId="551F0430">
                  <w:pPr>
                    <w:spacing w:before="103" w:line="195" w:lineRule="auto"/>
                    <w:ind w:left="527"/>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2</w:t>
                  </w:r>
                </w:p>
              </w:tc>
            </w:tr>
            <w:tr w14:paraId="739DD5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045" w:type="dxa"/>
                  <w:tcBorders>
                    <w:tl2br w:val="nil"/>
                    <w:tr2bl w:val="nil"/>
                  </w:tcBorders>
                  <w:vAlign w:val="top"/>
                </w:tcPr>
                <w:p w14:paraId="6C0DE51B">
                  <w:pPr>
                    <w:spacing w:before="108" w:line="195" w:lineRule="auto"/>
                    <w:ind w:left="331"/>
                    <w:rPr>
                      <w:rFonts w:hint="eastAsia" w:ascii="Times New Roman" w:hAnsi="Times New Roman" w:eastAsia="宋体" w:cs="Times New Roman"/>
                      <w:color w:val="auto"/>
                      <w:sz w:val="20"/>
                      <w:szCs w:val="20"/>
                      <w:u w:val="none" w:color="auto"/>
                      <w:lang w:eastAsia="zh-CN"/>
                    </w:rPr>
                  </w:pPr>
                  <w:r>
                    <w:rPr>
                      <w:rFonts w:ascii="Times New Roman" w:hAnsi="Times New Roman" w:eastAsia="Times New Roman" w:cs="Times New Roman"/>
                      <w:color w:val="auto"/>
                      <w:spacing w:val="4"/>
                      <w:sz w:val="20"/>
                      <w:szCs w:val="20"/>
                      <w:u w:val="none" w:color="auto"/>
                    </w:rPr>
                    <w:t>204</w:t>
                  </w:r>
                  <w:r>
                    <w:rPr>
                      <w:rFonts w:hint="eastAsia" w:ascii="Times New Roman" w:hAnsi="Times New Roman" w:eastAsia="宋体" w:cs="Times New Roman"/>
                      <w:color w:val="auto"/>
                      <w:spacing w:val="4"/>
                      <w:sz w:val="20"/>
                      <w:szCs w:val="20"/>
                      <w:u w:val="none" w:color="auto"/>
                      <w:lang w:val="en-US" w:eastAsia="zh-CN"/>
                    </w:rPr>
                    <w:t>1</w:t>
                  </w:r>
                </w:p>
              </w:tc>
              <w:tc>
                <w:tcPr>
                  <w:tcW w:w="1126" w:type="dxa"/>
                  <w:tcBorders>
                    <w:tl2br w:val="nil"/>
                    <w:tr2bl w:val="nil"/>
                  </w:tcBorders>
                  <w:vAlign w:val="top"/>
                </w:tcPr>
                <w:p w14:paraId="1A77FAD4">
                  <w:pPr>
                    <w:spacing w:before="108" w:line="195" w:lineRule="auto"/>
                    <w:ind w:left="439"/>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133</w:t>
                  </w:r>
                </w:p>
              </w:tc>
              <w:tc>
                <w:tcPr>
                  <w:tcW w:w="1126" w:type="dxa"/>
                  <w:tcBorders>
                    <w:tl2br w:val="nil"/>
                    <w:tr2bl w:val="nil"/>
                  </w:tcBorders>
                  <w:vAlign w:val="top"/>
                </w:tcPr>
                <w:p w14:paraId="339DDC51">
                  <w:pPr>
                    <w:spacing w:before="108" w:line="195" w:lineRule="auto"/>
                    <w:ind w:left="458"/>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38</w:t>
                  </w:r>
                </w:p>
              </w:tc>
              <w:tc>
                <w:tcPr>
                  <w:tcW w:w="1126" w:type="dxa"/>
                  <w:tcBorders>
                    <w:tl2br w:val="nil"/>
                    <w:tr2bl w:val="nil"/>
                  </w:tcBorders>
                  <w:vAlign w:val="top"/>
                </w:tcPr>
                <w:p w14:paraId="3F39C25E">
                  <w:pPr>
                    <w:spacing w:before="108" w:line="195" w:lineRule="auto"/>
                    <w:ind w:left="501"/>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19</w:t>
                  </w:r>
                </w:p>
              </w:tc>
              <w:tc>
                <w:tcPr>
                  <w:tcW w:w="1126" w:type="dxa"/>
                  <w:tcBorders>
                    <w:tl2br w:val="nil"/>
                    <w:tr2bl w:val="nil"/>
                  </w:tcBorders>
                  <w:vAlign w:val="top"/>
                </w:tcPr>
                <w:p w14:paraId="53B2BC36">
                  <w:pPr>
                    <w:spacing w:before="108" w:line="195" w:lineRule="auto"/>
                    <w:ind w:left="506"/>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35</w:t>
                  </w:r>
                </w:p>
              </w:tc>
              <w:tc>
                <w:tcPr>
                  <w:tcW w:w="1127" w:type="dxa"/>
                  <w:tcBorders>
                    <w:tl2br w:val="nil"/>
                    <w:tr2bl w:val="nil"/>
                  </w:tcBorders>
                  <w:vAlign w:val="top"/>
                </w:tcPr>
                <w:p w14:paraId="5E25A66A">
                  <w:pPr>
                    <w:spacing w:before="108" w:line="195" w:lineRule="auto"/>
                    <w:ind w:left="503"/>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9</w:t>
                  </w:r>
                </w:p>
              </w:tc>
              <w:tc>
                <w:tcPr>
                  <w:tcW w:w="1143" w:type="dxa"/>
                  <w:tcBorders>
                    <w:tl2br w:val="nil"/>
                    <w:tr2bl w:val="nil"/>
                  </w:tcBorders>
                  <w:vAlign w:val="top"/>
                </w:tcPr>
                <w:p w14:paraId="4CA23355">
                  <w:pPr>
                    <w:spacing w:before="108" w:line="195" w:lineRule="auto"/>
                    <w:ind w:left="527"/>
                    <w:rPr>
                      <w:rFonts w:hint="eastAsia"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z w:val="20"/>
                      <w:szCs w:val="20"/>
                      <w:u w:val="none" w:color="auto"/>
                      <w:lang w:val="en-US" w:eastAsia="zh-CN"/>
                    </w:rPr>
                    <w:t>4</w:t>
                  </w:r>
                </w:p>
              </w:tc>
            </w:tr>
          </w:tbl>
          <w:p w14:paraId="42779CC4">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4"/>
                <w:szCs w:val="24"/>
                <w:u w:val="none" w:color="auto"/>
                <w:lang w:val="en-US" w:eastAsia="zh-CN" w:bidi="ar-SA"/>
              </w:rPr>
            </w:pPr>
            <w:bookmarkStart w:id="17" w:name="_Toc14112"/>
            <w:bookmarkStart w:id="18" w:name="_Toc29695"/>
            <w:bookmarkStart w:id="19" w:name="_Toc23506"/>
            <w:r>
              <w:rPr>
                <w:rFonts w:hint="eastAsia" w:cs="Times New Roman"/>
                <w:b/>
                <w:bCs/>
                <w:color w:val="auto"/>
                <w:kern w:val="2"/>
                <w:sz w:val="24"/>
                <w:szCs w:val="24"/>
                <w:u w:val="none" w:color="auto"/>
                <w:lang w:val="en-US" w:eastAsia="zh-CN" w:bidi="ar-SA"/>
              </w:rPr>
              <w:t>一、交通噪声</w:t>
            </w:r>
            <w:r>
              <w:rPr>
                <w:rFonts w:ascii="Times New Roman" w:hAnsi="Times New Roman" w:eastAsia="宋体" w:cs="Times New Roman"/>
                <w:b/>
                <w:bCs/>
                <w:color w:val="auto"/>
                <w:kern w:val="2"/>
                <w:sz w:val="24"/>
                <w:szCs w:val="24"/>
                <w:u w:val="none" w:color="auto"/>
                <w:lang w:val="en-US" w:eastAsia="zh-CN" w:bidi="ar-SA"/>
              </w:rPr>
              <w:t>源强</w:t>
            </w:r>
            <w:r>
              <w:rPr>
                <w:rFonts w:hint="eastAsia" w:cs="Times New Roman"/>
                <w:b/>
                <w:bCs/>
                <w:color w:val="auto"/>
                <w:kern w:val="2"/>
                <w:sz w:val="24"/>
                <w:szCs w:val="24"/>
                <w:u w:val="none" w:color="auto"/>
                <w:lang w:val="en-US" w:eastAsia="zh-CN" w:bidi="ar-SA"/>
              </w:rPr>
              <w:t>分析</w:t>
            </w:r>
            <w:bookmarkEnd w:id="17"/>
            <w:bookmarkEnd w:id="18"/>
            <w:bookmarkEnd w:id="19"/>
          </w:p>
          <w:p w14:paraId="68C297FB">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在道路上行驶的机动车辆的噪声源为非稳态噪声源，其主要影响特</w:t>
            </w:r>
            <w:r>
              <w:rPr>
                <w:rFonts w:ascii="宋体" w:hAnsi="宋体" w:eastAsia="宋体" w:cs="宋体"/>
                <w:color w:val="auto"/>
                <w:spacing w:val="-4"/>
                <w:sz w:val="24"/>
                <w:szCs w:val="24"/>
                <w:u w:val="none" w:color="auto"/>
              </w:rPr>
              <w:t>点是干扰</w:t>
            </w:r>
            <w:r>
              <w:rPr>
                <w:rFonts w:ascii="宋体" w:hAnsi="宋体" w:eastAsia="宋体" w:cs="宋体"/>
                <w:color w:val="auto"/>
                <w:spacing w:val="-1"/>
                <w:sz w:val="24"/>
                <w:szCs w:val="24"/>
                <w:u w:val="none" w:color="auto"/>
              </w:rPr>
              <w:t>长、污染面广、噪声级也较高，主要来源如下：</w:t>
            </w:r>
          </w:p>
          <w:p w14:paraId="566774C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ascii="宋体" w:hAnsi="宋体" w:eastAsia="宋体" w:cs="宋体"/>
                <w:color w:val="auto"/>
                <w:sz w:val="24"/>
                <w:szCs w:val="24"/>
                <w:u w:val="none" w:color="auto"/>
              </w:rPr>
            </w:pPr>
            <w:r>
              <w:rPr>
                <w:rFonts w:ascii="宋体" w:hAnsi="宋体" w:eastAsia="宋体" w:cs="宋体"/>
                <w:color w:val="auto"/>
                <w:sz w:val="24"/>
                <w:szCs w:val="24"/>
                <w:u w:val="none" w:color="auto"/>
              </w:rPr>
              <w:t>（</w:t>
            </w:r>
            <w:r>
              <w:rPr>
                <w:rFonts w:ascii="Times New Roman" w:hAnsi="Times New Roman" w:eastAsia="Times New Roman" w:cs="Times New Roman"/>
                <w:color w:val="auto"/>
                <w:sz w:val="24"/>
                <w:szCs w:val="24"/>
                <w:u w:val="none" w:color="auto"/>
              </w:rPr>
              <w:t>1</w:t>
            </w:r>
            <w:r>
              <w:rPr>
                <w:rFonts w:ascii="宋体" w:hAnsi="宋体" w:eastAsia="宋体" w:cs="宋体"/>
                <w:color w:val="auto"/>
                <w:sz w:val="24"/>
                <w:szCs w:val="24"/>
                <w:u w:val="none" w:color="auto"/>
              </w:rPr>
              <w:t>）车辆的发动机、冷却系统、传动系统等部件均会产生噪声，另外，行</w:t>
            </w:r>
            <w:r>
              <w:rPr>
                <w:rFonts w:ascii="宋体" w:hAnsi="宋体" w:eastAsia="宋体" w:cs="宋体"/>
                <w:color w:val="auto"/>
                <w:spacing w:val="-1"/>
                <w:sz w:val="24"/>
                <w:szCs w:val="24"/>
                <w:u w:val="none" w:color="auto"/>
              </w:rPr>
              <w:t>驶中轮胎与路面的摩擦、排气系统等也会产生噪声；</w:t>
            </w:r>
          </w:p>
          <w:p w14:paraId="401E19A5">
            <w:pPr>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textAlignment w:val="auto"/>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2</w:t>
            </w:r>
            <w:r>
              <w:rPr>
                <w:rFonts w:ascii="宋体" w:hAnsi="宋体" w:eastAsia="宋体" w:cs="宋体"/>
                <w:color w:val="auto"/>
                <w:spacing w:val="-1"/>
                <w:sz w:val="24"/>
                <w:szCs w:val="24"/>
                <w:u w:val="none" w:color="auto"/>
              </w:rPr>
              <w:t>）由于路面平整度等原因而使行驶的汽车产生整车噪声；</w:t>
            </w:r>
          </w:p>
          <w:p w14:paraId="20E29546">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3</w:t>
            </w:r>
            <w:r>
              <w:rPr>
                <w:rFonts w:ascii="宋体" w:hAnsi="宋体" w:eastAsia="宋体" w:cs="宋体"/>
                <w:color w:val="auto"/>
                <w:spacing w:val="-2"/>
                <w:sz w:val="24"/>
                <w:szCs w:val="24"/>
                <w:u w:val="none" w:color="auto"/>
              </w:rPr>
              <w:t>）汽车鸣笛、按喇叭时的噪声。</w:t>
            </w:r>
          </w:p>
          <w:p w14:paraId="1AB43003">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本项目运营期对声环境的影响主要是交通噪声的影响。道路运</w:t>
            </w:r>
            <w:r>
              <w:rPr>
                <w:rFonts w:ascii="宋体" w:hAnsi="宋体" w:eastAsia="宋体" w:cs="宋体"/>
                <w:color w:val="auto"/>
                <w:spacing w:val="-4"/>
                <w:sz w:val="24"/>
                <w:szCs w:val="24"/>
                <w:u w:val="none" w:color="auto"/>
              </w:rPr>
              <w:t>营期的交通噪</w:t>
            </w:r>
            <w:r>
              <w:rPr>
                <w:rFonts w:ascii="宋体" w:hAnsi="宋体" w:eastAsia="宋体" w:cs="宋体"/>
                <w:color w:val="auto"/>
                <w:spacing w:val="-3"/>
                <w:sz w:val="24"/>
                <w:szCs w:val="24"/>
                <w:u w:val="none" w:color="auto"/>
              </w:rPr>
              <w:t>声是指汽车行驶在道路上的车体振动、发动机运转、轮胎与地面间的摩擦、超车</w:t>
            </w:r>
            <w:r>
              <w:rPr>
                <w:rFonts w:ascii="宋体" w:hAnsi="宋体" w:eastAsia="宋体" w:cs="宋体"/>
                <w:color w:val="auto"/>
                <w:spacing w:val="-1"/>
                <w:sz w:val="24"/>
                <w:szCs w:val="24"/>
                <w:u w:val="none" w:color="auto"/>
              </w:rPr>
              <w:t>轰鸣等产生的声音。交通噪声的大小与车速、</w:t>
            </w:r>
            <w:r>
              <w:rPr>
                <w:rFonts w:ascii="宋体" w:hAnsi="宋体" w:eastAsia="宋体" w:cs="宋体"/>
                <w:color w:val="auto"/>
                <w:spacing w:val="-2"/>
                <w:sz w:val="24"/>
                <w:szCs w:val="24"/>
                <w:u w:val="none" w:color="auto"/>
              </w:rPr>
              <w:t>车流量、机动车类型、道路结构、</w:t>
            </w:r>
            <w:r>
              <w:rPr>
                <w:rFonts w:ascii="宋体" w:hAnsi="宋体" w:eastAsia="宋体" w:cs="宋体"/>
                <w:color w:val="auto"/>
                <w:spacing w:val="-1"/>
                <w:sz w:val="24"/>
                <w:szCs w:val="24"/>
                <w:u w:val="none" w:color="auto"/>
              </w:rPr>
              <w:t>道路表面覆盖物、道路两侧建筑物、地形等多因素有关。</w:t>
            </w:r>
          </w:p>
          <w:p w14:paraId="0472D384">
            <w:pPr>
              <w:keepNext w:val="0"/>
              <w:keepLines w:val="0"/>
              <w:pageBreakBefore w:val="0"/>
              <w:widowControl w:val="0"/>
              <w:kinsoku/>
              <w:wordWrap/>
              <w:overflowPunct/>
              <w:topLinePunct w:val="0"/>
              <w:autoSpaceDE/>
              <w:autoSpaceDN/>
              <w:bidi w:val="0"/>
              <w:adjustRightInd w:val="0"/>
              <w:snapToGrid w:val="0"/>
              <w:spacing w:line="360" w:lineRule="auto"/>
              <w:ind w:left="0" w:right="0" w:firstLine="496"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各种机动车行驶时平均辐射声级参照《公路建设项目环境影响</w:t>
            </w:r>
            <w:r>
              <w:rPr>
                <w:rFonts w:ascii="宋体" w:hAnsi="宋体" w:eastAsia="宋体" w:cs="宋体"/>
                <w:color w:val="auto"/>
                <w:spacing w:val="3"/>
                <w:sz w:val="24"/>
                <w:szCs w:val="24"/>
                <w:u w:val="none" w:color="auto"/>
              </w:rPr>
              <w:t>评价规范》</w:t>
            </w:r>
            <w:r>
              <w:rPr>
                <w:rFonts w:ascii="宋体" w:hAnsi="宋体" w:eastAsia="宋体" w:cs="宋体"/>
                <w:color w:val="auto"/>
                <w:sz w:val="24"/>
                <w:szCs w:val="24"/>
                <w:u w:val="none" w:color="auto"/>
              </w:rPr>
              <w:t xml:space="preserve"> </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JTGB03-2006</w:t>
            </w:r>
            <w:r>
              <w:rPr>
                <w:rFonts w:ascii="宋体" w:hAnsi="宋体" w:eastAsia="宋体" w:cs="宋体"/>
                <w:color w:val="auto"/>
                <w:spacing w:val="-2"/>
                <w:sz w:val="24"/>
                <w:szCs w:val="24"/>
                <w:u w:val="none" w:color="auto"/>
              </w:rPr>
              <w:t>）中的附录</w:t>
            </w:r>
            <w:r>
              <w:rPr>
                <w:rFonts w:ascii="宋体" w:hAnsi="宋体" w:eastAsia="宋体" w:cs="宋体"/>
                <w:color w:val="auto"/>
                <w:spacing w:val="-41"/>
                <w:sz w:val="24"/>
                <w:szCs w:val="24"/>
                <w:u w:val="none" w:color="auto"/>
              </w:rPr>
              <w:t xml:space="preserve"> </w:t>
            </w:r>
            <w:r>
              <w:rPr>
                <w:rFonts w:ascii="Times New Roman" w:hAnsi="Times New Roman" w:eastAsia="Times New Roman" w:cs="Times New Roman"/>
                <w:color w:val="auto"/>
                <w:spacing w:val="-2"/>
                <w:sz w:val="24"/>
                <w:szCs w:val="24"/>
                <w:u w:val="none" w:color="auto"/>
              </w:rPr>
              <w:t>C</w:t>
            </w:r>
            <w:r>
              <w:rPr>
                <w:rFonts w:ascii="宋体" w:hAnsi="宋体" w:eastAsia="宋体" w:cs="宋体"/>
                <w:color w:val="auto"/>
                <w:spacing w:val="-2"/>
                <w:sz w:val="24"/>
                <w:szCs w:val="24"/>
                <w:u w:val="none" w:color="auto"/>
              </w:rPr>
              <w:t>“公路交通噪声预测</w:t>
            </w:r>
            <w:r>
              <w:rPr>
                <w:rFonts w:ascii="宋体" w:hAnsi="宋体" w:eastAsia="宋体" w:cs="宋体"/>
                <w:color w:val="auto"/>
                <w:spacing w:val="-88"/>
                <w:sz w:val="24"/>
                <w:szCs w:val="24"/>
                <w:u w:val="none" w:color="auto"/>
              </w:rPr>
              <w:t xml:space="preserve"> </w:t>
            </w:r>
            <w:r>
              <w:rPr>
                <w:rFonts w:ascii="宋体" w:hAnsi="宋体" w:eastAsia="宋体" w:cs="宋体"/>
                <w:color w:val="auto"/>
                <w:spacing w:val="-2"/>
                <w:sz w:val="24"/>
                <w:szCs w:val="24"/>
                <w:u w:val="none" w:color="auto"/>
              </w:rPr>
              <w:t>”，行驶辐射噪声级与车速之</w:t>
            </w:r>
            <w:r>
              <w:rPr>
                <w:rFonts w:ascii="宋体" w:hAnsi="宋体" w:eastAsia="宋体" w:cs="宋体"/>
                <w:color w:val="auto"/>
                <w:spacing w:val="-3"/>
                <w:sz w:val="24"/>
                <w:szCs w:val="24"/>
                <w:u w:val="none" w:color="auto"/>
              </w:rPr>
              <w:t>间的关系见下表：</w:t>
            </w:r>
          </w:p>
          <w:p w14:paraId="779D751C">
            <w:pPr>
              <w:spacing w:before="1" w:line="227" w:lineRule="auto"/>
              <w:ind w:left="1485"/>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26"/>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6</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不同类型车辆平均辐射噪声级</w:t>
            </w:r>
            <w:r>
              <w:rPr>
                <w:rFonts w:ascii="宋体" w:hAnsi="宋体" w:eastAsia="宋体" w:cs="宋体"/>
                <w:color w:val="auto"/>
                <w:spacing w:val="6"/>
                <w:sz w:val="20"/>
                <w:szCs w:val="20"/>
                <w:u w:val="none" w:color="auto"/>
              </w:rPr>
              <w:t xml:space="preserve">    </w:t>
            </w:r>
            <w:r>
              <w:rPr>
                <w:rFonts w:ascii="宋体" w:hAnsi="宋体" w:eastAsia="宋体" w:cs="宋体"/>
                <w:b/>
                <w:bCs/>
                <w:color w:val="auto"/>
                <w:spacing w:val="6"/>
                <w:sz w:val="20"/>
                <w:szCs w:val="20"/>
                <w:u w:val="none" w:color="auto"/>
              </w:rPr>
              <w:t>单位：</w:t>
            </w:r>
            <w:r>
              <w:rPr>
                <w:rFonts w:ascii="Times New Roman" w:hAnsi="Times New Roman" w:eastAsia="Times New Roman" w:cs="Times New Roman"/>
                <w:b/>
                <w:bCs/>
                <w:color w:val="auto"/>
                <w:sz w:val="20"/>
                <w:szCs w:val="20"/>
                <w:u w:val="none" w:color="auto"/>
              </w:rPr>
              <w:t>dB</w:t>
            </w:r>
            <w:r>
              <w:rPr>
                <w:rFonts w:ascii="宋体" w:hAnsi="宋体" w:eastAsia="宋体" w:cs="宋体"/>
                <w:b/>
                <w:bCs/>
                <w:color w:val="auto"/>
                <w:spacing w:val="6"/>
                <w:sz w:val="20"/>
                <w:szCs w:val="20"/>
                <w:u w:val="none" w:color="auto"/>
              </w:rPr>
              <w:t>（</w:t>
            </w:r>
            <w:r>
              <w:rPr>
                <w:rFonts w:ascii="Times New Roman" w:hAnsi="Times New Roman" w:eastAsia="Times New Roman" w:cs="Times New Roman"/>
                <w:b/>
                <w:bCs/>
                <w:color w:val="auto"/>
                <w:spacing w:val="6"/>
                <w:sz w:val="20"/>
                <w:szCs w:val="20"/>
                <w:u w:val="none" w:color="auto"/>
              </w:rPr>
              <w:t>A</w:t>
            </w:r>
            <w:r>
              <w:rPr>
                <w:rFonts w:ascii="宋体" w:hAnsi="宋体" w:eastAsia="宋体" w:cs="宋体"/>
                <w:b/>
                <w:bCs/>
                <w:color w:val="auto"/>
                <w:spacing w:val="6"/>
                <w:sz w:val="20"/>
                <w:szCs w:val="20"/>
                <w:u w:val="none" w:color="auto"/>
              </w:rPr>
              <w:t>）</w:t>
            </w:r>
          </w:p>
          <w:p w14:paraId="29D8B1DB">
            <w:pPr>
              <w:spacing w:line="14" w:lineRule="exact"/>
              <w:rPr>
                <w:color w:val="auto"/>
                <w:u w:val="none" w:color="auto"/>
              </w:rPr>
            </w:pPr>
          </w:p>
          <w:tbl>
            <w:tblPr>
              <w:tblStyle w:val="72"/>
              <w:tblW w:w="7780" w:type="dxa"/>
              <w:tblInd w:w="2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90"/>
              <w:gridCol w:w="3890"/>
            </w:tblGrid>
            <w:tr w14:paraId="3A1619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3890" w:type="dxa"/>
                  <w:tcBorders>
                    <w:tl2br w:val="nil"/>
                    <w:tr2bl w:val="nil"/>
                  </w:tcBorders>
                  <w:vAlign w:val="top"/>
                </w:tcPr>
                <w:p w14:paraId="57536B96">
                  <w:pPr>
                    <w:pStyle w:val="81"/>
                    <w:spacing w:before="56" w:line="228" w:lineRule="auto"/>
                    <w:ind w:left="1856"/>
                    <w:rPr>
                      <w:color w:val="auto"/>
                      <w:sz w:val="20"/>
                      <w:szCs w:val="20"/>
                      <w:u w:val="none" w:color="auto"/>
                    </w:rPr>
                  </w:pPr>
                  <w:r>
                    <w:rPr>
                      <w:color w:val="auto"/>
                      <w:spacing w:val="4"/>
                      <w:sz w:val="20"/>
                      <w:szCs w:val="20"/>
                      <w:u w:val="none" w:color="auto"/>
                    </w:rPr>
                    <w:t>类型</w:t>
                  </w:r>
                </w:p>
              </w:tc>
              <w:tc>
                <w:tcPr>
                  <w:tcW w:w="3890" w:type="dxa"/>
                  <w:tcBorders>
                    <w:tl2br w:val="nil"/>
                    <w:tr2bl w:val="nil"/>
                  </w:tcBorders>
                  <w:vAlign w:val="top"/>
                </w:tcPr>
                <w:p w14:paraId="74C46F3B">
                  <w:pPr>
                    <w:pStyle w:val="81"/>
                    <w:spacing w:before="57" w:line="228" w:lineRule="auto"/>
                    <w:ind w:left="1420"/>
                    <w:rPr>
                      <w:rFonts w:ascii="Times New Roman" w:hAnsi="Times New Roman" w:eastAsia="Times New Roman" w:cs="Times New Roman"/>
                      <w:color w:val="auto"/>
                      <w:sz w:val="20"/>
                      <w:szCs w:val="20"/>
                      <w:u w:val="none" w:color="auto"/>
                    </w:rPr>
                  </w:pPr>
                  <w:r>
                    <w:rPr>
                      <w:color w:val="auto"/>
                      <w:spacing w:val="1"/>
                      <w:sz w:val="20"/>
                      <w:szCs w:val="20"/>
                      <w:u w:val="none" w:color="auto"/>
                    </w:rPr>
                    <w:t>当量</w:t>
                  </w:r>
                  <w:r>
                    <w:rPr>
                      <w:color w:val="auto"/>
                      <w:spacing w:val="-40"/>
                      <w:sz w:val="20"/>
                      <w:szCs w:val="20"/>
                      <w:u w:val="none" w:color="auto"/>
                    </w:rPr>
                    <w:t xml:space="preserve"> </w:t>
                  </w:r>
                  <w:r>
                    <w:rPr>
                      <w:rFonts w:ascii="Times New Roman" w:hAnsi="Times New Roman" w:eastAsia="Times New Roman" w:cs="Times New Roman"/>
                      <w:color w:val="auto"/>
                      <w:spacing w:val="1"/>
                      <w:sz w:val="20"/>
                      <w:szCs w:val="20"/>
                      <w:u w:val="none" w:color="auto"/>
                    </w:rPr>
                    <w:t>A</w:t>
                  </w:r>
                  <w:r>
                    <w:rPr>
                      <w:rFonts w:ascii="Times New Roman" w:hAnsi="Times New Roman" w:eastAsia="Times New Roman" w:cs="Times New Roman"/>
                      <w:color w:val="auto"/>
                      <w:spacing w:val="16"/>
                      <w:sz w:val="20"/>
                      <w:szCs w:val="20"/>
                      <w:u w:val="none" w:color="auto"/>
                    </w:rPr>
                    <w:t xml:space="preserve"> </w:t>
                  </w:r>
                  <w:r>
                    <w:rPr>
                      <w:color w:val="auto"/>
                      <w:spacing w:val="1"/>
                      <w:sz w:val="20"/>
                      <w:szCs w:val="20"/>
                      <w:u w:val="none" w:color="auto"/>
                    </w:rPr>
                    <w:t>声级</w:t>
                  </w:r>
                  <w:r>
                    <w:rPr>
                      <w:color w:val="auto"/>
                      <w:spacing w:val="-41"/>
                      <w:sz w:val="20"/>
                      <w:szCs w:val="20"/>
                      <w:u w:val="none" w:color="auto"/>
                    </w:rPr>
                    <w:t xml:space="preserve"> </w:t>
                  </w:r>
                  <w:r>
                    <w:rPr>
                      <w:rFonts w:ascii="Times New Roman" w:hAnsi="Times New Roman" w:eastAsia="Times New Roman" w:cs="Times New Roman"/>
                      <w:color w:val="auto"/>
                      <w:sz w:val="20"/>
                      <w:szCs w:val="20"/>
                      <w:u w:val="none" w:color="auto"/>
                    </w:rPr>
                    <w:t>Li</w:t>
                  </w:r>
                </w:p>
              </w:tc>
            </w:tr>
            <w:tr w14:paraId="50C075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890" w:type="dxa"/>
                  <w:tcBorders>
                    <w:tl2br w:val="nil"/>
                    <w:tr2bl w:val="nil"/>
                  </w:tcBorders>
                  <w:vAlign w:val="top"/>
                </w:tcPr>
                <w:p w14:paraId="37C3B130">
                  <w:pPr>
                    <w:pStyle w:val="81"/>
                    <w:spacing w:before="58" w:line="224" w:lineRule="auto"/>
                    <w:ind w:left="1151"/>
                    <w:rPr>
                      <w:color w:val="auto"/>
                      <w:sz w:val="20"/>
                      <w:szCs w:val="20"/>
                      <w:u w:val="none" w:color="auto"/>
                    </w:rPr>
                  </w:pPr>
                  <w:r>
                    <w:rPr>
                      <w:color w:val="auto"/>
                      <w:spacing w:val="2"/>
                      <w:sz w:val="20"/>
                      <w:szCs w:val="20"/>
                      <w:u w:val="none" w:color="auto"/>
                    </w:rPr>
                    <w:t>小型车（</w:t>
                  </w:r>
                  <w:r>
                    <w:rPr>
                      <w:rFonts w:ascii="Times New Roman" w:hAnsi="Times New Roman" w:eastAsia="Times New Roman" w:cs="Times New Roman"/>
                      <w:color w:val="auto"/>
                      <w:spacing w:val="2"/>
                      <w:sz w:val="20"/>
                      <w:szCs w:val="20"/>
                      <w:u w:val="none" w:color="auto"/>
                    </w:rPr>
                    <w:t>3.5t</w:t>
                  </w:r>
                  <w:r>
                    <w:rPr>
                      <w:rFonts w:ascii="Times New Roman" w:hAnsi="Times New Roman" w:eastAsia="Times New Roman" w:cs="Times New Roman"/>
                      <w:color w:val="auto"/>
                      <w:spacing w:val="37"/>
                      <w:sz w:val="20"/>
                      <w:szCs w:val="20"/>
                      <w:u w:val="none" w:color="auto"/>
                    </w:rPr>
                    <w:t xml:space="preserve"> </w:t>
                  </w:r>
                  <w:r>
                    <w:rPr>
                      <w:color w:val="auto"/>
                      <w:spacing w:val="2"/>
                      <w:sz w:val="20"/>
                      <w:szCs w:val="20"/>
                      <w:u w:val="none" w:color="auto"/>
                    </w:rPr>
                    <w:t>以下）</w:t>
                  </w:r>
                </w:p>
              </w:tc>
              <w:tc>
                <w:tcPr>
                  <w:tcW w:w="3890" w:type="dxa"/>
                  <w:tcBorders>
                    <w:tl2br w:val="nil"/>
                    <w:tr2bl w:val="nil"/>
                  </w:tcBorders>
                  <w:vAlign w:val="top"/>
                </w:tcPr>
                <w:p w14:paraId="31B4B7A9">
                  <w:pPr>
                    <w:spacing w:before="21" w:line="280" w:lineRule="exact"/>
                    <w:ind w:left="1187"/>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color w:val="auto"/>
                      <w:position w:val="4"/>
                      <w:sz w:val="20"/>
                      <w:szCs w:val="20"/>
                      <w:u w:val="none" w:color="auto"/>
                    </w:rPr>
                    <w:t>L</w:t>
                  </w:r>
                  <w:r>
                    <w:rPr>
                      <w:rFonts w:ascii="Times New Roman" w:hAnsi="Times New Roman" w:eastAsia="Times New Roman" w:cs="Times New Roman"/>
                      <w:color w:val="auto"/>
                      <w:position w:val="3"/>
                      <w:sz w:val="13"/>
                      <w:szCs w:val="13"/>
                      <w:u w:val="none" w:color="auto"/>
                    </w:rPr>
                    <w:t>OS</w:t>
                  </w:r>
                  <w:r>
                    <w:rPr>
                      <w:rFonts w:ascii="Times New Roman" w:hAnsi="Times New Roman" w:eastAsia="Times New Roman" w:cs="Times New Roman"/>
                      <w:color w:val="auto"/>
                      <w:spacing w:val="4"/>
                      <w:position w:val="4"/>
                      <w:sz w:val="20"/>
                      <w:szCs w:val="20"/>
                      <w:u w:val="none" w:color="auto"/>
                    </w:rPr>
                    <w:t>=</w:t>
                  </w:r>
                  <w:r>
                    <w:rPr>
                      <w:rFonts w:ascii="Times New Roman" w:hAnsi="Times New Roman" w:eastAsia="Times New Roman" w:cs="Times New Roman"/>
                      <w:color w:val="auto"/>
                      <w:spacing w:val="-18"/>
                      <w:position w:val="4"/>
                      <w:sz w:val="20"/>
                      <w:szCs w:val="20"/>
                      <w:u w:val="none" w:color="auto"/>
                    </w:rPr>
                    <w:t xml:space="preserve"> </w:t>
                  </w:r>
                  <w:r>
                    <w:rPr>
                      <w:rFonts w:ascii="Times New Roman" w:hAnsi="Times New Roman" w:eastAsia="Times New Roman" w:cs="Times New Roman"/>
                      <w:color w:val="auto"/>
                      <w:spacing w:val="4"/>
                      <w:position w:val="4"/>
                      <w:sz w:val="20"/>
                      <w:szCs w:val="20"/>
                      <w:u w:val="none" w:color="auto"/>
                    </w:rPr>
                    <w:t>12.6+34.73</w:t>
                  </w:r>
                  <w:r>
                    <w:rPr>
                      <w:rFonts w:ascii="Times New Roman" w:hAnsi="Times New Roman" w:eastAsia="Times New Roman" w:cs="Times New Roman"/>
                      <w:color w:val="auto"/>
                      <w:position w:val="4"/>
                      <w:sz w:val="20"/>
                      <w:szCs w:val="20"/>
                      <w:u w:val="none" w:color="auto"/>
                    </w:rPr>
                    <w:t>lgV</w:t>
                  </w:r>
                  <w:r>
                    <w:rPr>
                      <w:rFonts w:ascii="Times New Roman" w:hAnsi="Times New Roman" w:eastAsia="Times New Roman" w:cs="Times New Roman"/>
                      <w:color w:val="auto"/>
                      <w:position w:val="3"/>
                      <w:sz w:val="13"/>
                      <w:szCs w:val="13"/>
                      <w:u w:val="none" w:color="auto"/>
                    </w:rPr>
                    <w:t>S</w:t>
                  </w:r>
                </w:p>
              </w:tc>
            </w:tr>
            <w:tr w14:paraId="01E489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890" w:type="dxa"/>
                  <w:tcBorders>
                    <w:tl2br w:val="nil"/>
                    <w:tr2bl w:val="nil"/>
                  </w:tcBorders>
                  <w:vAlign w:val="top"/>
                </w:tcPr>
                <w:p w14:paraId="68F1E339">
                  <w:pPr>
                    <w:pStyle w:val="81"/>
                    <w:spacing w:before="64" w:line="218" w:lineRule="auto"/>
                    <w:ind w:left="1240"/>
                    <w:rPr>
                      <w:color w:val="auto"/>
                      <w:sz w:val="20"/>
                      <w:szCs w:val="20"/>
                      <w:u w:val="none" w:color="auto"/>
                    </w:rPr>
                  </w:pPr>
                  <w:r>
                    <w:rPr>
                      <w:color w:val="auto"/>
                      <w:spacing w:val="1"/>
                      <w:sz w:val="20"/>
                      <w:szCs w:val="20"/>
                      <w:u w:val="none" w:color="auto"/>
                    </w:rPr>
                    <w:t>中型车（</w:t>
                  </w:r>
                  <w:r>
                    <w:rPr>
                      <w:rFonts w:ascii="Times New Roman" w:hAnsi="Times New Roman" w:eastAsia="Times New Roman" w:cs="Times New Roman"/>
                      <w:color w:val="auto"/>
                      <w:spacing w:val="1"/>
                      <w:sz w:val="20"/>
                      <w:szCs w:val="20"/>
                      <w:u w:val="none" w:color="auto"/>
                    </w:rPr>
                    <w:t>3.5~</w:t>
                  </w:r>
                  <w:r>
                    <w:rPr>
                      <w:rFonts w:ascii="Times New Roman" w:hAnsi="Times New Roman" w:eastAsia="Times New Roman" w:cs="Times New Roman"/>
                      <w:color w:val="auto"/>
                      <w:spacing w:val="-21"/>
                      <w:sz w:val="20"/>
                      <w:szCs w:val="20"/>
                      <w:u w:val="none" w:color="auto"/>
                    </w:rPr>
                    <w:t xml:space="preserve"> </w:t>
                  </w:r>
                  <w:r>
                    <w:rPr>
                      <w:rFonts w:ascii="Times New Roman" w:hAnsi="Times New Roman" w:eastAsia="Times New Roman" w:cs="Times New Roman"/>
                      <w:color w:val="auto"/>
                      <w:spacing w:val="1"/>
                      <w:sz w:val="20"/>
                      <w:szCs w:val="20"/>
                      <w:u w:val="none" w:color="auto"/>
                    </w:rPr>
                    <w:t>12t</w:t>
                  </w:r>
                  <w:r>
                    <w:rPr>
                      <w:color w:val="auto"/>
                      <w:spacing w:val="1"/>
                      <w:sz w:val="20"/>
                      <w:szCs w:val="20"/>
                      <w:u w:val="none" w:color="auto"/>
                    </w:rPr>
                    <w:t>）</w:t>
                  </w:r>
                </w:p>
              </w:tc>
              <w:tc>
                <w:tcPr>
                  <w:tcW w:w="3890" w:type="dxa"/>
                  <w:tcBorders>
                    <w:tl2br w:val="nil"/>
                    <w:tr2bl w:val="nil"/>
                  </w:tcBorders>
                  <w:vAlign w:val="top"/>
                </w:tcPr>
                <w:p w14:paraId="42826F40">
                  <w:pPr>
                    <w:spacing w:before="26" w:line="275" w:lineRule="exact"/>
                    <w:ind w:left="1194"/>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color w:val="auto"/>
                      <w:position w:val="3"/>
                      <w:sz w:val="20"/>
                      <w:szCs w:val="20"/>
                      <w:u w:val="none" w:color="auto"/>
                    </w:rPr>
                    <w:t>L</w:t>
                  </w:r>
                  <w:r>
                    <w:rPr>
                      <w:rFonts w:ascii="Times New Roman" w:hAnsi="Times New Roman" w:eastAsia="Times New Roman" w:cs="Times New Roman"/>
                      <w:color w:val="auto"/>
                      <w:position w:val="2"/>
                      <w:sz w:val="13"/>
                      <w:szCs w:val="13"/>
                      <w:u w:val="none" w:color="auto"/>
                    </w:rPr>
                    <w:t>OM</w:t>
                  </w:r>
                  <w:r>
                    <w:rPr>
                      <w:rFonts w:ascii="Times New Roman" w:hAnsi="Times New Roman" w:eastAsia="Times New Roman" w:cs="Times New Roman"/>
                      <w:color w:val="auto"/>
                      <w:spacing w:val="7"/>
                      <w:position w:val="3"/>
                      <w:sz w:val="20"/>
                      <w:szCs w:val="20"/>
                      <w:u w:val="none" w:color="auto"/>
                    </w:rPr>
                    <w:t>=8.8+40.48</w:t>
                  </w:r>
                  <w:r>
                    <w:rPr>
                      <w:rFonts w:ascii="Times New Roman" w:hAnsi="Times New Roman" w:eastAsia="Times New Roman" w:cs="Times New Roman"/>
                      <w:color w:val="auto"/>
                      <w:position w:val="3"/>
                      <w:sz w:val="20"/>
                      <w:szCs w:val="20"/>
                      <w:u w:val="none" w:color="auto"/>
                    </w:rPr>
                    <w:t>lgV</w:t>
                  </w:r>
                  <w:r>
                    <w:rPr>
                      <w:rFonts w:ascii="Times New Roman" w:hAnsi="Times New Roman" w:eastAsia="Times New Roman" w:cs="Times New Roman"/>
                      <w:color w:val="auto"/>
                      <w:position w:val="2"/>
                      <w:sz w:val="13"/>
                      <w:szCs w:val="13"/>
                      <w:u w:val="none" w:color="auto"/>
                    </w:rPr>
                    <w:t>M</w:t>
                  </w:r>
                </w:p>
              </w:tc>
            </w:tr>
            <w:tr w14:paraId="74FB05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3890" w:type="dxa"/>
                  <w:tcBorders>
                    <w:tl2br w:val="nil"/>
                    <w:tr2bl w:val="nil"/>
                  </w:tcBorders>
                  <w:vAlign w:val="top"/>
                </w:tcPr>
                <w:p w14:paraId="21B65B23">
                  <w:pPr>
                    <w:pStyle w:val="81"/>
                    <w:spacing w:before="69" w:line="228" w:lineRule="auto"/>
                    <w:ind w:left="1175"/>
                    <w:rPr>
                      <w:color w:val="auto"/>
                      <w:sz w:val="20"/>
                      <w:szCs w:val="20"/>
                      <w:u w:val="none" w:color="auto"/>
                    </w:rPr>
                  </w:pPr>
                  <w:r>
                    <w:rPr>
                      <w:color w:val="auto"/>
                      <w:spacing w:val="-3"/>
                      <w:sz w:val="20"/>
                      <w:szCs w:val="20"/>
                      <w:u w:val="none" w:color="auto"/>
                    </w:rPr>
                    <w:t>大型车（</w:t>
                  </w:r>
                  <w:r>
                    <w:rPr>
                      <w:color w:val="auto"/>
                      <w:spacing w:val="-42"/>
                      <w:sz w:val="20"/>
                      <w:szCs w:val="20"/>
                      <w:u w:val="none" w:color="auto"/>
                    </w:rPr>
                    <w:t xml:space="preserve"> </w:t>
                  </w:r>
                  <w:r>
                    <w:rPr>
                      <w:rFonts w:ascii="Times New Roman" w:hAnsi="Times New Roman" w:eastAsia="Times New Roman" w:cs="Times New Roman"/>
                      <w:color w:val="auto"/>
                      <w:spacing w:val="-3"/>
                      <w:sz w:val="20"/>
                      <w:szCs w:val="20"/>
                      <w:u w:val="none" w:color="auto"/>
                    </w:rPr>
                    <w:t>12t</w:t>
                  </w:r>
                  <w:r>
                    <w:rPr>
                      <w:rFonts w:ascii="Times New Roman" w:hAnsi="Times New Roman" w:eastAsia="Times New Roman" w:cs="Times New Roman"/>
                      <w:color w:val="auto"/>
                      <w:spacing w:val="31"/>
                      <w:w w:val="101"/>
                      <w:sz w:val="20"/>
                      <w:szCs w:val="20"/>
                      <w:u w:val="none" w:color="auto"/>
                    </w:rPr>
                    <w:t xml:space="preserve"> </w:t>
                  </w:r>
                  <w:r>
                    <w:rPr>
                      <w:color w:val="auto"/>
                      <w:spacing w:val="-3"/>
                      <w:sz w:val="20"/>
                      <w:szCs w:val="20"/>
                      <w:u w:val="none" w:color="auto"/>
                    </w:rPr>
                    <w:t>以上）</w:t>
                  </w:r>
                </w:p>
              </w:tc>
              <w:tc>
                <w:tcPr>
                  <w:tcW w:w="3890" w:type="dxa"/>
                  <w:tcBorders>
                    <w:tl2br w:val="nil"/>
                    <w:tr2bl w:val="nil"/>
                  </w:tcBorders>
                  <w:vAlign w:val="top"/>
                </w:tcPr>
                <w:p w14:paraId="550E1CF5">
                  <w:pPr>
                    <w:spacing w:before="34" w:line="281" w:lineRule="exact"/>
                    <w:ind w:left="1177"/>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color w:val="auto"/>
                      <w:position w:val="4"/>
                      <w:sz w:val="20"/>
                      <w:szCs w:val="20"/>
                      <w:u w:val="none" w:color="auto"/>
                    </w:rPr>
                    <w:t>L</w:t>
                  </w:r>
                  <w:r>
                    <w:rPr>
                      <w:rFonts w:ascii="Times New Roman" w:hAnsi="Times New Roman" w:eastAsia="Times New Roman" w:cs="Times New Roman"/>
                      <w:color w:val="auto"/>
                      <w:position w:val="3"/>
                      <w:sz w:val="13"/>
                      <w:szCs w:val="13"/>
                      <w:u w:val="none" w:color="auto"/>
                    </w:rPr>
                    <w:t>OL</w:t>
                  </w:r>
                  <w:r>
                    <w:rPr>
                      <w:rFonts w:ascii="Times New Roman" w:hAnsi="Times New Roman" w:eastAsia="Times New Roman" w:cs="Times New Roman"/>
                      <w:color w:val="auto"/>
                      <w:spacing w:val="7"/>
                      <w:position w:val="4"/>
                      <w:sz w:val="20"/>
                      <w:szCs w:val="20"/>
                      <w:u w:val="none" w:color="auto"/>
                    </w:rPr>
                    <w:t>=22.0+36.32</w:t>
                  </w:r>
                  <w:r>
                    <w:rPr>
                      <w:rFonts w:ascii="Times New Roman" w:hAnsi="Times New Roman" w:eastAsia="Times New Roman" w:cs="Times New Roman"/>
                      <w:color w:val="auto"/>
                      <w:position w:val="4"/>
                      <w:sz w:val="20"/>
                      <w:szCs w:val="20"/>
                      <w:u w:val="none" w:color="auto"/>
                    </w:rPr>
                    <w:t>lgV</w:t>
                  </w:r>
                  <w:r>
                    <w:rPr>
                      <w:rFonts w:ascii="Times New Roman" w:hAnsi="Times New Roman" w:eastAsia="Times New Roman" w:cs="Times New Roman"/>
                      <w:color w:val="auto"/>
                      <w:position w:val="3"/>
                      <w:sz w:val="13"/>
                      <w:szCs w:val="13"/>
                      <w:u w:val="none" w:color="auto"/>
                    </w:rPr>
                    <w:t>L</w:t>
                  </w:r>
                </w:p>
              </w:tc>
            </w:tr>
          </w:tbl>
          <w:p w14:paraId="5263DB94">
            <w:pPr>
              <w:spacing w:before="116" w:line="219"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 xml:space="preserve">7.5m </w:t>
            </w:r>
            <w:r>
              <w:rPr>
                <w:rFonts w:ascii="宋体" w:hAnsi="宋体" w:eastAsia="宋体" w:cs="宋体"/>
                <w:color w:val="auto"/>
                <w:spacing w:val="-1"/>
                <w:sz w:val="24"/>
                <w:szCs w:val="24"/>
                <w:u w:val="none" w:color="auto"/>
              </w:rPr>
              <w:t>处单车行驶辐射噪声级按下式计算：</w:t>
            </w:r>
          </w:p>
          <w:p w14:paraId="15BAA18C">
            <w:pPr>
              <w:spacing w:before="140" w:line="322" w:lineRule="exact"/>
              <w:ind w:left="2691"/>
              <w:rPr>
                <w:rFonts w:ascii="Times New Roman" w:hAnsi="Times New Roman" w:eastAsia="Times New Roman" w:cs="Times New Roman"/>
                <w:color w:val="auto"/>
                <w:sz w:val="15"/>
                <w:szCs w:val="15"/>
                <w:u w:val="none" w:color="auto"/>
              </w:rPr>
            </w:pPr>
            <w:r>
              <w:rPr>
                <w:rFonts w:ascii="宋体" w:hAnsi="宋体" w:eastAsia="宋体" w:cs="宋体"/>
                <w:color w:val="auto"/>
                <w:spacing w:val="-2"/>
                <w:position w:val="2"/>
                <w:sz w:val="24"/>
                <w:szCs w:val="24"/>
                <w:u w:val="none" w:color="auto"/>
              </w:rPr>
              <w:t>小型车：</w:t>
            </w:r>
            <w:r>
              <w:rPr>
                <w:rFonts w:ascii="Times New Roman" w:hAnsi="Times New Roman" w:eastAsia="Times New Roman" w:cs="Times New Roman"/>
                <w:color w:val="auto"/>
                <w:spacing w:val="-2"/>
                <w:position w:val="2"/>
                <w:sz w:val="24"/>
                <w:szCs w:val="24"/>
                <w:u w:val="none" w:color="auto"/>
              </w:rPr>
              <w:t>L</w:t>
            </w:r>
            <w:r>
              <w:rPr>
                <w:rFonts w:ascii="Times New Roman" w:hAnsi="Times New Roman" w:eastAsia="Times New Roman" w:cs="Times New Roman"/>
                <w:color w:val="auto"/>
                <w:spacing w:val="-2"/>
                <w:position w:val="1"/>
                <w:sz w:val="15"/>
                <w:szCs w:val="15"/>
                <w:u w:val="none" w:color="auto"/>
              </w:rPr>
              <w:t>OS</w:t>
            </w:r>
            <w:r>
              <w:rPr>
                <w:rFonts w:ascii="Times New Roman" w:hAnsi="Times New Roman" w:eastAsia="Times New Roman" w:cs="Times New Roman"/>
                <w:color w:val="auto"/>
                <w:spacing w:val="-2"/>
                <w:position w:val="2"/>
                <w:sz w:val="24"/>
                <w:szCs w:val="24"/>
                <w:u w:val="none" w:color="auto"/>
              </w:rPr>
              <w:t>=</w:t>
            </w:r>
            <w:r>
              <w:rPr>
                <w:rFonts w:ascii="Times New Roman" w:hAnsi="Times New Roman" w:eastAsia="Times New Roman" w:cs="Times New Roman"/>
                <w:color w:val="auto"/>
                <w:spacing w:val="-25"/>
                <w:position w:val="2"/>
                <w:sz w:val="24"/>
                <w:szCs w:val="24"/>
                <w:u w:val="none" w:color="auto"/>
              </w:rPr>
              <w:t xml:space="preserve"> </w:t>
            </w:r>
            <w:r>
              <w:rPr>
                <w:rFonts w:ascii="Times New Roman" w:hAnsi="Times New Roman" w:eastAsia="Times New Roman" w:cs="Times New Roman"/>
                <w:color w:val="auto"/>
                <w:spacing w:val="-2"/>
                <w:position w:val="2"/>
                <w:sz w:val="24"/>
                <w:szCs w:val="24"/>
                <w:u w:val="none" w:color="auto"/>
              </w:rPr>
              <w:t>12.6+34.73lgV</w:t>
            </w:r>
            <w:r>
              <w:rPr>
                <w:rFonts w:ascii="Times New Roman" w:hAnsi="Times New Roman" w:eastAsia="Times New Roman" w:cs="Times New Roman"/>
                <w:color w:val="auto"/>
                <w:spacing w:val="-2"/>
                <w:position w:val="1"/>
                <w:sz w:val="15"/>
                <w:szCs w:val="15"/>
                <w:u w:val="none" w:color="auto"/>
              </w:rPr>
              <w:t>S</w:t>
            </w:r>
          </w:p>
          <w:p w14:paraId="45FA0D9A">
            <w:pPr>
              <w:spacing w:before="79" w:line="323" w:lineRule="exact"/>
              <w:ind w:left="2724"/>
              <w:rPr>
                <w:rFonts w:ascii="Times New Roman" w:hAnsi="Times New Roman" w:eastAsia="Times New Roman" w:cs="Times New Roman"/>
                <w:color w:val="auto"/>
                <w:sz w:val="15"/>
                <w:szCs w:val="15"/>
                <w:u w:val="none" w:color="auto"/>
              </w:rPr>
            </w:pPr>
            <w:r>
              <w:rPr>
                <w:rFonts w:ascii="宋体" w:hAnsi="宋体" w:eastAsia="宋体" w:cs="宋体"/>
                <w:color w:val="auto"/>
                <w:spacing w:val="-1"/>
                <w:position w:val="2"/>
                <w:sz w:val="24"/>
                <w:szCs w:val="24"/>
                <w:u w:val="none" w:color="auto"/>
              </w:rPr>
              <w:t>中型车：</w:t>
            </w:r>
            <w:r>
              <w:rPr>
                <w:rFonts w:ascii="Times New Roman" w:hAnsi="Times New Roman" w:eastAsia="Times New Roman" w:cs="Times New Roman"/>
                <w:color w:val="auto"/>
                <w:spacing w:val="-1"/>
                <w:position w:val="2"/>
                <w:sz w:val="24"/>
                <w:szCs w:val="24"/>
                <w:u w:val="none" w:color="auto"/>
              </w:rPr>
              <w:t>L</w:t>
            </w:r>
            <w:r>
              <w:rPr>
                <w:rFonts w:ascii="Times New Roman" w:hAnsi="Times New Roman" w:eastAsia="Times New Roman" w:cs="Times New Roman"/>
                <w:color w:val="auto"/>
                <w:spacing w:val="-1"/>
                <w:position w:val="1"/>
                <w:sz w:val="15"/>
                <w:szCs w:val="15"/>
                <w:u w:val="none" w:color="auto"/>
              </w:rPr>
              <w:t>OM</w:t>
            </w:r>
            <w:r>
              <w:rPr>
                <w:rFonts w:ascii="Times New Roman" w:hAnsi="Times New Roman" w:eastAsia="Times New Roman" w:cs="Times New Roman"/>
                <w:color w:val="auto"/>
                <w:spacing w:val="-1"/>
                <w:position w:val="2"/>
                <w:sz w:val="24"/>
                <w:szCs w:val="24"/>
                <w:u w:val="none" w:color="auto"/>
              </w:rPr>
              <w:t>=8.8+40.48lgV</w:t>
            </w:r>
            <w:r>
              <w:rPr>
                <w:rFonts w:ascii="Times New Roman" w:hAnsi="Times New Roman" w:eastAsia="Times New Roman" w:cs="Times New Roman"/>
                <w:color w:val="auto"/>
                <w:spacing w:val="-1"/>
                <w:position w:val="1"/>
                <w:sz w:val="15"/>
                <w:szCs w:val="15"/>
                <w:u w:val="none" w:color="auto"/>
              </w:rPr>
              <w:t>M</w:t>
            </w:r>
          </w:p>
          <w:p w14:paraId="5C4C10EC">
            <w:pPr>
              <w:spacing w:before="145" w:line="322" w:lineRule="exact"/>
              <w:ind w:left="2687"/>
              <w:rPr>
                <w:rFonts w:ascii="Times New Roman" w:hAnsi="Times New Roman" w:eastAsia="Times New Roman" w:cs="Times New Roman"/>
                <w:color w:val="auto"/>
                <w:sz w:val="15"/>
                <w:szCs w:val="15"/>
                <w:u w:val="none" w:color="auto"/>
              </w:rPr>
            </w:pPr>
            <w:r>
              <w:rPr>
                <w:rFonts w:ascii="宋体" w:hAnsi="宋体" w:eastAsia="宋体" w:cs="宋体"/>
                <w:color w:val="auto"/>
                <w:position w:val="2"/>
                <w:sz w:val="24"/>
                <w:szCs w:val="24"/>
                <w:u w:val="none" w:color="auto"/>
              </w:rPr>
              <w:t>大型车：</w:t>
            </w:r>
            <w:r>
              <w:rPr>
                <w:rFonts w:ascii="Times New Roman" w:hAnsi="Times New Roman" w:eastAsia="Times New Roman" w:cs="Times New Roman"/>
                <w:color w:val="auto"/>
                <w:position w:val="2"/>
                <w:sz w:val="24"/>
                <w:szCs w:val="24"/>
                <w:u w:val="none" w:color="auto"/>
              </w:rPr>
              <w:t>L</w:t>
            </w:r>
            <w:r>
              <w:rPr>
                <w:rFonts w:ascii="Times New Roman" w:hAnsi="Times New Roman" w:eastAsia="Times New Roman" w:cs="Times New Roman"/>
                <w:color w:val="auto"/>
                <w:position w:val="1"/>
                <w:sz w:val="15"/>
                <w:szCs w:val="15"/>
                <w:u w:val="none" w:color="auto"/>
              </w:rPr>
              <w:t>OL</w:t>
            </w:r>
            <w:r>
              <w:rPr>
                <w:rFonts w:ascii="Times New Roman" w:hAnsi="Times New Roman" w:eastAsia="Times New Roman" w:cs="Times New Roman"/>
                <w:color w:val="auto"/>
                <w:position w:val="2"/>
                <w:sz w:val="24"/>
                <w:szCs w:val="24"/>
                <w:u w:val="none" w:color="auto"/>
              </w:rPr>
              <w:t>=22.0+36.32l</w:t>
            </w:r>
            <w:r>
              <w:rPr>
                <w:rFonts w:ascii="Times New Roman" w:hAnsi="Times New Roman" w:eastAsia="Times New Roman" w:cs="Times New Roman"/>
                <w:color w:val="auto"/>
                <w:spacing w:val="-1"/>
                <w:position w:val="2"/>
                <w:sz w:val="24"/>
                <w:szCs w:val="24"/>
                <w:u w:val="none" w:color="auto"/>
              </w:rPr>
              <w:t>gV</w:t>
            </w:r>
            <w:r>
              <w:rPr>
                <w:rFonts w:ascii="Times New Roman" w:hAnsi="Times New Roman" w:eastAsia="Times New Roman" w:cs="Times New Roman"/>
                <w:color w:val="auto"/>
                <w:spacing w:val="-1"/>
                <w:position w:val="1"/>
                <w:sz w:val="15"/>
                <w:szCs w:val="15"/>
                <w:u w:val="none" w:color="auto"/>
              </w:rPr>
              <w:t>L</w:t>
            </w:r>
          </w:p>
          <w:p w14:paraId="4DFA5C54">
            <w:pPr>
              <w:spacing w:before="188" w:line="220" w:lineRule="auto"/>
              <w:ind w:left="517"/>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72CDFCE6">
            <w:pPr>
              <w:spacing w:before="182" w:line="219" w:lineRule="auto"/>
              <w:ind w:left="510"/>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i——</w:t>
            </w:r>
            <w:r>
              <w:rPr>
                <w:rFonts w:ascii="宋体" w:hAnsi="宋体" w:eastAsia="宋体" w:cs="宋体"/>
                <w:color w:val="auto"/>
                <w:spacing w:val="-1"/>
                <w:sz w:val="24"/>
                <w:szCs w:val="24"/>
                <w:u w:val="none" w:color="auto"/>
              </w:rPr>
              <w:t>表示小（</w:t>
            </w:r>
            <w:r>
              <w:rPr>
                <w:rFonts w:ascii="Times New Roman" w:hAnsi="Times New Roman" w:eastAsia="Times New Roman" w:cs="Times New Roman"/>
                <w:color w:val="auto"/>
                <w:spacing w:val="-1"/>
                <w:sz w:val="24"/>
                <w:szCs w:val="24"/>
                <w:u w:val="none" w:color="auto"/>
              </w:rPr>
              <w:t>S</w:t>
            </w:r>
            <w:r>
              <w:rPr>
                <w:rFonts w:ascii="宋体" w:hAnsi="宋体" w:eastAsia="宋体" w:cs="宋体"/>
                <w:color w:val="auto"/>
                <w:spacing w:val="-1"/>
                <w:sz w:val="24"/>
                <w:szCs w:val="24"/>
                <w:u w:val="none" w:color="auto"/>
              </w:rPr>
              <w:t>）、中（</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）、大（</w:t>
            </w:r>
            <w:r>
              <w:rPr>
                <w:rFonts w:ascii="Times New Roman" w:hAnsi="Times New Roman" w:eastAsia="Times New Roman" w:cs="Times New Roman"/>
                <w:color w:val="auto"/>
                <w:spacing w:val="-1"/>
                <w:sz w:val="24"/>
                <w:szCs w:val="24"/>
                <w:u w:val="none" w:color="auto"/>
              </w:rPr>
              <w:t>L</w:t>
            </w:r>
            <w:r>
              <w:rPr>
                <w:rFonts w:ascii="宋体" w:hAnsi="宋体" w:eastAsia="宋体" w:cs="宋体"/>
                <w:color w:val="auto"/>
                <w:spacing w:val="-1"/>
                <w:sz w:val="24"/>
                <w:szCs w:val="24"/>
                <w:u w:val="none" w:color="auto"/>
              </w:rPr>
              <w:t>）型车</w:t>
            </w:r>
          </w:p>
          <w:p w14:paraId="65672B68">
            <w:pPr>
              <w:spacing w:before="183" w:line="219" w:lineRule="auto"/>
              <w:ind w:left="505"/>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Vi——</w:t>
            </w:r>
            <w:r>
              <w:rPr>
                <w:rFonts w:ascii="宋体" w:hAnsi="宋体" w:eastAsia="宋体" w:cs="宋体"/>
                <w:color w:val="auto"/>
                <w:spacing w:val="-1"/>
                <w:sz w:val="24"/>
                <w:szCs w:val="24"/>
                <w:u w:val="none" w:color="auto"/>
              </w:rPr>
              <w:t>该车型车辆平均行驶速度，</w:t>
            </w:r>
            <w:r>
              <w:rPr>
                <w:rFonts w:ascii="Times New Roman" w:hAnsi="Times New Roman" w:eastAsia="Times New Roman" w:cs="Times New Roman"/>
                <w:color w:val="auto"/>
                <w:spacing w:val="-1"/>
                <w:sz w:val="24"/>
                <w:szCs w:val="24"/>
                <w:u w:val="none" w:color="auto"/>
              </w:rPr>
              <w:t>km/h</w:t>
            </w:r>
            <w:r>
              <w:rPr>
                <w:rFonts w:ascii="宋体" w:hAnsi="宋体" w:eastAsia="宋体" w:cs="宋体"/>
                <w:color w:val="auto"/>
                <w:spacing w:val="-1"/>
                <w:sz w:val="24"/>
                <w:szCs w:val="24"/>
                <w:u w:val="none" w:color="auto"/>
              </w:rPr>
              <w:t>。</w:t>
            </w:r>
          </w:p>
          <w:p w14:paraId="5D7CE5E2">
            <w:pPr>
              <w:spacing w:before="183" w:line="360" w:lineRule="auto"/>
              <w:ind w:left="34" w:right="99" w:firstLine="478"/>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考虑到运营中实际车流量、车速的不确定性，本报告从保守的角</w:t>
            </w:r>
            <w:r>
              <w:rPr>
                <w:rFonts w:ascii="宋体" w:hAnsi="宋体" w:eastAsia="宋体" w:cs="宋体"/>
                <w:color w:val="auto"/>
                <w:spacing w:val="-4"/>
                <w:sz w:val="24"/>
                <w:szCs w:val="24"/>
                <w:u w:val="none" w:color="auto"/>
              </w:rPr>
              <w:t>度考虑，项</w:t>
            </w:r>
            <w:r>
              <w:rPr>
                <w:rFonts w:ascii="宋体" w:hAnsi="宋体" w:eastAsia="宋体" w:cs="宋体"/>
                <w:color w:val="auto"/>
                <w:spacing w:val="-3"/>
                <w:sz w:val="24"/>
                <w:szCs w:val="24"/>
                <w:u w:val="none" w:color="auto"/>
              </w:rPr>
              <w:t>目小、中、大型车车速均按照设计车速确定，并进行噪声预测。后续章节的噪声</w:t>
            </w:r>
            <w:r>
              <w:rPr>
                <w:rFonts w:ascii="宋体" w:hAnsi="宋体" w:eastAsia="宋体" w:cs="宋体"/>
                <w:color w:val="auto"/>
                <w:spacing w:val="-1"/>
                <w:sz w:val="24"/>
                <w:szCs w:val="24"/>
                <w:u w:val="none" w:color="auto"/>
              </w:rPr>
              <w:t>预测结果、降噪措施设置、降噪效果分析均在设计车速的基础上进行。</w:t>
            </w:r>
          </w:p>
          <w:p w14:paraId="654E707F">
            <w:pPr>
              <w:spacing w:line="336" w:lineRule="auto"/>
              <w:ind w:left="37" w:right="99" w:firstLine="475"/>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根据上述公式计算各预测年各型车</w:t>
            </w:r>
            <w:r>
              <w:rPr>
                <w:rFonts w:ascii="宋体" w:hAnsi="宋体" w:eastAsia="宋体" w:cs="宋体"/>
                <w:color w:val="auto"/>
                <w:spacing w:val="-48"/>
                <w:sz w:val="24"/>
                <w:szCs w:val="24"/>
                <w:u w:val="none" w:color="auto"/>
              </w:rPr>
              <w:t xml:space="preserve"> </w:t>
            </w:r>
            <w:r>
              <w:rPr>
                <w:rFonts w:ascii="Times New Roman" w:hAnsi="Times New Roman" w:eastAsia="Times New Roman" w:cs="Times New Roman"/>
                <w:color w:val="auto"/>
                <w:spacing w:val="1"/>
                <w:sz w:val="24"/>
                <w:szCs w:val="24"/>
                <w:u w:val="none" w:color="auto"/>
              </w:rPr>
              <w:t>7.5m</w:t>
            </w:r>
            <w:r>
              <w:rPr>
                <w:rFonts w:ascii="宋体" w:hAnsi="宋体" w:eastAsia="宋体" w:cs="宋体"/>
                <w:color w:val="auto"/>
                <w:spacing w:val="1"/>
                <w:sz w:val="24"/>
                <w:szCs w:val="24"/>
                <w:u w:val="none" w:color="auto"/>
              </w:rPr>
              <w:t>单车行驶</w:t>
            </w:r>
            <w:r>
              <w:rPr>
                <w:rFonts w:ascii="宋体" w:hAnsi="宋体" w:eastAsia="宋体" w:cs="宋体"/>
                <w:color w:val="auto"/>
                <w:sz w:val="24"/>
                <w:szCs w:val="24"/>
                <w:u w:val="none" w:color="auto"/>
              </w:rPr>
              <w:t>辐射噪声级</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z w:val="24"/>
                <w:szCs w:val="24"/>
                <w:u w:val="none" w:color="auto"/>
              </w:rPr>
              <w:t>Loi</w:t>
            </w:r>
            <w:r>
              <w:rPr>
                <w:rFonts w:ascii="Times New Roman" w:hAnsi="Times New Roman" w:eastAsia="Times New Roman" w:cs="Times New Roman"/>
                <w:color w:val="auto"/>
                <w:spacing w:val="-25"/>
                <w:sz w:val="24"/>
                <w:szCs w:val="24"/>
                <w:u w:val="none" w:color="auto"/>
              </w:rPr>
              <w:t xml:space="preserve"> </w:t>
            </w:r>
            <w:r>
              <w:rPr>
                <w:rFonts w:ascii="宋体" w:hAnsi="宋体" w:eastAsia="宋体" w:cs="宋体"/>
                <w:color w:val="auto"/>
                <w:sz w:val="24"/>
                <w:szCs w:val="24"/>
                <w:u w:val="none" w:color="auto"/>
              </w:rPr>
              <w:t>，计算结</w:t>
            </w:r>
            <w:r>
              <w:rPr>
                <w:rFonts w:ascii="宋体" w:hAnsi="宋体" w:eastAsia="宋体" w:cs="宋体"/>
                <w:color w:val="auto"/>
                <w:spacing w:val="-3"/>
                <w:sz w:val="24"/>
                <w:szCs w:val="24"/>
                <w:u w:val="none" w:color="auto"/>
              </w:rPr>
              <w:t>果见下表：</w:t>
            </w:r>
          </w:p>
          <w:p w14:paraId="12A899E8">
            <w:pPr>
              <w:spacing w:before="1" w:line="220" w:lineRule="auto"/>
              <w:ind w:left="1319"/>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7"/>
                <w:sz w:val="20"/>
                <w:szCs w:val="20"/>
                <w:u w:val="none" w:color="auto"/>
              </w:rPr>
              <w:t>表</w:t>
            </w:r>
            <w:r>
              <w:rPr>
                <w:rFonts w:ascii="宋体" w:hAnsi="宋体" w:eastAsia="宋体" w:cs="宋体"/>
                <w:color w:val="auto"/>
                <w:spacing w:val="-40"/>
                <w:sz w:val="20"/>
                <w:szCs w:val="20"/>
                <w:u w:val="none" w:color="auto"/>
              </w:rPr>
              <w:t xml:space="preserve"> </w:t>
            </w:r>
            <w:r>
              <w:rPr>
                <w:rFonts w:ascii="Times New Roman" w:hAnsi="Times New Roman" w:eastAsia="Times New Roman" w:cs="Times New Roman"/>
                <w:b/>
                <w:bCs/>
                <w:color w:val="auto"/>
                <w:spacing w:val="7"/>
                <w:sz w:val="20"/>
                <w:szCs w:val="20"/>
                <w:u w:val="none" w:color="auto"/>
              </w:rPr>
              <w:t>4-</w:t>
            </w:r>
            <w:r>
              <w:rPr>
                <w:rFonts w:hint="eastAsia" w:eastAsia="宋体" w:cs="Times New Roman"/>
                <w:b/>
                <w:bCs/>
                <w:color w:val="auto"/>
                <w:spacing w:val="7"/>
                <w:sz w:val="20"/>
                <w:szCs w:val="20"/>
                <w:u w:val="none" w:color="auto"/>
                <w:lang w:val="en-US" w:eastAsia="zh-CN"/>
              </w:rPr>
              <w:t>7</w:t>
            </w:r>
            <w:r>
              <w:rPr>
                <w:rFonts w:ascii="Times New Roman" w:hAnsi="Times New Roman" w:eastAsia="Times New Roman" w:cs="Times New Roman"/>
                <w:b/>
                <w:bCs/>
                <w:color w:val="auto"/>
                <w:spacing w:val="7"/>
                <w:sz w:val="20"/>
                <w:szCs w:val="20"/>
                <w:u w:val="none" w:color="auto"/>
              </w:rPr>
              <w:t xml:space="preserve">    </w:t>
            </w:r>
            <w:r>
              <w:rPr>
                <w:rFonts w:ascii="宋体" w:hAnsi="宋体" w:eastAsia="宋体" w:cs="宋体"/>
                <w:b/>
                <w:bCs/>
                <w:color w:val="auto"/>
                <w:spacing w:val="7"/>
                <w:sz w:val="20"/>
                <w:szCs w:val="20"/>
                <w:u w:val="none" w:color="auto"/>
              </w:rPr>
              <w:t>各型车单车行驶辐射噪声级</w:t>
            </w:r>
            <w:r>
              <w:rPr>
                <w:rFonts w:ascii="宋体" w:hAnsi="宋体" w:eastAsia="宋体" w:cs="宋体"/>
                <w:b/>
                <w:bCs/>
                <w:color w:val="auto"/>
                <w:spacing w:val="6"/>
                <w:sz w:val="20"/>
                <w:szCs w:val="20"/>
                <w:u w:val="none" w:color="auto"/>
              </w:rPr>
              <w:t>计算结果</w:t>
            </w:r>
            <w:r>
              <w:rPr>
                <w:rFonts w:ascii="宋体" w:hAnsi="宋体" w:eastAsia="宋体" w:cs="宋体"/>
                <w:color w:val="auto"/>
                <w:spacing w:val="6"/>
                <w:sz w:val="20"/>
                <w:szCs w:val="20"/>
                <w:u w:val="none" w:color="auto"/>
              </w:rPr>
              <w:t xml:space="preserve">    </w:t>
            </w:r>
            <w:r>
              <w:rPr>
                <w:rFonts w:ascii="宋体" w:hAnsi="宋体" w:eastAsia="宋体" w:cs="宋体"/>
                <w:b/>
                <w:bCs/>
                <w:color w:val="auto"/>
                <w:spacing w:val="6"/>
                <w:sz w:val="20"/>
                <w:szCs w:val="20"/>
                <w:u w:val="none" w:color="auto"/>
              </w:rPr>
              <w:t>单位：</w:t>
            </w:r>
            <w:r>
              <w:rPr>
                <w:rFonts w:ascii="Times New Roman" w:hAnsi="Times New Roman" w:eastAsia="Times New Roman" w:cs="Times New Roman"/>
                <w:b/>
                <w:bCs/>
                <w:color w:val="auto"/>
                <w:sz w:val="20"/>
                <w:szCs w:val="20"/>
                <w:u w:val="none" w:color="auto"/>
              </w:rPr>
              <w:t>dB</w:t>
            </w:r>
            <w:r>
              <w:rPr>
                <w:rFonts w:ascii="Times New Roman" w:hAnsi="Times New Roman" w:eastAsia="Times New Roman" w:cs="Times New Roman"/>
                <w:b/>
                <w:bCs/>
                <w:color w:val="auto"/>
                <w:spacing w:val="6"/>
                <w:sz w:val="20"/>
                <w:szCs w:val="20"/>
                <w:u w:val="none" w:color="auto"/>
              </w:rPr>
              <w:t>(A)</w:t>
            </w:r>
          </w:p>
          <w:p w14:paraId="60833449">
            <w:pPr>
              <w:spacing w:line="21" w:lineRule="exact"/>
              <w:rPr>
                <w:color w:val="auto"/>
                <w:u w:val="none" w:color="auto"/>
              </w:rPr>
            </w:pPr>
          </w:p>
          <w:tbl>
            <w:tblPr>
              <w:tblStyle w:val="72"/>
              <w:tblW w:w="7759"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42"/>
              <w:gridCol w:w="753"/>
              <w:gridCol w:w="753"/>
              <w:gridCol w:w="755"/>
              <w:gridCol w:w="771"/>
              <w:gridCol w:w="772"/>
              <w:gridCol w:w="773"/>
              <w:gridCol w:w="770"/>
              <w:gridCol w:w="772"/>
              <w:gridCol w:w="798"/>
            </w:tblGrid>
            <w:tr w14:paraId="12FADC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842" w:type="dxa"/>
                  <w:tcBorders>
                    <w:tl2br w:val="nil"/>
                    <w:tr2bl w:val="nil"/>
                  </w:tcBorders>
                  <w:vAlign w:val="top"/>
                </w:tcPr>
                <w:p w14:paraId="720A75FD">
                  <w:pPr>
                    <w:pStyle w:val="81"/>
                    <w:spacing w:before="56" w:line="228" w:lineRule="auto"/>
                    <w:ind w:left="237"/>
                    <w:rPr>
                      <w:color w:val="auto"/>
                      <w:sz w:val="20"/>
                      <w:szCs w:val="20"/>
                      <w:u w:val="none" w:color="auto"/>
                    </w:rPr>
                  </w:pPr>
                  <w:r>
                    <w:rPr>
                      <w:color w:val="auto"/>
                      <w:spacing w:val="3"/>
                      <w:sz w:val="20"/>
                      <w:szCs w:val="20"/>
                      <w:u w:val="none" w:color="auto"/>
                    </w:rPr>
                    <w:t>项目</w:t>
                  </w:r>
                </w:p>
              </w:tc>
              <w:tc>
                <w:tcPr>
                  <w:tcW w:w="2261" w:type="dxa"/>
                  <w:gridSpan w:val="3"/>
                  <w:tcBorders>
                    <w:tl2br w:val="nil"/>
                    <w:tr2bl w:val="nil"/>
                  </w:tcBorders>
                  <w:vAlign w:val="top"/>
                </w:tcPr>
                <w:p w14:paraId="5CC320E2">
                  <w:pPr>
                    <w:pStyle w:val="81"/>
                    <w:spacing w:before="55" w:line="231" w:lineRule="auto"/>
                    <w:ind w:left="1000"/>
                    <w:rPr>
                      <w:color w:val="auto"/>
                      <w:sz w:val="20"/>
                      <w:szCs w:val="20"/>
                      <w:u w:val="none" w:color="auto"/>
                    </w:rPr>
                  </w:pPr>
                  <w:r>
                    <w:rPr>
                      <w:color w:val="auto"/>
                      <w:spacing w:val="5"/>
                      <w:sz w:val="20"/>
                      <w:szCs w:val="20"/>
                      <w:u w:val="none" w:color="auto"/>
                    </w:rPr>
                    <w:t>昼间</w:t>
                  </w:r>
                </w:p>
              </w:tc>
              <w:tc>
                <w:tcPr>
                  <w:tcW w:w="2316" w:type="dxa"/>
                  <w:gridSpan w:val="3"/>
                  <w:tcBorders>
                    <w:tl2br w:val="nil"/>
                    <w:tr2bl w:val="nil"/>
                  </w:tcBorders>
                  <w:vAlign w:val="top"/>
                </w:tcPr>
                <w:p w14:paraId="378E1365">
                  <w:pPr>
                    <w:pStyle w:val="81"/>
                    <w:spacing w:before="55" w:line="228" w:lineRule="auto"/>
                    <w:ind w:left="1045"/>
                    <w:rPr>
                      <w:color w:val="auto"/>
                      <w:sz w:val="20"/>
                      <w:szCs w:val="20"/>
                      <w:u w:val="none" w:color="auto"/>
                    </w:rPr>
                  </w:pPr>
                  <w:r>
                    <w:rPr>
                      <w:color w:val="auto"/>
                      <w:spacing w:val="3"/>
                      <w:sz w:val="20"/>
                      <w:szCs w:val="20"/>
                      <w:u w:val="none" w:color="auto"/>
                    </w:rPr>
                    <w:t>夜间</w:t>
                  </w:r>
                </w:p>
              </w:tc>
              <w:tc>
                <w:tcPr>
                  <w:tcW w:w="2340" w:type="dxa"/>
                  <w:gridSpan w:val="3"/>
                  <w:tcBorders>
                    <w:tl2br w:val="nil"/>
                    <w:tr2bl w:val="nil"/>
                  </w:tcBorders>
                  <w:vAlign w:val="top"/>
                </w:tcPr>
                <w:p w14:paraId="0050D2F1">
                  <w:pPr>
                    <w:pStyle w:val="81"/>
                    <w:spacing w:before="55" w:line="228" w:lineRule="auto"/>
                    <w:ind w:left="850"/>
                    <w:rPr>
                      <w:color w:val="auto"/>
                      <w:sz w:val="20"/>
                      <w:szCs w:val="20"/>
                      <w:u w:val="none" w:color="auto"/>
                    </w:rPr>
                  </w:pPr>
                  <w:r>
                    <w:rPr>
                      <w:color w:val="auto"/>
                      <w:spacing w:val="5"/>
                      <w:sz w:val="20"/>
                      <w:szCs w:val="20"/>
                      <w:u w:val="none" w:color="auto"/>
                    </w:rPr>
                    <w:t>高峰小时</w:t>
                  </w:r>
                </w:p>
              </w:tc>
            </w:tr>
            <w:tr w14:paraId="40ED42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42" w:type="dxa"/>
                  <w:tcBorders>
                    <w:tl2br w:val="nil"/>
                    <w:tr2bl w:val="nil"/>
                  </w:tcBorders>
                  <w:vAlign w:val="top"/>
                </w:tcPr>
                <w:p w14:paraId="2F693675">
                  <w:pPr>
                    <w:pStyle w:val="81"/>
                    <w:spacing w:before="74" w:line="219" w:lineRule="auto"/>
                    <w:ind w:left="174"/>
                    <w:rPr>
                      <w:color w:val="auto"/>
                      <w:sz w:val="18"/>
                      <w:szCs w:val="18"/>
                      <w:u w:val="none" w:color="auto"/>
                    </w:rPr>
                  </w:pPr>
                  <w:r>
                    <w:rPr>
                      <w:color w:val="auto"/>
                      <w:spacing w:val="-3"/>
                      <w:sz w:val="18"/>
                      <w:szCs w:val="18"/>
                      <w:u w:val="none" w:color="auto"/>
                    </w:rPr>
                    <w:t>预测年</w:t>
                  </w:r>
                </w:p>
              </w:tc>
              <w:tc>
                <w:tcPr>
                  <w:tcW w:w="753" w:type="dxa"/>
                  <w:tcBorders>
                    <w:tl2br w:val="nil"/>
                    <w:tr2bl w:val="nil"/>
                  </w:tcBorders>
                  <w:vAlign w:val="top"/>
                </w:tcPr>
                <w:p w14:paraId="515FF7A0">
                  <w:pPr>
                    <w:pStyle w:val="81"/>
                    <w:spacing w:before="74" w:line="219" w:lineRule="auto"/>
                    <w:ind w:left="133"/>
                    <w:rPr>
                      <w:color w:val="auto"/>
                      <w:sz w:val="18"/>
                      <w:szCs w:val="18"/>
                      <w:u w:val="none" w:color="auto"/>
                    </w:rPr>
                  </w:pPr>
                  <w:r>
                    <w:rPr>
                      <w:color w:val="auto"/>
                      <w:spacing w:val="-4"/>
                      <w:sz w:val="18"/>
                      <w:szCs w:val="18"/>
                      <w:u w:val="none" w:color="auto"/>
                    </w:rPr>
                    <w:t>小型车</w:t>
                  </w:r>
                </w:p>
              </w:tc>
              <w:tc>
                <w:tcPr>
                  <w:tcW w:w="753" w:type="dxa"/>
                  <w:tcBorders>
                    <w:tl2br w:val="nil"/>
                    <w:tr2bl w:val="nil"/>
                  </w:tcBorders>
                  <w:vAlign w:val="top"/>
                </w:tcPr>
                <w:p w14:paraId="79340E7C">
                  <w:pPr>
                    <w:pStyle w:val="81"/>
                    <w:spacing w:before="74" w:line="219" w:lineRule="auto"/>
                    <w:ind w:left="149"/>
                    <w:rPr>
                      <w:color w:val="auto"/>
                      <w:sz w:val="18"/>
                      <w:szCs w:val="18"/>
                      <w:u w:val="none" w:color="auto"/>
                    </w:rPr>
                  </w:pPr>
                  <w:r>
                    <w:rPr>
                      <w:color w:val="auto"/>
                      <w:spacing w:val="-8"/>
                      <w:sz w:val="18"/>
                      <w:szCs w:val="18"/>
                      <w:u w:val="none" w:color="auto"/>
                    </w:rPr>
                    <w:t>中型车</w:t>
                  </w:r>
                </w:p>
              </w:tc>
              <w:tc>
                <w:tcPr>
                  <w:tcW w:w="755" w:type="dxa"/>
                  <w:tcBorders>
                    <w:tl2br w:val="nil"/>
                    <w:tr2bl w:val="nil"/>
                  </w:tcBorders>
                  <w:vAlign w:val="top"/>
                </w:tcPr>
                <w:p w14:paraId="622DBE31">
                  <w:pPr>
                    <w:pStyle w:val="81"/>
                    <w:spacing w:before="74" w:line="219" w:lineRule="auto"/>
                    <w:ind w:left="137"/>
                    <w:rPr>
                      <w:color w:val="auto"/>
                      <w:sz w:val="18"/>
                      <w:szCs w:val="18"/>
                      <w:u w:val="none" w:color="auto"/>
                    </w:rPr>
                  </w:pPr>
                  <w:r>
                    <w:rPr>
                      <w:color w:val="auto"/>
                      <w:spacing w:val="-4"/>
                      <w:sz w:val="18"/>
                      <w:szCs w:val="18"/>
                      <w:u w:val="none" w:color="auto"/>
                    </w:rPr>
                    <w:t>大型车</w:t>
                  </w:r>
                </w:p>
              </w:tc>
              <w:tc>
                <w:tcPr>
                  <w:tcW w:w="771" w:type="dxa"/>
                  <w:tcBorders>
                    <w:tl2br w:val="nil"/>
                    <w:tr2bl w:val="nil"/>
                  </w:tcBorders>
                  <w:vAlign w:val="top"/>
                </w:tcPr>
                <w:p w14:paraId="06B6AE4E">
                  <w:pPr>
                    <w:pStyle w:val="81"/>
                    <w:spacing w:before="74" w:line="219" w:lineRule="auto"/>
                    <w:ind w:left="151"/>
                    <w:rPr>
                      <w:color w:val="auto"/>
                      <w:sz w:val="18"/>
                      <w:szCs w:val="18"/>
                      <w:u w:val="none" w:color="auto"/>
                    </w:rPr>
                  </w:pPr>
                  <w:r>
                    <w:rPr>
                      <w:color w:val="auto"/>
                      <w:spacing w:val="-4"/>
                      <w:sz w:val="18"/>
                      <w:szCs w:val="18"/>
                      <w:u w:val="none" w:color="auto"/>
                    </w:rPr>
                    <w:t>小型车</w:t>
                  </w:r>
                </w:p>
              </w:tc>
              <w:tc>
                <w:tcPr>
                  <w:tcW w:w="772" w:type="dxa"/>
                  <w:tcBorders>
                    <w:tl2br w:val="nil"/>
                    <w:tr2bl w:val="nil"/>
                  </w:tcBorders>
                  <w:vAlign w:val="top"/>
                </w:tcPr>
                <w:p w14:paraId="36E4A105">
                  <w:pPr>
                    <w:pStyle w:val="81"/>
                    <w:spacing w:before="74" w:line="219" w:lineRule="auto"/>
                    <w:ind w:left="165"/>
                    <w:rPr>
                      <w:color w:val="auto"/>
                      <w:sz w:val="18"/>
                      <w:szCs w:val="18"/>
                      <w:u w:val="none" w:color="auto"/>
                    </w:rPr>
                  </w:pPr>
                  <w:r>
                    <w:rPr>
                      <w:color w:val="auto"/>
                      <w:spacing w:val="-8"/>
                      <w:sz w:val="18"/>
                      <w:szCs w:val="18"/>
                      <w:u w:val="none" w:color="auto"/>
                    </w:rPr>
                    <w:t>中型车</w:t>
                  </w:r>
                </w:p>
              </w:tc>
              <w:tc>
                <w:tcPr>
                  <w:tcW w:w="773" w:type="dxa"/>
                  <w:tcBorders>
                    <w:tl2br w:val="nil"/>
                    <w:tr2bl w:val="nil"/>
                  </w:tcBorders>
                  <w:vAlign w:val="top"/>
                </w:tcPr>
                <w:p w14:paraId="5693D6F7">
                  <w:pPr>
                    <w:pStyle w:val="81"/>
                    <w:spacing w:before="74" w:line="219" w:lineRule="auto"/>
                    <w:ind w:left="152"/>
                    <w:rPr>
                      <w:color w:val="auto"/>
                      <w:sz w:val="18"/>
                      <w:szCs w:val="18"/>
                      <w:u w:val="none" w:color="auto"/>
                    </w:rPr>
                  </w:pPr>
                  <w:r>
                    <w:rPr>
                      <w:color w:val="auto"/>
                      <w:spacing w:val="-4"/>
                      <w:sz w:val="18"/>
                      <w:szCs w:val="18"/>
                      <w:u w:val="none" w:color="auto"/>
                    </w:rPr>
                    <w:t>大型车</w:t>
                  </w:r>
                </w:p>
              </w:tc>
              <w:tc>
                <w:tcPr>
                  <w:tcW w:w="770" w:type="dxa"/>
                  <w:tcBorders>
                    <w:tl2br w:val="nil"/>
                    <w:tr2bl w:val="nil"/>
                  </w:tcBorders>
                  <w:vAlign w:val="top"/>
                </w:tcPr>
                <w:p w14:paraId="3E357C64">
                  <w:pPr>
                    <w:pStyle w:val="81"/>
                    <w:spacing w:before="74" w:line="219" w:lineRule="auto"/>
                    <w:ind w:left="157"/>
                    <w:rPr>
                      <w:color w:val="auto"/>
                      <w:sz w:val="18"/>
                      <w:szCs w:val="18"/>
                      <w:u w:val="none" w:color="auto"/>
                    </w:rPr>
                  </w:pPr>
                  <w:r>
                    <w:rPr>
                      <w:color w:val="auto"/>
                      <w:spacing w:val="-4"/>
                      <w:sz w:val="18"/>
                      <w:szCs w:val="18"/>
                      <w:u w:val="none" w:color="auto"/>
                    </w:rPr>
                    <w:t>小型车</w:t>
                  </w:r>
                </w:p>
              </w:tc>
              <w:tc>
                <w:tcPr>
                  <w:tcW w:w="772" w:type="dxa"/>
                  <w:tcBorders>
                    <w:tl2br w:val="nil"/>
                    <w:tr2bl w:val="nil"/>
                  </w:tcBorders>
                  <w:vAlign w:val="top"/>
                </w:tcPr>
                <w:p w14:paraId="001C78E0">
                  <w:pPr>
                    <w:pStyle w:val="81"/>
                    <w:spacing w:before="74" w:line="219" w:lineRule="auto"/>
                    <w:ind w:left="175"/>
                    <w:rPr>
                      <w:color w:val="auto"/>
                      <w:sz w:val="18"/>
                      <w:szCs w:val="18"/>
                      <w:u w:val="none" w:color="auto"/>
                    </w:rPr>
                  </w:pPr>
                  <w:r>
                    <w:rPr>
                      <w:color w:val="auto"/>
                      <w:spacing w:val="-8"/>
                      <w:sz w:val="18"/>
                      <w:szCs w:val="18"/>
                      <w:u w:val="none" w:color="auto"/>
                    </w:rPr>
                    <w:t>中型车</w:t>
                  </w:r>
                </w:p>
              </w:tc>
              <w:tc>
                <w:tcPr>
                  <w:tcW w:w="798" w:type="dxa"/>
                  <w:tcBorders>
                    <w:tl2br w:val="nil"/>
                    <w:tr2bl w:val="nil"/>
                  </w:tcBorders>
                  <w:vAlign w:val="top"/>
                </w:tcPr>
                <w:p w14:paraId="02DBA628">
                  <w:pPr>
                    <w:pStyle w:val="81"/>
                    <w:spacing w:before="74" w:line="219" w:lineRule="auto"/>
                    <w:ind w:left="168"/>
                    <w:rPr>
                      <w:color w:val="auto"/>
                      <w:sz w:val="18"/>
                      <w:szCs w:val="18"/>
                      <w:u w:val="none" w:color="auto"/>
                    </w:rPr>
                  </w:pPr>
                  <w:r>
                    <w:rPr>
                      <w:color w:val="auto"/>
                      <w:spacing w:val="-4"/>
                      <w:sz w:val="18"/>
                      <w:szCs w:val="18"/>
                      <w:u w:val="none" w:color="auto"/>
                    </w:rPr>
                    <w:t>大型车</w:t>
                  </w:r>
                </w:p>
              </w:tc>
            </w:tr>
            <w:tr w14:paraId="4DA88D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42" w:type="dxa"/>
                  <w:tcBorders>
                    <w:tl2br w:val="nil"/>
                    <w:tr2bl w:val="nil"/>
                  </w:tcBorders>
                  <w:vAlign w:val="top"/>
                </w:tcPr>
                <w:p w14:paraId="6AAACBCF">
                  <w:pPr>
                    <w:pStyle w:val="81"/>
                    <w:spacing w:before="63" w:line="220" w:lineRule="auto"/>
                    <w:ind w:left="101"/>
                    <w:rPr>
                      <w:color w:val="auto"/>
                      <w:sz w:val="20"/>
                      <w:szCs w:val="20"/>
                      <w:u w:val="none" w:color="auto"/>
                    </w:rPr>
                  </w:pPr>
                  <w:r>
                    <w:rPr>
                      <w:rFonts w:ascii="Times New Roman" w:hAnsi="Times New Roman" w:eastAsia="Times New Roman" w:cs="Times New Roman"/>
                      <w:color w:val="auto"/>
                      <w:spacing w:val="3"/>
                      <w:sz w:val="20"/>
                      <w:szCs w:val="20"/>
                      <w:u w:val="none" w:color="auto"/>
                    </w:rPr>
                    <w:t>202</w:t>
                  </w:r>
                  <w:r>
                    <w:rPr>
                      <w:rFonts w:hint="eastAsia" w:ascii="Times New Roman" w:hAnsi="Times New Roman" w:eastAsia="宋体" w:cs="Times New Roman"/>
                      <w:color w:val="auto"/>
                      <w:spacing w:val="3"/>
                      <w:sz w:val="20"/>
                      <w:szCs w:val="20"/>
                      <w:u w:val="none" w:color="auto"/>
                      <w:lang w:val="en-US" w:eastAsia="zh-CN"/>
                    </w:rPr>
                    <w:t>7</w:t>
                  </w:r>
                  <w:r>
                    <w:rPr>
                      <w:color w:val="auto"/>
                      <w:spacing w:val="3"/>
                      <w:sz w:val="20"/>
                      <w:szCs w:val="20"/>
                      <w:u w:val="none" w:color="auto"/>
                    </w:rPr>
                    <w:t>年</w:t>
                  </w:r>
                </w:p>
              </w:tc>
              <w:tc>
                <w:tcPr>
                  <w:tcW w:w="753" w:type="dxa"/>
                  <w:tcBorders>
                    <w:tl2br w:val="nil"/>
                    <w:tr2bl w:val="nil"/>
                  </w:tcBorders>
                  <w:vAlign w:val="top"/>
                </w:tcPr>
                <w:p w14:paraId="5E5B57EC">
                  <w:pPr>
                    <w:spacing w:before="99" w:line="195" w:lineRule="auto"/>
                    <w:ind w:left="21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65.7</w:t>
                  </w:r>
                </w:p>
              </w:tc>
              <w:tc>
                <w:tcPr>
                  <w:tcW w:w="753" w:type="dxa"/>
                  <w:tcBorders>
                    <w:tl2br w:val="nil"/>
                    <w:tr2bl w:val="nil"/>
                  </w:tcBorders>
                  <w:vAlign w:val="top"/>
                </w:tcPr>
                <w:p w14:paraId="78A8B61F">
                  <w:pPr>
                    <w:spacing w:before="99" w:line="195" w:lineRule="auto"/>
                    <w:ind w:left="21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65.3</w:t>
                  </w:r>
                </w:p>
              </w:tc>
              <w:tc>
                <w:tcPr>
                  <w:tcW w:w="755" w:type="dxa"/>
                  <w:tcBorders>
                    <w:tl2br w:val="nil"/>
                    <w:tr2bl w:val="nil"/>
                  </w:tcBorders>
                  <w:vAlign w:val="top"/>
                </w:tcPr>
                <w:p w14:paraId="11E749A3">
                  <w:pPr>
                    <w:spacing w:before="99" w:line="195" w:lineRule="auto"/>
                    <w:ind w:left="22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72.6</w:t>
                  </w:r>
                </w:p>
              </w:tc>
              <w:tc>
                <w:tcPr>
                  <w:tcW w:w="771" w:type="dxa"/>
                  <w:tcBorders>
                    <w:tl2br w:val="nil"/>
                    <w:tr2bl w:val="nil"/>
                  </w:tcBorders>
                  <w:vAlign w:val="top"/>
                </w:tcPr>
                <w:p w14:paraId="2EFA4889">
                  <w:pPr>
                    <w:spacing w:before="99" w:line="195" w:lineRule="auto"/>
                    <w:ind w:left="2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65.5</w:t>
                  </w:r>
                </w:p>
              </w:tc>
              <w:tc>
                <w:tcPr>
                  <w:tcW w:w="772" w:type="dxa"/>
                  <w:tcBorders>
                    <w:tl2br w:val="nil"/>
                    <w:tr2bl w:val="nil"/>
                  </w:tcBorders>
                  <w:vAlign w:val="top"/>
                </w:tcPr>
                <w:p w14:paraId="4387B5E8">
                  <w:pPr>
                    <w:spacing w:before="99" w:line="195" w:lineRule="auto"/>
                    <w:ind w:left="2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64.9</w:t>
                  </w:r>
                </w:p>
              </w:tc>
              <w:tc>
                <w:tcPr>
                  <w:tcW w:w="773" w:type="dxa"/>
                  <w:tcBorders>
                    <w:tl2br w:val="nil"/>
                    <w:tr2bl w:val="nil"/>
                  </w:tcBorders>
                  <w:vAlign w:val="top"/>
                </w:tcPr>
                <w:p w14:paraId="05876CDD">
                  <w:pPr>
                    <w:spacing w:before="99" w:line="195" w:lineRule="auto"/>
                    <w:ind w:left="23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72.3</w:t>
                  </w:r>
                </w:p>
              </w:tc>
              <w:tc>
                <w:tcPr>
                  <w:tcW w:w="770" w:type="dxa"/>
                  <w:tcBorders>
                    <w:tl2br w:val="nil"/>
                    <w:tr2bl w:val="nil"/>
                  </w:tcBorders>
                  <w:vAlign w:val="top"/>
                </w:tcPr>
                <w:p w14:paraId="64FFC5C0">
                  <w:pPr>
                    <w:spacing w:before="99" w:line="195" w:lineRule="auto"/>
                    <w:ind w:left="24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69.3</w:t>
                  </w:r>
                </w:p>
              </w:tc>
              <w:tc>
                <w:tcPr>
                  <w:tcW w:w="772" w:type="dxa"/>
                  <w:tcBorders>
                    <w:tl2br w:val="nil"/>
                    <w:tr2bl w:val="nil"/>
                  </w:tcBorders>
                  <w:vAlign w:val="top"/>
                </w:tcPr>
                <w:p w14:paraId="1F28CD9D">
                  <w:pPr>
                    <w:spacing w:before="99" w:line="195" w:lineRule="auto"/>
                    <w:ind w:left="24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72.</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98" w:type="dxa"/>
                  <w:tcBorders>
                    <w:tl2br w:val="nil"/>
                    <w:tr2bl w:val="nil"/>
                  </w:tcBorders>
                  <w:vAlign w:val="top"/>
                </w:tcPr>
                <w:p w14:paraId="6DC3246A">
                  <w:pPr>
                    <w:spacing w:before="99"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78.9</w:t>
                  </w:r>
                </w:p>
              </w:tc>
            </w:tr>
            <w:tr w14:paraId="55B239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42" w:type="dxa"/>
                  <w:tcBorders>
                    <w:tl2br w:val="nil"/>
                    <w:tr2bl w:val="nil"/>
                  </w:tcBorders>
                  <w:vAlign w:val="top"/>
                </w:tcPr>
                <w:p w14:paraId="2F954E23">
                  <w:pPr>
                    <w:pStyle w:val="81"/>
                    <w:spacing w:before="68" w:line="216" w:lineRule="auto"/>
                    <w:ind w:left="101"/>
                    <w:rPr>
                      <w:color w:val="auto"/>
                      <w:sz w:val="20"/>
                      <w:szCs w:val="20"/>
                      <w:u w:val="none" w:color="auto"/>
                    </w:rPr>
                  </w:pPr>
                  <w:r>
                    <w:rPr>
                      <w:rFonts w:ascii="Times New Roman" w:hAnsi="Times New Roman" w:eastAsia="Times New Roman" w:cs="Times New Roman"/>
                      <w:color w:val="auto"/>
                      <w:spacing w:val="3"/>
                      <w:sz w:val="20"/>
                      <w:szCs w:val="20"/>
                      <w:u w:val="none" w:color="auto"/>
                    </w:rPr>
                    <w:t>203</w:t>
                  </w:r>
                  <w:r>
                    <w:rPr>
                      <w:rFonts w:hint="eastAsia" w:ascii="Times New Roman" w:hAnsi="Times New Roman" w:eastAsia="宋体" w:cs="Times New Roman"/>
                      <w:color w:val="auto"/>
                      <w:spacing w:val="3"/>
                      <w:sz w:val="20"/>
                      <w:szCs w:val="20"/>
                      <w:u w:val="none" w:color="auto"/>
                      <w:lang w:val="en-US" w:eastAsia="zh-CN"/>
                    </w:rPr>
                    <w:t>3</w:t>
                  </w:r>
                  <w:r>
                    <w:rPr>
                      <w:color w:val="auto"/>
                      <w:spacing w:val="3"/>
                      <w:sz w:val="20"/>
                      <w:szCs w:val="20"/>
                      <w:u w:val="none" w:color="auto"/>
                    </w:rPr>
                    <w:t>年</w:t>
                  </w:r>
                </w:p>
              </w:tc>
              <w:tc>
                <w:tcPr>
                  <w:tcW w:w="753" w:type="dxa"/>
                  <w:tcBorders>
                    <w:tl2br w:val="nil"/>
                    <w:tr2bl w:val="nil"/>
                  </w:tcBorders>
                  <w:vAlign w:val="top"/>
                </w:tcPr>
                <w:p w14:paraId="0E0DBD0D">
                  <w:pPr>
                    <w:spacing w:before="103" w:line="195" w:lineRule="auto"/>
                    <w:ind w:left="21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64.0</w:t>
                  </w:r>
                </w:p>
              </w:tc>
              <w:tc>
                <w:tcPr>
                  <w:tcW w:w="753" w:type="dxa"/>
                  <w:tcBorders>
                    <w:tl2br w:val="nil"/>
                    <w:tr2bl w:val="nil"/>
                  </w:tcBorders>
                  <w:vAlign w:val="top"/>
                </w:tcPr>
                <w:p w14:paraId="3A73952F">
                  <w:pPr>
                    <w:spacing w:before="103" w:line="195" w:lineRule="auto"/>
                    <w:ind w:left="21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65.2</w:t>
                  </w:r>
                </w:p>
              </w:tc>
              <w:tc>
                <w:tcPr>
                  <w:tcW w:w="755" w:type="dxa"/>
                  <w:tcBorders>
                    <w:tl2br w:val="nil"/>
                    <w:tr2bl w:val="nil"/>
                  </w:tcBorders>
                  <w:vAlign w:val="top"/>
                </w:tcPr>
                <w:p w14:paraId="20153F73">
                  <w:pPr>
                    <w:spacing w:before="103" w:line="195" w:lineRule="auto"/>
                    <w:ind w:left="22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72.6</w:t>
                  </w:r>
                </w:p>
              </w:tc>
              <w:tc>
                <w:tcPr>
                  <w:tcW w:w="771" w:type="dxa"/>
                  <w:tcBorders>
                    <w:tl2br w:val="nil"/>
                    <w:tr2bl w:val="nil"/>
                  </w:tcBorders>
                  <w:vAlign w:val="top"/>
                </w:tcPr>
                <w:p w14:paraId="71B0DCDA">
                  <w:pPr>
                    <w:spacing w:before="103" w:line="195" w:lineRule="auto"/>
                    <w:ind w:left="2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65.2</w:t>
                  </w:r>
                </w:p>
              </w:tc>
              <w:tc>
                <w:tcPr>
                  <w:tcW w:w="772" w:type="dxa"/>
                  <w:tcBorders>
                    <w:tl2br w:val="nil"/>
                    <w:tr2bl w:val="nil"/>
                  </w:tcBorders>
                  <w:vAlign w:val="top"/>
                </w:tcPr>
                <w:p w14:paraId="5A8E5483">
                  <w:pPr>
                    <w:spacing w:before="103" w:line="195" w:lineRule="auto"/>
                    <w:ind w:left="2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65.</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73" w:type="dxa"/>
                  <w:tcBorders>
                    <w:tl2br w:val="nil"/>
                    <w:tr2bl w:val="nil"/>
                  </w:tcBorders>
                  <w:vAlign w:val="top"/>
                </w:tcPr>
                <w:p w14:paraId="6C8AE3C6">
                  <w:pPr>
                    <w:spacing w:before="103" w:line="195" w:lineRule="auto"/>
                    <w:ind w:left="23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72.4</w:t>
                  </w:r>
                </w:p>
              </w:tc>
              <w:tc>
                <w:tcPr>
                  <w:tcW w:w="770" w:type="dxa"/>
                  <w:tcBorders>
                    <w:tl2br w:val="nil"/>
                    <w:tr2bl w:val="nil"/>
                  </w:tcBorders>
                  <w:vAlign w:val="top"/>
                </w:tcPr>
                <w:p w14:paraId="1050D3AB">
                  <w:pPr>
                    <w:spacing w:before="103" w:line="195" w:lineRule="auto"/>
                    <w:ind w:left="24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67.</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72" w:type="dxa"/>
                  <w:tcBorders>
                    <w:tl2br w:val="nil"/>
                    <w:tr2bl w:val="nil"/>
                  </w:tcBorders>
                  <w:vAlign w:val="top"/>
                </w:tcPr>
                <w:p w14:paraId="3F6CEB28">
                  <w:pPr>
                    <w:spacing w:before="103" w:line="195" w:lineRule="auto"/>
                    <w:ind w:left="24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70.9</w:t>
                  </w:r>
                </w:p>
              </w:tc>
              <w:tc>
                <w:tcPr>
                  <w:tcW w:w="798" w:type="dxa"/>
                  <w:tcBorders>
                    <w:tl2br w:val="nil"/>
                    <w:tr2bl w:val="nil"/>
                  </w:tcBorders>
                  <w:vAlign w:val="top"/>
                </w:tcPr>
                <w:p w14:paraId="174792BD">
                  <w:pPr>
                    <w:spacing w:before="103"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78.4</w:t>
                  </w:r>
                </w:p>
              </w:tc>
            </w:tr>
            <w:tr w14:paraId="0D1DF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842" w:type="dxa"/>
                  <w:tcBorders>
                    <w:tl2br w:val="nil"/>
                    <w:tr2bl w:val="nil"/>
                  </w:tcBorders>
                  <w:vAlign w:val="top"/>
                </w:tcPr>
                <w:p w14:paraId="4A22DABD">
                  <w:pPr>
                    <w:pStyle w:val="81"/>
                    <w:spacing w:before="72" w:line="228" w:lineRule="auto"/>
                    <w:ind w:left="101"/>
                    <w:rPr>
                      <w:color w:val="auto"/>
                      <w:sz w:val="20"/>
                      <w:szCs w:val="20"/>
                      <w:u w:val="none" w:color="auto"/>
                    </w:rPr>
                  </w:pPr>
                  <w:r>
                    <w:rPr>
                      <w:rFonts w:ascii="Times New Roman" w:hAnsi="Times New Roman" w:eastAsia="Times New Roman" w:cs="Times New Roman"/>
                      <w:color w:val="auto"/>
                      <w:spacing w:val="3"/>
                      <w:sz w:val="20"/>
                      <w:szCs w:val="20"/>
                      <w:u w:val="none" w:color="auto"/>
                    </w:rPr>
                    <w:t>204</w:t>
                  </w:r>
                  <w:r>
                    <w:rPr>
                      <w:rFonts w:hint="eastAsia" w:ascii="Times New Roman" w:hAnsi="Times New Roman" w:eastAsia="宋体" w:cs="Times New Roman"/>
                      <w:color w:val="auto"/>
                      <w:spacing w:val="3"/>
                      <w:sz w:val="20"/>
                      <w:szCs w:val="20"/>
                      <w:u w:val="none" w:color="auto"/>
                      <w:lang w:val="en-US" w:eastAsia="zh-CN"/>
                    </w:rPr>
                    <w:t>1</w:t>
                  </w:r>
                  <w:r>
                    <w:rPr>
                      <w:color w:val="auto"/>
                      <w:spacing w:val="3"/>
                      <w:sz w:val="20"/>
                      <w:szCs w:val="20"/>
                      <w:u w:val="none" w:color="auto"/>
                    </w:rPr>
                    <w:t>年</w:t>
                  </w:r>
                </w:p>
              </w:tc>
              <w:tc>
                <w:tcPr>
                  <w:tcW w:w="753" w:type="dxa"/>
                  <w:tcBorders>
                    <w:tl2br w:val="nil"/>
                    <w:tr2bl w:val="nil"/>
                  </w:tcBorders>
                  <w:vAlign w:val="top"/>
                </w:tcPr>
                <w:p w14:paraId="050019FF">
                  <w:pPr>
                    <w:spacing w:before="108" w:line="195" w:lineRule="auto"/>
                    <w:ind w:left="21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63.</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53" w:type="dxa"/>
                  <w:tcBorders>
                    <w:tl2br w:val="nil"/>
                    <w:tr2bl w:val="nil"/>
                  </w:tcBorders>
                  <w:vAlign w:val="top"/>
                </w:tcPr>
                <w:p w14:paraId="2931D67F">
                  <w:pPr>
                    <w:spacing w:before="108" w:line="195" w:lineRule="auto"/>
                    <w:ind w:left="21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65.0</w:t>
                  </w:r>
                </w:p>
              </w:tc>
              <w:tc>
                <w:tcPr>
                  <w:tcW w:w="755" w:type="dxa"/>
                  <w:tcBorders>
                    <w:tl2br w:val="nil"/>
                    <w:tr2bl w:val="nil"/>
                  </w:tcBorders>
                  <w:vAlign w:val="top"/>
                </w:tcPr>
                <w:p w14:paraId="0947C140">
                  <w:pPr>
                    <w:spacing w:before="108" w:line="195" w:lineRule="auto"/>
                    <w:ind w:left="22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72.5</w:t>
                  </w:r>
                </w:p>
              </w:tc>
              <w:tc>
                <w:tcPr>
                  <w:tcW w:w="771" w:type="dxa"/>
                  <w:tcBorders>
                    <w:tl2br w:val="nil"/>
                    <w:tr2bl w:val="nil"/>
                  </w:tcBorders>
                  <w:vAlign w:val="top"/>
                </w:tcPr>
                <w:p w14:paraId="4913E4BE">
                  <w:pPr>
                    <w:spacing w:before="108" w:line="195" w:lineRule="auto"/>
                    <w:ind w:left="2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64.9</w:t>
                  </w:r>
                </w:p>
              </w:tc>
              <w:tc>
                <w:tcPr>
                  <w:tcW w:w="772" w:type="dxa"/>
                  <w:tcBorders>
                    <w:tl2br w:val="nil"/>
                    <w:tr2bl w:val="nil"/>
                  </w:tcBorders>
                  <w:vAlign w:val="top"/>
                </w:tcPr>
                <w:p w14:paraId="323EFE44">
                  <w:pPr>
                    <w:spacing w:before="108" w:line="195" w:lineRule="auto"/>
                    <w:ind w:left="2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65.2</w:t>
                  </w:r>
                </w:p>
              </w:tc>
              <w:tc>
                <w:tcPr>
                  <w:tcW w:w="773" w:type="dxa"/>
                  <w:tcBorders>
                    <w:tl2br w:val="nil"/>
                    <w:tr2bl w:val="nil"/>
                  </w:tcBorders>
                  <w:vAlign w:val="top"/>
                </w:tcPr>
                <w:p w14:paraId="30C9429E">
                  <w:pPr>
                    <w:spacing w:before="108" w:line="195" w:lineRule="auto"/>
                    <w:ind w:left="23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72.5</w:t>
                  </w:r>
                </w:p>
              </w:tc>
              <w:tc>
                <w:tcPr>
                  <w:tcW w:w="770" w:type="dxa"/>
                  <w:tcBorders>
                    <w:tl2br w:val="nil"/>
                    <w:tr2bl w:val="nil"/>
                  </w:tcBorders>
                  <w:vAlign w:val="top"/>
                </w:tcPr>
                <w:p w14:paraId="21888E35">
                  <w:pPr>
                    <w:spacing w:before="108" w:line="195" w:lineRule="auto"/>
                    <w:ind w:left="24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64.6</w:t>
                  </w:r>
                </w:p>
              </w:tc>
              <w:tc>
                <w:tcPr>
                  <w:tcW w:w="772" w:type="dxa"/>
                  <w:tcBorders>
                    <w:tl2br w:val="nil"/>
                    <w:tr2bl w:val="nil"/>
                  </w:tcBorders>
                  <w:vAlign w:val="top"/>
                </w:tcPr>
                <w:p w14:paraId="2111F987">
                  <w:pPr>
                    <w:spacing w:before="108" w:line="195" w:lineRule="auto"/>
                    <w:ind w:left="24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69.5</w:t>
                  </w:r>
                </w:p>
              </w:tc>
              <w:tc>
                <w:tcPr>
                  <w:tcW w:w="798" w:type="dxa"/>
                  <w:tcBorders>
                    <w:tl2br w:val="nil"/>
                    <w:tr2bl w:val="nil"/>
                  </w:tcBorders>
                  <w:vAlign w:val="top"/>
                </w:tcPr>
                <w:p w14:paraId="6C6ED759">
                  <w:pPr>
                    <w:spacing w:before="108"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77.6</w:t>
                  </w:r>
                </w:p>
              </w:tc>
            </w:tr>
          </w:tbl>
          <w:p w14:paraId="5A017F60">
            <w:pPr>
              <w:keepNext w:val="0"/>
              <w:keepLines w:val="0"/>
              <w:pageBreakBefore w:val="0"/>
              <w:widowControl w:val="0"/>
              <w:kinsoku/>
              <w:wordWrap/>
              <w:overflowPunct/>
              <w:topLinePunct w:val="0"/>
              <w:autoSpaceDE/>
              <w:autoSpaceDN/>
              <w:bidi w:val="0"/>
              <w:adjustRightInd w:val="0"/>
              <w:snapToGrid w:val="0"/>
              <w:spacing w:line="360" w:lineRule="auto"/>
              <w:ind w:left="0" w:right="0" w:firstLine="424" w:firstLineChars="200"/>
              <w:textAlignment w:val="auto"/>
              <w:rPr>
                <w:rFonts w:ascii="宋体" w:hAnsi="宋体" w:eastAsia="宋体" w:cs="宋体"/>
                <w:color w:val="auto"/>
                <w:spacing w:val="6"/>
                <w:sz w:val="20"/>
                <w:szCs w:val="20"/>
                <w:u w:val="none" w:color="auto"/>
              </w:rPr>
            </w:pPr>
            <w:r>
              <w:rPr>
                <w:rFonts w:ascii="宋体" w:hAnsi="宋体" w:eastAsia="宋体" w:cs="宋体"/>
                <w:color w:val="auto"/>
                <w:spacing w:val="6"/>
                <w:sz w:val="20"/>
                <w:szCs w:val="20"/>
                <w:u w:val="none" w:color="auto"/>
              </w:rPr>
              <w:t>备注：路面昼间限制大型车辆行驶；昼间指</w:t>
            </w:r>
            <w:r>
              <w:rPr>
                <w:rFonts w:ascii="宋体" w:hAnsi="宋体" w:eastAsia="宋体" w:cs="宋体"/>
                <w:color w:val="auto"/>
                <w:spacing w:val="-38"/>
                <w:sz w:val="20"/>
                <w:szCs w:val="20"/>
                <w:u w:val="none" w:color="auto"/>
              </w:rPr>
              <w:t xml:space="preserve"> </w:t>
            </w:r>
            <w:r>
              <w:rPr>
                <w:rFonts w:ascii="Times New Roman" w:hAnsi="Times New Roman" w:eastAsia="Times New Roman" w:cs="Times New Roman"/>
                <w:color w:val="auto"/>
                <w:spacing w:val="6"/>
                <w:sz w:val="20"/>
                <w:szCs w:val="20"/>
                <w:u w:val="none" w:color="auto"/>
              </w:rPr>
              <w:t>6:00-22:00</w:t>
            </w:r>
            <w:r>
              <w:rPr>
                <w:rFonts w:ascii="宋体" w:hAnsi="宋体" w:eastAsia="宋体" w:cs="宋体"/>
                <w:color w:val="auto"/>
                <w:spacing w:val="6"/>
                <w:sz w:val="20"/>
                <w:szCs w:val="20"/>
                <w:u w:val="none" w:color="auto"/>
              </w:rPr>
              <w:t>时段；夜间指</w:t>
            </w:r>
            <w:r>
              <w:rPr>
                <w:rFonts w:ascii="宋体" w:hAnsi="宋体" w:eastAsia="宋体" w:cs="宋体"/>
                <w:color w:val="auto"/>
                <w:spacing w:val="-41"/>
                <w:sz w:val="20"/>
                <w:szCs w:val="20"/>
                <w:u w:val="none" w:color="auto"/>
              </w:rPr>
              <w:t xml:space="preserve"> </w:t>
            </w:r>
            <w:r>
              <w:rPr>
                <w:rFonts w:ascii="Times New Roman" w:hAnsi="Times New Roman" w:eastAsia="Times New Roman" w:cs="Times New Roman"/>
                <w:color w:val="auto"/>
                <w:spacing w:val="6"/>
                <w:sz w:val="20"/>
                <w:szCs w:val="20"/>
                <w:u w:val="none" w:color="auto"/>
              </w:rPr>
              <w:t>22:00-6:00</w:t>
            </w:r>
            <w:r>
              <w:rPr>
                <w:rFonts w:ascii="宋体" w:hAnsi="宋体" w:eastAsia="宋体" w:cs="宋体"/>
                <w:color w:val="auto"/>
                <w:spacing w:val="6"/>
                <w:sz w:val="20"/>
                <w:szCs w:val="20"/>
                <w:u w:val="none" w:color="auto"/>
              </w:rPr>
              <w:t>时段。</w:t>
            </w:r>
          </w:p>
          <w:p w14:paraId="18DA1308">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4"/>
                <w:szCs w:val="24"/>
                <w:u w:val="none" w:color="auto"/>
                <w:lang w:val="en-US" w:eastAsia="zh-CN" w:bidi="ar-SA"/>
              </w:rPr>
            </w:pPr>
            <w:bookmarkStart w:id="20" w:name="_Toc6498"/>
            <w:bookmarkStart w:id="21" w:name="_Toc1866"/>
            <w:bookmarkStart w:id="22" w:name="_Toc31523"/>
            <w:r>
              <w:rPr>
                <w:rFonts w:hint="eastAsia" w:ascii="Times New Roman" w:hAnsi="Times New Roman" w:eastAsia="宋体" w:cs="Times New Roman"/>
                <w:b/>
                <w:bCs/>
                <w:color w:val="auto"/>
                <w:kern w:val="2"/>
                <w:sz w:val="24"/>
                <w:szCs w:val="24"/>
                <w:u w:val="none" w:color="auto"/>
                <w:lang w:val="en-US" w:eastAsia="zh-CN" w:bidi="ar-SA"/>
              </w:rPr>
              <w:t>二、交通噪声影响预测模式</w:t>
            </w:r>
            <w:bookmarkEnd w:id="20"/>
            <w:bookmarkEnd w:id="21"/>
            <w:bookmarkEnd w:id="22"/>
          </w:p>
          <w:p w14:paraId="69A95233">
            <w:pPr>
              <w:spacing w:before="78" w:line="219" w:lineRule="auto"/>
              <w:ind w:left="29"/>
              <w:rPr>
                <w:rFonts w:ascii="宋体" w:hAnsi="宋体" w:eastAsia="宋体" w:cs="宋体"/>
                <w:color w:val="auto"/>
                <w:sz w:val="24"/>
                <w:szCs w:val="24"/>
                <w:u w:val="none" w:color="auto"/>
              </w:rPr>
            </w:pPr>
            <w:r>
              <w:rPr>
                <w:rFonts w:hint="eastAsia" w:cs="Times New Roman"/>
                <w:b/>
                <w:bCs/>
                <w:color w:val="auto"/>
                <w:spacing w:val="-2"/>
                <w:sz w:val="24"/>
                <w:szCs w:val="24"/>
                <w:u w:val="none" w:color="auto"/>
                <w:lang w:val="en-US" w:eastAsia="zh-CN"/>
              </w:rPr>
              <w:t>1）</w:t>
            </w:r>
            <w:r>
              <w:rPr>
                <w:rFonts w:ascii="宋体" w:hAnsi="宋体" w:eastAsia="宋体" w:cs="宋体"/>
                <w:b/>
                <w:bCs/>
                <w:color w:val="auto"/>
                <w:spacing w:val="-2"/>
                <w:sz w:val="24"/>
                <w:szCs w:val="24"/>
                <w:u w:val="none" w:color="auto"/>
              </w:rPr>
              <w:t>预测模式</w:t>
            </w:r>
          </w:p>
          <w:p w14:paraId="6CA65519">
            <w:pPr>
              <w:spacing w:before="184" w:line="353" w:lineRule="auto"/>
              <w:ind w:left="37" w:firstLine="477"/>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参考《环境影响评价技术导则  声环境》</w:t>
            </w:r>
            <w:r>
              <w:rPr>
                <w:rFonts w:ascii="Times New Roman" w:hAnsi="Times New Roman" w:eastAsia="Times New Roman" w:cs="Times New Roman"/>
                <w:color w:val="auto"/>
                <w:spacing w:val="-4"/>
                <w:sz w:val="24"/>
                <w:szCs w:val="24"/>
                <w:u w:val="none" w:color="auto"/>
              </w:rPr>
              <w:t>(HJ2.4-2021)</w:t>
            </w:r>
            <w:r>
              <w:rPr>
                <w:rFonts w:ascii="宋体" w:hAnsi="宋体" w:eastAsia="宋体" w:cs="宋体"/>
                <w:color w:val="auto"/>
                <w:spacing w:val="-4"/>
                <w:sz w:val="24"/>
                <w:szCs w:val="24"/>
                <w:u w:val="none" w:color="auto"/>
              </w:rPr>
              <w:t>附录</w:t>
            </w:r>
            <w:r>
              <w:rPr>
                <w:rFonts w:ascii="宋体" w:hAnsi="宋体" w:eastAsia="宋体" w:cs="宋体"/>
                <w:color w:val="auto"/>
                <w:spacing w:val="-56"/>
                <w:sz w:val="24"/>
                <w:szCs w:val="24"/>
                <w:u w:val="none" w:color="auto"/>
              </w:rPr>
              <w:t xml:space="preserve"> </w:t>
            </w:r>
            <w:r>
              <w:rPr>
                <w:rFonts w:ascii="Times New Roman" w:hAnsi="Times New Roman" w:eastAsia="Times New Roman" w:cs="Times New Roman"/>
                <w:color w:val="auto"/>
                <w:spacing w:val="-4"/>
                <w:sz w:val="24"/>
                <w:szCs w:val="24"/>
                <w:u w:val="none" w:color="auto"/>
              </w:rPr>
              <w:t>B</w:t>
            </w:r>
            <w:r>
              <w:rPr>
                <w:rFonts w:ascii="Times New Roman" w:hAnsi="Times New Roman" w:eastAsia="Times New Roman" w:cs="Times New Roman"/>
                <w:color w:val="auto"/>
                <w:spacing w:val="33"/>
                <w:w w:val="101"/>
                <w:sz w:val="24"/>
                <w:szCs w:val="24"/>
                <w:u w:val="none" w:color="auto"/>
              </w:rPr>
              <w:t xml:space="preserve"> </w:t>
            </w:r>
            <w:r>
              <w:rPr>
                <w:rFonts w:ascii="宋体" w:hAnsi="宋体" w:eastAsia="宋体" w:cs="宋体"/>
                <w:color w:val="auto"/>
                <w:spacing w:val="-5"/>
                <w:sz w:val="24"/>
                <w:szCs w:val="24"/>
                <w:u w:val="none" w:color="auto"/>
              </w:rPr>
              <w:t>中公路（道路）</w:t>
            </w:r>
            <w:r>
              <w:rPr>
                <w:rFonts w:ascii="宋体" w:hAnsi="宋体" w:eastAsia="宋体" w:cs="宋体"/>
                <w:color w:val="auto"/>
                <w:spacing w:val="-2"/>
                <w:sz w:val="24"/>
                <w:szCs w:val="24"/>
                <w:u w:val="none" w:color="auto"/>
              </w:rPr>
              <w:t>交通运输噪声预测模型：</w:t>
            </w:r>
          </w:p>
          <w:p w14:paraId="334D6F32">
            <w:pPr>
              <w:spacing w:before="30" w:line="970" w:lineRule="exact"/>
              <w:ind w:firstLine="606"/>
              <w:rPr>
                <w:color w:val="auto"/>
                <w:u w:val="none" w:color="auto"/>
              </w:rPr>
            </w:pPr>
            <w:r>
              <w:rPr>
                <w:color w:val="auto"/>
                <w:position w:val="-19"/>
                <w:u w:val="none" w:color="auto"/>
              </w:rPr>
              <w:drawing>
                <wp:inline distT="0" distB="0" distL="0" distR="0">
                  <wp:extent cx="4528820" cy="615315"/>
                  <wp:effectExtent l="0" t="0" r="5080" b="13335"/>
                  <wp:docPr id="46" name="IM 60"/>
                  <wp:cNvGraphicFramePr/>
                  <a:graphic xmlns:a="http://schemas.openxmlformats.org/drawingml/2006/main">
                    <a:graphicData uri="http://schemas.openxmlformats.org/drawingml/2006/picture">
                      <pic:pic xmlns:pic="http://schemas.openxmlformats.org/drawingml/2006/picture">
                        <pic:nvPicPr>
                          <pic:cNvPr id="46" name="IM 60"/>
                          <pic:cNvPicPr/>
                        </pic:nvPicPr>
                        <pic:blipFill>
                          <a:blip r:embed="rId35"/>
                          <a:stretch>
                            <a:fillRect/>
                          </a:stretch>
                        </pic:blipFill>
                        <pic:spPr>
                          <a:xfrm>
                            <a:off x="0" y="0"/>
                            <a:ext cx="4529328" cy="615696"/>
                          </a:xfrm>
                          <a:prstGeom prst="rect">
                            <a:avLst/>
                          </a:prstGeom>
                        </pic:spPr>
                      </pic:pic>
                    </a:graphicData>
                  </a:graphic>
                </wp:inline>
              </w:drawing>
            </w:r>
          </w:p>
          <w:p w14:paraId="431ABA4A">
            <w:pPr>
              <w:spacing w:before="265" w:line="220" w:lineRule="auto"/>
              <w:ind w:left="517"/>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6E36028F">
            <w:pPr>
              <w:spacing w:before="182" w:line="210" w:lineRule="auto"/>
              <w:ind w:left="508"/>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Leq(h)</w:t>
            </w:r>
            <w:r>
              <w:rPr>
                <w:rFonts w:ascii="Times New Roman" w:hAnsi="Times New Roman" w:eastAsia="Times New Roman" w:cs="Times New Roman"/>
                <w:color w:val="auto"/>
                <w:spacing w:val="-1"/>
                <w:position w:val="-1"/>
                <w:sz w:val="15"/>
                <w:szCs w:val="15"/>
                <w:u w:val="none" w:color="auto"/>
              </w:rPr>
              <w:t>i</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第</w:t>
            </w:r>
            <w:r>
              <w:rPr>
                <w:rFonts w:ascii="宋体" w:hAnsi="宋体" w:eastAsia="宋体" w:cs="宋体"/>
                <w:color w:val="auto"/>
                <w:spacing w:val="-39"/>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i </w:t>
            </w:r>
            <w:r>
              <w:rPr>
                <w:rFonts w:ascii="宋体" w:hAnsi="宋体" w:eastAsia="宋体" w:cs="宋体"/>
                <w:color w:val="auto"/>
                <w:spacing w:val="-1"/>
                <w:sz w:val="24"/>
                <w:szCs w:val="24"/>
                <w:u w:val="none" w:color="auto"/>
              </w:rPr>
              <w:t>类车的小时等效声级，</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4C0FD2EF">
            <w:pPr>
              <w:spacing w:before="194" w:line="351" w:lineRule="auto"/>
              <w:ind w:left="31" w:right="85" w:firstLine="481"/>
              <w:rPr>
                <w:rFonts w:ascii="宋体" w:hAnsi="宋体" w:eastAsia="宋体" w:cs="宋体"/>
                <w:color w:val="auto"/>
                <w:sz w:val="24"/>
                <w:szCs w:val="24"/>
                <w:u w:val="none" w:color="auto"/>
              </w:rPr>
            </w:pPr>
            <w:r>
              <w:rPr>
                <w:rFonts w:ascii="Times New Roman" w:hAnsi="Times New Roman" w:eastAsia="Times New Roman" w:cs="Times New Roman"/>
                <w:color w:val="auto"/>
                <w:spacing w:val="-3"/>
                <w:sz w:val="24"/>
                <w:szCs w:val="24"/>
                <w:u w:val="none" w:color="auto"/>
              </w:rPr>
              <w:t>(L</w:t>
            </w:r>
            <w:r>
              <w:rPr>
                <w:rFonts w:ascii="Times New Roman" w:hAnsi="Times New Roman" w:eastAsia="Times New Roman" w:cs="Times New Roman"/>
                <w:color w:val="auto"/>
                <w:spacing w:val="-3"/>
                <w:position w:val="-1"/>
                <w:sz w:val="15"/>
                <w:szCs w:val="15"/>
                <w:u w:val="none" w:color="auto"/>
              </w:rPr>
              <w:t>0E</w:t>
            </w:r>
            <w:r>
              <w:rPr>
                <w:rFonts w:ascii="Times New Roman" w:hAnsi="Times New Roman" w:eastAsia="Times New Roman" w:cs="Times New Roman"/>
                <w:color w:val="auto"/>
                <w:spacing w:val="-3"/>
                <w:sz w:val="24"/>
                <w:szCs w:val="24"/>
                <w:u w:val="none" w:color="auto"/>
              </w:rPr>
              <w:t>)</w:t>
            </w:r>
            <w:r>
              <w:rPr>
                <w:rFonts w:ascii="Times New Roman" w:hAnsi="Times New Roman" w:eastAsia="Times New Roman" w:cs="Times New Roman"/>
                <w:color w:val="auto"/>
                <w:spacing w:val="-3"/>
                <w:position w:val="-1"/>
                <w:sz w:val="15"/>
                <w:szCs w:val="15"/>
                <w:u w:val="none" w:color="auto"/>
              </w:rPr>
              <w:t>i</w:t>
            </w:r>
            <w:r>
              <w:rPr>
                <w:rFonts w:ascii="Times New Roman" w:hAnsi="Times New Roman" w:eastAsia="Times New Roman" w:cs="Times New Roman"/>
                <w:color w:val="auto"/>
                <w:spacing w:val="-3"/>
                <w:sz w:val="24"/>
                <w:szCs w:val="24"/>
                <w:u w:val="none" w:color="auto"/>
              </w:rPr>
              <w:t>——</w:t>
            </w:r>
            <w:r>
              <w:rPr>
                <w:rFonts w:ascii="宋体" w:hAnsi="宋体" w:eastAsia="宋体" w:cs="宋体"/>
                <w:color w:val="auto"/>
                <w:spacing w:val="-3"/>
                <w:sz w:val="24"/>
                <w:szCs w:val="24"/>
                <w:u w:val="none" w:color="auto"/>
              </w:rPr>
              <w:t>第</w:t>
            </w:r>
            <w:r>
              <w:rPr>
                <w:rFonts w:ascii="宋体" w:hAnsi="宋体" w:eastAsia="宋体" w:cs="宋体"/>
                <w:color w:val="auto"/>
                <w:spacing w:val="-50"/>
                <w:sz w:val="24"/>
                <w:szCs w:val="24"/>
                <w:u w:val="none" w:color="auto"/>
              </w:rPr>
              <w:t xml:space="preserve"> </w:t>
            </w:r>
            <w:r>
              <w:rPr>
                <w:rFonts w:ascii="Times New Roman" w:hAnsi="Times New Roman" w:eastAsia="Times New Roman" w:cs="Times New Roman"/>
                <w:color w:val="auto"/>
                <w:spacing w:val="-3"/>
                <w:sz w:val="24"/>
                <w:szCs w:val="24"/>
                <w:u w:val="none" w:color="auto"/>
              </w:rPr>
              <w:t xml:space="preserve">i </w:t>
            </w:r>
            <w:r>
              <w:rPr>
                <w:rFonts w:ascii="宋体" w:hAnsi="宋体" w:eastAsia="宋体" w:cs="宋体"/>
                <w:color w:val="auto"/>
                <w:spacing w:val="-3"/>
                <w:sz w:val="24"/>
                <w:szCs w:val="24"/>
                <w:u w:val="none" w:color="auto"/>
              </w:rPr>
              <w:t>类车速为</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3"/>
                <w:sz w:val="24"/>
                <w:szCs w:val="24"/>
                <w:u w:val="none" w:color="auto"/>
              </w:rPr>
              <w:t>V</w:t>
            </w:r>
            <w:r>
              <w:rPr>
                <w:rFonts w:ascii="Times New Roman" w:hAnsi="Times New Roman" w:eastAsia="Times New Roman" w:cs="Times New Roman"/>
                <w:color w:val="auto"/>
                <w:spacing w:val="-3"/>
                <w:position w:val="-1"/>
                <w:sz w:val="15"/>
                <w:szCs w:val="15"/>
                <w:u w:val="none" w:color="auto"/>
              </w:rPr>
              <w:t>i</w:t>
            </w:r>
            <w:r>
              <w:rPr>
                <w:rFonts w:ascii="Times New Roman" w:hAnsi="Times New Roman" w:eastAsia="Times New Roman" w:cs="Times New Roman"/>
                <w:color w:val="auto"/>
                <w:spacing w:val="-9"/>
                <w:position w:val="-1"/>
                <w:sz w:val="15"/>
                <w:szCs w:val="15"/>
                <w:u w:val="none" w:color="auto"/>
              </w:rPr>
              <w:t xml:space="preserve"> </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km/h</w:t>
            </w:r>
            <w:r>
              <w:rPr>
                <w:rFonts w:ascii="宋体" w:hAnsi="宋体" w:eastAsia="宋体" w:cs="宋体"/>
                <w:color w:val="auto"/>
                <w:spacing w:val="-3"/>
                <w:sz w:val="24"/>
                <w:szCs w:val="24"/>
                <w:u w:val="none" w:color="auto"/>
              </w:rPr>
              <w:t>；水平距离为</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3"/>
                <w:sz w:val="24"/>
                <w:szCs w:val="24"/>
                <w:u w:val="none" w:color="auto"/>
              </w:rPr>
              <w:t xml:space="preserve">7.5m </w:t>
            </w:r>
            <w:r>
              <w:rPr>
                <w:rFonts w:ascii="宋体" w:hAnsi="宋体" w:eastAsia="宋体" w:cs="宋体"/>
                <w:color w:val="auto"/>
                <w:spacing w:val="-3"/>
                <w:sz w:val="24"/>
                <w:szCs w:val="24"/>
                <w:u w:val="none" w:color="auto"/>
              </w:rPr>
              <w:t>处的能量平均</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3"/>
                <w:sz w:val="24"/>
                <w:szCs w:val="24"/>
                <w:u w:val="none" w:color="auto"/>
              </w:rPr>
              <w:t>A</w:t>
            </w:r>
            <w:r>
              <w:rPr>
                <w:rFonts w:ascii="Times New Roman" w:hAnsi="Times New Roman" w:eastAsia="Times New Roman" w:cs="Times New Roman"/>
                <w:color w:val="auto"/>
                <w:spacing w:val="16"/>
                <w:w w:val="101"/>
                <w:sz w:val="24"/>
                <w:szCs w:val="24"/>
                <w:u w:val="none" w:color="auto"/>
              </w:rPr>
              <w:t xml:space="preserve"> </w:t>
            </w:r>
            <w:r>
              <w:rPr>
                <w:rFonts w:ascii="宋体" w:hAnsi="宋体" w:eastAsia="宋体" w:cs="宋体"/>
                <w:color w:val="auto"/>
                <w:spacing w:val="-3"/>
                <w:sz w:val="24"/>
                <w:szCs w:val="24"/>
                <w:u w:val="none" w:color="auto"/>
              </w:rPr>
              <w:t>声级，</w:t>
            </w:r>
            <w:r>
              <w:rPr>
                <w:rFonts w:ascii="宋体" w:hAnsi="宋体" w:eastAsia="宋体" w:cs="宋体"/>
                <w:color w:val="auto"/>
                <w:sz w:val="24"/>
                <w:szCs w:val="24"/>
                <w:u w:val="none" w:color="auto"/>
              </w:rPr>
              <w:t xml:space="preserve"> </w:t>
            </w:r>
            <w:r>
              <w:rPr>
                <w:rFonts w:ascii="Times New Roman" w:hAnsi="Times New Roman" w:eastAsia="Times New Roman" w:cs="Times New Roman"/>
                <w:color w:val="auto"/>
                <w:spacing w:val="-2"/>
                <w:sz w:val="24"/>
                <w:szCs w:val="24"/>
                <w:u w:val="none" w:color="auto"/>
              </w:rPr>
              <w:t>dB(A)</w:t>
            </w:r>
            <w:r>
              <w:rPr>
                <w:rFonts w:ascii="宋体" w:hAnsi="宋体" w:eastAsia="宋体" w:cs="宋体"/>
                <w:color w:val="auto"/>
                <w:spacing w:val="-2"/>
                <w:sz w:val="24"/>
                <w:szCs w:val="24"/>
                <w:u w:val="none" w:color="auto"/>
              </w:rPr>
              <w:t>；</w:t>
            </w:r>
          </w:p>
          <w:p w14:paraId="205C12E3">
            <w:pPr>
              <w:spacing w:before="25" w:line="219" w:lineRule="auto"/>
              <w:ind w:left="500"/>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N</w:t>
            </w:r>
            <w:r>
              <w:rPr>
                <w:rFonts w:ascii="Times New Roman" w:hAnsi="Times New Roman" w:eastAsia="Times New Roman" w:cs="Times New Roman"/>
                <w:color w:val="auto"/>
                <w:position w:val="-1"/>
                <w:sz w:val="15"/>
                <w:szCs w:val="15"/>
                <w:u w:val="none" w:color="auto"/>
              </w:rPr>
              <w:t>i</w:t>
            </w:r>
            <w:r>
              <w:rPr>
                <w:rFonts w:ascii="Times New Roman" w:hAnsi="Times New Roman" w:eastAsia="Times New Roman" w:cs="Times New Roman"/>
                <w:color w:val="auto"/>
                <w:sz w:val="24"/>
                <w:szCs w:val="24"/>
                <w:u w:val="none" w:color="auto"/>
              </w:rPr>
              <w:t>——</w:t>
            </w:r>
            <w:r>
              <w:rPr>
                <w:rFonts w:ascii="宋体" w:hAnsi="宋体" w:eastAsia="宋体" w:cs="宋体"/>
                <w:color w:val="auto"/>
                <w:sz w:val="24"/>
                <w:szCs w:val="24"/>
                <w:u w:val="none" w:color="auto"/>
              </w:rPr>
              <w:t>昼间，夜间通过某个预测点的第</w:t>
            </w:r>
            <w:r>
              <w:rPr>
                <w:rFonts w:ascii="宋体" w:hAnsi="宋体" w:eastAsia="宋体" w:cs="宋体"/>
                <w:color w:val="auto"/>
                <w:spacing w:val="-53"/>
                <w:sz w:val="24"/>
                <w:szCs w:val="24"/>
                <w:u w:val="none" w:color="auto"/>
              </w:rPr>
              <w:t xml:space="preserve"> </w:t>
            </w:r>
            <w:r>
              <w:rPr>
                <w:rFonts w:ascii="Times New Roman" w:hAnsi="Times New Roman" w:eastAsia="Times New Roman" w:cs="Times New Roman"/>
                <w:color w:val="auto"/>
                <w:sz w:val="24"/>
                <w:szCs w:val="24"/>
                <w:u w:val="none" w:color="auto"/>
              </w:rPr>
              <w:t xml:space="preserve">i </w:t>
            </w:r>
            <w:r>
              <w:rPr>
                <w:rFonts w:ascii="宋体" w:hAnsi="宋体" w:eastAsia="宋体" w:cs="宋体"/>
                <w:color w:val="auto"/>
                <w:sz w:val="24"/>
                <w:szCs w:val="24"/>
                <w:u w:val="none" w:color="auto"/>
              </w:rPr>
              <w:t>类车平均小时车流量，</w:t>
            </w:r>
            <w:r>
              <w:rPr>
                <w:rFonts w:ascii="宋体" w:hAnsi="宋体" w:eastAsia="宋体" w:cs="宋体"/>
                <w:color w:val="auto"/>
                <w:spacing w:val="-1"/>
                <w:sz w:val="24"/>
                <w:szCs w:val="24"/>
                <w:u w:val="none" w:color="auto"/>
              </w:rPr>
              <w:t>辆</w:t>
            </w:r>
            <w:r>
              <w:rPr>
                <w:rFonts w:ascii="Times New Roman" w:hAnsi="Times New Roman" w:eastAsia="Times New Roman" w:cs="Times New Roman"/>
                <w:color w:val="auto"/>
                <w:spacing w:val="-1"/>
                <w:sz w:val="24"/>
                <w:szCs w:val="24"/>
                <w:u w:val="none" w:color="auto"/>
              </w:rPr>
              <w:t>/h</w:t>
            </w:r>
            <w:r>
              <w:rPr>
                <w:rFonts w:ascii="宋体" w:hAnsi="宋体" w:eastAsia="宋体" w:cs="宋体"/>
                <w:color w:val="auto"/>
                <w:spacing w:val="-1"/>
                <w:sz w:val="24"/>
                <w:szCs w:val="24"/>
                <w:u w:val="none" w:color="auto"/>
              </w:rPr>
              <w:t>；</w:t>
            </w:r>
          </w:p>
          <w:p w14:paraId="3C4B826B">
            <w:pPr>
              <w:spacing w:before="183" w:line="219" w:lineRule="auto"/>
              <w:ind w:left="505"/>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V</w:t>
            </w:r>
            <w:r>
              <w:rPr>
                <w:rFonts w:ascii="Times New Roman" w:hAnsi="Times New Roman" w:eastAsia="Times New Roman" w:cs="Times New Roman"/>
                <w:color w:val="auto"/>
                <w:spacing w:val="-1"/>
                <w:position w:val="-1"/>
                <w:sz w:val="15"/>
                <w:szCs w:val="15"/>
                <w:u w:val="none" w:color="auto"/>
              </w:rPr>
              <w:t>i</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第</w:t>
            </w:r>
            <w:r>
              <w:rPr>
                <w:rFonts w:ascii="宋体" w:hAnsi="宋体" w:eastAsia="宋体" w:cs="宋体"/>
                <w:color w:val="auto"/>
                <w:spacing w:val="-41"/>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i </w:t>
            </w:r>
            <w:r>
              <w:rPr>
                <w:rFonts w:ascii="宋体" w:hAnsi="宋体" w:eastAsia="宋体" w:cs="宋体"/>
                <w:color w:val="auto"/>
                <w:spacing w:val="-1"/>
                <w:sz w:val="24"/>
                <w:szCs w:val="24"/>
                <w:u w:val="none" w:color="auto"/>
              </w:rPr>
              <w:t>类车的平均车速，</w:t>
            </w:r>
            <w:r>
              <w:rPr>
                <w:rFonts w:ascii="Times New Roman" w:hAnsi="Times New Roman" w:eastAsia="Times New Roman" w:cs="Times New Roman"/>
                <w:color w:val="auto"/>
                <w:spacing w:val="-1"/>
                <w:sz w:val="24"/>
                <w:szCs w:val="24"/>
                <w:u w:val="none" w:color="auto"/>
              </w:rPr>
              <w:t>km/h</w:t>
            </w:r>
            <w:r>
              <w:rPr>
                <w:rFonts w:ascii="宋体" w:hAnsi="宋体" w:eastAsia="宋体" w:cs="宋体"/>
                <w:color w:val="auto"/>
                <w:spacing w:val="-1"/>
                <w:sz w:val="24"/>
                <w:szCs w:val="24"/>
                <w:u w:val="none" w:color="auto"/>
              </w:rPr>
              <w:t>；</w:t>
            </w:r>
          </w:p>
          <w:p w14:paraId="4C24B12C">
            <w:pPr>
              <w:spacing w:before="183" w:line="219" w:lineRule="auto"/>
              <w:ind w:left="510"/>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1"/>
                <w:sz w:val="24"/>
                <w:szCs w:val="24"/>
                <w:u w:val="none" w:color="auto"/>
              </w:rPr>
              <w:t>T——</w:t>
            </w:r>
            <w:r>
              <w:rPr>
                <w:rFonts w:ascii="宋体" w:hAnsi="宋体" w:eastAsia="宋体" w:cs="宋体"/>
                <w:color w:val="auto"/>
                <w:spacing w:val="-1"/>
                <w:sz w:val="24"/>
                <w:szCs w:val="24"/>
                <w:u w:val="none" w:color="auto"/>
              </w:rPr>
              <w:t>计算等效声级的时间，</w:t>
            </w:r>
            <w:r>
              <w:rPr>
                <w:rFonts w:ascii="Times New Roman" w:hAnsi="Times New Roman" w:eastAsia="Times New Roman" w:cs="Times New Roman"/>
                <w:color w:val="auto"/>
                <w:spacing w:val="-1"/>
                <w:sz w:val="24"/>
                <w:szCs w:val="24"/>
                <w:u w:val="none" w:color="auto"/>
              </w:rPr>
              <w:t>1h</w:t>
            </w:r>
          </w:p>
          <w:p w14:paraId="181814EA">
            <w:pPr>
              <w:spacing w:before="80" w:line="346" w:lineRule="auto"/>
              <w:ind w:left="34" w:right="82" w:firstLine="464"/>
              <w:rPr>
                <w:rFonts w:ascii="宋体" w:hAnsi="宋体" w:eastAsia="宋体" w:cs="宋体"/>
                <w:color w:val="auto"/>
                <w:sz w:val="24"/>
                <w:szCs w:val="24"/>
                <w:u w:val="none" w:color="auto"/>
              </w:rPr>
            </w:pPr>
            <w:r>
              <w:rPr>
                <w:rFonts w:ascii="Times New Roman" w:hAnsi="Times New Roman" w:eastAsia="Times New Roman" w:cs="Times New Roman"/>
                <w:color w:val="auto"/>
                <w:spacing w:val="-8"/>
                <w:sz w:val="24"/>
                <w:szCs w:val="24"/>
                <w:u w:val="none" w:color="auto"/>
              </w:rPr>
              <w:t xml:space="preserve">ΔL </w:t>
            </w:r>
            <w:r>
              <w:rPr>
                <w:rFonts w:ascii="宋体" w:hAnsi="宋体" w:eastAsia="宋体" w:cs="宋体"/>
                <w:color w:val="auto"/>
                <w:spacing w:val="-8"/>
                <w:position w:val="-3"/>
                <w:sz w:val="12"/>
                <w:szCs w:val="12"/>
                <w:u w:val="none" w:color="auto"/>
              </w:rPr>
              <w:t>距离</w:t>
            </w:r>
            <w:r>
              <w:rPr>
                <w:rFonts w:ascii="Times New Roman" w:hAnsi="Times New Roman" w:eastAsia="Times New Roman" w:cs="Times New Roman"/>
                <w:color w:val="auto"/>
                <w:spacing w:val="-8"/>
                <w:sz w:val="24"/>
                <w:szCs w:val="24"/>
                <w:u w:val="none" w:color="auto"/>
              </w:rPr>
              <w:t>——</w:t>
            </w:r>
            <w:r>
              <w:rPr>
                <w:rFonts w:ascii="宋体" w:hAnsi="宋体" w:eastAsia="宋体" w:cs="宋体"/>
                <w:color w:val="auto"/>
                <w:spacing w:val="-8"/>
                <w:sz w:val="24"/>
                <w:szCs w:val="24"/>
                <w:u w:val="none" w:color="auto"/>
              </w:rPr>
              <w:t>距离衰减量，</w:t>
            </w:r>
            <w:r>
              <w:rPr>
                <w:rFonts w:ascii="Times New Roman" w:hAnsi="Times New Roman" w:eastAsia="Times New Roman" w:cs="Times New Roman"/>
                <w:color w:val="auto"/>
                <w:spacing w:val="-8"/>
                <w:sz w:val="24"/>
                <w:szCs w:val="24"/>
                <w:u w:val="none" w:color="auto"/>
              </w:rPr>
              <w:t>dB(A)</w:t>
            </w:r>
            <w:r>
              <w:rPr>
                <w:rFonts w:ascii="宋体" w:hAnsi="宋体" w:eastAsia="宋体" w:cs="宋体"/>
                <w:color w:val="auto"/>
                <w:spacing w:val="-8"/>
                <w:sz w:val="24"/>
                <w:szCs w:val="24"/>
                <w:u w:val="none" w:color="auto"/>
              </w:rPr>
              <w:t>，小时车流量大于等于</w:t>
            </w:r>
            <w:r>
              <w:rPr>
                <w:rFonts w:ascii="宋体" w:hAnsi="宋体" w:eastAsia="宋体" w:cs="宋体"/>
                <w:color w:val="auto"/>
                <w:spacing w:val="-54"/>
                <w:sz w:val="24"/>
                <w:szCs w:val="24"/>
                <w:u w:val="none" w:color="auto"/>
              </w:rPr>
              <w:t xml:space="preserve"> </w:t>
            </w:r>
            <w:r>
              <w:rPr>
                <w:rFonts w:ascii="Times New Roman" w:hAnsi="Times New Roman" w:eastAsia="Times New Roman" w:cs="Times New Roman"/>
                <w:color w:val="auto"/>
                <w:spacing w:val="-8"/>
                <w:sz w:val="24"/>
                <w:szCs w:val="24"/>
                <w:u w:val="none" w:color="auto"/>
              </w:rPr>
              <w:t xml:space="preserve">300 </w:t>
            </w:r>
            <w:r>
              <w:rPr>
                <w:rFonts w:ascii="宋体" w:hAnsi="宋体" w:eastAsia="宋体" w:cs="宋体"/>
                <w:color w:val="auto"/>
                <w:spacing w:val="-8"/>
                <w:sz w:val="24"/>
                <w:szCs w:val="24"/>
                <w:u w:val="none" w:color="auto"/>
              </w:rPr>
              <w:t>辆</w:t>
            </w:r>
            <w:r>
              <w:rPr>
                <w:rFonts w:ascii="Times New Roman" w:hAnsi="Times New Roman" w:eastAsia="Times New Roman" w:cs="Times New Roman"/>
                <w:color w:val="auto"/>
                <w:spacing w:val="-8"/>
                <w:sz w:val="24"/>
                <w:szCs w:val="24"/>
                <w:u w:val="none" w:color="auto"/>
              </w:rPr>
              <w:t>/</w:t>
            </w:r>
            <w:r>
              <w:rPr>
                <w:rFonts w:ascii="宋体" w:hAnsi="宋体" w:eastAsia="宋体" w:cs="宋体"/>
                <w:color w:val="auto"/>
                <w:spacing w:val="-20"/>
                <w:sz w:val="24"/>
                <w:szCs w:val="24"/>
                <w:u w:val="none" w:color="auto"/>
              </w:rPr>
              <w:t>小时：</w:t>
            </w:r>
            <w:r>
              <w:rPr>
                <w:rFonts w:ascii="Times New Roman" w:hAnsi="Times New Roman" w:eastAsia="Times New Roman" w:cs="Times New Roman"/>
                <w:color w:val="auto"/>
                <w:spacing w:val="-20"/>
                <w:sz w:val="24"/>
                <w:szCs w:val="24"/>
                <w:u w:val="none" w:color="auto"/>
              </w:rPr>
              <w:t xml:space="preserve">ΔL </w:t>
            </w:r>
            <w:r>
              <w:rPr>
                <w:rFonts w:ascii="宋体" w:hAnsi="宋体" w:eastAsia="宋体" w:cs="宋体"/>
                <w:color w:val="auto"/>
                <w:spacing w:val="-4"/>
                <w:position w:val="-3"/>
                <w:sz w:val="12"/>
                <w:szCs w:val="12"/>
                <w:u w:val="none" w:color="auto"/>
              </w:rPr>
              <w:t>距离</w:t>
            </w:r>
            <w:r>
              <w:rPr>
                <w:rFonts w:ascii="Times New Roman" w:hAnsi="Times New Roman" w:eastAsia="Times New Roman" w:cs="Times New Roman"/>
                <w:color w:val="auto"/>
                <w:spacing w:val="-4"/>
                <w:sz w:val="24"/>
                <w:szCs w:val="24"/>
                <w:u w:val="none" w:color="auto"/>
              </w:rPr>
              <w:t>=</w:t>
            </w:r>
            <w:r>
              <w:rPr>
                <w:rFonts w:ascii="Times New Roman" w:hAnsi="Times New Roman" w:eastAsia="Times New Roman" w:cs="Times New Roman"/>
                <w:color w:val="auto"/>
                <w:spacing w:val="-33"/>
                <w:sz w:val="24"/>
                <w:szCs w:val="24"/>
                <w:u w:val="none" w:color="auto"/>
              </w:rPr>
              <w:t xml:space="preserve"> </w:t>
            </w:r>
            <w:r>
              <w:rPr>
                <w:rFonts w:ascii="Times New Roman" w:hAnsi="Times New Roman" w:eastAsia="Times New Roman" w:cs="Times New Roman"/>
                <w:color w:val="auto"/>
                <w:spacing w:val="-4"/>
                <w:sz w:val="24"/>
                <w:szCs w:val="24"/>
                <w:u w:val="none" w:color="auto"/>
              </w:rPr>
              <w:t>10lg</w:t>
            </w:r>
            <w:r>
              <w:rPr>
                <w:rFonts w:ascii="Times New Roman" w:hAnsi="Times New Roman" w:eastAsia="Times New Roman" w:cs="Times New Roman"/>
                <w:color w:val="auto"/>
                <w:sz w:val="24"/>
                <w:szCs w:val="24"/>
                <w:u w:val="none" w:color="auto"/>
              </w:rPr>
              <w:t xml:space="preserve"> </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7.5/r</w:t>
            </w:r>
            <w:r>
              <w:rPr>
                <w:rFonts w:ascii="宋体" w:hAnsi="宋体" w:eastAsia="宋体" w:cs="宋体"/>
                <w:color w:val="auto"/>
                <w:spacing w:val="3"/>
                <w:sz w:val="24"/>
                <w:szCs w:val="24"/>
                <w:u w:val="none" w:color="auto"/>
              </w:rPr>
              <w:t>），</w:t>
            </w:r>
            <w:r>
              <w:rPr>
                <w:rFonts w:ascii="宋体" w:hAnsi="宋体" w:eastAsia="宋体" w:cs="宋体"/>
                <w:color w:val="auto"/>
                <w:spacing w:val="-2"/>
                <w:sz w:val="24"/>
                <w:szCs w:val="24"/>
                <w:u w:val="none" w:color="auto"/>
              </w:rPr>
              <w:t>小时车流量小于</w:t>
            </w:r>
            <w:r>
              <w:rPr>
                <w:rFonts w:ascii="宋体" w:hAnsi="宋体" w:eastAsia="宋体" w:cs="宋体"/>
                <w:color w:val="auto"/>
                <w:spacing w:val="-47"/>
                <w:sz w:val="24"/>
                <w:szCs w:val="24"/>
                <w:u w:val="none" w:color="auto"/>
              </w:rPr>
              <w:t xml:space="preserve"> </w:t>
            </w:r>
            <w:r>
              <w:rPr>
                <w:rFonts w:ascii="Times New Roman" w:hAnsi="Times New Roman" w:eastAsia="Times New Roman" w:cs="Times New Roman"/>
                <w:color w:val="auto"/>
                <w:spacing w:val="-2"/>
                <w:sz w:val="24"/>
                <w:szCs w:val="24"/>
                <w:u w:val="none" w:color="auto"/>
              </w:rPr>
              <w:t xml:space="preserve">300 </w:t>
            </w:r>
            <w:r>
              <w:rPr>
                <w:rFonts w:ascii="宋体" w:hAnsi="宋体" w:eastAsia="宋体" w:cs="宋体"/>
                <w:color w:val="auto"/>
                <w:spacing w:val="-2"/>
                <w:sz w:val="24"/>
                <w:szCs w:val="24"/>
                <w:u w:val="none" w:color="auto"/>
              </w:rPr>
              <w:t>辆</w:t>
            </w:r>
            <w:r>
              <w:rPr>
                <w:rFonts w:ascii="Times New Roman" w:hAnsi="Times New Roman" w:eastAsia="Times New Roman" w:cs="Times New Roman"/>
                <w:color w:val="auto"/>
                <w:spacing w:val="-2"/>
                <w:sz w:val="24"/>
                <w:szCs w:val="24"/>
                <w:u w:val="none" w:color="auto"/>
              </w:rPr>
              <w:t>/</w:t>
            </w:r>
            <w:r>
              <w:rPr>
                <w:rFonts w:ascii="宋体" w:hAnsi="宋体" w:eastAsia="宋体" w:cs="宋体"/>
                <w:color w:val="auto"/>
                <w:spacing w:val="-2"/>
                <w:sz w:val="24"/>
                <w:szCs w:val="24"/>
                <w:u w:val="none" w:color="auto"/>
              </w:rPr>
              <w:t>小时：</w:t>
            </w:r>
            <w:r>
              <w:rPr>
                <w:rFonts w:ascii="Times New Roman" w:hAnsi="Times New Roman" w:eastAsia="Times New Roman" w:cs="Times New Roman"/>
                <w:color w:val="auto"/>
                <w:spacing w:val="-2"/>
                <w:sz w:val="24"/>
                <w:szCs w:val="24"/>
                <w:u w:val="none" w:color="auto"/>
              </w:rPr>
              <w:t xml:space="preserve">ΔL </w:t>
            </w:r>
            <w:r>
              <w:rPr>
                <w:rFonts w:ascii="宋体" w:hAnsi="宋体" w:eastAsia="宋体" w:cs="宋体"/>
                <w:color w:val="auto"/>
                <w:spacing w:val="-2"/>
                <w:position w:val="-3"/>
                <w:sz w:val="12"/>
                <w:szCs w:val="12"/>
                <w:u w:val="none" w:color="auto"/>
              </w:rPr>
              <w:t>距离</w:t>
            </w:r>
            <w:r>
              <w:rPr>
                <w:rFonts w:ascii="Times New Roman" w:hAnsi="Times New Roman" w:eastAsia="Times New Roman" w:cs="Times New Roman"/>
                <w:color w:val="auto"/>
                <w:spacing w:val="-2"/>
                <w:sz w:val="24"/>
                <w:szCs w:val="24"/>
                <w:u w:val="none" w:color="auto"/>
              </w:rPr>
              <w:t>=</w:t>
            </w:r>
            <w:r>
              <w:rPr>
                <w:rFonts w:ascii="Times New Roman" w:hAnsi="Times New Roman" w:eastAsia="Times New Roman" w:cs="Times New Roman"/>
                <w:color w:val="auto"/>
                <w:spacing w:val="-32"/>
                <w:sz w:val="24"/>
                <w:szCs w:val="24"/>
                <w:u w:val="none" w:color="auto"/>
              </w:rPr>
              <w:t xml:space="preserve"> </w:t>
            </w:r>
            <w:r>
              <w:rPr>
                <w:rFonts w:ascii="Times New Roman" w:hAnsi="Times New Roman" w:eastAsia="Times New Roman" w:cs="Times New Roman"/>
                <w:color w:val="auto"/>
                <w:spacing w:val="-2"/>
                <w:sz w:val="24"/>
                <w:szCs w:val="24"/>
                <w:u w:val="none" w:color="auto"/>
              </w:rPr>
              <w:t>15lg</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7.5/r</w:t>
            </w:r>
            <w:r>
              <w:rPr>
                <w:rFonts w:ascii="宋体" w:hAnsi="宋体" w:eastAsia="宋体" w:cs="宋体"/>
                <w:color w:val="auto"/>
                <w:spacing w:val="3"/>
                <w:sz w:val="24"/>
                <w:szCs w:val="24"/>
                <w:u w:val="none" w:color="auto"/>
              </w:rPr>
              <w:t>）；</w:t>
            </w:r>
          </w:p>
          <w:p w14:paraId="5C3F8A7E">
            <w:pPr>
              <w:spacing w:before="79" w:line="219" w:lineRule="auto"/>
              <w:jc w:val="right"/>
              <w:rPr>
                <w:rFonts w:ascii="宋体" w:hAnsi="宋体" w:eastAsia="宋体" w:cs="宋体"/>
                <w:color w:val="auto"/>
                <w:sz w:val="24"/>
                <w:szCs w:val="24"/>
                <w:u w:val="none" w:color="auto"/>
              </w:rPr>
            </w:pPr>
            <w:r>
              <w:rPr>
                <w:rFonts w:ascii="Times New Roman" w:hAnsi="Times New Roman" w:eastAsia="Times New Roman" w:cs="Times New Roman"/>
                <w:color w:val="auto"/>
                <w:spacing w:val="-7"/>
                <w:sz w:val="24"/>
                <w:szCs w:val="24"/>
                <w:u w:val="none" w:color="auto"/>
              </w:rPr>
              <w:t>r——</w:t>
            </w:r>
            <w:r>
              <w:rPr>
                <w:rFonts w:ascii="宋体" w:hAnsi="宋体" w:eastAsia="宋体" w:cs="宋体"/>
                <w:color w:val="auto"/>
                <w:spacing w:val="-7"/>
                <w:sz w:val="24"/>
                <w:szCs w:val="24"/>
                <w:u w:val="none" w:color="auto"/>
              </w:rPr>
              <w:t>从道路中心线到预测点的距离，</w:t>
            </w:r>
            <w:r>
              <w:rPr>
                <w:rFonts w:ascii="Times New Roman" w:hAnsi="Times New Roman" w:eastAsia="Times New Roman" w:cs="Times New Roman"/>
                <w:color w:val="auto"/>
                <w:spacing w:val="-7"/>
                <w:sz w:val="24"/>
                <w:szCs w:val="24"/>
                <w:u w:val="none" w:color="auto"/>
              </w:rPr>
              <w:t>m</w:t>
            </w:r>
            <w:r>
              <w:rPr>
                <w:rFonts w:ascii="宋体" w:hAnsi="宋体" w:eastAsia="宋体" w:cs="宋体"/>
                <w:color w:val="auto"/>
                <w:spacing w:val="-7"/>
                <w:sz w:val="24"/>
                <w:szCs w:val="24"/>
                <w:u w:val="none" w:color="auto"/>
              </w:rPr>
              <w:t>；适用于</w:t>
            </w:r>
            <w:r>
              <w:rPr>
                <w:rFonts w:ascii="宋体" w:hAnsi="宋体" w:eastAsia="宋体" w:cs="宋体"/>
                <w:color w:val="auto"/>
                <w:spacing w:val="-44"/>
                <w:sz w:val="24"/>
                <w:szCs w:val="24"/>
                <w:u w:val="none" w:color="auto"/>
              </w:rPr>
              <w:t xml:space="preserve"> </w:t>
            </w:r>
            <w:r>
              <w:rPr>
                <w:rFonts w:ascii="Times New Roman" w:hAnsi="Times New Roman" w:eastAsia="Times New Roman" w:cs="Times New Roman"/>
                <w:color w:val="auto"/>
                <w:spacing w:val="-7"/>
                <w:sz w:val="24"/>
                <w:szCs w:val="24"/>
                <w:u w:val="none" w:color="auto"/>
              </w:rPr>
              <w:t>r</w:t>
            </w:r>
            <w:r>
              <w:rPr>
                <w:rFonts w:ascii="宋体" w:hAnsi="宋体" w:eastAsia="宋体" w:cs="宋体"/>
                <w:color w:val="auto"/>
                <w:spacing w:val="-7"/>
                <w:sz w:val="24"/>
                <w:szCs w:val="24"/>
                <w:u w:val="none" w:color="auto"/>
              </w:rPr>
              <w:t>＞</w:t>
            </w:r>
            <w:r>
              <w:rPr>
                <w:rFonts w:ascii="Times New Roman" w:hAnsi="Times New Roman" w:eastAsia="Times New Roman" w:cs="Times New Roman"/>
                <w:color w:val="auto"/>
                <w:spacing w:val="-7"/>
                <w:sz w:val="24"/>
                <w:szCs w:val="24"/>
                <w:u w:val="none" w:color="auto"/>
              </w:rPr>
              <w:t xml:space="preserve">7.5m </w:t>
            </w:r>
            <w:r>
              <w:rPr>
                <w:rFonts w:ascii="宋体" w:hAnsi="宋体" w:eastAsia="宋体" w:cs="宋体"/>
                <w:color w:val="auto"/>
                <w:spacing w:val="-7"/>
                <w:sz w:val="24"/>
                <w:szCs w:val="24"/>
                <w:u w:val="none" w:color="auto"/>
              </w:rPr>
              <w:t>预测点的噪声预测。</w:t>
            </w:r>
          </w:p>
          <w:p w14:paraId="0B62FCB2">
            <w:pPr>
              <w:spacing w:before="182" w:line="219" w:lineRule="auto"/>
              <w:ind w:left="496"/>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Ψ1</w:t>
            </w:r>
            <w:r>
              <w:rPr>
                <w:rFonts w:ascii="Times New Roman" w:hAnsi="Times New Roman" w:eastAsia="Times New Roman" w:cs="Times New Roman"/>
                <w:color w:val="auto"/>
                <w:spacing w:val="-34"/>
                <w:sz w:val="24"/>
                <w:szCs w:val="24"/>
                <w:u w:val="none" w:color="auto"/>
              </w:rPr>
              <w:t xml:space="preserve"> </w:t>
            </w: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Ψ2——</w:t>
            </w:r>
            <w:r>
              <w:rPr>
                <w:rFonts w:ascii="宋体" w:hAnsi="宋体" w:eastAsia="宋体" w:cs="宋体"/>
                <w:color w:val="auto"/>
                <w:spacing w:val="-1"/>
                <w:sz w:val="24"/>
                <w:szCs w:val="24"/>
                <w:u w:val="none" w:color="auto"/>
              </w:rPr>
              <w:t>预测点到有限长路段两端的张角，弧度，如下图所示：</w:t>
            </w:r>
          </w:p>
          <w:p w14:paraId="7B78FA00">
            <w:pPr>
              <w:spacing w:before="172" w:line="1952" w:lineRule="exact"/>
              <w:ind w:firstLine="2202"/>
              <w:rPr>
                <w:color w:val="auto"/>
                <w:u w:val="none" w:color="auto"/>
              </w:rPr>
            </w:pPr>
            <w:r>
              <w:rPr>
                <w:color w:val="auto"/>
                <w:position w:val="-39"/>
                <w:u w:val="none" w:color="auto"/>
              </w:rPr>
              <w:drawing>
                <wp:inline distT="0" distB="0" distL="0" distR="0">
                  <wp:extent cx="2494280" cy="1238885"/>
                  <wp:effectExtent l="0" t="0" r="1270" b="18415"/>
                  <wp:docPr id="47" name="IM 62"/>
                  <wp:cNvGraphicFramePr/>
                  <a:graphic xmlns:a="http://schemas.openxmlformats.org/drawingml/2006/main">
                    <a:graphicData uri="http://schemas.openxmlformats.org/drawingml/2006/picture">
                      <pic:pic xmlns:pic="http://schemas.openxmlformats.org/drawingml/2006/picture">
                        <pic:nvPicPr>
                          <pic:cNvPr id="47" name="IM 62"/>
                          <pic:cNvPicPr/>
                        </pic:nvPicPr>
                        <pic:blipFill>
                          <a:blip r:embed="rId36"/>
                          <a:stretch>
                            <a:fillRect/>
                          </a:stretch>
                        </pic:blipFill>
                        <pic:spPr>
                          <a:xfrm>
                            <a:off x="0" y="0"/>
                            <a:ext cx="2494787" cy="1239011"/>
                          </a:xfrm>
                          <a:prstGeom prst="rect">
                            <a:avLst/>
                          </a:prstGeom>
                        </pic:spPr>
                      </pic:pic>
                    </a:graphicData>
                  </a:graphic>
                </wp:inline>
              </w:drawing>
            </w:r>
          </w:p>
          <w:p w14:paraId="57A0DE5E">
            <w:pPr>
              <w:spacing w:before="181" w:line="228" w:lineRule="auto"/>
              <w:ind w:left="1554"/>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图</w:t>
            </w:r>
            <w:r>
              <w:rPr>
                <w:rFonts w:ascii="宋体" w:hAnsi="宋体" w:eastAsia="宋体" w:cs="宋体"/>
                <w:color w:val="auto"/>
                <w:spacing w:val="-38"/>
                <w:sz w:val="20"/>
                <w:szCs w:val="20"/>
                <w:u w:val="none" w:color="auto"/>
              </w:rPr>
              <w:t xml:space="preserve"> </w:t>
            </w:r>
            <w:r>
              <w:rPr>
                <w:rFonts w:ascii="Times New Roman" w:hAnsi="Times New Roman" w:eastAsia="Times New Roman" w:cs="Times New Roman"/>
                <w:b/>
                <w:bCs/>
                <w:color w:val="auto"/>
                <w:spacing w:val="5"/>
                <w:sz w:val="20"/>
                <w:szCs w:val="20"/>
                <w:u w:val="none" w:color="auto"/>
              </w:rPr>
              <w:t xml:space="preserve">4-1    </w:t>
            </w:r>
            <w:r>
              <w:rPr>
                <w:rFonts w:ascii="宋体" w:hAnsi="宋体" w:eastAsia="宋体" w:cs="宋体"/>
                <w:b/>
                <w:bCs/>
                <w:color w:val="auto"/>
                <w:spacing w:val="5"/>
                <w:sz w:val="20"/>
                <w:szCs w:val="20"/>
                <w:u w:val="none" w:color="auto"/>
              </w:rPr>
              <w:t>有限路段的修正函数，</w:t>
            </w:r>
            <w:r>
              <w:rPr>
                <w:rFonts w:ascii="Times New Roman" w:hAnsi="Times New Roman" w:eastAsia="Times New Roman" w:cs="Times New Roman"/>
                <w:b/>
                <w:bCs/>
                <w:color w:val="auto"/>
                <w:spacing w:val="5"/>
                <w:sz w:val="20"/>
                <w:szCs w:val="20"/>
                <w:u w:val="none" w:color="auto"/>
              </w:rPr>
              <w:t>A</w:t>
            </w:r>
            <w:r>
              <w:rPr>
                <w:rFonts w:ascii="宋体" w:hAnsi="宋体" w:eastAsia="宋体" w:cs="宋体"/>
                <w:b/>
                <w:bCs/>
                <w:color w:val="auto"/>
                <w:spacing w:val="5"/>
                <w:sz w:val="20"/>
                <w:szCs w:val="20"/>
                <w:u w:val="none" w:color="auto"/>
              </w:rPr>
              <w:t>～</w:t>
            </w:r>
            <w:r>
              <w:rPr>
                <w:rFonts w:ascii="Times New Roman" w:hAnsi="Times New Roman" w:eastAsia="Times New Roman" w:cs="Times New Roman"/>
                <w:b/>
                <w:bCs/>
                <w:color w:val="auto"/>
                <w:spacing w:val="5"/>
                <w:sz w:val="20"/>
                <w:szCs w:val="20"/>
                <w:u w:val="none" w:color="auto"/>
              </w:rPr>
              <w:t>B</w:t>
            </w:r>
            <w:r>
              <w:rPr>
                <w:rFonts w:ascii="Times New Roman" w:hAnsi="Times New Roman" w:eastAsia="Times New Roman" w:cs="Times New Roman"/>
                <w:b/>
                <w:bCs/>
                <w:color w:val="auto"/>
                <w:spacing w:val="16"/>
                <w:w w:val="101"/>
                <w:sz w:val="20"/>
                <w:szCs w:val="20"/>
                <w:u w:val="none" w:color="auto"/>
              </w:rPr>
              <w:t xml:space="preserve"> </w:t>
            </w:r>
            <w:r>
              <w:rPr>
                <w:rFonts w:ascii="宋体" w:hAnsi="宋体" w:eastAsia="宋体" w:cs="宋体"/>
                <w:b/>
                <w:bCs/>
                <w:color w:val="auto"/>
                <w:spacing w:val="5"/>
                <w:sz w:val="20"/>
                <w:szCs w:val="20"/>
                <w:u w:val="none" w:color="auto"/>
              </w:rPr>
              <w:t>为路段，</w:t>
            </w:r>
            <w:r>
              <w:rPr>
                <w:rFonts w:ascii="Times New Roman" w:hAnsi="Times New Roman" w:eastAsia="Times New Roman" w:cs="Times New Roman"/>
                <w:b/>
                <w:bCs/>
                <w:color w:val="auto"/>
                <w:spacing w:val="5"/>
                <w:sz w:val="20"/>
                <w:szCs w:val="20"/>
                <w:u w:val="none" w:color="auto"/>
              </w:rPr>
              <w:t>P</w:t>
            </w:r>
            <w:r>
              <w:rPr>
                <w:rFonts w:ascii="Times New Roman" w:hAnsi="Times New Roman" w:eastAsia="Times New Roman" w:cs="Times New Roman"/>
                <w:b/>
                <w:bCs/>
                <w:color w:val="auto"/>
                <w:spacing w:val="15"/>
                <w:w w:val="101"/>
                <w:sz w:val="20"/>
                <w:szCs w:val="20"/>
                <w:u w:val="none" w:color="auto"/>
              </w:rPr>
              <w:t xml:space="preserve"> </w:t>
            </w:r>
            <w:r>
              <w:rPr>
                <w:rFonts w:ascii="宋体" w:hAnsi="宋体" w:eastAsia="宋体" w:cs="宋体"/>
                <w:b/>
                <w:bCs/>
                <w:color w:val="auto"/>
                <w:spacing w:val="5"/>
                <w:sz w:val="20"/>
                <w:szCs w:val="20"/>
                <w:u w:val="none" w:color="auto"/>
              </w:rPr>
              <w:t>为预测点</w:t>
            </w:r>
          </w:p>
          <w:p w14:paraId="0C12DCD6">
            <w:pPr>
              <w:spacing w:before="128" w:line="364" w:lineRule="auto"/>
              <w:ind w:left="3278" w:right="2823" w:hanging="2746"/>
              <w:rPr>
                <w:rFonts w:ascii="Times New Roman" w:hAnsi="Times New Roman" w:eastAsia="Times New Roman" w:cs="Times New Roman"/>
                <w:color w:val="auto"/>
                <w:sz w:val="15"/>
                <w:szCs w:val="15"/>
                <w:u w:val="none" w:color="auto"/>
              </w:rPr>
            </w:pPr>
            <w:r>
              <w:rPr>
                <w:rFonts w:ascii="宋体" w:hAnsi="宋体" w:eastAsia="宋体" w:cs="宋体"/>
                <w:color w:val="auto"/>
                <w:spacing w:val="-6"/>
                <w:sz w:val="24"/>
                <w:szCs w:val="24"/>
                <w:u w:val="none" w:color="auto"/>
              </w:rPr>
              <w:t>由其他因素引起的修正量 (</w:t>
            </w:r>
            <w:r>
              <w:rPr>
                <w:rFonts w:ascii="Times New Roman" w:hAnsi="Times New Roman" w:eastAsia="Times New Roman" w:cs="Times New Roman"/>
                <w:color w:val="auto"/>
                <w:spacing w:val="-6"/>
                <w:sz w:val="24"/>
                <w:szCs w:val="24"/>
                <w:u w:val="none" w:color="auto"/>
              </w:rPr>
              <w:t>ΔL</w:t>
            </w:r>
            <w:r>
              <w:rPr>
                <w:rFonts w:ascii="Times New Roman" w:hAnsi="Times New Roman" w:eastAsia="Times New Roman" w:cs="Times New Roman"/>
                <w:color w:val="auto"/>
                <w:spacing w:val="-6"/>
                <w:position w:val="-1"/>
                <w:sz w:val="15"/>
                <w:szCs w:val="15"/>
                <w:u w:val="none" w:color="auto"/>
              </w:rPr>
              <w:t xml:space="preserve">i </w:t>
            </w:r>
            <w:r>
              <w:rPr>
                <w:rFonts w:ascii="宋体" w:hAnsi="宋体" w:eastAsia="宋体" w:cs="宋体"/>
                <w:color w:val="auto"/>
                <w:spacing w:val="-6"/>
                <w:sz w:val="24"/>
                <w:szCs w:val="24"/>
                <w:u w:val="none" w:color="auto"/>
              </w:rPr>
              <w:t>）可按下式计算：</w:t>
            </w:r>
            <w:r>
              <w:rPr>
                <w:rFonts w:ascii="宋体" w:hAnsi="宋体" w:eastAsia="宋体" w:cs="宋体"/>
                <w:color w:val="auto"/>
                <w:spacing w:val="13"/>
                <w:sz w:val="24"/>
                <w:szCs w:val="24"/>
                <w:u w:val="none" w:color="auto"/>
              </w:rPr>
              <w:t xml:space="preserve"> </w:t>
            </w:r>
            <w:r>
              <w:rPr>
                <w:rFonts w:ascii="Times New Roman" w:hAnsi="Times New Roman" w:eastAsia="Times New Roman" w:cs="Times New Roman"/>
                <w:color w:val="auto"/>
                <w:sz w:val="24"/>
                <w:szCs w:val="24"/>
                <w:u w:val="none" w:color="auto"/>
              </w:rPr>
              <w:t>ΔL=ΔL</w:t>
            </w:r>
            <w:r>
              <w:rPr>
                <w:rFonts w:ascii="Times New Roman" w:hAnsi="Times New Roman" w:eastAsia="Times New Roman" w:cs="Times New Roman"/>
                <w:color w:val="auto"/>
                <w:sz w:val="15"/>
                <w:szCs w:val="15"/>
                <w:u w:val="none" w:color="auto"/>
              </w:rPr>
              <w:t>1</w:t>
            </w:r>
            <w:r>
              <w:rPr>
                <w:rFonts w:ascii="Times New Roman" w:hAnsi="Times New Roman" w:eastAsia="Times New Roman" w:cs="Times New Roman"/>
                <w:color w:val="auto"/>
                <w:sz w:val="24"/>
                <w:szCs w:val="24"/>
                <w:u w:val="none" w:color="auto"/>
              </w:rPr>
              <w:t>-ΔL</w:t>
            </w:r>
            <w:r>
              <w:rPr>
                <w:rFonts w:ascii="Times New Roman" w:hAnsi="Times New Roman" w:eastAsia="Times New Roman" w:cs="Times New Roman"/>
                <w:color w:val="auto"/>
                <w:position w:val="-1"/>
                <w:sz w:val="15"/>
                <w:szCs w:val="15"/>
                <w:u w:val="none" w:color="auto"/>
              </w:rPr>
              <w:t>2</w:t>
            </w:r>
            <w:r>
              <w:rPr>
                <w:rFonts w:ascii="Times New Roman" w:hAnsi="Times New Roman" w:eastAsia="Times New Roman" w:cs="Times New Roman"/>
                <w:color w:val="auto"/>
                <w:sz w:val="24"/>
                <w:szCs w:val="24"/>
                <w:u w:val="none" w:color="auto"/>
              </w:rPr>
              <w:t>+ΔL</w:t>
            </w:r>
            <w:r>
              <w:rPr>
                <w:rFonts w:ascii="Times New Roman" w:hAnsi="Times New Roman" w:eastAsia="Times New Roman" w:cs="Times New Roman"/>
                <w:color w:val="auto"/>
                <w:position w:val="-1"/>
                <w:sz w:val="15"/>
                <w:szCs w:val="15"/>
                <w:u w:val="none" w:color="auto"/>
              </w:rPr>
              <w:t>3</w:t>
            </w:r>
          </w:p>
          <w:p w14:paraId="7E3F13EA">
            <w:pPr>
              <w:spacing w:line="322" w:lineRule="exact"/>
              <w:ind w:left="3226"/>
              <w:rPr>
                <w:rFonts w:ascii="宋体" w:hAnsi="宋体" w:eastAsia="宋体" w:cs="宋体"/>
                <w:color w:val="auto"/>
                <w:sz w:val="12"/>
                <w:szCs w:val="12"/>
                <w:u w:val="none" w:color="auto"/>
              </w:rPr>
            </w:pPr>
            <w:r>
              <w:rPr>
                <w:rFonts w:ascii="Times New Roman" w:hAnsi="Times New Roman" w:eastAsia="Times New Roman" w:cs="Times New Roman"/>
                <w:color w:val="auto"/>
                <w:spacing w:val="-1"/>
                <w:position w:val="3"/>
                <w:sz w:val="24"/>
                <w:szCs w:val="24"/>
                <w:u w:val="none" w:color="auto"/>
              </w:rPr>
              <w:t xml:space="preserve">ΔL1=ΔL </w:t>
            </w:r>
            <w:r>
              <w:rPr>
                <w:rFonts w:ascii="宋体" w:hAnsi="宋体" w:eastAsia="宋体" w:cs="宋体"/>
                <w:color w:val="auto"/>
                <w:spacing w:val="-1"/>
                <w:position w:val="1"/>
                <w:sz w:val="12"/>
                <w:szCs w:val="12"/>
                <w:u w:val="none" w:color="auto"/>
              </w:rPr>
              <w:t>坡度</w:t>
            </w:r>
            <w:r>
              <w:rPr>
                <w:rFonts w:ascii="Times New Roman" w:hAnsi="Times New Roman" w:eastAsia="Times New Roman" w:cs="Times New Roman"/>
                <w:color w:val="auto"/>
                <w:spacing w:val="-1"/>
                <w:position w:val="3"/>
                <w:sz w:val="24"/>
                <w:szCs w:val="24"/>
                <w:u w:val="none" w:color="auto"/>
              </w:rPr>
              <w:t xml:space="preserve">+ΔL </w:t>
            </w:r>
            <w:r>
              <w:rPr>
                <w:rFonts w:ascii="宋体" w:hAnsi="宋体" w:eastAsia="宋体" w:cs="宋体"/>
                <w:color w:val="auto"/>
                <w:spacing w:val="-1"/>
                <w:position w:val="1"/>
                <w:sz w:val="12"/>
                <w:szCs w:val="12"/>
                <w:u w:val="none" w:color="auto"/>
              </w:rPr>
              <w:t>路面</w:t>
            </w:r>
          </w:p>
          <w:p w14:paraId="4274C4C2">
            <w:pPr>
              <w:spacing w:before="145" w:line="323" w:lineRule="exact"/>
              <w:ind w:left="2705"/>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position w:val="4"/>
                <w:sz w:val="24"/>
                <w:szCs w:val="24"/>
                <w:u w:val="none" w:color="auto"/>
              </w:rPr>
              <w:t>ΔL</w:t>
            </w:r>
            <w:r>
              <w:rPr>
                <w:rFonts w:ascii="Times New Roman" w:hAnsi="Times New Roman" w:eastAsia="Times New Roman" w:cs="Times New Roman"/>
                <w:color w:val="auto"/>
                <w:position w:val="3"/>
                <w:sz w:val="15"/>
                <w:szCs w:val="15"/>
                <w:u w:val="none" w:color="auto"/>
              </w:rPr>
              <w:t>2</w:t>
            </w:r>
            <w:r>
              <w:rPr>
                <w:rFonts w:ascii="Times New Roman" w:hAnsi="Times New Roman" w:eastAsia="Times New Roman" w:cs="Times New Roman"/>
                <w:color w:val="auto"/>
                <w:position w:val="4"/>
                <w:sz w:val="24"/>
                <w:szCs w:val="24"/>
                <w:u w:val="none" w:color="auto"/>
              </w:rPr>
              <w:t>=Aatm+Agr+Abar+A</w:t>
            </w:r>
            <w:r>
              <w:rPr>
                <w:rFonts w:ascii="Times New Roman" w:hAnsi="Times New Roman" w:eastAsia="Times New Roman" w:cs="Times New Roman"/>
                <w:color w:val="auto"/>
                <w:spacing w:val="-1"/>
                <w:position w:val="4"/>
                <w:sz w:val="24"/>
                <w:szCs w:val="24"/>
                <w:u w:val="none" w:color="auto"/>
              </w:rPr>
              <w:t>misc</w:t>
            </w:r>
          </w:p>
          <w:p w14:paraId="6C8DD071">
            <w:pPr>
              <w:spacing w:before="189"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3EA4050C">
            <w:pPr>
              <w:spacing w:before="182" w:line="212" w:lineRule="auto"/>
              <w:ind w:left="499"/>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1</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线路因素引起的修正量，</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4A09893C">
            <w:pPr>
              <w:spacing w:before="192" w:line="212" w:lineRule="auto"/>
              <w:ind w:left="499"/>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 xml:space="preserve">ΔL </w:t>
            </w:r>
            <w:r>
              <w:rPr>
                <w:rFonts w:ascii="宋体" w:hAnsi="宋体" w:eastAsia="宋体" w:cs="宋体"/>
                <w:color w:val="auto"/>
                <w:spacing w:val="-1"/>
                <w:position w:val="-3"/>
                <w:sz w:val="12"/>
                <w:szCs w:val="12"/>
                <w:u w:val="none" w:color="auto"/>
              </w:rPr>
              <w:t>坡度</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公路纵坡修正量，</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452D74B5">
            <w:pPr>
              <w:spacing w:before="192" w:line="212" w:lineRule="auto"/>
              <w:ind w:left="499"/>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 xml:space="preserve">ΔL </w:t>
            </w:r>
            <w:r>
              <w:rPr>
                <w:rFonts w:ascii="宋体" w:hAnsi="宋体" w:eastAsia="宋体" w:cs="宋体"/>
                <w:color w:val="auto"/>
                <w:spacing w:val="-1"/>
                <w:position w:val="-3"/>
                <w:sz w:val="12"/>
                <w:szCs w:val="12"/>
                <w:u w:val="none" w:color="auto"/>
              </w:rPr>
              <w:t>路面</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公路路面材料引起的修正量，</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4D5F48DB">
            <w:pPr>
              <w:spacing w:before="193" w:line="212" w:lineRule="auto"/>
              <w:ind w:left="499"/>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2</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声波传播途径中引起的衰减量，</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1B294F67">
            <w:pPr>
              <w:spacing w:before="192" w:line="212" w:lineRule="auto"/>
              <w:ind w:left="499"/>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3</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由反射等引起的修正量，</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353D06FF">
            <w:pPr>
              <w:spacing w:before="192" w:line="347" w:lineRule="auto"/>
              <w:ind w:left="26" w:right="80" w:firstLine="480"/>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混合车流模式的等效声级是将各类车流等效声级叠加求得</w:t>
            </w:r>
            <w:r>
              <w:rPr>
                <w:rFonts w:ascii="宋体" w:hAnsi="宋体" w:eastAsia="宋体" w:cs="宋体"/>
                <w:color w:val="auto"/>
                <w:spacing w:val="-4"/>
                <w:sz w:val="24"/>
                <w:szCs w:val="24"/>
                <w:u w:val="none" w:color="auto"/>
              </w:rPr>
              <w:t>。如果将车流分成</w:t>
            </w:r>
            <w:r>
              <w:rPr>
                <w:rFonts w:ascii="宋体" w:hAnsi="宋体" w:eastAsia="宋体" w:cs="宋体"/>
                <w:color w:val="auto"/>
                <w:spacing w:val="-1"/>
                <w:sz w:val="24"/>
                <w:szCs w:val="24"/>
                <w:u w:val="none" w:color="auto"/>
              </w:rPr>
              <w:t>大、中、小三类车，那么总车流等效声级按下式计算：</w:t>
            </w:r>
          </w:p>
          <w:p w14:paraId="2C707D5B">
            <w:pPr>
              <w:spacing w:line="756" w:lineRule="exact"/>
              <w:ind w:firstLine="806"/>
              <w:rPr>
                <w:color w:val="auto"/>
                <w:u w:val="none" w:color="auto"/>
              </w:rPr>
            </w:pPr>
            <w:r>
              <w:rPr>
                <w:color w:val="auto"/>
                <w:position w:val="-15"/>
                <w:u w:val="none" w:color="auto"/>
              </w:rPr>
              <w:drawing>
                <wp:inline distT="0" distB="0" distL="0" distR="0">
                  <wp:extent cx="4260850" cy="479425"/>
                  <wp:effectExtent l="0" t="0" r="6350" b="15875"/>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7"/>
                          <a:stretch>
                            <a:fillRect/>
                          </a:stretch>
                        </pic:blipFill>
                        <pic:spPr>
                          <a:xfrm>
                            <a:off x="0" y="0"/>
                            <a:ext cx="4261103" cy="480059"/>
                          </a:xfrm>
                          <a:prstGeom prst="rect">
                            <a:avLst/>
                          </a:prstGeom>
                        </pic:spPr>
                      </pic:pic>
                    </a:graphicData>
                  </a:graphic>
                </wp:inline>
              </w:drawing>
            </w:r>
          </w:p>
          <w:p w14:paraId="11BC65C8">
            <w:pPr>
              <w:spacing w:before="214"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0B187A2B">
            <w:pPr>
              <w:spacing w:before="182" w:line="212" w:lineRule="auto"/>
              <w:ind w:left="498"/>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Leq(T)——</w:t>
            </w:r>
            <w:r>
              <w:rPr>
                <w:rFonts w:ascii="宋体" w:hAnsi="宋体" w:eastAsia="宋体" w:cs="宋体"/>
                <w:color w:val="auto"/>
                <w:spacing w:val="-1"/>
                <w:sz w:val="24"/>
                <w:szCs w:val="24"/>
                <w:u w:val="none" w:color="auto"/>
              </w:rPr>
              <w:t>总车流等效声级，</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68B3264D">
            <w:pPr>
              <w:spacing w:before="194" w:line="343" w:lineRule="auto"/>
              <w:ind w:left="502" w:hanging="4"/>
              <w:rPr>
                <w:rFonts w:ascii="宋体" w:hAnsi="宋体" w:eastAsia="宋体" w:cs="宋体"/>
                <w:color w:val="auto"/>
                <w:sz w:val="24"/>
                <w:szCs w:val="24"/>
                <w:u w:val="none" w:color="auto"/>
              </w:rPr>
            </w:pPr>
            <w:r>
              <w:rPr>
                <w:rFonts w:ascii="Times New Roman" w:hAnsi="Times New Roman" w:eastAsia="Times New Roman" w:cs="Times New Roman"/>
                <w:color w:val="auto"/>
                <w:spacing w:val="-4"/>
                <w:sz w:val="24"/>
                <w:szCs w:val="24"/>
                <w:u w:val="none" w:color="auto"/>
              </w:rPr>
              <w:t>Leq(h)</w:t>
            </w:r>
            <w:r>
              <w:rPr>
                <w:rFonts w:ascii="宋体" w:hAnsi="宋体" w:eastAsia="宋体" w:cs="宋体"/>
                <w:color w:val="auto"/>
                <w:spacing w:val="-4"/>
                <w:sz w:val="24"/>
                <w:szCs w:val="24"/>
                <w:u w:val="none" w:color="auto"/>
              </w:rPr>
              <w:t>大、</w:t>
            </w:r>
            <w:r>
              <w:rPr>
                <w:rFonts w:ascii="Times New Roman" w:hAnsi="Times New Roman" w:eastAsia="Times New Roman" w:cs="Times New Roman"/>
                <w:color w:val="auto"/>
                <w:spacing w:val="-4"/>
                <w:sz w:val="24"/>
                <w:szCs w:val="24"/>
                <w:u w:val="none" w:color="auto"/>
              </w:rPr>
              <w:t>Leq(h)</w:t>
            </w:r>
            <w:r>
              <w:rPr>
                <w:rFonts w:ascii="宋体" w:hAnsi="宋体" w:eastAsia="宋体" w:cs="宋体"/>
                <w:color w:val="auto"/>
                <w:spacing w:val="-4"/>
                <w:sz w:val="24"/>
                <w:szCs w:val="24"/>
                <w:u w:val="none" w:color="auto"/>
              </w:rPr>
              <w:t>中、</w:t>
            </w:r>
            <w:r>
              <w:rPr>
                <w:rFonts w:ascii="Times New Roman" w:hAnsi="Times New Roman" w:eastAsia="Times New Roman" w:cs="Times New Roman"/>
                <w:color w:val="auto"/>
                <w:spacing w:val="-4"/>
                <w:sz w:val="24"/>
                <w:szCs w:val="24"/>
                <w:u w:val="none" w:color="auto"/>
              </w:rPr>
              <w:t>Leq(h)</w:t>
            </w:r>
            <w:r>
              <w:rPr>
                <w:rFonts w:ascii="宋体" w:hAnsi="宋体" w:eastAsia="宋体" w:cs="宋体"/>
                <w:color w:val="auto"/>
                <w:spacing w:val="-4"/>
                <w:sz w:val="24"/>
                <w:szCs w:val="24"/>
                <w:u w:val="none" w:color="auto"/>
              </w:rPr>
              <w:t>小</w:t>
            </w:r>
            <w:r>
              <w:rPr>
                <w:rFonts w:ascii="Times New Roman" w:hAnsi="Times New Roman" w:eastAsia="Times New Roman" w:cs="Times New Roman"/>
                <w:color w:val="auto"/>
                <w:spacing w:val="-4"/>
                <w:sz w:val="24"/>
                <w:szCs w:val="24"/>
                <w:u w:val="none" w:color="auto"/>
              </w:rPr>
              <w:t>——</w:t>
            </w:r>
            <w:r>
              <w:rPr>
                <w:rFonts w:ascii="宋体" w:hAnsi="宋体" w:eastAsia="宋体" w:cs="宋体"/>
                <w:color w:val="auto"/>
                <w:spacing w:val="-4"/>
                <w:sz w:val="24"/>
                <w:szCs w:val="24"/>
                <w:u w:val="none" w:color="auto"/>
              </w:rPr>
              <w:t>大、中、小型车的小时等效声</w:t>
            </w:r>
            <w:r>
              <w:rPr>
                <w:rFonts w:ascii="宋体" w:hAnsi="宋体" w:eastAsia="宋体" w:cs="宋体"/>
                <w:color w:val="auto"/>
                <w:spacing w:val="-5"/>
                <w:sz w:val="24"/>
                <w:szCs w:val="24"/>
                <w:u w:val="none" w:color="auto"/>
              </w:rPr>
              <w:t>级，</w:t>
            </w:r>
            <w:r>
              <w:rPr>
                <w:rFonts w:ascii="Times New Roman" w:hAnsi="Times New Roman" w:eastAsia="Times New Roman" w:cs="Times New Roman"/>
                <w:color w:val="auto"/>
                <w:spacing w:val="-5"/>
                <w:sz w:val="24"/>
                <w:szCs w:val="24"/>
                <w:u w:val="none" w:color="auto"/>
              </w:rPr>
              <w:t>dB(A)</w:t>
            </w:r>
            <w:r>
              <w:rPr>
                <w:rFonts w:ascii="宋体" w:hAnsi="宋体" w:eastAsia="宋体" w:cs="宋体"/>
                <w:color w:val="auto"/>
                <w:spacing w:val="-5"/>
                <w:sz w:val="24"/>
                <w:szCs w:val="24"/>
                <w:u w:val="none" w:color="auto"/>
              </w:rPr>
              <w:t>。</w:t>
            </w:r>
            <w:r>
              <w:rPr>
                <w:rFonts w:ascii="宋体" w:hAnsi="宋体" w:eastAsia="宋体" w:cs="宋体"/>
                <w:color w:val="auto"/>
                <w:spacing w:val="-1"/>
                <w:sz w:val="24"/>
                <w:szCs w:val="24"/>
                <w:u w:val="none" w:color="auto"/>
              </w:rPr>
              <w:t>计算预测点昼间或夜间的环境噪声预测值</w:t>
            </w:r>
            <w:r>
              <w:rPr>
                <w:rFonts w:ascii="Times New Roman" w:hAnsi="Times New Roman" w:eastAsia="Times New Roman" w:cs="Times New Roman"/>
                <w:color w:val="auto"/>
                <w:spacing w:val="-1"/>
                <w:sz w:val="24"/>
                <w:szCs w:val="24"/>
                <w:u w:val="none" w:color="auto"/>
              </w:rPr>
              <w:t>(LAeq)</w:t>
            </w:r>
            <w:r>
              <w:rPr>
                <w:rFonts w:ascii="宋体" w:hAnsi="宋体" w:eastAsia="宋体" w:cs="宋体"/>
                <w:color w:val="auto"/>
                <w:spacing w:val="-1"/>
                <w:sz w:val="24"/>
                <w:szCs w:val="24"/>
                <w:u w:val="none" w:color="auto"/>
              </w:rPr>
              <w:t>预计算式为：</w:t>
            </w:r>
          </w:p>
          <w:p w14:paraId="68CD36E0">
            <w:pPr>
              <w:spacing w:before="1" w:line="352" w:lineRule="auto"/>
              <w:ind w:left="508" w:right="2323" w:firstLine="1757"/>
              <w:rPr>
                <w:rFonts w:ascii="宋体" w:hAnsi="宋体" w:eastAsia="宋体" w:cs="宋体"/>
                <w:color w:val="auto"/>
                <w:sz w:val="24"/>
                <w:szCs w:val="24"/>
                <w:u w:val="none" w:color="auto"/>
              </w:rPr>
            </w:pPr>
            <w:r>
              <w:rPr>
                <w:rFonts w:ascii="Times New Roman" w:hAnsi="Times New Roman" w:eastAsia="Times New Roman" w:cs="Times New Roman"/>
                <w:color w:val="auto"/>
                <w:position w:val="-1"/>
                <w:sz w:val="24"/>
                <w:szCs w:val="24"/>
                <w:u w:val="none" w:color="auto"/>
              </w:rPr>
              <w:t>(LAeq)</w:t>
            </w:r>
            <w:r>
              <w:rPr>
                <w:rFonts w:ascii="宋体" w:hAnsi="宋体" w:eastAsia="宋体" w:cs="宋体"/>
                <w:color w:val="auto"/>
                <w:position w:val="-1"/>
                <w:sz w:val="24"/>
                <w:szCs w:val="24"/>
                <w:u w:val="none" w:color="auto"/>
              </w:rPr>
              <w:t>预</w:t>
            </w:r>
            <w:r>
              <w:rPr>
                <w:rFonts w:ascii="Times New Roman" w:hAnsi="Times New Roman" w:eastAsia="Times New Roman" w:cs="Times New Roman"/>
                <w:color w:val="auto"/>
                <w:position w:val="-1"/>
                <w:sz w:val="24"/>
                <w:szCs w:val="24"/>
                <w:u w:val="none" w:color="auto"/>
              </w:rPr>
              <w:t>=10lg[10</w:t>
            </w:r>
            <w:r>
              <w:rPr>
                <w:rFonts w:ascii="Times New Roman" w:hAnsi="Times New Roman" w:eastAsia="Times New Roman" w:cs="Times New Roman"/>
                <w:color w:val="auto"/>
                <w:position w:val="6"/>
                <w:sz w:val="15"/>
                <w:szCs w:val="15"/>
                <w:u w:val="none" w:color="auto"/>
              </w:rPr>
              <w:t>0.</w:t>
            </w:r>
            <w:r>
              <w:rPr>
                <w:rFonts w:ascii="Times New Roman" w:hAnsi="Times New Roman" w:eastAsia="Times New Roman" w:cs="Times New Roman"/>
                <w:color w:val="auto"/>
                <w:spacing w:val="-19"/>
                <w:position w:val="6"/>
                <w:sz w:val="15"/>
                <w:szCs w:val="15"/>
                <w:u w:val="none" w:color="auto"/>
              </w:rPr>
              <w:t xml:space="preserve"> </w:t>
            </w:r>
            <w:r>
              <w:rPr>
                <w:rFonts w:ascii="Times New Roman" w:hAnsi="Times New Roman" w:eastAsia="Times New Roman" w:cs="Times New Roman"/>
                <w:color w:val="auto"/>
                <w:position w:val="6"/>
                <w:sz w:val="15"/>
                <w:szCs w:val="15"/>
                <w:u w:val="none" w:color="auto"/>
              </w:rPr>
              <w:t>1(LAeq)</w:t>
            </w:r>
            <w:r>
              <w:rPr>
                <w:rFonts w:ascii="宋体" w:hAnsi="宋体" w:eastAsia="宋体" w:cs="宋体"/>
                <w:color w:val="auto"/>
                <w:position w:val="-5"/>
                <w:sz w:val="12"/>
                <w:szCs w:val="12"/>
                <w:u w:val="none" w:color="auto"/>
              </w:rPr>
              <w:t>交</w:t>
            </w:r>
            <w:r>
              <w:rPr>
                <w:rFonts w:ascii="Times New Roman" w:hAnsi="Times New Roman" w:eastAsia="Times New Roman" w:cs="Times New Roman"/>
                <w:color w:val="auto"/>
                <w:position w:val="-1"/>
                <w:sz w:val="24"/>
                <w:szCs w:val="24"/>
                <w:u w:val="none" w:color="auto"/>
              </w:rPr>
              <w:t>+10</w:t>
            </w:r>
            <w:r>
              <w:rPr>
                <w:rFonts w:ascii="Times New Roman" w:hAnsi="Times New Roman" w:eastAsia="Times New Roman" w:cs="Times New Roman"/>
                <w:color w:val="auto"/>
                <w:position w:val="6"/>
                <w:sz w:val="15"/>
                <w:szCs w:val="15"/>
                <w:u w:val="none" w:color="auto"/>
              </w:rPr>
              <w:t>0.</w:t>
            </w:r>
            <w:r>
              <w:rPr>
                <w:rFonts w:ascii="Times New Roman" w:hAnsi="Times New Roman" w:eastAsia="Times New Roman" w:cs="Times New Roman"/>
                <w:color w:val="auto"/>
                <w:spacing w:val="-20"/>
                <w:position w:val="6"/>
                <w:sz w:val="15"/>
                <w:szCs w:val="15"/>
                <w:u w:val="none" w:color="auto"/>
              </w:rPr>
              <w:t xml:space="preserve"> </w:t>
            </w:r>
            <w:r>
              <w:rPr>
                <w:rFonts w:ascii="Times New Roman" w:hAnsi="Times New Roman" w:eastAsia="Times New Roman" w:cs="Times New Roman"/>
                <w:color w:val="auto"/>
                <w:position w:val="6"/>
                <w:sz w:val="15"/>
                <w:szCs w:val="15"/>
                <w:u w:val="none" w:color="auto"/>
              </w:rPr>
              <w:t>1(</w:t>
            </w:r>
            <w:r>
              <w:rPr>
                <w:rFonts w:ascii="Times New Roman" w:hAnsi="Times New Roman" w:eastAsia="Times New Roman" w:cs="Times New Roman"/>
                <w:color w:val="auto"/>
                <w:spacing w:val="-1"/>
                <w:position w:val="6"/>
                <w:sz w:val="15"/>
                <w:szCs w:val="15"/>
                <w:u w:val="none" w:color="auto"/>
              </w:rPr>
              <w:t>LAeq)</w:t>
            </w:r>
            <w:r>
              <w:rPr>
                <w:rFonts w:ascii="宋体" w:hAnsi="宋体" w:eastAsia="宋体" w:cs="宋体"/>
                <w:color w:val="auto"/>
                <w:spacing w:val="-1"/>
                <w:position w:val="-5"/>
                <w:sz w:val="12"/>
                <w:szCs w:val="12"/>
                <w:u w:val="none" w:color="auto"/>
              </w:rPr>
              <w:t>背</w:t>
            </w:r>
            <w:r>
              <w:rPr>
                <w:rFonts w:ascii="Times New Roman" w:hAnsi="Times New Roman" w:eastAsia="Times New Roman" w:cs="Times New Roman"/>
                <w:color w:val="auto"/>
                <w:spacing w:val="-1"/>
                <w:position w:val="-1"/>
                <w:sz w:val="24"/>
                <w:szCs w:val="24"/>
                <w:u w:val="none" w:color="auto"/>
              </w:rPr>
              <w:t>]</w:t>
            </w:r>
            <w:r>
              <w:rPr>
                <w:rFonts w:ascii="宋体" w:hAnsi="宋体" w:eastAsia="宋体" w:cs="宋体"/>
                <w:color w:val="auto"/>
                <w:spacing w:val="-5"/>
                <w:sz w:val="24"/>
                <w:szCs w:val="24"/>
                <w:u w:val="none" w:color="auto"/>
              </w:rPr>
              <w:t>式中：</w:t>
            </w:r>
          </w:p>
          <w:p w14:paraId="7100EBFA">
            <w:pPr>
              <w:spacing w:before="122" w:line="212" w:lineRule="auto"/>
              <w:ind w:left="503"/>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(LAeq)</w:t>
            </w:r>
            <w:r>
              <w:rPr>
                <w:rFonts w:ascii="宋体" w:hAnsi="宋体" w:eastAsia="宋体" w:cs="宋体"/>
                <w:color w:val="auto"/>
                <w:position w:val="-3"/>
                <w:sz w:val="12"/>
                <w:szCs w:val="12"/>
                <w:u w:val="none" w:color="auto"/>
              </w:rPr>
              <w:t>预</w:t>
            </w:r>
            <w:r>
              <w:rPr>
                <w:rFonts w:ascii="Times New Roman" w:hAnsi="Times New Roman" w:eastAsia="Times New Roman" w:cs="Times New Roman"/>
                <w:color w:val="auto"/>
                <w:sz w:val="24"/>
                <w:szCs w:val="24"/>
                <w:u w:val="none" w:color="auto"/>
              </w:rPr>
              <w:t>——</w:t>
            </w:r>
            <w:r>
              <w:rPr>
                <w:rFonts w:ascii="宋体" w:hAnsi="宋体" w:eastAsia="宋体" w:cs="宋体"/>
                <w:color w:val="auto"/>
                <w:sz w:val="24"/>
                <w:szCs w:val="24"/>
                <w:u w:val="none" w:color="auto"/>
              </w:rPr>
              <w:t>预测点昼间或夜间的环</w:t>
            </w:r>
            <w:r>
              <w:rPr>
                <w:rFonts w:ascii="宋体" w:hAnsi="宋体" w:eastAsia="宋体" w:cs="宋体"/>
                <w:color w:val="auto"/>
                <w:spacing w:val="-1"/>
                <w:sz w:val="24"/>
                <w:szCs w:val="24"/>
                <w:u w:val="none" w:color="auto"/>
              </w:rPr>
              <w:t>境噪声预测值，</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7861A0BD">
            <w:pPr>
              <w:spacing w:before="192" w:line="212" w:lineRule="auto"/>
              <w:ind w:left="503"/>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(LAeq)</w:t>
            </w:r>
            <w:r>
              <w:rPr>
                <w:rFonts w:ascii="宋体" w:hAnsi="宋体" w:eastAsia="宋体" w:cs="宋体"/>
                <w:color w:val="auto"/>
                <w:spacing w:val="-1"/>
                <w:position w:val="-3"/>
                <w:sz w:val="12"/>
                <w:szCs w:val="12"/>
                <w:u w:val="none" w:color="auto"/>
              </w:rPr>
              <w:t>背</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预测点预测时的环境噪声背景值，</w:t>
            </w:r>
            <w:r>
              <w:rPr>
                <w:rFonts w:ascii="Times New Roman" w:hAnsi="Times New Roman" w:eastAsia="Times New Roman" w:cs="Times New Roman"/>
                <w:color w:val="auto"/>
                <w:spacing w:val="-1"/>
                <w:sz w:val="24"/>
                <w:szCs w:val="24"/>
                <w:u w:val="none" w:color="auto"/>
              </w:rPr>
              <w:t>dB(A)</w:t>
            </w:r>
            <w:r>
              <w:rPr>
                <w:rFonts w:ascii="宋体" w:hAnsi="宋体" w:eastAsia="宋体" w:cs="宋体"/>
                <w:color w:val="auto"/>
                <w:spacing w:val="-1"/>
                <w:sz w:val="24"/>
                <w:szCs w:val="24"/>
                <w:u w:val="none" w:color="auto"/>
              </w:rPr>
              <w:t>。</w:t>
            </w:r>
          </w:p>
          <w:p w14:paraId="31A794C5">
            <w:pPr>
              <w:spacing w:before="192" w:line="219" w:lineRule="auto"/>
              <w:ind w:left="19"/>
              <w:rPr>
                <w:rFonts w:ascii="宋体" w:hAnsi="宋体" w:eastAsia="宋体" w:cs="宋体"/>
                <w:color w:val="auto"/>
                <w:sz w:val="24"/>
                <w:szCs w:val="24"/>
                <w:u w:val="none" w:color="auto"/>
              </w:rPr>
            </w:pPr>
            <w:r>
              <w:rPr>
                <w:rFonts w:hint="eastAsia" w:cs="Times New Roman"/>
                <w:b/>
                <w:bCs/>
                <w:color w:val="auto"/>
                <w:spacing w:val="-2"/>
                <w:sz w:val="24"/>
                <w:szCs w:val="24"/>
                <w:u w:val="none" w:color="auto"/>
                <w:lang w:val="en-US" w:eastAsia="zh-CN"/>
              </w:rPr>
              <w:t>2）</w:t>
            </w:r>
            <w:r>
              <w:rPr>
                <w:rFonts w:ascii="宋体" w:hAnsi="宋体" w:eastAsia="宋体" w:cs="宋体"/>
                <w:b/>
                <w:bCs/>
                <w:color w:val="auto"/>
                <w:spacing w:val="-2"/>
                <w:sz w:val="24"/>
                <w:szCs w:val="24"/>
                <w:u w:val="none" w:color="auto"/>
              </w:rPr>
              <w:t>计算参数</w:t>
            </w:r>
          </w:p>
          <w:p w14:paraId="2316E23C">
            <w:pPr>
              <w:spacing w:before="183" w:line="219" w:lineRule="auto"/>
              <w:ind w:left="522"/>
              <w:rPr>
                <w:rFonts w:ascii="宋体" w:hAnsi="宋体" w:eastAsia="宋体" w:cs="宋体"/>
                <w:color w:val="auto"/>
                <w:sz w:val="24"/>
                <w:szCs w:val="24"/>
                <w:u w:val="none" w:color="auto"/>
              </w:rPr>
            </w:pPr>
            <w:r>
              <w:rPr>
                <w:rFonts w:ascii="Times New Roman" w:hAnsi="Times New Roman" w:eastAsia="Times New Roman" w:cs="Times New Roman"/>
                <w:color w:val="auto"/>
                <w:spacing w:val="-14"/>
                <w:sz w:val="24"/>
                <w:szCs w:val="24"/>
                <w:u w:val="none" w:color="auto"/>
              </w:rPr>
              <w:t>1</w:t>
            </w:r>
            <w:r>
              <w:rPr>
                <w:rFonts w:ascii="Times New Roman" w:hAnsi="Times New Roman" w:eastAsia="Times New Roman" w:cs="Times New Roman"/>
                <w:color w:val="auto"/>
                <w:spacing w:val="-34"/>
                <w:sz w:val="24"/>
                <w:szCs w:val="24"/>
                <w:u w:val="none" w:color="auto"/>
              </w:rPr>
              <w:t xml:space="preserve"> </w:t>
            </w:r>
            <w:r>
              <w:rPr>
                <w:rFonts w:ascii="宋体" w:hAnsi="宋体" w:eastAsia="宋体" w:cs="宋体"/>
                <w:color w:val="auto"/>
                <w:spacing w:val="-14"/>
                <w:sz w:val="24"/>
                <w:szCs w:val="24"/>
                <w:u w:val="none" w:color="auto"/>
              </w:rPr>
              <w:t>、车速</w:t>
            </w:r>
          </w:p>
          <w:p w14:paraId="119C6A77">
            <w:pPr>
              <w:spacing w:before="183" w:line="218" w:lineRule="auto"/>
              <w:ind w:left="503"/>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根据本项目可行性研究报告，道路设计速度为</w:t>
            </w:r>
            <w:r>
              <w:rPr>
                <w:rFonts w:ascii="宋体" w:hAnsi="宋体" w:eastAsia="宋体" w:cs="宋体"/>
                <w:color w:val="auto"/>
                <w:spacing w:val="-43"/>
                <w:sz w:val="24"/>
                <w:szCs w:val="24"/>
                <w:u w:val="none" w:color="auto"/>
              </w:rPr>
              <w:t xml:space="preserve"> </w:t>
            </w:r>
            <w:r>
              <w:rPr>
                <w:rFonts w:ascii="Times New Roman" w:hAnsi="Times New Roman" w:eastAsia="Times New Roman" w:cs="Times New Roman"/>
                <w:color w:val="auto"/>
                <w:spacing w:val="-1"/>
                <w:sz w:val="24"/>
                <w:szCs w:val="24"/>
                <w:u w:val="none" w:color="auto"/>
              </w:rPr>
              <w:t>50km/h</w:t>
            </w:r>
            <w:r>
              <w:rPr>
                <w:rFonts w:ascii="宋体" w:hAnsi="宋体" w:eastAsia="宋体" w:cs="宋体"/>
                <w:color w:val="auto"/>
                <w:spacing w:val="-1"/>
                <w:sz w:val="24"/>
                <w:szCs w:val="24"/>
                <w:u w:val="none" w:color="auto"/>
              </w:rPr>
              <w:t>。</w:t>
            </w:r>
          </w:p>
          <w:p w14:paraId="46C524FB">
            <w:pPr>
              <w:spacing w:before="185" w:line="219" w:lineRule="auto"/>
              <w:ind w:left="499"/>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3"/>
                <w:sz w:val="24"/>
                <w:szCs w:val="24"/>
                <w:u w:val="none" w:color="auto"/>
              </w:rPr>
              <w:t>2</w:t>
            </w:r>
            <w:r>
              <w:rPr>
                <w:rFonts w:ascii="Times New Roman" w:hAnsi="Times New Roman" w:eastAsia="Times New Roman" w:cs="Times New Roman"/>
                <w:color w:val="auto"/>
                <w:spacing w:val="-30"/>
                <w:sz w:val="24"/>
                <w:szCs w:val="24"/>
                <w:u w:val="none" w:color="auto"/>
              </w:rPr>
              <w:t xml:space="preserve"> </w:t>
            </w:r>
            <w:r>
              <w:rPr>
                <w:rFonts w:ascii="宋体" w:hAnsi="宋体" w:eastAsia="宋体" w:cs="宋体"/>
                <w:color w:val="auto"/>
                <w:spacing w:val="-3"/>
                <w:sz w:val="24"/>
                <w:szCs w:val="24"/>
                <w:u w:val="none" w:color="auto"/>
              </w:rPr>
              <w:t>、单车行驶辐射噪声级</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3"/>
                <w:sz w:val="24"/>
                <w:szCs w:val="24"/>
                <w:u w:val="none" w:color="auto"/>
              </w:rPr>
              <w:t>Loi</w:t>
            </w:r>
          </w:p>
          <w:p w14:paraId="0F7F93B4">
            <w:pPr>
              <w:spacing w:before="184" w:line="343" w:lineRule="auto"/>
              <w:ind w:left="2691" w:right="973" w:hanging="2186"/>
              <w:rPr>
                <w:rFonts w:ascii="Times New Roman" w:hAnsi="Times New Roman" w:eastAsia="Times New Roman" w:cs="Times New Roman"/>
                <w:color w:val="auto"/>
                <w:sz w:val="15"/>
                <w:szCs w:val="15"/>
                <w:u w:val="none" w:color="auto"/>
              </w:rPr>
            </w:pPr>
            <w:r>
              <w:rPr>
                <w:rFonts w:ascii="宋体" w:hAnsi="宋体" w:eastAsia="宋体" w:cs="宋体"/>
                <w:color w:val="auto"/>
                <w:spacing w:val="-2"/>
                <w:sz w:val="24"/>
                <w:szCs w:val="24"/>
                <w:u w:val="none" w:color="auto"/>
              </w:rPr>
              <w:t>车辆在参照点（</w:t>
            </w:r>
            <w:r>
              <w:rPr>
                <w:rFonts w:ascii="Times New Roman" w:hAnsi="Times New Roman" w:eastAsia="Times New Roman" w:cs="Times New Roman"/>
                <w:color w:val="auto"/>
                <w:spacing w:val="-2"/>
                <w:sz w:val="24"/>
                <w:szCs w:val="24"/>
                <w:u w:val="none" w:color="auto"/>
              </w:rPr>
              <w:t xml:space="preserve">7.5m </w:t>
            </w:r>
            <w:r>
              <w:rPr>
                <w:rFonts w:ascii="宋体" w:hAnsi="宋体" w:eastAsia="宋体" w:cs="宋体"/>
                <w:color w:val="auto"/>
                <w:spacing w:val="-2"/>
                <w:sz w:val="24"/>
                <w:szCs w:val="24"/>
                <w:u w:val="none" w:color="auto"/>
              </w:rPr>
              <w:t>处）平均辐射噪声级（</w:t>
            </w:r>
            <w:r>
              <w:rPr>
                <w:rFonts w:ascii="Times New Roman" w:hAnsi="Times New Roman" w:eastAsia="Times New Roman" w:cs="Times New Roman"/>
                <w:color w:val="auto"/>
                <w:spacing w:val="-3"/>
                <w:sz w:val="24"/>
                <w:szCs w:val="24"/>
                <w:u w:val="none" w:color="auto"/>
              </w:rPr>
              <w:t>dB</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L</w:t>
            </w:r>
            <w:r>
              <w:rPr>
                <w:rFonts w:ascii="Times New Roman" w:hAnsi="Times New Roman" w:eastAsia="Times New Roman" w:cs="Times New Roman"/>
                <w:color w:val="auto"/>
                <w:spacing w:val="-3"/>
                <w:position w:val="-1"/>
                <w:sz w:val="15"/>
                <w:szCs w:val="15"/>
                <w:u w:val="none" w:color="auto"/>
              </w:rPr>
              <w:t>Oi</w:t>
            </w:r>
            <w:r>
              <w:rPr>
                <w:rFonts w:ascii="Times New Roman" w:hAnsi="Times New Roman" w:eastAsia="Times New Roman" w:cs="Times New Roman"/>
                <w:color w:val="auto"/>
                <w:spacing w:val="13"/>
                <w:position w:val="-1"/>
                <w:sz w:val="15"/>
                <w:szCs w:val="15"/>
                <w:u w:val="none" w:color="auto"/>
              </w:rPr>
              <w:t xml:space="preserve"> </w:t>
            </w:r>
            <w:r>
              <w:rPr>
                <w:rFonts w:ascii="宋体" w:hAnsi="宋体" w:eastAsia="宋体" w:cs="宋体"/>
                <w:color w:val="auto"/>
                <w:spacing w:val="-3"/>
                <w:sz w:val="24"/>
                <w:szCs w:val="24"/>
                <w:u w:val="none" w:color="auto"/>
              </w:rPr>
              <w:t>按下式计算：</w:t>
            </w:r>
            <w:r>
              <w:rPr>
                <w:rFonts w:ascii="宋体" w:hAnsi="宋体" w:eastAsia="宋体" w:cs="宋体"/>
                <w:color w:val="auto"/>
                <w:spacing w:val="-2"/>
                <w:sz w:val="24"/>
                <w:szCs w:val="24"/>
                <w:u w:val="none" w:color="auto"/>
              </w:rPr>
              <w:t>小型车：</w:t>
            </w:r>
            <w:r>
              <w:rPr>
                <w:rFonts w:ascii="Times New Roman" w:hAnsi="Times New Roman" w:eastAsia="Times New Roman" w:cs="Times New Roman"/>
                <w:color w:val="auto"/>
                <w:spacing w:val="-2"/>
                <w:sz w:val="24"/>
                <w:szCs w:val="24"/>
                <w:u w:val="none" w:color="auto"/>
              </w:rPr>
              <w:t>L</w:t>
            </w:r>
            <w:r>
              <w:rPr>
                <w:rFonts w:ascii="Times New Roman" w:hAnsi="Times New Roman" w:eastAsia="Times New Roman" w:cs="Times New Roman"/>
                <w:color w:val="auto"/>
                <w:spacing w:val="-2"/>
                <w:position w:val="-1"/>
                <w:sz w:val="15"/>
                <w:szCs w:val="15"/>
                <w:u w:val="none" w:color="auto"/>
              </w:rPr>
              <w:t>OS</w:t>
            </w:r>
            <w:r>
              <w:rPr>
                <w:rFonts w:ascii="Times New Roman" w:hAnsi="Times New Roman" w:eastAsia="Times New Roman" w:cs="Times New Roman"/>
                <w:color w:val="auto"/>
                <w:spacing w:val="-2"/>
                <w:sz w:val="24"/>
                <w:szCs w:val="24"/>
                <w:u w:val="none" w:color="auto"/>
              </w:rPr>
              <w:t>=</w:t>
            </w:r>
            <w:r>
              <w:rPr>
                <w:rFonts w:ascii="Times New Roman" w:hAnsi="Times New Roman" w:eastAsia="Times New Roman" w:cs="Times New Roman"/>
                <w:color w:val="auto"/>
                <w:spacing w:val="-25"/>
                <w:sz w:val="24"/>
                <w:szCs w:val="24"/>
                <w:u w:val="none" w:color="auto"/>
              </w:rPr>
              <w:t xml:space="preserve"> </w:t>
            </w:r>
            <w:r>
              <w:rPr>
                <w:rFonts w:ascii="Times New Roman" w:hAnsi="Times New Roman" w:eastAsia="Times New Roman" w:cs="Times New Roman"/>
                <w:color w:val="auto"/>
                <w:spacing w:val="-2"/>
                <w:sz w:val="24"/>
                <w:szCs w:val="24"/>
                <w:u w:val="none" w:color="auto"/>
              </w:rPr>
              <w:t>12.6+34.73lgV</w:t>
            </w:r>
            <w:r>
              <w:rPr>
                <w:rFonts w:ascii="Times New Roman" w:hAnsi="Times New Roman" w:eastAsia="Times New Roman" w:cs="Times New Roman"/>
                <w:color w:val="auto"/>
                <w:spacing w:val="-2"/>
                <w:position w:val="-1"/>
                <w:sz w:val="15"/>
                <w:szCs w:val="15"/>
                <w:u w:val="none" w:color="auto"/>
              </w:rPr>
              <w:t>S</w:t>
            </w:r>
          </w:p>
          <w:p w14:paraId="1546FE6D">
            <w:pPr>
              <w:spacing w:line="322" w:lineRule="exact"/>
              <w:ind w:left="2714"/>
              <w:rPr>
                <w:rFonts w:ascii="Times New Roman" w:hAnsi="Times New Roman" w:eastAsia="Times New Roman" w:cs="Times New Roman"/>
                <w:color w:val="auto"/>
                <w:sz w:val="15"/>
                <w:szCs w:val="15"/>
                <w:u w:val="none" w:color="auto"/>
              </w:rPr>
            </w:pPr>
            <w:r>
              <w:rPr>
                <w:rFonts w:ascii="宋体" w:hAnsi="宋体" w:eastAsia="宋体" w:cs="宋体"/>
                <w:color w:val="auto"/>
                <w:spacing w:val="-1"/>
                <w:position w:val="2"/>
                <w:sz w:val="24"/>
                <w:szCs w:val="24"/>
                <w:u w:val="none" w:color="auto"/>
              </w:rPr>
              <w:t>中型车：</w:t>
            </w:r>
            <w:r>
              <w:rPr>
                <w:rFonts w:ascii="Times New Roman" w:hAnsi="Times New Roman" w:eastAsia="Times New Roman" w:cs="Times New Roman"/>
                <w:color w:val="auto"/>
                <w:spacing w:val="-1"/>
                <w:position w:val="2"/>
                <w:sz w:val="24"/>
                <w:szCs w:val="24"/>
                <w:u w:val="none" w:color="auto"/>
              </w:rPr>
              <w:t>L</w:t>
            </w:r>
            <w:r>
              <w:rPr>
                <w:rFonts w:ascii="Times New Roman" w:hAnsi="Times New Roman" w:eastAsia="Times New Roman" w:cs="Times New Roman"/>
                <w:color w:val="auto"/>
                <w:spacing w:val="-1"/>
                <w:position w:val="1"/>
                <w:sz w:val="15"/>
                <w:szCs w:val="15"/>
                <w:u w:val="none" w:color="auto"/>
              </w:rPr>
              <w:t>OM</w:t>
            </w:r>
            <w:r>
              <w:rPr>
                <w:rFonts w:ascii="Times New Roman" w:hAnsi="Times New Roman" w:eastAsia="Times New Roman" w:cs="Times New Roman"/>
                <w:color w:val="auto"/>
                <w:spacing w:val="-1"/>
                <w:position w:val="2"/>
                <w:sz w:val="24"/>
                <w:szCs w:val="24"/>
                <w:u w:val="none" w:color="auto"/>
              </w:rPr>
              <w:t>=8.8+40.48lgV</w:t>
            </w:r>
            <w:r>
              <w:rPr>
                <w:rFonts w:ascii="Times New Roman" w:hAnsi="Times New Roman" w:eastAsia="Times New Roman" w:cs="Times New Roman"/>
                <w:color w:val="auto"/>
                <w:spacing w:val="-1"/>
                <w:position w:val="1"/>
                <w:sz w:val="15"/>
                <w:szCs w:val="15"/>
                <w:u w:val="none" w:color="auto"/>
              </w:rPr>
              <w:t>M</w:t>
            </w:r>
          </w:p>
          <w:p w14:paraId="58ECA162">
            <w:pPr>
              <w:spacing w:before="146" w:line="322" w:lineRule="exact"/>
              <w:ind w:left="2678"/>
              <w:rPr>
                <w:rFonts w:ascii="Times New Roman" w:hAnsi="Times New Roman" w:eastAsia="Times New Roman" w:cs="Times New Roman"/>
                <w:color w:val="auto"/>
                <w:sz w:val="15"/>
                <w:szCs w:val="15"/>
                <w:u w:val="none" w:color="auto"/>
              </w:rPr>
            </w:pPr>
            <w:r>
              <w:rPr>
                <w:rFonts w:ascii="宋体" w:hAnsi="宋体" w:eastAsia="宋体" w:cs="宋体"/>
                <w:color w:val="auto"/>
                <w:position w:val="2"/>
                <w:sz w:val="24"/>
                <w:szCs w:val="24"/>
                <w:u w:val="none" w:color="auto"/>
              </w:rPr>
              <w:t>大型车：</w:t>
            </w:r>
            <w:r>
              <w:rPr>
                <w:rFonts w:ascii="Times New Roman" w:hAnsi="Times New Roman" w:eastAsia="Times New Roman" w:cs="Times New Roman"/>
                <w:color w:val="auto"/>
                <w:position w:val="2"/>
                <w:sz w:val="24"/>
                <w:szCs w:val="24"/>
                <w:u w:val="none" w:color="auto"/>
              </w:rPr>
              <w:t>L</w:t>
            </w:r>
            <w:r>
              <w:rPr>
                <w:rFonts w:ascii="Times New Roman" w:hAnsi="Times New Roman" w:eastAsia="Times New Roman" w:cs="Times New Roman"/>
                <w:color w:val="auto"/>
                <w:position w:val="1"/>
                <w:sz w:val="15"/>
                <w:szCs w:val="15"/>
                <w:u w:val="none" w:color="auto"/>
              </w:rPr>
              <w:t>OL</w:t>
            </w:r>
            <w:r>
              <w:rPr>
                <w:rFonts w:ascii="Times New Roman" w:hAnsi="Times New Roman" w:eastAsia="Times New Roman" w:cs="Times New Roman"/>
                <w:color w:val="auto"/>
                <w:position w:val="2"/>
                <w:sz w:val="24"/>
                <w:szCs w:val="24"/>
                <w:u w:val="none" w:color="auto"/>
              </w:rPr>
              <w:t>=22.0+36.32l</w:t>
            </w:r>
            <w:r>
              <w:rPr>
                <w:rFonts w:ascii="Times New Roman" w:hAnsi="Times New Roman" w:eastAsia="Times New Roman" w:cs="Times New Roman"/>
                <w:color w:val="auto"/>
                <w:spacing w:val="-1"/>
                <w:position w:val="2"/>
                <w:sz w:val="24"/>
                <w:szCs w:val="24"/>
                <w:u w:val="none" w:color="auto"/>
              </w:rPr>
              <w:t>gV</w:t>
            </w:r>
            <w:r>
              <w:rPr>
                <w:rFonts w:ascii="Times New Roman" w:hAnsi="Times New Roman" w:eastAsia="Times New Roman" w:cs="Times New Roman"/>
                <w:color w:val="auto"/>
                <w:spacing w:val="-1"/>
                <w:position w:val="1"/>
                <w:sz w:val="15"/>
                <w:szCs w:val="15"/>
                <w:u w:val="none" w:color="auto"/>
              </w:rPr>
              <w:t>L</w:t>
            </w:r>
          </w:p>
          <w:p w14:paraId="3DE50829">
            <w:pPr>
              <w:spacing w:before="189"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79D47397">
            <w:pPr>
              <w:spacing w:before="182" w:line="219" w:lineRule="auto"/>
              <w:ind w:left="501"/>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i——</w:t>
            </w:r>
            <w:r>
              <w:rPr>
                <w:rFonts w:ascii="宋体" w:hAnsi="宋体" w:eastAsia="宋体" w:cs="宋体"/>
                <w:color w:val="auto"/>
                <w:spacing w:val="-1"/>
                <w:sz w:val="24"/>
                <w:szCs w:val="24"/>
                <w:u w:val="none" w:color="auto"/>
              </w:rPr>
              <w:t>表示小（</w:t>
            </w:r>
            <w:r>
              <w:rPr>
                <w:rFonts w:ascii="Times New Roman" w:hAnsi="Times New Roman" w:eastAsia="Times New Roman" w:cs="Times New Roman"/>
                <w:color w:val="auto"/>
                <w:spacing w:val="-1"/>
                <w:sz w:val="24"/>
                <w:szCs w:val="24"/>
                <w:u w:val="none" w:color="auto"/>
              </w:rPr>
              <w:t>S</w:t>
            </w:r>
            <w:r>
              <w:rPr>
                <w:rFonts w:ascii="宋体" w:hAnsi="宋体" w:eastAsia="宋体" w:cs="宋体"/>
                <w:color w:val="auto"/>
                <w:spacing w:val="-1"/>
                <w:sz w:val="24"/>
                <w:szCs w:val="24"/>
                <w:u w:val="none" w:color="auto"/>
              </w:rPr>
              <w:t>）、中（</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）、大（</w:t>
            </w:r>
            <w:r>
              <w:rPr>
                <w:rFonts w:ascii="Times New Roman" w:hAnsi="Times New Roman" w:eastAsia="Times New Roman" w:cs="Times New Roman"/>
                <w:color w:val="auto"/>
                <w:spacing w:val="-1"/>
                <w:sz w:val="24"/>
                <w:szCs w:val="24"/>
                <w:u w:val="none" w:color="auto"/>
              </w:rPr>
              <w:t>L</w:t>
            </w:r>
            <w:r>
              <w:rPr>
                <w:rFonts w:ascii="宋体" w:hAnsi="宋体" w:eastAsia="宋体" w:cs="宋体"/>
                <w:color w:val="auto"/>
                <w:spacing w:val="-1"/>
                <w:sz w:val="24"/>
                <w:szCs w:val="24"/>
                <w:u w:val="none" w:color="auto"/>
              </w:rPr>
              <w:t>）型车</w:t>
            </w:r>
          </w:p>
          <w:p w14:paraId="1897ED48">
            <w:pPr>
              <w:spacing w:before="184" w:line="219" w:lineRule="auto"/>
              <w:ind w:left="496"/>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Vi——</w:t>
            </w:r>
            <w:r>
              <w:rPr>
                <w:rFonts w:ascii="宋体" w:hAnsi="宋体" w:eastAsia="宋体" w:cs="宋体"/>
                <w:color w:val="auto"/>
                <w:spacing w:val="-1"/>
                <w:sz w:val="24"/>
                <w:szCs w:val="24"/>
                <w:u w:val="none" w:color="auto"/>
              </w:rPr>
              <w:t>该车型车辆平均行驶速度，</w:t>
            </w:r>
            <w:r>
              <w:rPr>
                <w:rFonts w:ascii="Times New Roman" w:hAnsi="Times New Roman" w:eastAsia="Times New Roman" w:cs="Times New Roman"/>
                <w:color w:val="auto"/>
                <w:spacing w:val="-1"/>
                <w:sz w:val="24"/>
                <w:szCs w:val="24"/>
                <w:u w:val="none" w:color="auto"/>
              </w:rPr>
              <w:t>km/h</w:t>
            </w:r>
            <w:r>
              <w:rPr>
                <w:rFonts w:ascii="宋体" w:hAnsi="宋体" w:eastAsia="宋体" w:cs="宋体"/>
                <w:color w:val="auto"/>
                <w:spacing w:val="-1"/>
                <w:sz w:val="24"/>
                <w:szCs w:val="24"/>
                <w:u w:val="none" w:color="auto"/>
              </w:rPr>
              <w:t>。</w:t>
            </w:r>
          </w:p>
          <w:p w14:paraId="0DF4A6C4">
            <w:pPr>
              <w:spacing w:before="183" w:line="219" w:lineRule="auto"/>
              <w:ind w:left="503"/>
              <w:rPr>
                <w:rFonts w:ascii="宋体" w:hAnsi="宋体" w:eastAsia="宋体" w:cs="宋体"/>
                <w:color w:val="auto"/>
                <w:sz w:val="24"/>
                <w:szCs w:val="24"/>
                <w:u w:val="none" w:color="auto"/>
              </w:rPr>
            </w:pPr>
            <w:r>
              <w:rPr>
                <w:rFonts w:ascii="Times New Roman" w:hAnsi="Times New Roman" w:eastAsia="Times New Roman" w:cs="Times New Roman"/>
                <w:color w:val="auto"/>
                <w:spacing w:val="-3"/>
                <w:sz w:val="24"/>
                <w:szCs w:val="24"/>
                <w:u w:val="none" w:color="auto"/>
              </w:rPr>
              <w:t>3</w:t>
            </w:r>
            <w:r>
              <w:rPr>
                <w:rFonts w:ascii="Times New Roman" w:hAnsi="Times New Roman" w:eastAsia="Times New Roman" w:cs="Times New Roman"/>
                <w:color w:val="auto"/>
                <w:spacing w:val="-34"/>
                <w:sz w:val="24"/>
                <w:szCs w:val="24"/>
                <w:u w:val="none" w:color="auto"/>
              </w:rPr>
              <w:t xml:space="preserve"> </w:t>
            </w:r>
            <w:r>
              <w:rPr>
                <w:rFonts w:ascii="宋体" w:hAnsi="宋体" w:eastAsia="宋体" w:cs="宋体"/>
                <w:color w:val="auto"/>
                <w:spacing w:val="-3"/>
                <w:sz w:val="24"/>
                <w:szCs w:val="24"/>
                <w:u w:val="none" w:color="auto"/>
              </w:rPr>
              <w:t>、修正量和衰减量的计算</w:t>
            </w:r>
          </w:p>
          <w:p w14:paraId="60857F7B">
            <w:pPr>
              <w:spacing w:before="183" w:line="219" w:lineRule="auto"/>
              <w:ind w:left="514"/>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1</w:t>
            </w:r>
            <w:r>
              <w:rPr>
                <w:rFonts w:ascii="宋体" w:hAnsi="宋体" w:eastAsia="宋体" w:cs="宋体"/>
                <w:color w:val="auto"/>
                <w:spacing w:val="-1"/>
                <w:sz w:val="24"/>
                <w:szCs w:val="24"/>
                <w:u w:val="none" w:color="auto"/>
              </w:rPr>
              <w:t>）线路因素引起的修正量 (</w:t>
            </w: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1</w:t>
            </w:r>
            <w:r>
              <w:rPr>
                <w:rFonts w:ascii="宋体" w:hAnsi="宋体" w:eastAsia="宋体" w:cs="宋体"/>
                <w:color w:val="auto"/>
                <w:spacing w:val="-1"/>
                <w:sz w:val="24"/>
                <w:szCs w:val="24"/>
                <w:u w:val="none" w:color="auto"/>
              </w:rPr>
              <w:t>）</w:t>
            </w:r>
          </w:p>
          <w:p w14:paraId="00A46BD7">
            <w:pPr>
              <w:spacing w:before="183" w:line="219" w:lineRule="auto"/>
              <w:ind w:left="502"/>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①纵坡修正量 (</w:t>
            </w:r>
            <w:r>
              <w:rPr>
                <w:rFonts w:ascii="Times New Roman" w:hAnsi="Times New Roman" w:eastAsia="Times New Roman" w:cs="Times New Roman"/>
                <w:color w:val="auto"/>
                <w:spacing w:val="-2"/>
                <w:sz w:val="24"/>
                <w:szCs w:val="24"/>
                <w:u w:val="none" w:color="auto"/>
              </w:rPr>
              <w:t>ΔL</w:t>
            </w:r>
            <w:r>
              <w:rPr>
                <w:rFonts w:ascii="Times New Roman" w:hAnsi="Times New Roman" w:eastAsia="Times New Roman" w:cs="Times New Roman"/>
                <w:color w:val="auto"/>
                <w:spacing w:val="15"/>
                <w:w w:val="101"/>
                <w:sz w:val="24"/>
                <w:szCs w:val="24"/>
                <w:u w:val="none" w:color="auto"/>
              </w:rPr>
              <w:t xml:space="preserve"> </w:t>
            </w:r>
            <w:r>
              <w:rPr>
                <w:rFonts w:ascii="宋体" w:hAnsi="宋体" w:eastAsia="宋体" w:cs="宋体"/>
                <w:color w:val="auto"/>
                <w:spacing w:val="-2"/>
                <w:position w:val="-3"/>
                <w:sz w:val="12"/>
                <w:szCs w:val="12"/>
                <w:u w:val="none" w:color="auto"/>
              </w:rPr>
              <w:t>坡度</w:t>
            </w:r>
            <w:r>
              <w:rPr>
                <w:rFonts w:ascii="宋体" w:hAnsi="宋体" w:eastAsia="宋体" w:cs="宋体"/>
                <w:color w:val="auto"/>
                <w:spacing w:val="-2"/>
                <w:sz w:val="24"/>
                <w:szCs w:val="24"/>
                <w:u w:val="none" w:color="auto"/>
              </w:rPr>
              <w:t>）</w:t>
            </w:r>
          </w:p>
          <w:p w14:paraId="6833F470">
            <w:pPr>
              <w:spacing w:before="183" w:line="219" w:lineRule="auto"/>
              <w:ind w:left="510"/>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公路纵坡修正量 (</w:t>
            </w:r>
            <w:r>
              <w:rPr>
                <w:rFonts w:ascii="Times New Roman" w:hAnsi="Times New Roman" w:eastAsia="Times New Roman" w:cs="Times New Roman"/>
                <w:color w:val="auto"/>
                <w:spacing w:val="-1"/>
                <w:sz w:val="24"/>
                <w:szCs w:val="24"/>
                <w:u w:val="none" w:color="auto"/>
              </w:rPr>
              <w:t xml:space="preserve">ΔL </w:t>
            </w:r>
            <w:r>
              <w:rPr>
                <w:rFonts w:ascii="宋体" w:hAnsi="宋体" w:eastAsia="宋体" w:cs="宋体"/>
                <w:color w:val="auto"/>
                <w:spacing w:val="-1"/>
                <w:position w:val="-3"/>
                <w:sz w:val="12"/>
                <w:szCs w:val="12"/>
                <w:u w:val="none" w:color="auto"/>
              </w:rPr>
              <w:t>坡度</w:t>
            </w:r>
            <w:r>
              <w:rPr>
                <w:rFonts w:ascii="宋体" w:hAnsi="宋体" w:eastAsia="宋体" w:cs="宋体"/>
                <w:color w:val="auto"/>
                <w:spacing w:val="-1"/>
                <w:sz w:val="24"/>
                <w:szCs w:val="24"/>
                <w:u w:val="none" w:color="auto"/>
              </w:rPr>
              <w:t>）可按下式计算：</w:t>
            </w:r>
          </w:p>
          <w:p w14:paraId="304A82D2">
            <w:pPr>
              <w:spacing w:before="204" w:line="1286" w:lineRule="exact"/>
              <w:ind w:firstLine="2786"/>
              <w:rPr>
                <w:color w:val="auto"/>
                <w:u w:val="none" w:color="auto"/>
              </w:rPr>
            </w:pPr>
            <w:r>
              <w:rPr>
                <w:color w:val="auto"/>
                <w:position w:val="-25"/>
                <w:u w:val="none" w:color="auto"/>
              </w:rPr>
              <w:drawing>
                <wp:inline distT="0" distB="0" distL="0" distR="0">
                  <wp:extent cx="1737360" cy="816610"/>
                  <wp:effectExtent l="0" t="0" r="15240" b="2540"/>
                  <wp:docPr id="48" name="IM 66"/>
                  <wp:cNvGraphicFramePr/>
                  <a:graphic xmlns:a="http://schemas.openxmlformats.org/drawingml/2006/main">
                    <a:graphicData uri="http://schemas.openxmlformats.org/drawingml/2006/picture">
                      <pic:pic xmlns:pic="http://schemas.openxmlformats.org/drawingml/2006/picture">
                        <pic:nvPicPr>
                          <pic:cNvPr id="48" name="IM 66"/>
                          <pic:cNvPicPr/>
                        </pic:nvPicPr>
                        <pic:blipFill>
                          <a:blip r:embed="rId38"/>
                          <a:stretch>
                            <a:fillRect/>
                          </a:stretch>
                        </pic:blipFill>
                        <pic:spPr>
                          <a:xfrm>
                            <a:off x="0" y="0"/>
                            <a:ext cx="1737360" cy="816864"/>
                          </a:xfrm>
                          <a:prstGeom prst="rect">
                            <a:avLst/>
                          </a:prstGeom>
                        </pic:spPr>
                      </pic:pic>
                    </a:graphicData>
                  </a:graphic>
                </wp:inline>
              </w:drawing>
            </w:r>
          </w:p>
          <w:p w14:paraId="3EF48EEE">
            <w:pPr>
              <w:spacing w:before="254"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60873B5F">
            <w:pPr>
              <w:spacing w:before="182" w:line="351" w:lineRule="auto"/>
              <w:ind w:left="506" w:right="5080" w:hanging="7"/>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 xml:space="preserve">ΔL </w:t>
            </w:r>
            <w:r>
              <w:rPr>
                <w:rFonts w:ascii="宋体" w:hAnsi="宋体" w:eastAsia="宋体" w:cs="宋体"/>
                <w:color w:val="auto"/>
                <w:spacing w:val="-1"/>
                <w:position w:val="-3"/>
                <w:sz w:val="12"/>
                <w:szCs w:val="12"/>
                <w:u w:val="none" w:color="auto"/>
              </w:rPr>
              <w:t>坡度</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公路纵坡修正量</w:t>
            </w:r>
            <w:r>
              <w:rPr>
                <w:rFonts w:ascii="Times New Roman" w:hAnsi="Times New Roman" w:eastAsia="Times New Roman" w:cs="Times New Roman"/>
                <w:color w:val="auto"/>
                <w:spacing w:val="-2"/>
                <w:sz w:val="24"/>
                <w:szCs w:val="24"/>
                <w:u w:val="none" w:color="auto"/>
              </w:rPr>
              <w:t>β——</w:t>
            </w:r>
            <w:r>
              <w:rPr>
                <w:rFonts w:ascii="宋体" w:hAnsi="宋体" w:eastAsia="宋体" w:cs="宋体"/>
                <w:color w:val="auto"/>
                <w:spacing w:val="-2"/>
                <w:sz w:val="24"/>
                <w:szCs w:val="24"/>
                <w:u w:val="none" w:color="auto"/>
              </w:rPr>
              <w:t>公路纵坡坡度，</w:t>
            </w:r>
            <w:r>
              <w:rPr>
                <w:rFonts w:ascii="Times New Roman" w:hAnsi="Times New Roman" w:eastAsia="Times New Roman" w:cs="Times New Roman"/>
                <w:color w:val="auto"/>
                <w:spacing w:val="-2"/>
                <w:sz w:val="24"/>
                <w:szCs w:val="24"/>
                <w:u w:val="none" w:color="auto"/>
              </w:rPr>
              <w:t>%</w:t>
            </w:r>
            <w:r>
              <w:rPr>
                <w:rFonts w:ascii="宋体" w:hAnsi="宋体" w:eastAsia="宋体" w:cs="宋体"/>
                <w:color w:val="auto"/>
                <w:spacing w:val="-2"/>
                <w:sz w:val="24"/>
                <w:szCs w:val="24"/>
                <w:u w:val="none" w:color="auto"/>
              </w:rPr>
              <w:t>。</w:t>
            </w:r>
          </w:p>
          <w:p w14:paraId="160E02EB">
            <w:pPr>
              <w:spacing w:before="22" w:line="219" w:lineRule="auto"/>
              <w:ind w:left="501"/>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②路面修正量 (</w:t>
            </w:r>
            <w:r>
              <w:rPr>
                <w:rFonts w:ascii="Times New Roman" w:hAnsi="Times New Roman" w:eastAsia="Times New Roman" w:cs="Times New Roman"/>
                <w:color w:val="auto"/>
                <w:spacing w:val="-2"/>
                <w:sz w:val="24"/>
                <w:szCs w:val="24"/>
                <w:u w:val="none" w:color="auto"/>
              </w:rPr>
              <w:t>ΔL</w:t>
            </w:r>
            <w:r>
              <w:rPr>
                <w:rFonts w:ascii="Times New Roman" w:hAnsi="Times New Roman" w:eastAsia="Times New Roman" w:cs="Times New Roman"/>
                <w:color w:val="auto"/>
                <w:spacing w:val="16"/>
                <w:w w:val="101"/>
                <w:sz w:val="24"/>
                <w:szCs w:val="24"/>
                <w:u w:val="none" w:color="auto"/>
              </w:rPr>
              <w:t xml:space="preserve"> </w:t>
            </w:r>
            <w:r>
              <w:rPr>
                <w:rFonts w:ascii="宋体" w:hAnsi="宋体" w:eastAsia="宋体" w:cs="宋体"/>
                <w:color w:val="auto"/>
                <w:spacing w:val="-2"/>
                <w:position w:val="-3"/>
                <w:sz w:val="12"/>
                <w:szCs w:val="12"/>
                <w:u w:val="none" w:color="auto"/>
              </w:rPr>
              <w:t>路面</w:t>
            </w:r>
            <w:r>
              <w:rPr>
                <w:rFonts w:ascii="宋体" w:hAnsi="宋体" w:eastAsia="宋体" w:cs="宋体"/>
                <w:color w:val="auto"/>
                <w:spacing w:val="-2"/>
                <w:sz w:val="24"/>
                <w:szCs w:val="24"/>
                <w:u w:val="none" w:color="auto"/>
              </w:rPr>
              <w:t>）</w:t>
            </w:r>
          </w:p>
          <w:p w14:paraId="21DC374E">
            <w:pPr>
              <w:spacing w:before="185" w:line="219" w:lineRule="auto"/>
              <w:ind w:left="507"/>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不同路面的噪声修正量见下表：</w:t>
            </w:r>
          </w:p>
          <w:p w14:paraId="53505FED">
            <w:pPr>
              <w:spacing w:before="120" w:line="228" w:lineRule="auto"/>
              <w:ind w:left="2848"/>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表</w:t>
            </w:r>
            <w:r>
              <w:rPr>
                <w:rFonts w:ascii="宋体" w:hAnsi="宋体" w:eastAsia="宋体" w:cs="宋体"/>
                <w:color w:val="auto"/>
                <w:spacing w:val="-32"/>
                <w:sz w:val="20"/>
                <w:szCs w:val="20"/>
                <w:u w:val="none" w:color="auto"/>
              </w:rPr>
              <w:t xml:space="preserve"> </w:t>
            </w:r>
            <w:r>
              <w:rPr>
                <w:rFonts w:ascii="Times New Roman" w:hAnsi="Times New Roman" w:eastAsia="Times New Roman" w:cs="Times New Roman"/>
                <w:b/>
                <w:bCs/>
                <w:color w:val="auto"/>
                <w:spacing w:val="5"/>
                <w:sz w:val="20"/>
                <w:szCs w:val="20"/>
                <w:u w:val="none" w:color="auto"/>
              </w:rPr>
              <w:t>4-</w:t>
            </w:r>
            <w:r>
              <w:rPr>
                <w:rFonts w:hint="eastAsia" w:eastAsia="宋体" w:cs="Times New Roman"/>
                <w:b/>
                <w:bCs/>
                <w:color w:val="auto"/>
                <w:spacing w:val="5"/>
                <w:sz w:val="20"/>
                <w:szCs w:val="20"/>
                <w:u w:val="none" w:color="auto"/>
                <w:lang w:val="en-US" w:eastAsia="zh-CN"/>
              </w:rPr>
              <w:t>8</w:t>
            </w:r>
            <w:r>
              <w:rPr>
                <w:rFonts w:ascii="Times New Roman" w:hAnsi="Times New Roman" w:eastAsia="Times New Roman" w:cs="Times New Roman"/>
                <w:b/>
                <w:bCs/>
                <w:color w:val="auto"/>
                <w:spacing w:val="5"/>
                <w:sz w:val="20"/>
                <w:szCs w:val="20"/>
                <w:u w:val="none" w:color="auto"/>
              </w:rPr>
              <w:t xml:space="preserve">    </w:t>
            </w:r>
            <w:r>
              <w:rPr>
                <w:rFonts w:ascii="宋体" w:hAnsi="宋体" w:eastAsia="宋体" w:cs="宋体"/>
                <w:b/>
                <w:bCs/>
                <w:color w:val="auto"/>
                <w:spacing w:val="5"/>
                <w:sz w:val="20"/>
                <w:szCs w:val="20"/>
                <w:u w:val="none" w:color="auto"/>
              </w:rPr>
              <w:t>常见路面噪声修正量</w:t>
            </w:r>
          </w:p>
          <w:p w14:paraId="78D02861">
            <w:pPr>
              <w:spacing w:line="14" w:lineRule="exact"/>
              <w:rPr>
                <w:color w:val="auto"/>
                <w:u w:val="none" w:color="auto"/>
              </w:rPr>
            </w:pPr>
          </w:p>
          <w:tbl>
            <w:tblPr>
              <w:tblStyle w:val="72"/>
              <w:tblW w:w="7739" w:type="dxa"/>
              <w:tblInd w:w="4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938"/>
              <w:gridCol w:w="1924"/>
              <w:gridCol w:w="1925"/>
              <w:gridCol w:w="1952"/>
            </w:tblGrid>
            <w:tr w14:paraId="660015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938" w:type="dxa"/>
                  <w:vMerge w:val="restart"/>
                  <w:tcBorders>
                    <w:tl2br w:val="nil"/>
                    <w:tr2bl w:val="nil"/>
                  </w:tcBorders>
                  <w:vAlign w:val="top"/>
                </w:tcPr>
                <w:p w14:paraId="08948705">
                  <w:pPr>
                    <w:pStyle w:val="81"/>
                    <w:spacing w:before="216" w:line="228" w:lineRule="auto"/>
                    <w:ind w:left="607"/>
                    <w:rPr>
                      <w:color w:val="auto"/>
                      <w:sz w:val="20"/>
                      <w:szCs w:val="20"/>
                      <w:u w:val="none" w:color="auto"/>
                    </w:rPr>
                  </w:pPr>
                  <w:r>
                    <w:rPr>
                      <w:color w:val="auto"/>
                      <w:spacing w:val="6"/>
                      <w:sz w:val="20"/>
                      <w:szCs w:val="20"/>
                      <w:u w:val="none" w:color="auto"/>
                    </w:rPr>
                    <w:t>路面类型</w:t>
                  </w:r>
                </w:p>
              </w:tc>
              <w:tc>
                <w:tcPr>
                  <w:tcW w:w="5801" w:type="dxa"/>
                  <w:gridSpan w:val="3"/>
                  <w:tcBorders>
                    <w:tl2br w:val="nil"/>
                    <w:tr2bl w:val="nil"/>
                  </w:tcBorders>
                  <w:vAlign w:val="top"/>
                </w:tcPr>
                <w:p w14:paraId="22559283">
                  <w:pPr>
                    <w:pStyle w:val="81"/>
                    <w:spacing w:before="55" w:line="228" w:lineRule="auto"/>
                    <w:ind w:left="1906"/>
                    <w:rPr>
                      <w:rFonts w:ascii="Times New Roman" w:hAnsi="Times New Roman" w:eastAsia="Times New Roman" w:cs="Times New Roman"/>
                      <w:color w:val="auto"/>
                      <w:sz w:val="20"/>
                      <w:szCs w:val="20"/>
                      <w:u w:val="none" w:color="auto"/>
                    </w:rPr>
                  </w:pPr>
                  <w:r>
                    <w:rPr>
                      <w:color w:val="auto"/>
                      <w:spacing w:val="8"/>
                      <w:sz w:val="20"/>
                      <w:szCs w:val="20"/>
                      <w:u w:val="none" w:color="auto"/>
                    </w:rPr>
                    <w:t>不同行驶速度修正量</w:t>
                  </w:r>
                  <w:r>
                    <w:rPr>
                      <w:color w:val="auto"/>
                      <w:spacing w:val="-40"/>
                      <w:sz w:val="20"/>
                      <w:szCs w:val="20"/>
                      <w:u w:val="none" w:color="auto"/>
                    </w:rPr>
                    <w:t xml:space="preserve"> </w:t>
                  </w:r>
                  <w:r>
                    <w:rPr>
                      <w:rFonts w:ascii="Times New Roman" w:hAnsi="Times New Roman" w:eastAsia="Times New Roman" w:cs="Times New Roman"/>
                      <w:color w:val="auto"/>
                      <w:sz w:val="20"/>
                      <w:szCs w:val="20"/>
                      <w:u w:val="none" w:color="auto"/>
                    </w:rPr>
                    <w:t>km</w:t>
                  </w:r>
                  <w:r>
                    <w:rPr>
                      <w:rFonts w:ascii="Times New Roman" w:hAnsi="Times New Roman" w:eastAsia="Times New Roman" w:cs="Times New Roman"/>
                      <w:color w:val="auto"/>
                      <w:spacing w:val="8"/>
                      <w:sz w:val="20"/>
                      <w:szCs w:val="20"/>
                      <w:u w:val="none" w:color="auto"/>
                    </w:rPr>
                    <w:t>/h</w:t>
                  </w:r>
                </w:p>
              </w:tc>
            </w:tr>
            <w:tr w14:paraId="1649C4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38" w:type="dxa"/>
                  <w:vMerge w:val="continue"/>
                  <w:tcBorders>
                    <w:tl2br w:val="nil"/>
                    <w:tr2bl w:val="nil"/>
                  </w:tcBorders>
                  <w:vAlign w:val="top"/>
                </w:tcPr>
                <w:p w14:paraId="60F76901">
                  <w:pPr>
                    <w:rPr>
                      <w:rFonts w:ascii="Arial"/>
                      <w:color w:val="auto"/>
                      <w:sz w:val="21"/>
                      <w:u w:val="none" w:color="auto"/>
                    </w:rPr>
                  </w:pPr>
                </w:p>
              </w:tc>
              <w:tc>
                <w:tcPr>
                  <w:tcW w:w="1924" w:type="dxa"/>
                  <w:tcBorders>
                    <w:tl2br w:val="nil"/>
                    <w:tr2bl w:val="nil"/>
                  </w:tcBorders>
                  <w:vAlign w:val="top"/>
                </w:tcPr>
                <w:p w14:paraId="2D3D39AB">
                  <w:pPr>
                    <w:spacing w:before="95" w:line="195" w:lineRule="auto"/>
                    <w:ind w:left="92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30</w:t>
                  </w:r>
                </w:p>
              </w:tc>
              <w:tc>
                <w:tcPr>
                  <w:tcW w:w="1925" w:type="dxa"/>
                  <w:tcBorders>
                    <w:tl2br w:val="nil"/>
                    <w:tr2bl w:val="nil"/>
                  </w:tcBorders>
                  <w:vAlign w:val="top"/>
                </w:tcPr>
                <w:p w14:paraId="3270C857">
                  <w:pPr>
                    <w:spacing w:before="95" w:line="195" w:lineRule="auto"/>
                    <w:ind w:left="92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w:t>
                  </w:r>
                </w:p>
              </w:tc>
              <w:tc>
                <w:tcPr>
                  <w:tcW w:w="1952" w:type="dxa"/>
                  <w:tcBorders>
                    <w:tl2br w:val="nil"/>
                    <w:tr2bl w:val="nil"/>
                  </w:tcBorders>
                  <w:vAlign w:val="top"/>
                </w:tcPr>
                <w:p w14:paraId="77BE5EDE">
                  <w:pPr>
                    <w:spacing w:before="96" w:line="195" w:lineRule="auto"/>
                    <w:ind w:left="87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≥50</w:t>
                  </w:r>
                </w:p>
              </w:tc>
            </w:tr>
            <w:tr w14:paraId="40C25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38" w:type="dxa"/>
                  <w:tcBorders>
                    <w:tl2br w:val="nil"/>
                    <w:tr2bl w:val="nil"/>
                  </w:tcBorders>
                  <w:vAlign w:val="top"/>
                </w:tcPr>
                <w:p w14:paraId="23FC8C7F">
                  <w:pPr>
                    <w:pStyle w:val="81"/>
                    <w:spacing w:before="64" w:line="218" w:lineRule="auto"/>
                    <w:ind w:left="499"/>
                    <w:rPr>
                      <w:color w:val="auto"/>
                      <w:sz w:val="20"/>
                      <w:szCs w:val="20"/>
                      <w:u w:val="none" w:color="auto"/>
                    </w:rPr>
                  </w:pPr>
                  <w:r>
                    <w:rPr>
                      <w:color w:val="auto"/>
                      <w:spacing w:val="8"/>
                      <w:sz w:val="20"/>
                      <w:szCs w:val="20"/>
                      <w:u w:val="none" w:color="auto"/>
                    </w:rPr>
                    <w:t>沥青混凝土</w:t>
                  </w:r>
                </w:p>
              </w:tc>
              <w:tc>
                <w:tcPr>
                  <w:tcW w:w="1924" w:type="dxa"/>
                  <w:tcBorders>
                    <w:tl2br w:val="nil"/>
                    <w:tr2bl w:val="nil"/>
                  </w:tcBorders>
                  <w:vAlign w:val="top"/>
                </w:tcPr>
                <w:p w14:paraId="1F37B9F5">
                  <w:pPr>
                    <w:spacing w:before="101" w:line="195" w:lineRule="auto"/>
                    <w:ind w:left="97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925" w:type="dxa"/>
                  <w:tcBorders>
                    <w:tl2br w:val="nil"/>
                    <w:tr2bl w:val="nil"/>
                  </w:tcBorders>
                  <w:vAlign w:val="top"/>
                </w:tcPr>
                <w:p w14:paraId="7CD07486">
                  <w:pPr>
                    <w:spacing w:before="101" w:line="195" w:lineRule="auto"/>
                    <w:ind w:left="98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952" w:type="dxa"/>
                  <w:tcBorders>
                    <w:tl2br w:val="nil"/>
                    <w:tr2bl w:val="nil"/>
                  </w:tcBorders>
                  <w:vAlign w:val="top"/>
                </w:tcPr>
                <w:p w14:paraId="59A04E0A">
                  <w:pPr>
                    <w:spacing w:before="101" w:line="195" w:lineRule="auto"/>
                    <w:ind w:left="99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r>
            <w:tr w14:paraId="6291D1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938" w:type="dxa"/>
                  <w:tcBorders>
                    <w:tl2br w:val="nil"/>
                    <w:tr2bl w:val="nil"/>
                  </w:tcBorders>
                  <w:vAlign w:val="top"/>
                </w:tcPr>
                <w:p w14:paraId="5140BB61">
                  <w:pPr>
                    <w:pStyle w:val="81"/>
                    <w:spacing w:before="70" w:line="228" w:lineRule="auto"/>
                    <w:ind w:left="502"/>
                    <w:rPr>
                      <w:color w:val="auto"/>
                      <w:sz w:val="20"/>
                      <w:szCs w:val="20"/>
                      <w:u w:val="none" w:color="auto"/>
                    </w:rPr>
                  </w:pPr>
                  <w:r>
                    <w:rPr>
                      <w:color w:val="auto"/>
                      <w:spacing w:val="7"/>
                      <w:sz w:val="20"/>
                      <w:szCs w:val="20"/>
                      <w:u w:val="none" w:color="auto"/>
                    </w:rPr>
                    <w:t>水泥混凝土</w:t>
                  </w:r>
                </w:p>
              </w:tc>
              <w:tc>
                <w:tcPr>
                  <w:tcW w:w="1924" w:type="dxa"/>
                  <w:tcBorders>
                    <w:tl2br w:val="nil"/>
                    <w:tr2bl w:val="nil"/>
                  </w:tcBorders>
                  <w:vAlign w:val="top"/>
                </w:tcPr>
                <w:p w14:paraId="6C418BFA">
                  <w:pPr>
                    <w:spacing w:before="106" w:line="195" w:lineRule="auto"/>
                    <w:ind w:left="99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1925" w:type="dxa"/>
                  <w:tcBorders>
                    <w:tl2br w:val="nil"/>
                    <w:tr2bl w:val="nil"/>
                  </w:tcBorders>
                  <w:vAlign w:val="top"/>
                </w:tcPr>
                <w:p w14:paraId="23BF5F6F">
                  <w:pPr>
                    <w:spacing w:before="106" w:line="195" w:lineRule="auto"/>
                    <w:ind w:left="92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1.5</w:t>
                  </w:r>
                </w:p>
              </w:tc>
              <w:tc>
                <w:tcPr>
                  <w:tcW w:w="1952" w:type="dxa"/>
                  <w:tcBorders>
                    <w:tl2br w:val="nil"/>
                    <w:tr2bl w:val="nil"/>
                  </w:tcBorders>
                  <w:vAlign w:val="top"/>
                </w:tcPr>
                <w:p w14:paraId="0B42DE4E">
                  <w:pPr>
                    <w:spacing w:before="106" w:line="195" w:lineRule="auto"/>
                    <w:ind w:left="99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2</w:t>
                  </w:r>
                </w:p>
              </w:tc>
            </w:tr>
          </w:tbl>
          <w:p w14:paraId="0990DEDA">
            <w:pPr>
              <w:spacing w:before="115" w:line="219" w:lineRule="auto"/>
              <w:ind w:left="514"/>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2</w:t>
            </w:r>
            <w:r>
              <w:rPr>
                <w:rFonts w:ascii="宋体" w:hAnsi="宋体" w:eastAsia="宋体" w:cs="宋体"/>
                <w:color w:val="auto"/>
                <w:spacing w:val="-1"/>
                <w:sz w:val="24"/>
                <w:szCs w:val="24"/>
                <w:u w:val="none" w:color="auto"/>
              </w:rPr>
              <w:t>）声波传播途径中引起的衰减量 (</w:t>
            </w: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2</w:t>
            </w:r>
            <w:r>
              <w:rPr>
                <w:rFonts w:ascii="宋体" w:hAnsi="宋体" w:eastAsia="宋体" w:cs="宋体"/>
                <w:color w:val="auto"/>
                <w:spacing w:val="-1"/>
                <w:sz w:val="24"/>
                <w:szCs w:val="24"/>
                <w:u w:val="none" w:color="auto"/>
              </w:rPr>
              <w:t>）</w:t>
            </w:r>
          </w:p>
          <w:p w14:paraId="312F22C8">
            <w:pPr>
              <w:spacing w:before="123" w:line="217" w:lineRule="auto"/>
              <w:ind w:left="502"/>
              <w:rPr>
                <w:rFonts w:ascii="Times New Roman" w:hAnsi="Times New Roman" w:eastAsia="Times New Roman" w:cs="Times New Roman"/>
                <w:color w:val="auto"/>
                <w:sz w:val="15"/>
                <w:szCs w:val="15"/>
                <w:u w:val="none" w:color="auto"/>
              </w:rPr>
            </w:pPr>
            <w:r>
              <w:rPr>
                <w:rFonts w:ascii="宋体" w:hAnsi="宋体" w:eastAsia="宋体" w:cs="宋体"/>
                <w:color w:val="auto"/>
                <w:spacing w:val="-1"/>
                <w:sz w:val="24"/>
                <w:szCs w:val="24"/>
                <w:u w:val="none" w:color="auto"/>
              </w:rPr>
              <w:t>①绕射衰减量</w:t>
            </w:r>
            <w:r>
              <w:rPr>
                <w:rFonts w:ascii="宋体" w:hAnsi="宋体" w:eastAsia="宋体" w:cs="宋体"/>
                <w:color w:val="auto"/>
                <w:spacing w:val="-53"/>
                <w:sz w:val="24"/>
                <w:szCs w:val="24"/>
                <w:u w:val="none" w:color="auto"/>
              </w:rPr>
              <w:t xml:space="preserve"> </w:t>
            </w:r>
            <w:r>
              <w:rPr>
                <w:rFonts w:ascii="Times New Roman" w:hAnsi="Times New Roman" w:eastAsia="Times New Roman" w:cs="Times New Roman"/>
                <w:color w:val="auto"/>
                <w:spacing w:val="-1"/>
                <w:sz w:val="24"/>
                <w:szCs w:val="24"/>
                <w:u w:val="none" w:color="auto"/>
              </w:rPr>
              <w:t>A</w:t>
            </w:r>
            <w:r>
              <w:rPr>
                <w:rFonts w:ascii="Times New Roman" w:hAnsi="Times New Roman" w:eastAsia="Times New Roman" w:cs="Times New Roman"/>
                <w:color w:val="auto"/>
                <w:spacing w:val="-1"/>
                <w:position w:val="-1"/>
                <w:sz w:val="15"/>
                <w:szCs w:val="15"/>
                <w:u w:val="none" w:color="auto"/>
              </w:rPr>
              <w:t>bar</w:t>
            </w:r>
          </w:p>
          <w:p w14:paraId="2BD9F838">
            <w:pPr>
              <w:spacing w:before="186" w:line="219"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a</w:t>
            </w:r>
            <w:r>
              <w:rPr>
                <w:rFonts w:ascii="宋体" w:hAnsi="宋体" w:eastAsia="宋体" w:cs="宋体"/>
                <w:color w:val="auto"/>
                <w:spacing w:val="-1"/>
                <w:sz w:val="24"/>
                <w:szCs w:val="24"/>
                <w:u w:val="none" w:color="auto"/>
              </w:rPr>
              <w:t>）声屏障衰减量（</w:t>
            </w:r>
            <w:r>
              <w:rPr>
                <w:rFonts w:ascii="Times New Roman" w:hAnsi="Times New Roman" w:eastAsia="Times New Roman" w:cs="Times New Roman"/>
                <w:color w:val="auto"/>
                <w:spacing w:val="-1"/>
                <w:sz w:val="24"/>
                <w:szCs w:val="24"/>
                <w:u w:val="none" w:color="auto"/>
              </w:rPr>
              <w:t>A</w:t>
            </w:r>
            <w:r>
              <w:rPr>
                <w:rFonts w:ascii="Times New Roman" w:hAnsi="Times New Roman" w:eastAsia="Times New Roman" w:cs="Times New Roman"/>
                <w:color w:val="auto"/>
                <w:spacing w:val="-1"/>
                <w:position w:val="-1"/>
                <w:sz w:val="15"/>
                <w:szCs w:val="15"/>
                <w:u w:val="none" w:color="auto"/>
              </w:rPr>
              <w:t>bar</w:t>
            </w:r>
            <w:r>
              <w:rPr>
                <w:rFonts w:ascii="宋体" w:hAnsi="宋体" w:eastAsia="宋体" w:cs="宋体"/>
                <w:color w:val="auto"/>
                <w:spacing w:val="-1"/>
                <w:sz w:val="24"/>
                <w:szCs w:val="24"/>
                <w:u w:val="none" w:color="auto"/>
              </w:rPr>
              <w:t>）</w:t>
            </w:r>
          </w:p>
          <w:p w14:paraId="0D332A7D">
            <w:pPr>
              <w:spacing w:before="183" w:line="219" w:lineRule="auto"/>
              <w:ind w:left="500"/>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I.</w:t>
            </w:r>
            <w:r>
              <w:rPr>
                <w:rFonts w:ascii="宋体" w:hAnsi="宋体" w:eastAsia="宋体" w:cs="宋体"/>
                <w:color w:val="auto"/>
                <w:spacing w:val="-1"/>
                <w:sz w:val="24"/>
                <w:szCs w:val="24"/>
                <w:u w:val="none" w:color="auto"/>
              </w:rPr>
              <w:t>无限长屏障可按下式（</w:t>
            </w:r>
            <w:r>
              <w:rPr>
                <w:rFonts w:ascii="Times New Roman" w:hAnsi="Times New Roman" w:eastAsia="Times New Roman" w:cs="Times New Roman"/>
                <w:color w:val="auto"/>
                <w:spacing w:val="-1"/>
                <w:sz w:val="24"/>
                <w:szCs w:val="24"/>
                <w:u w:val="none" w:color="auto"/>
              </w:rPr>
              <w:t>I</w:t>
            </w:r>
            <w:r>
              <w:rPr>
                <w:rFonts w:ascii="宋体" w:hAnsi="宋体" w:eastAsia="宋体" w:cs="宋体"/>
                <w:color w:val="auto"/>
                <w:spacing w:val="-1"/>
                <w:sz w:val="24"/>
                <w:szCs w:val="24"/>
                <w:u w:val="none" w:color="auto"/>
              </w:rPr>
              <w:t>）计算：</w:t>
            </w:r>
          </w:p>
          <w:p w14:paraId="279300DE">
            <w:pPr>
              <w:spacing w:before="71" w:line="2479" w:lineRule="exact"/>
              <w:ind w:firstLine="1706"/>
              <w:rPr>
                <w:color w:val="auto"/>
                <w:u w:val="none" w:color="auto"/>
              </w:rPr>
            </w:pPr>
            <w:r>
              <w:rPr>
                <w:color w:val="auto"/>
                <w:position w:val="-49"/>
                <w:u w:val="none" w:color="auto"/>
              </w:rPr>
              <w:drawing>
                <wp:inline distT="0" distB="0" distL="0" distR="0">
                  <wp:extent cx="3115945" cy="1574165"/>
                  <wp:effectExtent l="0" t="0" r="8255" b="6985"/>
                  <wp:docPr id="63" name="IM 68"/>
                  <wp:cNvGraphicFramePr/>
                  <a:graphic xmlns:a="http://schemas.openxmlformats.org/drawingml/2006/main">
                    <a:graphicData uri="http://schemas.openxmlformats.org/drawingml/2006/picture">
                      <pic:pic xmlns:pic="http://schemas.openxmlformats.org/drawingml/2006/picture">
                        <pic:nvPicPr>
                          <pic:cNvPr id="63" name="IM 68"/>
                          <pic:cNvPicPr/>
                        </pic:nvPicPr>
                        <pic:blipFill>
                          <a:blip r:embed="rId39"/>
                          <a:stretch>
                            <a:fillRect/>
                          </a:stretch>
                        </pic:blipFill>
                        <pic:spPr>
                          <a:xfrm>
                            <a:off x="0" y="0"/>
                            <a:ext cx="3116579" cy="1574292"/>
                          </a:xfrm>
                          <a:prstGeom prst="rect">
                            <a:avLst/>
                          </a:prstGeom>
                        </pic:spPr>
                      </pic:pic>
                    </a:graphicData>
                  </a:graphic>
                </wp:inline>
              </w:drawing>
            </w:r>
          </w:p>
          <w:p w14:paraId="1CB7B642">
            <w:pPr>
              <w:spacing w:before="128"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157473BC">
            <w:pPr>
              <w:spacing w:before="182" w:line="219" w:lineRule="auto"/>
              <w:ind w:left="496"/>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bar</w:t>
            </w:r>
            <w:r>
              <w:rPr>
                <w:rFonts w:ascii="Times New Roman" w:hAnsi="Times New Roman" w:eastAsia="Times New Roman" w:cs="Times New Roman"/>
                <w:color w:val="auto"/>
                <w:sz w:val="24"/>
                <w:szCs w:val="24"/>
                <w:u w:val="none" w:color="auto"/>
              </w:rPr>
              <w:t>——</w:t>
            </w:r>
            <w:r>
              <w:rPr>
                <w:rFonts w:ascii="宋体" w:hAnsi="宋体" w:eastAsia="宋体" w:cs="宋体"/>
                <w:color w:val="auto"/>
                <w:sz w:val="24"/>
                <w:szCs w:val="24"/>
                <w:u w:val="none" w:color="auto"/>
              </w:rPr>
              <w:t>障碍物屏蔽引起的衰减，</w:t>
            </w:r>
            <w:r>
              <w:rPr>
                <w:rFonts w:ascii="Times New Roman" w:hAnsi="Times New Roman" w:eastAsia="Times New Roman" w:cs="Times New Roman"/>
                <w:color w:val="auto"/>
                <w:sz w:val="24"/>
                <w:szCs w:val="24"/>
                <w:u w:val="none" w:color="auto"/>
              </w:rPr>
              <w:t>dB</w:t>
            </w:r>
            <w:r>
              <w:rPr>
                <w:rFonts w:ascii="宋体" w:hAnsi="宋体" w:eastAsia="宋体" w:cs="宋体"/>
                <w:color w:val="auto"/>
                <w:sz w:val="24"/>
                <w:szCs w:val="24"/>
                <w:u w:val="none" w:color="auto"/>
              </w:rPr>
              <w:t>；</w:t>
            </w:r>
          </w:p>
          <w:p w14:paraId="2E228814">
            <w:pPr>
              <w:spacing w:before="183" w:line="219" w:lineRule="auto"/>
              <w:ind w:left="503"/>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f——</w:t>
            </w:r>
            <w:r>
              <w:rPr>
                <w:rFonts w:ascii="宋体" w:hAnsi="宋体" w:eastAsia="宋体" w:cs="宋体"/>
                <w:color w:val="auto"/>
                <w:spacing w:val="-1"/>
                <w:sz w:val="24"/>
                <w:szCs w:val="24"/>
                <w:u w:val="none" w:color="auto"/>
              </w:rPr>
              <w:t>声波频率，</w:t>
            </w:r>
            <w:r>
              <w:rPr>
                <w:rFonts w:ascii="Times New Roman" w:hAnsi="Times New Roman" w:eastAsia="Times New Roman" w:cs="Times New Roman"/>
                <w:color w:val="auto"/>
                <w:spacing w:val="-1"/>
                <w:sz w:val="24"/>
                <w:szCs w:val="24"/>
                <w:u w:val="none" w:color="auto"/>
              </w:rPr>
              <w:t>Hz</w:t>
            </w:r>
            <w:r>
              <w:rPr>
                <w:rFonts w:ascii="宋体" w:hAnsi="宋体" w:eastAsia="宋体" w:cs="宋体"/>
                <w:color w:val="auto"/>
                <w:spacing w:val="-1"/>
                <w:sz w:val="24"/>
                <w:szCs w:val="24"/>
                <w:u w:val="none" w:color="auto"/>
              </w:rPr>
              <w:t>；</w:t>
            </w:r>
          </w:p>
          <w:p w14:paraId="3DD5B9B7">
            <w:pPr>
              <w:spacing w:before="182" w:line="220"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δ——</w:t>
            </w:r>
            <w:r>
              <w:rPr>
                <w:rFonts w:ascii="宋体" w:hAnsi="宋体" w:eastAsia="宋体" w:cs="宋体"/>
                <w:color w:val="auto"/>
                <w:spacing w:val="-1"/>
                <w:sz w:val="24"/>
                <w:szCs w:val="24"/>
                <w:u w:val="none" w:color="auto"/>
              </w:rPr>
              <w:t>声程差，</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w:t>
            </w:r>
          </w:p>
          <w:p w14:paraId="7C5F2121">
            <w:pPr>
              <w:spacing w:before="182" w:line="220"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c——</w:t>
            </w:r>
            <w:r>
              <w:rPr>
                <w:rFonts w:ascii="宋体" w:hAnsi="宋体" w:eastAsia="宋体" w:cs="宋体"/>
                <w:color w:val="auto"/>
                <w:spacing w:val="-1"/>
                <w:sz w:val="24"/>
                <w:szCs w:val="24"/>
                <w:u w:val="none" w:color="auto"/>
              </w:rPr>
              <w:t>声速，</w:t>
            </w:r>
            <w:r>
              <w:rPr>
                <w:rFonts w:ascii="Times New Roman" w:hAnsi="Times New Roman" w:eastAsia="Times New Roman" w:cs="Times New Roman"/>
                <w:color w:val="auto"/>
                <w:spacing w:val="-1"/>
                <w:sz w:val="24"/>
                <w:szCs w:val="24"/>
                <w:u w:val="none" w:color="auto"/>
              </w:rPr>
              <w:t>m/s</w:t>
            </w:r>
            <w:r>
              <w:rPr>
                <w:rFonts w:ascii="宋体" w:hAnsi="宋体" w:eastAsia="宋体" w:cs="宋体"/>
                <w:color w:val="auto"/>
                <w:spacing w:val="-1"/>
                <w:sz w:val="24"/>
                <w:szCs w:val="24"/>
                <w:u w:val="none" w:color="auto"/>
              </w:rPr>
              <w:t>。</w:t>
            </w:r>
          </w:p>
          <w:p w14:paraId="5FE295D7">
            <w:pPr>
              <w:spacing w:before="182" w:line="360" w:lineRule="auto"/>
              <w:ind w:left="22" w:right="61" w:firstLine="480"/>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在公路建设项目评价中可采用</w:t>
            </w:r>
            <w:r>
              <w:rPr>
                <w:rFonts w:ascii="宋体" w:hAnsi="宋体" w:eastAsia="宋体" w:cs="宋体"/>
                <w:color w:val="auto"/>
                <w:spacing w:val="-29"/>
                <w:sz w:val="24"/>
                <w:szCs w:val="24"/>
                <w:u w:val="none" w:color="auto"/>
              </w:rPr>
              <w:t xml:space="preserve"> </w:t>
            </w:r>
            <w:r>
              <w:rPr>
                <w:rFonts w:ascii="Times New Roman" w:hAnsi="Times New Roman" w:eastAsia="Times New Roman" w:cs="Times New Roman"/>
                <w:color w:val="auto"/>
                <w:spacing w:val="2"/>
                <w:sz w:val="24"/>
                <w:szCs w:val="24"/>
                <w:u w:val="none" w:color="auto"/>
              </w:rPr>
              <w:t>500</w:t>
            </w:r>
            <w:r>
              <w:rPr>
                <w:rFonts w:ascii="Times New Roman" w:hAnsi="Times New Roman" w:eastAsia="Times New Roman" w:cs="Times New Roman"/>
                <w:color w:val="auto"/>
                <w:sz w:val="24"/>
                <w:szCs w:val="24"/>
                <w:u w:val="none" w:color="auto"/>
              </w:rPr>
              <w:t>Hz</w:t>
            </w:r>
            <w:r>
              <w:rPr>
                <w:rFonts w:ascii="Times New Roman" w:hAnsi="Times New Roman" w:eastAsia="Times New Roman" w:cs="Times New Roman"/>
                <w:color w:val="auto"/>
                <w:spacing w:val="2"/>
                <w:sz w:val="24"/>
                <w:szCs w:val="24"/>
                <w:u w:val="none" w:color="auto"/>
              </w:rPr>
              <w:t xml:space="preserve"> </w:t>
            </w:r>
            <w:r>
              <w:rPr>
                <w:rFonts w:ascii="宋体" w:hAnsi="宋体" w:eastAsia="宋体" w:cs="宋体"/>
                <w:color w:val="auto"/>
                <w:spacing w:val="2"/>
                <w:sz w:val="24"/>
                <w:szCs w:val="24"/>
                <w:u w:val="none" w:color="auto"/>
              </w:rPr>
              <w:t>频率的声波计算得到的屏障衰减量近</w:t>
            </w:r>
            <w:r>
              <w:rPr>
                <w:rFonts w:ascii="宋体" w:hAnsi="宋体" w:eastAsia="宋体" w:cs="宋体"/>
                <w:color w:val="auto"/>
                <w:spacing w:val="-1"/>
                <w:sz w:val="24"/>
                <w:szCs w:val="24"/>
                <w:u w:val="none" w:color="auto"/>
              </w:rPr>
              <w:t>似作为</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A </w:t>
            </w:r>
            <w:r>
              <w:rPr>
                <w:rFonts w:ascii="宋体" w:hAnsi="宋体" w:eastAsia="宋体" w:cs="宋体"/>
                <w:color w:val="auto"/>
                <w:spacing w:val="-1"/>
                <w:sz w:val="24"/>
                <w:szCs w:val="24"/>
                <w:u w:val="none" w:color="auto"/>
              </w:rPr>
              <w:t>声级的衰减量。</w:t>
            </w:r>
          </w:p>
          <w:p w14:paraId="40924F87">
            <w:pPr>
              <w:spacing w:line="360" w:lineRule="auto"/>
              <w:ind w:left="46" w:firstLine="455"/>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在使用上式计算声屏障衰减时，当菲涅尔数</w:t>
            </w:r>
            <w:r>
              <w:rPr>
                <w:rFonts w:ascii="Times New Roman" w:hAnsi="Times New Roman" w:eastAsia="Times New Roman" w:cs="Times New Roman"/>
                <w:color w:val="auto"/>
                <w:spacing w:val="-2"/>
                <w:sz w:val="24"/>
                <w:szCs w:val="24"/>
                <w:u w:val="none" w:color="auto"/>
              </w:rPr>
              <w:t>0</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N</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-0.2</w:t>
            </w:r>
            <w:r>
              <w:rPr>
                <w:rFonts w:ascii="Times New Roman" w:hAnsi="Times New Roman" w:eastAsia="Times New Roman" w:cs="Times New Roman"/>
                <w:color w:val="auto"/>
                <w:spacing w:val="23"/>
                <w:sz w:val="24"/>
                <w:szCs w:val="24"/>
                <w:u w:val="none" w:color="auto"/>
              </w:rPr>
              <w:t xml:space="preserve"> </w:t>
            </w:r>
            <w:r>
              <w:rPr>
                <w:rFonts w:ascii="宋体" w:hAnsi="宋体" w:eastAsia="宋体" w:cs="宋体"/>
                <w:color w:val="auto"/>
                <w:spacing w:val="-2"/>
                <w:sz w:val="24"/>
                <w:szCs w:val="24"/>
                <w:u w:val="none" w:color="auto"/>
              </w:rPr>
              <w:t>时也应</w:t>
            </w:r>
            <w:r>
              <w:rPr>
                <w:rFonts w:ascii="宋体" w:hAnsi="宋体" w:eastAsia="宋体" w:cs="宋体"/>
                <w:color w:val="auto"/>
                <w:spacing w:val="-3"/>
                <w:sz w:val="24"/>
                <w:szCs w:val="24"/>
                <w:u w:val="none" w:color="auto"/>
              </w:rPr>
              <w:t>计算衰减量，</w:t>
            </w:r>
            <w:r>
              <w:rPr>
                <w:rFonts w:ascii="宋体" w:hAnsi="宋体" w:eastAsia="宋体" w:cs="宋体"/>
                <w:color w:val="auto"/>
                <w:spacing w:val="-2"/>
                <w:sz w:val="24"/>
                <w:szCs w:val="24"/>
                <w:u w:val="none" w:color="auto"/>
              </w:rPr>
              <w:t>同时保证衰减量为正值，负值时舍弃。</w:t>
            </w:r>
          </w:p>
          <w:p w14:paraId="403AA640">
            <w:pPr>
              <w:spacing w:before="1" w:line="219" w:lineRule="auto"/>
              <w:ind w:left="500"/>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II.</w:t>
            </w:r>
            <w:r>
              <w:rPr>
                <w:rFonts w:ascii="宋体" w:hAnsi="宋体" w:eastAsia="宋体" w:cs="宋体"/>
                <w:color w:val="auto"/>
                <w:sz w:val="24"/>
                <w:szCs w:val="24"/>
                <w:u w:val="none" w:color="auto"/>
              </w:rPr>
              <w:t>有限长声屏障的衰减量（</w:t>
            </w: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bar</w:t>
            </w:r>
            <w:r>
              <w:rPr>
                <w:rFonts w:ascii="宋体" w:hAnsi="宋体" w:eastAsia="宋体" w:cs="宋体"/>
                <w:color w:val="auto"/>
                <w:sz w:val="24"/>
                <w:szCs w:val="24"/>
                <w:u w:val="none" w:color="auto"/>
              </w:rPr>
              <w:t>）按下式（</w:t>
            </w:r>
            <w:r>
              <w:rPr>
                <w:rFonts w:ascii="Times New Roman" w:hAnsi="Times New Roman" w:eastAsia="Times New Roman" w:cs="Times New Roman"/>
                <w:color w:val="auto"/>
                <w:sz w:val="24"/>
                <w:szCs w:val="24"/>
                <w:u w:val="none" w:color="auto"/>
              </w:rPr>
              <w:t>II</w:t>
            </w:r>
            <w:r>
              <w:rPr>
                <w:rFonts w:ascii="宋体" w:hAnsi="宋体" w:eastAsia="宋体" w:cs="宋体"/>
                <w:color w:val="auto"/>
                <w:sz w:val="24"/>
                <w:szCs w:val="24"/>
                <w:u w:val="none" w:color="auto"/>
              </w:rPr>
              <w:t>）近似</w:t>
            </w:r>
            <w:r>
              <w:rPr>
                <w:rFonts w:ascii="宋体" w:hAnsi="宋体" w:eastAsia="宋体" w:cs="宋体"/>
                <w:color w:val="auto"/>
                <w:spacing w:val="-1"/>
                <w:sz w:val="24"/>
                <w:szCs w:val="24"/>
                <w:u w:val="none" w:color="auto"/>
              </w:rPr>
              <w:t>计算：</w:t>
            </w:r>
          </w:p>
          <w:p w14:paraId="4D8B3B3F">
            <w:pPr>
              <w:spacing w:before="167" w:line="1051" w:lineRule="exact"/>
              <w:ind w:firstLine="1737"/>
              <w:rPr>
                <w:color w:val="auto"/>
                <w:u w:val="none" w:color="auto"/>
              </w:rPr>
            </w:pPr>
            <w:r>
              <w:rPr>
                <w:color w:val="auto"/>
                <w:position w:val="-21"/>
                <w:u w:val="none" w:color="auto"/>
              </w:rPr>
              <w:drawing>
                <wp:inline distT="0" distB="0" distL="0" distR="0">
                  <wp:extent cx="3076575" cy="667385"/>
                  <wp:effectExtent l="0" t="0" r="9525" b="18415"/>
                  <wp:docPr id="88" name="IM 70"/>
                  <wp:cNvGraphicFramePr/>
                  <a:graphic xmlns:a="http://schemas.openxmlformats.org/drawingml/2006/main">
                    <a:graphicData uri="http://schemas.openxmlformats.org/drawingml/2006/picture">
                      <pic:pic xmlns:pic="http://schemas.openxmlformats.org/drawingml/2006/picture">
                        <pic:nvPicPr>
                          <pic:cNvPr id="88" name="IM 70"/>
                          <pic:cNvPicPr/>
                        </pic:nvPicPr>
                        <pic:blipFill>
                          <a:blip r:embed="rId40"/>
                          <a:stretch>
                            <a:fillRect/>
                          </a:stretch>
                        </pic:blipFill>
                        <pic:spPr>
                          <a:xfrm>
                            <a:off x="0" y="0"/>
                            <a:ext cx="3076955" cy="667511"/>
                          </a:xfrm>
                          <a:prstGeom prst="rect">
                            <a:avLst/>
                          </a:prstGeom>
                        </pic:spPr>
                      </pic:pic>
                    </a:graphicData>
                  </a:graphic>
                </wp:inline>
              </w:drawing>
            </w:r>
          </w:p>
          <w:p w14:paraId="63B3B547">
            <w:pPr>
              <w:spacing w:before="213"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3A6B441C">
            <w:pPr>
              <w:spacing w:before="182" w:line="219" w:lineRule="auto"/>
              <w:ind w:left="496"/>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bar</w:t>
            </w:r>
            <w:r>
              <w:rPr>
                <w:rFonts w:ascii="Times New Roman" w:hAnsi="Times New Roman" w:eastAsia="Times New Roman" w:cs="Times New Roman"/>
                <w:color w:val="auto"/>
                <w:sz w:val="24"/>
                <w:szCs w:val="24"/>
                <w:u w:val="none" w:color="auto"/>
              </w:rPr>
              <w:t>——</w:t>
            </w:r>
            <w:r>
              <w:rPr>
                <w:rFonts w:ascii="宋体" w:hAnsi="宋体" w:eastAsia="宋体" w:cs="宋体"/>
                <w:color w:val="auto"/>
                <w:sz w:val="24"/>
                <w:szCs w:val="24"/>
                <w:u w:val="none" w:color="auto"/>
              </w:rPr>
              <w:t>有限长声屏障屏蔽引起的衰减，</w:t>
            </w:r>
            <w:r>
              <w:rPr>
                <w:rFonts w:ascii="Times New Roman" w:hAnsi="Times New Roman" w:eastAsia="Times New Roman" w:cs="Times New Roman"/>
                <w:color w:val="auto"/>
                <w:sz w:val="24"/>
                <w:szCs w:val="24"/>
                <w:u w:val="none" w:color="auto"/>
              </w:rPr>
              <w:t>dB</w:t>
            </w:r>
            <w:r>
              <w:rPr>
                <w:rFonts w:ascii="宋体" w:hAnsi="宋体" w:eastAsia="宋体" w:cs="宋体"/>
                <w:color w:val="auto"/>
                <w:sz w:val="24"/>
                <w:szCs w:val="24"/>
                <w:u w:val="none" w:color="auto"/>
              </w:rPr>
              <w:t>；</w:t>
            </w:r>
          </w:p>
          <w:p w14:paraId="0CC13FFF">
            <w:pPr>
              <w:spacing w:before="183" w:line="212" w:lineRule="auto"/>
              <w:ind w:left="507"/>
              <w:rPr>
                <w:rFonts w:ascii="宋体" w:hAnsi="宋体" w:eastAsia="宋体" w:cs="宋体"/>
                <w:color w:val="auto"/>
                <w:sz w:val="24"/>
                <w:szCs w:val="24"/>
                <w:u w:val="none" w:color="auto"/>
              </w:rPr>
            </w:pPr>
            <w:r>
              <w:rPr>
                <w:rFonts w:ascii="Times New Roman" w:hAnsi="Times New Roman" w:eastAsia="Times New Roman" w:cs="Times New Roman"/>
                <w:color w:val="auto"/>
                <w:spacing w:val="-6"/>
                <w:sz w:val="24"/>
                <w:szCs w:val="24"/>
                <w:u w:val="none" w:color="auto"/>
              </w:rPr>
              <w:t>β——</w:t>
            </w:r>
            <w:r>
              <w:rPr>
                <w:rFonts w:ascii="宋体" w:hAnsi="宋体" w:eastAsia="宋体" w:cs="宋体"/>
                <w:color w:val="auto"/>
                <w:spacing w:val="-6"/>
                <w:sz w:val="24"/>
                <w:szCs w:val="24"/>
                <w:u w:val="none" w:color="auto"/>
              </w:rPr>
              <w:t>受声点与声屏障两端连接线的夹角， (</w:t>
            </w:r>
            <w:r>
              <w:rPr>
                <w:rFonts w:ascii="宋体" w:hAnsi="宋体" w:eastAsia="宋体" w:cs="宋体"/>
                <w:color w:val="auto"/>
                <w:spacing w:val="-41"/>
                <w:sz w:val="24"/>
                <w:szCs w:val="24"/>
                <w:u w:val="none" w:color="auto"/>
              </w:rPr>
              <w:t xml:space="preserve"> </w:t>
            </w:r>
            <w:r>
              <w:rPr>
                <w:rFonts w:ascii="宋体" w:hAnsi="宋体" w:eastAsia="宋体" w:cs="宋体"/>
                <w:color w:val="auto"/>
                <w:spacing w:val="-6"/>
                <w:sz w:val="24"/>
                <w:szCs w:val="24"/>
                <w:u w:val="none" w:color="auto"/>
              </w:rPr>
              <w:t>°</w:t>
            </w:r>
            <w:r>
              <w:rPr>
                <w:rFonts w:ascii="宋体" w:hAnsi="宋体" w:eastAsia="宋体" w:cs="宋体"/>
                <w:color w:val="auto"/>
                <w:spacing w:val="-85"/>
                <w:sz w:val="24"/>
                <w:szCs w:val="24"/>
                <w:u w:val="none" w:color="auto"/>
              </w:rPr>
              <w:t xml:space="preserve"> </w:t>
            </w:r>
            <w:r>
              <w:rPr>
                <w:rFonts w:ascii="宋体" w:hAnsi="宋体" w:eastAsia="宋体" w:cs="宋体"/>
                <w:color w:val="auto"/>
                <w:spacing w:val="-6"/>
                <w:sz w:val="24"/>
                <w:szCs w:val="24"/>
                <w:u w:val="none" w:color="auto"/>
              </w:rPr>
              <w:t>)</w:t>
            </w:r>
            <w:r>
              <w:rPr>
                <w:rFonts w:ascii="宋体" w:hAnsi="宋体" w:eastAsia="宋体" w:cs="宋体"/>
                <w:color w:val="auto"/>
                <w:spacing w:val="46"/>
                <w:sz w:val="24"/>
                <w:szCs w:val="24"/>
                <w:u w:val="none" w:color="auto"/>
              </w:rPr>
              <w:t xml:space="preserve"> </w:t>
            </w:r>
            <w:r>
              <w:rPr>
                <w:rFonts w:ascii="宋体" w:hAnsi="宋体" w:eastAsia="宋体" w:cs="宋体"/>
                <w:color w:val="auto"/>
                <w:spacing w:val="-6"/>
                <w:sz w:val="24"/>
                <w:szCs w:val="24"/>
                <w:u w:val="none" w:color="auto"/>
              </w:rPr>
              <w:t>;</w:t>
            </w:r>
          </w:p>
          <w:p w14:paraId="364C0C08">
            <w:pPr>
              <w:spacing w:before="192" w:line="219" w:lineRule="auto"/>
              <w:ind w:left="503"/>
              <w:rPr>
                <w:rFonts w:ascii="宋体" w:hAnsi="宋体" w:eastAsia="宋体" w:cs="宋体"/>
                <w:color w:val="auto"/>
                <w:sz w:val="24"/>
                <w:szCs w:val="24"/>
                <w:u w:val="none" w:color="auto"/>
              </w:rPr>
            </w:pPr>
            <w:r>
              <w:rPr>
                <w:rFonts w:ascii="Times New Roman" w:hAnsi="Times New Roman" w:eastAsia="Times New Roman" w:cs="Times New Roman"/>
                <w:color w:val="auto"/>
                <w:spacing w:val="-6"/>
                <w:sz w:val="24"/>
                <w:szCs w:val="24"/>
                <w:u w:val="none" w:color="auto"/>
              </w:rPr>
              <w:t>θ——</w:t>
            </w:r>
            <w:r>
              <w:rPr>
                <w:rFonts w:ascii="宋体" w:hAnsi="宋体" w:eastAsia="宋体" w:cs="宋体"/>
                <w:color w:val="auto"/>
                <w:spacing w:val="-6"/>
                <w:sz w:val="24"/>
                <w:szCs w:val="24"/>
                <w:u w:val="none" w:color="auto"/>
              </w:rPr>
              <w:t>受声点与线声源两端连接线的夹角， (</w:t>
            </w:r>
            <w:r>
              <w:rPr>
                <w:rFonts w:ascii="宋体" w:hAnsi="宋体" w:eastAsia="宋体" w:cs="宋体"/>
                <w:color w:val="auto"/>
                <w:spacing w:val="-40"/>
                <w:sz w:val="24"/>
                <w:szCs w:val="24"/>
                <w:u w:val="none" w:color="auto"/>
              </w:rPr>
              <w:t xml:space="preserve"> </w:t>
            </w:r>
            <w:r>
              <w:rPr>
                <w:rFonts w:ascii="宋体" w:hAnsi="宋体" w:eastAsia="宋体" w:cs="宋体"/>
                <w:color w:val="auto"/>
                <w:spacing w:val="-6"/>
                <w:sz w:val="24"/>
                <w:szCs w:val="24"/>
                <w:u w:val="none" w:color="auto"/>
              </w:rPr>
              <w:t>°</w:t>
            </w:r>
            <w:r>
              <w:rPr>
                <w:rFonts w:ascii="宋体" w:hAnsi="宋体" w:eastAsia="宋体" w:cs="宋体"/>
                <w:color w:val="auto"/>
                <w:spacing w:val="-85"/>
                <w:sz w:val="24"/>
                <w:szCs w:val="24"/>
                <w:u w:val="none" w:color="auto"/>
              </w:rPr>
              <w:t xml:space="preserve"> </w:t>
            </w:r>
            <w:r>
              <w:rPr>
                <w:rFonts w:ascii="宋体" w:hAnsi="宋体" w:eastAsia="宋体" w:cs="宋体"/>
                <w:color w:val="auto"/>
                <w:spacing w:val="-6"/>
                <w:sz w:val="24"/>
                <w:szCs w:val="24"/>
                <w:u w:val="none" w:color="auto"/>
              </w:rPr>
              <w:t>)</w:t>
            </w:r>
            <w:r>
              <w:rPr>
                <w:rFonts w:ascii="宋体" w:hAnsi="宋体" w:eastAsia="宋体" w:cs="宋体"/>
                <w:color w:val="auto"/>
                <w:spacing w:val="46"/>
                <w:sz w:val="24"/>
                <w:szCs w:val="24"/>
                <w:u w:val="none" w:color="auto"/>
              </w:rPr>
              <w:t xml:space="preserve"> </w:t>
            </w:r>
            <w:r>
              <w:rPr>
                <w:rFonts w:ascii="宋体" w:hAnsi="宋体" w:eastAsia="宋体" w:cs="宋体"/>
                <w:color w:val="auto"/>
                <w:spacing w:val="-6"/>
                <w:sz w:val="24"/>
                <w:szCs w:val="24"/>
                <w:u w:val="none" w:color="auto"/>
              </w:rPr>
              <w:t>;</w:t>
            </w:r>
          </w:p>
          <w:p w14:paraId="1213CEB4">
            <w:pPr>
              <w:spacing w:before="184" w:line="219" w:lineRule="auto"/>
              <w:ind w:left="496"/>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A</w:t>
            </w:r>
            <w:r>
              <w:rPr>
                <w:rFonts w:ascii="Times New Roman" w:hAnsi="Times New Roman" w:eastAsia="Times New Roman" w:cs="Times New Roman"/>
                <w:color w:val="auto"/>
                <w:spacing w:val="-1"/>
                <w:position w:val="-1"/>
                <w:sz w:val="15"/>
                <w:szCs w:val="15"/>
                <w:u w:val="none" w:color="auto"/>
              </w:rPr>
              <w:t>bar</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无限长声屏障的衰减量，</w:t>
            </w:r>
            <w:r>
              <w:rPr>
                <w:rFonts w:ascii="Times New Roman" w:hAnsi="Times New Roman" w:eastAsia="Times New Roman" w:cs="Times New Roman"/>
                <w:color w:val="auto"/>
                <w:spacing w:val="-1"/>
                <w:sz w:val="24"/>
                <w:szCs w:val="24"/>
                <w:u w:val="none" w:color="auto"/>
              </w:rPr>
              <w:t>dB</w:t>
            </w:r>
            <w:r>
              <w:rPr>
                <w:rFonts w:ascii="Times New Roman" w:hAnsi="Times New Roman" w:eastAsia="Times New Roman" w:cs="Times New Roman"/>
                <w:color w:val="auto"/>
                <w:spacing w:val="-27"/>
                <w:sz w:val="24"/>
                <w:szCs w:val="24"/>
                <w:u w:val="none" w:color="auto"/>
              </w:rPr>
              <w:t xml:space="preserve"> </w:t>
            </w:r>
            <w:r>
              <w:rPr>
                <w:rFonts w:ascii="宋体" w:hAnsi="宋体" w:eastAsia="宋体" w:cs="宋体"/>
                <w:color w:val="auto"/>
                <w:spacing w:val="-1"/>
                <w:sz w:val="24"/>
                <w:szCs w:val="24"/>
                <w:u w:val="none" w:color="auto"/>
              </w:rPr>
              <w:t>，可按式（</w:t>
            </w:r>
            <w:r>
              <w:rPr>
                <w:rFonts w:ascii="Times New Roman" w:hAnsi="Times New Roman" w:eastAsia="Times New Roman" w:cs="Times New Roman"/>
                <w:color w:val="auto"/>
                <w:spacing w:val="-1"/>
                <w:sz w:val="24"/>
                <w:szCs w:val="24"/>
                <w:u w:val="none" w:color="auto"/>
              </w:rPr>
              <w:t>I</w:t>
            </w:r>
            <w:r>
              <w:rPr>
                <w:rFonts w:ascii="宋体" w:hAnsi="宋体" w:eastAsia="宋体" w:cs="宋体"/>
                <w:color w:val="auto"/>
                <w:spacing w:val="-1"/>
                <w:sz w:val="24"/>
                <w:szCs w:val="24"/>
                <w:u w:val="none" w:color="auto"/>
              </w:rPr>
              <w:t>）计算。</w:t>
            </w:r>
          </w:p>
          <w:p w14:paraId="3490C4F5">
            <w:pPr>
              <w:spacing w:before="56" w:line="2386" w:lineRule="exact"/>
              <w:ind w:firstLine="2562"/>
              <w:rPr>
                <w:color w:val="auto"/>
                <w:u w:val="none" w:color="auto"/>
              </w:rPr>
            </w:pPr>
            <w:r>
              <w:rPr>
                <w:color w:val="auto"/>
                <w:position w:val="-47"/>
                <w:u w:val="none" w:color="auto"/>
              </w:rPr>
              <w:drawing>
                <wp:inline distT="0" distB="0" distL="0" distR="0">
                  <wp:extent cx="2028190" cy="1514475"/>
                  <wp:effectExtent l="0" t="0" r="10160" b="9525"/>
                  <wp:docPr id="104" name="IM 72"/>
                  <wp:cNvGraphicFramePr/>
                  <a:graphic xmlns:a="http://schemas.openxmlformats.org/drawingml/2006/main">
                    <a:graphicData uri="http://schemas.openxmlformats.org/drawingml/2006/picture">
                      <pic:pic xmlns:pic="http://schemas.openxmlformats.org/drawingml/2006/picture">
                        <pic:nvPicPr>
                          <pic:cNvPr id="104" name="IM 72"/>
                          <pic:cNvPicPr/>
                        </pic:nvPicPr>
                        <pic:blipFill>
                          <a:blip r:embed="rId41"/>
                          <a:stretch>
                            <a:fillRect/>
                          </a:stretch>
                        </pic:blipFill>
                        <pic:spPr>
                          <a:xfrm>
                            <a:off x="0" y="0"/>
                            <a:ext cx="2028443" cy="1514855"/>
                          </a:xfrm>
                          <a:prstGeom prst="rect">
                            <a:avLst/>
                          </a:prstGeom>
                        </pic:spPr>
                      </pic:pic>
                    </a:graphicData>
                  </a:graphic>
                </wp:inline>
              </w:drawing>
            </w:r>
          </w:p>
          <w:p w14:paraId="6599210B">
            <w:pPr>
              <w:spacing w:before="114" w:line="227" w:lineRule="auto"/>
              <w:ind w:left="1710"/>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图</w:t>
            </w:r>
            <w:r>
              <w:rPr>
                <w:rFonts w:ascii="宋体" w:hAnsi="宋体" w:eastAsia="宋体" w:cs="宋体"/>
                <w:color w:val="auto"/>
                <w:spacing w:val="-24"/>
                <w:sz w:val="20"/>
                <w:szCs w:val="20"/>
                <w:u w:val="none" w:color="auto"/>
              </w:rPr>
              <w:t xml:space="preserve"> </w:t>
            </w:r>
            <w:r>
              <w:rPr>
                <w:rFonts w:ascii="Times New Roman" w:hAnsi="Times New Roman" w:eastAsia="Times New Roman" w:cs="Times New Roman"/>
                <w:b/>
                <w:bCs/>
                <w:color w:val="auto"/>
                <w:spacing w:val="5"/>
                <w:sz w:val="20"/>
                <w:szCs w:val="20"/>
                <w:u w:val="none" w:color="auto"/>
              </w:rPr>
              <w:t xml:space="preserve">4-2    </w:t>
            </w:r>
            <w:r>
              <w:rPr>
                <w:rFonts w:ascii="宋体" w:hAnsi="宋体" w:eastAsia="宋体" w:cs="宋体"/>
                <w:b/>
                <w:bCs/>
                <w:color w:val="auto"/>
                <w:spacing w:val="5"/>
                <w:sz w:val="20"/>
                <w:szCs w:val="20"/>
                <w:u w:val="none" w:color="auto"/>
              </w:rPr>
              <w:t>受声点与线声源两端连接线的夹角（遮蔽角）</w:t>
            </w:r>
          </w:p>
          <w:p w14:paraId="76BFD83B">
            <w:pPr>
              <w:spacing w:before="128" w:line="219" w:lineRule="auto"/>
              <w:ind w:left="508"/>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声屏障的透射、反射修正参照</w:t>
            </w:r>
            <w:r>
              <w:rPr>
                <w:rFonts w:ascii="宋体" w:hAnsi="宋体" w:eastAsia="宋体" w:cs="宋体"/>
                <w:color w:val="auto"/>
                <w:spacing w:val="-53"/>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HJ/T90 </w:t>
            </w:r>
            <w:r>
              <w:rPr>
                <w:rFonts w:ascii="宋体" w:hAnsi="宋体" w:eastAsia="宋体" w:cs="宋体"/>
                <w:color w:val="auto"/>
                <w:spacing w:val="-1"/>
                <w:sz w:val="24"/>
                <w:szCs w:val="24"/>
                <w:u w:val="none" w:color="auto"/>
              </w:rPr>
              <w:t>计算。</w:t>
            </w:r>
          </w:p>
          <w:p w14:paraId="4EBEE8FD">
            <w:pPr>
              <w:spacing w:before="183" w:line="219" w:lineRule="auto"/>
              <w:ind w:left="493"/>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b</w:t>
            </w:r>
            <w:r>
              <w:rPr>
                <w:rFonts w:ascii="宋体" w:hAnsi="宋体" w:eastAsia="宋体" w:cs="宋体"/>
                <w:color w:val="auto"/>
                <w:sz w:val="24"/>
                <w:szCs w:val="24"/>
                <w:u w:val="none" w:color="auto"/>
              </w:rPr>
              <w:t>）高路堤或低路堑两侧声影区衰减量计算</w:t>
            </w:r>
          </w:p>
          <w:p w14:paraId="27F50233">
            <w:pPr>
              <w:spacing w:before="183" w:line="343" w:lineRule="auto"/>
              <w:ind w:left="23" w:right="16" w:firstLine="486"/>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高路堤或低路堑两侧声影区衰减量</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bar</w:t>
            </w:r>
            <w:r>
              <w:rPr>
                <w:rFonts w:ascii="Times New Roman" w:hAnsi="Times New Roman" w:eastAsia="Times New Roman" w:cs="Times New Roman"/>
                <w:color w:val="auto"/>
                <w:spacing w:val="15"/>
                <w:w w:val="102"/>
                <w:position w:val="-1"/>
                <w:sz w:val="15"/>
                <w:szCs w:val="15"/>
                <w:u w:val="none" w:color="auto"/>
              </w:rPr>
              <w:t xml:space="preserve"> </w:t>
            </w:r>
            <w:r>
              <w:rPr>
                <w:rFonts w:ascii="宋体" w:hAnsi="宋体" w:eastAsia="宋体" w:cs="宋体"/>
                <w:color w:val="auto"/>
                <w:spacing w:val="4"/>
                <w:sz w:val="24"/>
                <w:szCs w:val="24"/>
                <w:u w:val="none" w:color="auto"/>
              </w:rPr>
              <w:t>为预测点在高路堤或低路堑两侧声</w:t>
            </w:r>
            <w:r>
              <w:rPr>
                <w:rFonts w:ascii="宋体" w:hAnsi="宋体" w:eastAsia="宋体" w:cs="宋体"/>
                <w:color w:val="auto"/>
                <w:spacing w:val="-1"/>
                <w:sz w:val="24"/>
                <w:szCs w:val="24"/>
                <w:u w:val="none" w:color="auto"/>
              </w:rPr>
              <w:t>影区内引起的附加衰减量。</w:t>
            </w:r>
          </w:p>
          <w:p w14:paraId="58E11695">
            <w:pPr>
              <w:spacing w:line="323" w:lineRule="exact"/>
              <w:ind w:left="518"/>
              <w:rPr>
                <w:rFonts w:ascii="宋体" w:hAnsi="宋体" w:eastAsia="宋体" w:cs="宋体"/>
                <w:color w:val="auto"/>
                <w:sz w:val="24"/>
                <w:szCs w:val="24"/>
                <w:u w:val="none" w:color="auto"/>
              </w:rPr>
            </w:pPr>
            <w:r>
              <w:rPr>
                <w:rFonts w:ascii="宋体" w:hAnsi="宋体" w:eastAsia="宋体" w:cs="宋体"/>
                <w:color w:val="auto"/>
                <w:spacing w:val="-2"/>
                <w:position w:val="1"/>
                <w:sz w:val="24"/>
                <w:szCs w:val="24"/>
                <w:u w:val="none" w:color="auto"/>
              </w:rPr>
              <w:t>当预测点处于声照区时，</w:t>
            </w:r>
            <w:r>
              <w:rPr>
                <w:rFonts w:ascii="Times New Roman" w:hAnsi="Times New Roman" w:eastAsia="Times New Roman" w:cs="Times New Roman"/>
                <w:color w:val="auto"/>
                <w:spacing w:val="-2"/>
                <w:position w:val="1"/>
                <w:sz w:val="24"/>
                <w:szCs w:val="24"/>
                <w:u w:val="none" w:color="auto"/>
              </w:rPr>
              <w:t>A</w:t>
            </w:r>
            <w:r>
              <w:rPr>
                <w:rFonts w:ascii="Times New Roman" w:hAnsi="Times New Roman" w:eastAsia="Times New Roman" w:cs="Times New Roman"/>
                <w:color w:val="auto"/>
                <w:spacing w:val="-2"/>
                <w:sz w:val="15"/>
                <w:szCs w:val="15"/>
                <w:u w:val="none" w:color="auto"/>
              </w:rPr>
              <w:t>bar</w:t>
            </w:r>
            <w:r>
              <w:rPr>
                <w:rFonts w:ascii="Times New Roman" w:hAnsi="Times New Roman" w:eastAsia="Times New Roman" w:cs="Times New Roman"/>
                <w:color w:val="auto"/>
                <w:spacing w:val="-2"/>
                <w:position w:val="1"/>
                <w:sz w:val="24"/>
                <w:szCs w:val="24"/>
                <w:u w:val="none" w:color="auto"/>
              </w:rPr>
              <w:t>=0</w:t>
            </w:r>
            <w:r>
              <w:rPr>
                <w:rFonts w:ascii="宋体" w:hAnsi="宋体" w:eastAsia="宋体" w:cs="宋体"/>
                <w:color w:val="auto"/>
                <w:spacing w:val="-2"/>
                <w:position w:val="1"/>
                <w:sz w:val="24"/>
                <w:szCs w:val="24"/>
                <w:u w:val="none" w:color="auto"/>
              </w:rPr>
              <w:t>。</w:t>
            </w:r>
          </w:p>
          <w:p w14:paraId="6EBB9A7C">
            <w:pPr>
              <w:spacing w:before="189" w:line="219" w:lineRule="auto"/>
              <w:ind w:left="518"/>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当预测点处于声影区，</w:t>
            </w:r>
            <w:r>
              <w:rPr>
                <w:rFonts w:ascii="Times New Roman" w:hAnsi="Times New Roman" w:eastAsia="Times New Roman" w:cs="Times New Roman"/>
                <w:color w:val="auto"/>
                <w:spacing w:val="-2"/>
                <w:sz w:val="24"/>
                <w:szCs w:val="24"/>
                <w:u w:val="none" w:color="auto"/>
              </w:rPr>
              <w:t>A</w:t>
            </w:r>
            <w:r>
              <w:rPr>
                <w:rFonts w:ascii="Times New Roman" w:hAnsi="Times New Roman" w:eastAsia="Times New Roman" w:cs="Times New Roman"/>
                <w:color w:val="auto"/>
                <w:spacing w:val="-2"/>
                <w:position w:val="-1"/>
                <w:sz w:val="15"/>
                <w:szCs w:val="15"/>
                <w:u w:val="none" w:color="auto"/>
              </w:rPr>
              <w:t>bar</w:t>
            </w:r>
            <w:r>
              <w:rPr>
                <w:rFonts w:ascii="Times New Roman" w:hAnsi="Times New Roman" w:eastAsia="Times New Roman" w:cs="Times New Roman"/>
                <w:color w:val="auto"/>
                <w:spacing w:val="24"/>
                <w:position w:val="-1"/>
                <w:sz w:val="15"/>
                <w:szCs w:val="15"/>
                <w:u w:val="none" w:color="auto"/>
              </w:rPr>
              <w:t xml:space="preserve"> </w:t>
            </w:r>
            <w:r>
              <w:rPr>
                <w:rFonts w:ascii="宋体" w:hAnsi="宋体" w:eastAsia="宋体" w:cs="宋体"/>
                <w:color w:val="auto"/>
                <w:spacing w:val="-2"/>
                <w:sz w:val="24"/>
                <w:szCs w:val="24"/>
                <w:u w:val="none" w:color="auto"/>
              </w:rPr>
              <w:t>决定于声程差</w:t>
            </w:r>
            <w:r>
              <w:rPr>
                <w:rFonts w:ascii="Times New Roman" w:hAnsi="Times New Roman" w:eastAsia="Times New Roman" w:cs="Times New Roman"/>
                <w:color w:val="auto"/>
                <w:spacing w:val="-2"/>
                <w:sz w:val="24"/>
                <w:szCs w:val="24"/>
                <w:u w:val="none" w:color="auto"/>
              </w:rPr>
              <w:t>δ</w:t>
            </w:r>
            <w:r>
              <w:rPr>
                <w:rFonts w:ascii="宋体" w:hAnsi="宋体" w:eastAsia="宋体" w:cs="宋体"/>
                <w:color w:val="auto"/>
                <w:spacing w:val="-2"/>
                <w:sz w:val="24"/>
                <w:szCs w:val="24"/>
                <w:u w:val="none" w:color="auto"/>
              </w:rPr>
              <w:t>。</w:t>
            </w:r>
          </w:p>
          <w:p w14:paraId="41F64929">
            <w:pPr>
              <w:spacing w:before="140" w:line="354" w:lineRule="auto"/>
              <w:ind w:left="29" w:right="13" w:firstLine="502"/>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由下图计算声程差</w:t>
            </w:r>
            <w:r>
              <w:rPr>
                <w:rFonts w:ascii="Times New Roman" w:hAnsi="Times New Roman" w:eastAsia="Times New Roman" w:cs="Times New Roman"/>
                <w:color w:val="auto"/>
                <w:spacing w:val="-3"/>
                <w:sz w:val="24"/>
                <w:szCs w:val="24"/>
                <w:u w:val="none" w:color="auto"/>
              </w:rPr>
              <w:t>δ</w:t>
            </w:r>
            <w:r>
              <w:rPr>
                <w:rFonts w:ascii="Times New Roman" w:hAnsi="Times New Roman" w:eastAsia="Times New Roman" w:cs="Times New Roman"/>
                <w:color w:val="auto"/>
                <w:spacing w:val="52"/>
                <w:sz w:val="24"/>
                <w:szCs w:val="24"/>
                <w:u w:val="none" w:color="auto"/>
              </w:rPr>
              <w:t xml:space="preserve"> </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δ=a+b-c</w:t>
            </w:r>
            <w:r>
              <w:rPr>
                <w:rFonts w:ascii="宋体" w:hAnsi="宋体" w:eastAsia="宋体" w:cs="宋体"/>
                <w:color w:val="auto"/>
                <w:spacing w:val="-12"/>
                <w:sz w:val="24"/>
                <w:szCs w:val="24"/>
                <w:u w:val="none" w:color="auto"/>
              </w:rPr>
              <w:t>），</w:t>
            </w:r>
            <w:r>
              <w:rPr>
                <w:rFonts w:ascii="宋体" w:hAnsi="宋体" w:eastAsia="宋体" w:cs="宋体"/>
                <w:color w:val="auto"/>
                <w:spacing w:val="-3"/>
                <w:sz w:val="24"/>
                <w:szCs w:val="24"/>
                <w:u w:val="none" w:color="auto"/>
              </w:rPr>
              <w:t>再计算菲涅耳数</w:t>
            </w:r>
            <w:r>
              <w:rPr>
                <w:rFonts w:ascii="宋体" w:hAnsi="宋体" w:eastAsia="宋体" w:cs="宋体"/>
                <w:color w:val="auto"/>
                <w:spacing w:val="-63"/>
                <w:sz w:val="24"/>
                <w:szCs w:val="24"/>
                <w:u w:val="none" w:color="auto"/>
              </w:rPr>
              <w:t xml:space="preserve"> </w:t>
            </w:r>
            <w:r>
              <w:rPr>
                <w:rFonts w:ascii="Times New Roman" w:hAnsi="Times New Roman" w:eastAsia="Times New Roman" w:cs="Times New Roman"/>
                <w:color w:val="auto"/>
                <w:spacing w:val="-3"/>
                <w:sz w:val="24"/>
                <w:szCs w:val="24"/>
                <w:u w:val="none" w:color="auto"/>
              </w:rPr>
              <w:t>Nmx</w:t>
            </w:r>
            <w:r>
              <w:rPr>
                <w:rFonts w:ascii="宋体" w:hAnsi="宋体" w:eastAsia="宋体" w:cs="宋体"/>
                <w:color w:val="auto"/>
                <w:spacing w:val="-3"/>
                <w:sz w:val="24"/>
                <w:szCs w:val="24"/>
                <w:u w:val="none" w:color="auto"/>
              </w:rPr>
              <w:t>，然后由上式计算得</w:t>
            </w:r>
            <w:r>
              <w:rPr>
                <w:rFonts w:ascii="宋体" w:hAnsi="宋体" w:eastAsia="宋体" w:cs="宋体"/>
                <w:color w:val="auto"/>
                <w:spacing w:val="-2"/>
                <w:sz w:val="24"/>
                <w:szCs w:val="24"/>
                <w:u w:val="none" w:color="auto"/>
              </w:rPr>
              <w:t>到</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2"/>
                <w:sz w:val="24"/>
                <w:szCs w:val="24"/>
                <w:u w:val="none" w:color="auto"/>
              </w:rPr>
              <w:t>A</w:t>
            </w:r>
            <w:r>
              <w:rPr>
                <w:rFonts w:ascii="Times New Roman" w:hAnsi="Times New Roman" w:eastAsia="Times New Roman" w:cs="Times New Roman"/>
                <w:color w:val="auto"/>
                <w:spacing w:val="-2"/>
                <w:position w:val="-1"/>
                <w:sz w:val="15"/>
                <w:szCs w:val="15"/>
                <w:u w:val="none" w:color="auto"/>
              </w:rPr>
              <w:t>bar</w:t>
            </w:r>
            <w:r>
              <w:rPr>
                <w:rFonts w:ascii="宋体" w:hAnsi="宋体" w:eastAsia="宋体" w:cs="宋体"/>
                <w:color w:val="auto"/>
                <w:spacing w:val="-2"/>
                <w:sz w:val="24"/>
                <w:szCs w:val="24"/>
                <w:u w:val="none" w:color="auto"/>
              </w:rPr>
              <w:t>。</w:t>
            </w:r>
          </w:p>
          <w:p w14:paraId="16A64F83">
            <w:pPr>
              <w:spacing w:before="69" w:line="3182" w:lineRule="exact"/>
              <w:ind w:firstLine="364"/>
              <w:rPr>
                <w:color w:val="auto"/>
                <w:u w:val="none" w:color="auto"/>
              </w:rPr>
            </w:pPr>
            <w:r>
              <w:rPr>
                <w:color w:val="auto"/>
                <w:position w:val="-63"/>
                <w:u w:val="none" w:color="auto"/>
              </w:rPr>
              <w:drawing>
                <wp:inline distT="0" distB="0" distL="0" distR="0">
                  <wp:extent cx="4829175" cy="2020570"/>
                  <wp:effectExtent l="0" t="0" r="9525" b="17780"/>
                  <wp:docPr id="110" name="IM 74"/>
                  <wp:cNvGraphicFramePr/>
                  <a:graphic xmlns:a="http://schemas.openxmlformats.org/drawingml/2006/main">
                    <a:graphicData uri="http://schemas.openxmlformats.org/drawingml/2006/picture">
                      <pic:pic xmlns:pic="http://schemas.openxmlformats.org/drawingml/2006/picture">
                        <pic:nvPicPr>
                          <pic:cNvPr id="110" name="IM 74"/>
                          <pic:cNvPicPr/>
                        </pic:nvPicPr>
                        <pic:blipFill>
                          <a:blip r:embed="rId42"/>
                          <a:stretch>
                            <a:fillRect/>
                          </a:stretch>
                        </pic:blipFill>
                        <pic:spPr>
                          <a:xfrm>
                            <a:off x="0" y="0"/>
                            <a:ext cx="4829555" cy="2020823"/>
                          </a:xfrm>
                          <a:prstGeom prst="rect">
                            <a:avLst/>
                          </a:prstGeom>
                        </pic:spPr>
                      </pic:pic>
                    </a:graphicData>
                  </a:graphic>
                </wp:inline>
              </w:drawing>
            </w:r>
          </w:p>
          <w:p w14:paraId="3AE19984">
            <w:pPr>
              <w:spacing w:before="177" w:line="228" w:lineRule="auto"/>
              <w:ind w:left="2920"/>
              <w:rPr>
                <w:rFonts w:ascii="宋体" w:hAnsi="宋体" w:eastAsia="宋体" w:cs="宋体"/>
                <w:color w:val="auto"/>
                <w:sz w:val="20"/>
                <w:szCs w:val="20"/>
                <w:u w:val="none" w:color="auto"/>
              </w:rPr>
            </w:pPr>
            <w:r>
              <w:rPr>
                <w:rFonts w:ascii="宋体" w:hAnsi="宋体" w:eastAsia="宋体" w:cs="宋体"/>
                <w:b/>
                <w:bCs/>
                <w:color w:val="auto"/>
                <w:spacing w:val="4"/>
                <w:sz w:val="20"/>
                <w:szCs w:val="20"/>
                <w:u w:val="none" w:color="auto"/>
              </w:rPr>
              <w:t>图</w:t>
            </w:r>
            <w:r>
              <w:rPr>
                <w:rFonts w:ascii="宋体" w:hAnsi="宋体" w:eastAsia="宋体" w:cs="宋体"/>
                <w:color w:val="auto"/>
                <w:spacing w:val="-40"/>
                <w:sz w:val="20"/>
                <w:szCs w:val="20"/>
                <w:u w:val="none" w:color="auto"/>
              </w:rPr>
              <w:t xml:space="preserve"> </w:t>
            </w:r>
            <w:r>
              <w:rPr>
                <w:rFonts w:ascii="Times New Roman" w:hAnsi="Times New Roman" w:eastAsia="Times New Roman" w:cs="Times New Roman"/>
                <w:b/>
                <w:bCs/>
                <w:color w:val="auto"/>
                <w:spacing w:val="4"/>
                <w:sz w:val="20"/>
                <w:szCs w:val="20"/>
                <w:u w:val="none" w:color="auto"/>
              </w:rPr>
              <w:t xml:space="preserve">4-3    </w:t>
            </w:r>
            <w:r>
              <w:rPr>
                <w:rFonts w:ascii="宋体" w:hAnsi="宋体" w:eastAsia="宋体" w:cs="宋体"/>
                <w:b/>
                <w:bCs/>
                <w:color w:val="auto"/>
                <w:spacing w:val="4"/>
                <w:sz w:val="20"/>
                <w:szCs w:val="20"/>
                <w:u w:val="none" w:color="auto"/>
              </w:rPr>
              <w:t>声程差</w:t>
            </w:r>
            <w:r>
              <w:rPr>
                <w:rFonts w:ascii="Times New Roman" w:hAnsi="Times New Roman" w:eastAsia="Times New Roman" w:cs="Times New Roman"/>
                <w:b/>
                <w:bCs/>
                <w:color w:val="auto"/>
                <w:spacing w:val="4"/>
                <w:sz w:val="20"/>
                <w:szCs w:val="20"/>
                <w:u w:val="none" w:color="auto"/>
              </w:rPr>
              <w:t>δ</w:t>
            </w:r>
            <w:r>
              <w:rPr>
                <w:rFonts w:ascii="宋体" w:hAnsi="宋体" w:eastAsia="宋体" w:cs="宋体"/>
                <w:b/>
                <w:bCs/>
                <w:color w:val="auto"/>
                <w:spacing w:val="4"/>
                <w:sz w:val="20"/>
                <w:szCs w:val="20"/>
                <w:u w:val="none" w:color="auto"/>
              </w:rPr>
              <w:t>计算示意图</w:t>
            </w:r>
          </w:p>
          <w:p w14:paraId="2A1B99D5">
            <w:pPr>
              <w:spacing w:before="68" w:line="4251" w:lineRule="exact"/>
              <w:ind w:firstLine="246"/>
              <w:rPr>
                <w:color w:val="auto"/>
                <w:u w:val="none" w:color="auto"/>
              </w:rPr>
            </w:pPr>
            <w:r>
              <w:rPr>
                <w:color w:val="auto"/>
                <w:position w:val="-85"/>
                <w:u w:val="none" w:color="auto"/>
              </w:rPr>
              <w:drawing>
                <wp:inline distT="0" distB="0" distL="0" distR="0">
                  <wp:extent cx="4978400" cy="2698750"/>
                  <wp:effectExtent l="0" t="0" r="12700" b="6350"/>
                  <wp:docPr id="112" name="IM 76"/>
                  <wp:cNvGraphicFramePr/>
                  <a:graphic xmlns:a="http://schemas.openxmlformats.org/drawingml/2006/main">
                    <a:graphicData uri="http://schemas.openxmlformats.org/drawingml/2006/picture">
                      <pic:pic xmlns:pic="http://schemas.openxmlformats.org/drawingml/2006/picture">
                        <pic:nvPicPr>
                          <pic:cNvPr id="112" name="IM 76"/>
                          <pic:cNvPicPr/>
                        </pic:nvPicPr>
                        <pic:blipFill>
                          <a:blip r:embed="rId43"/>
                          <a:stretch>
                            <a:fillRect/>
                          </a:stretch>
                        </pic:blipFill>
                        <pic:spPr>
                          <a:xfrm>
                            <a:off x="0" y="0"/>
                            <a:ext cx="4978907" cy="2699004"/>
                          </a:xfrm>
                          <a:prstGeom prst="rect">
                            <a:avLst/>
                          </a:prstGeom>
                        </pic:spPr>
                      </pic:pic>
                    </a:graphicData>
                  </a:graphic>
                </wp:inline>
              </w:drawing>
            </w:r>
          </w:p>
          <w:p w14:paraId="27E1AA44">
            <w:pPr>
              <w:spacing w:before="68" w:line="289" w:lineRule="exact"/>
              <w:ind w:left="1581"/>
              <w:rPr>
                <w:rFonts w:ascii="宋体" w:hAnsi="宋体" w:eastAsia="宋体" w:cs="宋体"/>
                <w:color w:val="auto"/>
                <w:sz w:val="20"/>
                <w:szCs w:val="20"/>
                <w:u w:val="none" w:color="auto"/>
              </w:rPr>
            </w:pPr>
            <w:r>
              <w:rPr>
                <w:rFonts w:ascii="宋体" w:hAnsi="宋体" w:eastAsia="宋体" w:cs="宋体"/>
                <w:b/>
                <w:bCs/>
                <w:color w:val="auto"/>
                <w:spacing w:val="5"/>
                <w:position w:val="1"/>
                <w:sz w:val="20"/>
                <w:szCs w:val="20"/>
                <w:u w:val="none" w:color="auto"/>
              </w:rPr>
              <w:t>图</w:t>
            </w:r>
            <w:r>
              <w:rPr>
                <w:rFonts w:ascii="宋体" w:hAnsi="宋体" w:eastAsia="宋体" w:cs="宋体"/>
                <w:color w:val="auto"/>
                <w:spacing w:val="-28"/>
                <w:position w:val="1"/>
                <w:sz w:val="20"/>
                <w:szCs w:val="20"/>
                <w:u w:val="none" w:color="auto"/>
              </w:rPr>
              <w:t xml:space="preserve"> </w:t>
            </w:r>
            <w:r>
              <w:rPr>
                <w:rFonts w:ascii="Times New Roman" w:hAnsi="Times New Roman" w:eastAsia="Times New Roman" w:cs="Times New Roman"/>
                <w:b/>
                <w:bCs/>
                <w:color w:val="auto"/>
                <w:spacing w:val="5"/>
                <w:position w:val="1"/>
                <w:sz w:val="20"/>
                <w:szCs w:val="20"/>
                <w:u w:val="none" w:color="auto"/>
              </w:rPr>
              <w:t xml:space="preserve">4-4    </w:t>
            </w:r>
            <w:r>
              <w:rPr>
                <w:rFonts w:ascii="宋体" w:hAnsi="宋体" w:eastAsia="宋体" w:cs="宋体"/>
                <w:b/>
                <w:bCs/>
                <w:color w:val="auto"/>
                <w:spacing w:val="5"/>
                <w:position w:val="1"/>
                <w:sz w:val="20"/>
                <w:szCs w:val="20"/>
                <w:u w:val="none" w:color="auto"/>
              </w:rPr>
              <w:t>噪声衰减量</w:t>
            </w:r>
            <w:r>
              <w:rPr>
                <w:rFonts w:ascii="宋体" w:hAnsi="宋体" w:eastAsia="宋体" w:cs="宋体"/>
                <w:color w:val="auto"/>
                <w:spacing w:val="-43"/>
                <w:position w:val="1"/>
                <w:sz w:val="20"/>
                <w:szCs w:val="20"/>
                <w:u w:val="none" w:color="auto"/>
              </w:rPr>
              <w:t xml:space="preserve"> </w:t>
            </w:r>
            <w:r>
              <w:rPr>
                <w:rFonts w:ascii="Times New Roman" w:hAnsi="Times New Roman" w:eastAsia="Times New Roman" w:cs="Times New Roman"/>
                <w:b/>
                <w:bCs/>
                <w:color w:val="auto"/>
                <w:position w:val="1"/>
                <w:sz w:val="20"/>
                <w:szCs w:val="20"/>
                <w:u w:val="none" w:color="auto"/>
              </w:rPr>
              <w:t>A</w:t>
            </w:r>
            <w:r>
              <w:rPr>
                <w:rFonts w:ascii="Times New Roman" w:hAnsi="Times New Roman" w:eastAsia="Times New Roman" w:cs="Times New Roman"/>
                <w:b/>
                <w:bCs/>
                <w:color w:val="auto"/>
                <w:sz w:val="13"/>
                <w:szCs w:val="13"/>
                <w:u w:val="none" w:color="auto"/>
              </w:rPr>
              <w:t>bar</w:t>
            </w:r>
            <w:r>
              <w:rPr>
                <w:rFonts w:ascii="Times New Roman" w:hAnsi="Times New Roman" w:eastAsia="Times New Roman" w:cs="Times New Roman"/>
                <w:b/>
                <w:bCs/>
                <w:color w:val="auto"/>
                <w:spacing w:val="12"/>
                <w:w w:val="102"/>
                <w:sz w:val="13"/>
                <w:szCs w:val="13"/>
                <w:u w:val="none" w:color="auto"/>
              </w:rPr>
              <w:t xml:space="preserve"> </w:t>
            </w:r>
            <w:r>
              <w:rPr>
                <w:rFonts w:ascii="宋体" w:hAnsi="宋体" w:eastAsia="宋体" w:cs="宋体"/>
                <w:b/>
                <w:bCs/>
                <w:color w:val="auto"/>
                <w:spacing w:val="5"/>
                <w:position w:val="1"/>
                <w:sz w:val="20"/>
                <w:szCs w:val="20"/>
                <w:u w:val="none" w:color="auto"/>
              </w:rPr>
              <w:t>与声程差</w:t>
            </w:r>
            <w:r>
              <w:rPr>
                <w:rFonts w:ascii="Times New Roman" w:hAnsi="Times New Roman" w:eastAsia="Times New Roman" w:cs="Times New Roman"/>
                <w:b/>
                <w:bCs/>
                <w:color w:val="auto"/>
                <w:spacing w:val="5"/>
                <w:position w:val="1"/>
                <w:sz w:val="20"/>
                <w:szCs w:val="20"/>
                <w:u w:val="none" w:color="auto"/>
              </w:rPr>
              <w:t>δ</w:t>
            </w:r>
            <w:r>
              <w:rPr>
                <w:rFonts w:ascii="宋体" w:hAnsi="宋体" w:eastAsia="宋体" w:cs="宋体"/>
                <w:b/>
                <w:bCs/>
                <w:color w:val="auto"/>
                <w:spacing w:val="5"/>
                <w:position w:val="1"/>
                <w:sz w:val="20"/>
                <w:szCs w:val="20"/>
                <w:u w:val="none" w:color="auto"/>
              </w:rPr>
              <w:t>关系曲线（</w:t>
            </w:r>
            <w:r>
              <w:rPr>
                <w:rFonts w:ascii="Times New Roman" w:hAnsi="Times New Roman" w:eastAsia="Times New Roman" w:cs="Times New Roman"/>
                <w:b/>
                <w:bCs/>
                <w:color w:val="auto"/>
                <w:spacing w:val="5"/>
                <w:position w:val="1"/>
                <w:sz w:val="20"/>
                <w:szCs w:val="20"/>
                <w:u w:val="none" w:color="auto"/>
              </w:rPr>
              <w:t>f=500</w:t>
            </w:r>
            <w:r>
              <w:rPr>
                <w:rFonts w:ascii="Times New Roman" w:hAnsi="Times New Roman" w:eastAsia="Times New Roman" w:cs="Times New Roman"/>
                <w:b/>
                <w:bCs/>
                <w:color w:val="auto"/>
                <w:position w:val="1"/>
                <w:sz w:val="20"/>
                <w:szCs w:val="20"/>
                <w:u w:val="none" w:color="auto"/>
              </w:rPr>
              <w:t>Hz</w:t>
            </w:r>
            <w:r>
              <w:rPr>
                <w:rFonts w:ascii="宋体" w:hAnsi="宋体" w:eastAsia="宋体" w:cs="宋体"/>
                <w:b/>
                <w:bCs/>
                <w:color w:val="auto"/>
                <w:spacing w:val="5"/>
                <w:position w:val="1"/>
                <w:sz w:val="20"/>
                <w:szCs w:val="20"/>
                <w:u w:val="none" w:color="auto"/>
              </w:rPr>
              <w:t>）</w:t>
            </w:r>
          </w:p>
          <w:p w14:paraId="3384AEDD">
            <w:pPr>
              <w:spacing w:before="126" w:line="218"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c</w:t>
            </w:r>
            <w:r>
              <w:rPr>
                <w:rFonts w:ascii="宋体" w:hAnsi="宋体" w:eastAsia="宋体" w:cs="宋体"/>
                <w:color w:val="auto"/>
                <w:spacing w:val="-1"/>
                <w:sz w:val="24"/>
                <w:szCs w:val="24"/>
                <w:u w:val="none" w:color="auto"/>
              </w:rPr>
              <w:t>）农村房屋附加衰减量估算值</w:t>
            </w:r>
          </w:p>
          <w:p w14:paraId="248C2B20">
            <w:pPr>
              <w:spacing w:before="185" w:line="325" w:lineRule="auto"/>
              <w:ind w:left="25" w:right="13" w:firstLine="478"/>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农村房屋衰减量可参照</w:t>
            </w:r>
            <w:r>
              <w:rPr>
                <w:rFonts w:ascii="宋体" w:hAnsi="宋体" w:eastAsia="宋体" w:cs="宋体"/>
                <w:color w:val="auto"/>
                <w:spacing w:val="-47"/>
                <w:sz w:val="24"/>
                <w:szCs w:val="24"/>
                <w:u w:val="none" w:color="auto"/>
              </w:rPr>
              <w:t xml:space="preserve"> </w:t>
            </w:r>
            <w:r>
              <w:rPr>
                <w:rFonts w:ascii="Times New Roman" w:hAnsi="Times New Roman" w:eastAsia="Times New Roman" w:cs="Times New Roman"/>
                <w:color w:val="auto"/>
                <w:sz w:val="24"/>
                <w:szCs w:val="24"/>
                <w:u w:val="none" w:color="auto"/>
              </w:rPr>
              <w:t>GB</w:t>
            </w:r>
            <w:r>
              <w:rPr>
                <w:rFonts w:ascii="Times New Roman" w:hAnsi="Times New Roman" w:eastAsia="Times New Roman" w:cs="Times New Roman"/>
                <w:color w:val="auto"/>
                <w:spacing w:val="1"/>
                <w:sz w:val="24"/>
                <w:szCs w:val="24"/>
                <w:u w:val="none" w:color="auto"/>
              </w:rPr>
              <w:t>/T17247.2</w:t>
            </w:r>
            <w:r>
              <w:rPr>
                <w:rFonts w:ascii="Times New Roman" w:hAnsi="Times New Roman" w:eastAsia="Times New Roman" w:cs="Times New Roman"/>
                <w:color w:val="auto"/>
                <w:spacing w:val="33"/>
                <w:w w:val="101"/>
                <w:sz w:val="24"/>
                <w:szCs w:val="24"/>
                <w:u w:val="none" w:color="auto"/>
              </w:rPr>
              <w:t xml:space="preserve"> </w:t>
            </w:r>
            <w:r>
              <w:rPr>
                <w:rFonts w:ascii="宋体" w:hAnsi="宋体" w:eastAsia="宋体" w:cs="宋体"/>
                <w:color w:val="auto"/>
                <w:spacing w:val="1"/>
                <w:sz w:val="24"/>
                <w:szCs w:val="24"/>
                <w:u w:val="none" w:color="auto"/>
              </w:rPr>
              <w:t>附录</w:t>
            </w:r>
            <w:r>
              <w:rPr>
                <w:rFonts w:ascii="宋体" w:hAnsi="宋体" w:eastAsia="宋体" w:cs="宋体"/>
                <w:color w:val="auto"/>
                <w:spacing w:val="-56"/>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A </w:t>
            </w:r>
            <w:r>
              <w:rPr>
                <w:rFonts w:ascii="宋体" w:hAnsi="宋体" w:eastAsia="宋体" w:cs="宋体"/>
                <w:color w:val="auto"/>
                <w:spacing w:val="1"/>
                <w:sz w:val="24"/>
                <w:szCs w:val="24"/>
                <w:u w:val="none" w:color="auto"/>
              </w:rPr>
              <w:t>进行</w:t>
            </w:r>
            <w:r>
              <w:rPr>
                <w:rFonts w:ascii="宋体" w:hAnsi="宋体" w:eastAsia="宋体" w:cs="宋体"/>
                <w:color w:val="auto"/>
                <w:sz w:val="24"/>
                <w:szCs w:val="24"/>
                <w:u w:val="none" w:color="auto"/>
              </w:rPr>
              <w:t>计算，在沿公路第一排房</w:t>
            </w:r>
            <w:r>
              <w:rPr>
                <w:rFonts w:ascii="宋体" w:hAnsi="宋体" w:eastAsia="宋体" w:cs="宋体"/>
                <w:color w:val="auto"/>
                <w:spacing w:val="-1"/>
                <w:sz w:val="24"/>
                <w:szCs w:val="24"/>
                <w:u w:val="none" w:color="auto"/>
              </w:rPr>
              <w:t>屋影声区范围内，近似计算可按图</w:t>
            </w:r>
            <w:r>
              <w:rPr>
                <w:rFonts w:ascii="宋体" w:hAnsi="宋体" w:eastAsia="宋体" w:cs="宋体"/>
                <w:color w:val="auto"/>
                <w:spacing w:val="-46"/>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4.2-4 </w:t>
            </w:r>
            <w:r>
              <w:rPr>
                <w:rFonts w:ascii="宋体" w:hAnsi="宋体" w:eastAsia="宋体" w:cs="宋体"/>
                <w:color w:val="auto"/>
                <w:spacing w:val="-1"/>
                <w:sz w:val="24"/>
                <w:szCs w:val="24"/>
                <w:u w:val="none" w:color="auto"/>
              </w:rPr>
              <w:t>和表</w:t>
            </w:r>
            <w:r>
              <w:rPr>
                <w:rFonts w:ascii="宋体" w:hAnsi="宋体" w:eastAsia="宋体" w:cs="宋体"/>
                <w:color w:val="auto"/>
                <w:spacing w:val="-56"/>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4.2-2 </w:t>
            </w:r>
            <w:r>
              <w:rPr>
                <w:rFonts w:ascii="宋体" w:hAnsi="宋体" w:eastAsia="宋体" w:cs="宋体"/>
                <w:color w:val="auto"/>
                <w:spacing w:val="-1"/>
                <w:sz w:val="24"/>
                <w:szCs w:val="24"/>
                <w:u w:val="none" w:color="auto"/>
              </w:rPr>
              <w:t>取值。</w:t>
            </w:r>
          </w:p>
          <w:p w14:paraId="44D4D383">
            <w:pPr>
              <w:spacing w:line="2755" w:lineRule="exact"/>
              <w:ind w:firstLine="191"/>
              <w:rPr>
                <w:color w:val="auto"/>
                <w:u w:val="none" w:color="auto"/>
              </w:rPr>
            </w:pPr>
            <w:r>
              <w:rPr>
                <w:color w:val="auto"/>
                <w:position w:val="-55"/>
                <w:u w:val="none" w:color="auto"/>
              </w:rPr>
              <w:drawing>
                <wp:inline distT="0" distB="0" distL="0" distR="0">
                  <wp:extent cx="5045710" cy="1749425"/>
                  <wp:effectExtent l="0" t="0" r="2540" b="3175"/>
                  <wp:docPr id="121" name="IM 78"/>
                  <wp:cNvGraphicFramePr/>
                  <a:graphic xmlns:a="http://schemas.openxmlformats.org/drawingml/2006/main">
                    <a:graphicData uri="http://schemas.openxmlformats.org/drawingml/2006/picture">
                      <pic:pic xmlns:pic="http://schemas.openxmlformats.org/drawingml/2006/picture">
                        <pic:nvPicPr>
                          <pic:cNvPr id="121" name="IM 78"/>
                          <pic:cNvPicPr/>
                        </pic:nvPicPr>
                        <pic:blipFill>
                          <a:blip r:embed="rId44"/>
                          <a:stretch>
                            <a:fillRect/>
                          </a:stretch>
                        </pic:blipFill>
                        <pic:spPr>
                          <a:xfrm>
                            <a:off x="0" y="0"/>
                            <a:ext cx="5045963" cy="1749552"/>
                          </a:xfrm>
                          <a:prstGeom prst="rect">
                            <a:avLst/>
                          </a:prstGeom>
                        </pic:spPr>
                      </pic:pic>
                    </a:graphicData>
                  </a:graphic>
                </wp:inline>
              </w:drawing>
            </w:r>
          </w:p>
          <w:p w14:paraId="31902B2C">
            <w:pPr>
              <w:spacing w:before="80" w:line="226" w:lineRule="auto"/>
              <w:ind w:left="2553"/>
              <w:rPr>
                <w:rFonts w:ascii="宋体" w:hAnsi="宋体" w:eastAsia="宋体" w:cs="宋体"/>
                <w:color w:val="auto"/>
                <w:sz w:val="20"/>
                <w:szCs w:val="20"/>
                <w:u w:val="none" w:color="auto"/>
              </w:rPr>
            </w:pPr>
            <w:r>
              <w:rPr>
                <w:rFonts w:ascii="宋体" w:hAnsi="宋体" w:eastAsia="宋体" w:cs="宋体"/>
                <w:b/>
                <w:bCs/>
                <w:color w:val="auto"/>
                <w:spacing w:val="4"/>
                <w:sz w:val="20"/>
                <w:szCs w:val="20"/>
                <w:u w:val="none" w:color="auto"/>
              </w:rPr>
              <w:t>图</w:t>
            </w:r>
            <w:r>
              <w:rPr>
                <w:rFonts w:ascii="宋体" w:hAnsi="宋体" w:eastAsia="宋体" w:cs="宋体"/>
                <w:color w:val="auto"/>
                <w:spacing w:val="-23"/>
                <w:sz w:val="20"/>
                <w:szCs w:val="20"/>
                <w:u w:val="none" w:color="auto"/>
              </w:rPr>
              <w:t xml:space="preserve"> </w:t>
            </w:r>
            <w:r>
              <w:rPr>
                <w:rFonts w:ascii="Times New Roman" w:hAnsi="Times New Roman" w:eastAsia="Times New Roman" w:cs="Times New Roman"/>
                <w:b/>
                <w:bCs/>
                <w:color w:val="auto"/>
                <w:spacing w:val="4"/>
                <w:sz w:val="20"/>
                <w:szCs w:val="20"/>
                <w:u w:val="none" w:color="auto"/>
              </w:rPr>
              <w:t>4-</w:t>
            </w:r>
            <w:r>
              <w:rPr>
                <w:rFonts w:hint="eastAsia" w:eastAsia="宋体" w:cs="Times New Roman"/>
                <w:b/>
                <w:bCs/>
                <w:color w:val="auto"/>
                <w:spacing w:val="4"/>
                <w:sz w:val="20"/>
                <w:szCs w:val="20"/>
                <w:u w:val="none" w:color="auto"/>
                <w:lang w:val="en-US" w:eastAsia="zh-CN"/>
              </w:rPr>
              <w:t>5</w:t>
            </w:r>
            <w:r>
              <w:rPr>
                <w:rFonts w:ascii="Times New Roman" w:hAnsi="Times New Roman" w:eastAsia="Times New Roman" w:cs="Times New Roman"/>
                <w:b/>
                <w:bCs/>
                <w:color w:val="auto"/>
                <w:spacing w:val="4"/>
                <w:sz w:val="20"/>
                <w:szCs w:val="20"/>
                <w:u w:val="none" w:color="auto"/>
              </w:rPr>
              <w:t xml:space="preserve">    </w:t>
            </w:r>
            <w:r>
              <w:rPr>
                <w:rFonts w:ascii="宋体" w:hAnsi="宋体" w:eastAsia="宋体" w:cs="宋体"/>
                <w:b/>
                <w:bCs/>
                <w:color w:val="auto"/>
                <w:spacing w:val="4"/>
                <w:sz w:val="20"/>
                <w:szCs w:val="20"/>
                <w:u w:val="none" w:color="auto"/>
              </w:rPr>
              <w:t>农村房屋降噪量估算示意图</w:t>
            </w:r>
          </w:p>
          <w:p w14:paraId="59DCE3DD">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6"/>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9</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农村房屋噪声附加衰减量估算量</w:t>
            </w:r>
          </w:p>
          <w:p w14:paraId="41A3728A">
            <w:pPr>
              <w:spacing w:line="94" w:lineRule="exact"/>
              <w:rPr>
                <w:color w:val="auto"/>
                <w:u w:val="none" w:color="auto"/>
              </w:rPr>
            </w:pPr>
          </w:p>
          <w:tbl>
            <w:tblPr>
              <w:tblStyle w:val="72"/>
              <w:tblW w:w="7739" w:type="dxa"/>
              <w:tblInd w:w="17"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67"/>
              <w:gridCol w:w="3872"/>
            </w:tblGrid>
            <w:tr w14:paraId="533DED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3867" w:type="dxa"/>
                  <w:tcBorders>
                    <w:tl2br w:val="nil"/>
                    <w:tr2bl w:val="nil"/>
                  </w:tcBorders>
                  <w:vAlign w:val="top"/>
                </w:tcPr>
                <w:p w14:paraId="2748437A">
                  <w:pPr>
                    <w:spacing w:before="90" w:line="203" w:lineRule="auto"/>
                    <w:ind w:left="1893"/>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color w:val="auto"/>
                      <w:spacing w:val="1"/>
                      <w:sz w:val="20"/>
                      <w:szCs w:val="20"/>
                      <w:u w:val="none" w:color="auto"/>
                    </w:rPr>
                    <w:t>S/S</w:t>
                  </w:r>
                  <w:r>
                    <w:rPr>
                      <w:rFonts w:ascii="Times New Roman" w:hAnsi="Times New Roman" w:eastAsia="Times New Roman" w:cs="Times New Roman"/>
                      <w:color w:val="auto"/>
                      <w:spacing w:val="1"/>
                      <w:position w:val="-1"/>
                      <w:sz w:val="13"/>
                      <w:szCs w:val="13"/>
                      <w:u w:val="none" w:color="auto"/>
                    </w:rPr>
                    <w:t>0</w:t>
                  </w:r>
                </w:p>
              </w:tc>
              <w:tc>
                <w:tcPr>
                  <w:tcW w:w="3872" w:type="dxa"/>
                  <w:tcBorders>
                    <w:tl2br w:val="nil"/>
                    <w:tr2bl w:val="nil"/>
                  </w:tcBorders>
                  <w:vAlign w:val="top"/>
                </w:tcPr>
                <w:p w14:paraId="4809C5B1">
                  <w:pPr>
                    <w:spacing w:before="94" w:line="210" w:lineRule="auto"/>
                    <w:ind w:left="1912"/>
                    <w:rPr>
                      <w:rFonts w:ascii="Times New Roman" w:hAnsi="Times New Roman" w:eastAsia="Times New Roman" w:cs="Times New Roman"/>
                      <w:color w:val="auto"/>
                      <w:sz w:val="13"/>
                      <w:szCs w:val="13"/>
                      <w:u w:val="none" w:color="auto"/>
                    </w:rPr>
                  </w:pPr>
                  <w:r>
                    <w:rPr>
                      <w:rFonts w:ascii="Times New Roman" w:hAnsi="Times New Roman" w:eastAsia="Times New Roman" w:cs="Times New Roman"/>
                      <w:color w:val="auto"/>
                      <w:spacing w:val="3"/>
                      <w:sz w:val="20"/>
                      <w:szCs w:val="20"/>
                      <w:u w:val="none" w:color="auto"/>
                    </w:rPr>
                    <w:t>A</w:t>
                  </w:r>
                  <w:r>
                    <w:rPr>
                      <w:rFonts w:ascii="Times New Roman" w:hAnsi="Times New Roman" w:eastAsia="Times New Roman" w:cs="Times New Roman"/>
                      <w:color w:val="auto"/>
                      <w:spacing w:val="3"/>
                      <w:sz w:val="13"/>
                      <w:szCs w:val="13"/>
                      <w:u w:val="none" w:color="auto"/>
                    </w:rPr>
                    <w:t>bar</w:t>
                  </w:r>
                </w:p>
              </w:tc>
            </w:tr>
            <w:tr w14:paraId="08C0BA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867" w:type="dxa"/>
                  <w:tcBorders>
                    <w:tl2br w:val="nil"/>
                    <w:tr2bl w:val="nil"/>
                  </w:tcBorders>
                  <w:vAlign w:val="top"/>
                </w:tcPr>
                <w:p w14:paraId="2A6A29E6">
                  <w:pPr>
                    <w:spacing w:before="95" w:line="195" w:lineRule="auto"/>
                    <w:ind w:left="162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5"/>
                      <w:sz w:val="20"/>
                      <w:szCs w:val="20"/>
                      <w:u w:val="none" w:color="auto"/>
                    </w:rPr>
                    <w:t>40%~60%</w:t>
                  </w:r>
                </w:p>
              </w:tc>
              <w:tc>
                <w:tcPr>
                  <w:tcW w:w="3872" w:type="dxa"/>
                  <w:tcBorders>
                    <w:tl2br w:val="nil"/>
                    <w:tr2bl w:val="nil"/>
                  </w:tcBorders>
                  <w:vAlign w:val="top"/>
                </w:tcPr>
                <w:p w14:paraId="1BA97E2B">
                  <w:pPr>
                    <w:spacing w:before="91" w:line="201" w:lineRule="auto"/>
                    <w:ind w:left="176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5"/>
                      <w:sz w:val="20"/>
                      <w:szCs w:val="20"/>
                      <w:u w:val="none" w:color="auto"/>
                    </w:rPr>
                    <w:t>3</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5"/>
                      <w:sz w:val="20"/>
                      <w:szCs w:val="20"/>
                      <w:u w:val="none" w:color="auto"/>
                    </w:rPr>
                    <w:t>(A)</w:t>
                  </w:r>
                </w:p>
              </w:tc>
            </w:tr>
            <w:tr w14:paraId="5D2B35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867" w:type="dxa"/>
                  <w:tcBorders>
                    <w:tl2br w:val="nil"/>
                    <w:tr2bl w:val="nil"/>
                  </w:tcBorders>
                  <w:vAlign w:val="top"/>
                </w:tcPr>
                <w:p w14:paraId="3F585F54">
                  <w:pPr>
                    <w:spacing w:before="101" w:line="195" w:lineRule="auto"/>
                    <w:ind w:left="162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5"/>
                      <w:sz w:val="20"/>
                      <w:szCs w:val="20"/>
                      <w:u w:val="none" w:color="auto"/>
                    </w:rPr>
                    <w:t>70%~90%</w:t>
                  </w:r>
                </w:p>
              </w:tc>
              <w:tc>
                <w:tcPr>
                  <w:tcW w:w="3872" w:type="dxa"/>
                  <w:tcBorders>
                    <w:tl2br w:val="nil"/>
                    <w:tr2bl w:val="nil"/>
                  </w:tcBorders>
                  <w:vAlign w:val="top"/>
                </w:tcPr>
                <w:p w14:paraId="4BD41F5C">
                  <w:pPr>
                    <w:spacing w:before="97" w:line="201" w:lineRule="auto"/>
                    <w:ind w:left="176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5</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4"/>
                      <w:sz w:val="20"/>
                      <w:szCs w:val="20"/>
                      <w:u w:val="none" w:color="auto"/>
                    </w:rPr>
                    <w:t>(A)</w:t>
                  </w:r>
                </w:p>
              </w:tc>
            </w:tr>
            <w:tr w14:paraId="6CB9D7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867" w:type="dxa"/>
                  <w:tcBorders>
                    <w:tl2br w:val="nil"/>
                    <w:tr2bl w:val="nil"/>
                  </w:tcBorders>
                  <w:vAlign w:val="top"/>
                </w:tcPr>
                <w:p w14:paraId="45EA8F77">
                  <w:pPr>
                    <w:pStyle w:val="81"/>
                    <w:spacing w:before="70" w:line="228" w:lineRule="auto"/>
                    <w:ind w:left="1148"/>
                    <w:rPr>
                      <w:color w:val="auto"/>
                      <w:sz w:val="20"/>
                      <w:szCs w:val="20"/>
                      <w:u w:val="none" w:color="auto"/>
                    </w:rPr>
                  </w:pPr>
                  <w:r>
                    <w:rPr>
                      <w:color w:val="auto"/>
                      <w:spacing w:val="6"/>
                      <w:sz w:val="20"/>
                      <w:szCs w:val="20"/>
                      <w:u w:val="none" w:color="auto"/>
                    </w:rPr>
                    <w:t>以后每增加一排房屋</w:t>
                  </w:r>
                </w:p>
              </w:tc>
              <w:tc>
                <w:tcPr>
                  <w:tcW w:w="3872" w:type="dxa"/>
                  <w:tcBorders>
                    <w:tl2br w:val="nil"/>
                    <w:tr2bl w:val="nil"/>
                  </w:tcBorders>
                  <w:vAlign w:val="top"/>
                </w:tcPr>
                <w:p w14:paraId="185AA034">
                  <w:pPr>
                    <w:pStyle w:val="81"/>
                    <w:spacing w:before="70" w:line="221" w:lineRule="auto"/>
                    <w:ind w:left="74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6"/>
                      <w:sz w:val="20"/>
                      <w:szCs w:val="20"/>
                      <w:u w:val="none" w:color="auto"/>
                    </w:rPr>
                    <w:t>1.5</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6"/>
                      <w:sz w:val="20"/>
                      <w:szCs w:val="20"/>
                      <w:u w:val="none" w:color="auto"/>
                    </w:rPr>
                    <w:t>(A)</w:t>
                  </w:r>
                  <w:r>
                    <w:rPr>
                      <w:color w:val="auto"/>
                      <w:spacing w:val="6"/>
                      <w:sz w:val="20"/>
                      <w:szCs w:val="20"/>
                      <w:u w:val="none" w:color="auto"/>
                    </w:rPr>
                    <w:t>最大衰减量</w:t>
                  </w:r>
                  <w:r>
                    <w:rPr>
                      <w:rFonts w:ascii="Times New Roman" w:hAnsi="Times New Roman" w:eastAsia="Times New Roman" w:cs="Times New Roman"/>
                      <w:color w:val="auto"/>
                      <w:spacing w:val="6"/>
                      <w:sz w:val="20"/>
                      <w:szCs w:val="20"/>
                      <w:u w:val="none" w:color="auto"/>
                    </w:rPr>
                    <w:t>≤10</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6"/>
                      <w:sz w:val="20"/>
                      <w:szCs w:val="20"/>
                      <w:u w:val="none" w:color="auto"/>
                    </w:rPr>
                    <w:t>(A)</w:t>
                  </w:r>
                </w:p>
              </w:tc>
            </w:tr>
          </w:tbl>
          <w:p w14:paraId="3899599A">
            <w:pPr>
              <w:spacing w:before="117" w:line="219" w:lineRule="auto"/>
              <w:ind w:left="502"/>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d</w:t>
            </w:r>
            <w:r>
              <w:rPr>
                <w:rFonts w:ascii="宋体" w:hAnsi="宋体" w:eastAsia="宋体" w:cs="宋体"/>
                <w:color w:val="auto"/>
                <w:spacing w:val="-1"/>
                <w:sz w:val="24"/>
                <w:szCs w:val="24"/>
                <w:u w:val="none" w:color="auto"/>
              </w:rPr>
              <w:t>）绿化林带噪声衰减计算</w:t>
            </w:r>
          </w:p>
          <w:p w14:paraId="2FD106E0">
            <w:pPr>
              <w:spacing w:before="182" w:line="362" w:lineRule="auto"/>
              <w:ind w:left="24" w:right="13" w:firstLine="480"/>
              <w:rPr>
                <w:color w:val="auto"/>
                <w:u w:val="none" w:color="auto"/>
              </w:rPr>
            </w:pPr>
            <w:r>
              <w:rPr>
                <w:rFonts w:ascii="宋体" w:hAnsi="宋体" w:eastAsia="宋体" w:cs="宋体"/>
                <w:color w:val="auto"/>
                <w:spacing w:val="-3"/>
                <w:sz w:val="24"/>
                <w:szCs w:val="24"/>
                <w:u w:val="none" w:color="auto"/>
              </w:rPr>
              <w:t>绿化林带的附加衰减与树种、林带结构和密度等因素有关。</w:t>
            </w:r>
            <w:r>
              <w:rPr>
                <w:rFonts w:ascii="宋体" w:hAnsi="宋体" w:eastAsia="宋体" w:cs="宋体"/>
                <w:color w:val="auto"/>
                <w:spacing w:val="-4"/>
                <w:sz w:val="24"/>
                <w:szCs w:val="24"/>
                <w:u w:val="none" w:color="auto"/>
              </w:rPr>
              <w:t>在声源附近的绿</w:t>
            </w:r>
            <w:r>
              <w:rPr>
                <w:rFonts w:ascii="宋体" w:hAnsi="宋体" w:eastAsia="宋体" w:cs="宋体"/>
                <w:color w:val="auto"/>
                <w:spacing w:val="-3"/>
                <w:sz w:val="24"/>
                <w:szCs w:val="24"/>
                <w:u w:val="none" w:color="auto"/>
              </w:rPr>
              <w:t>化林带，或在预测点附近的绿化林带，或两者均有的情况都可以使声波衰减，见</w:t>
            </w:r>
            <w:r>
              <w:rPr>
                <w:rFonts w:ascii="宋体" w:hAnsi="宋体" w:eastAsia="宋体" w:cs="宋体"/>
                <w:color w:val="auto"/>
                <w:spacing w:val="-4"/>
                <w:sz w:val="24"/>
                <w:szCs w:val="24"/>
                <w:u w:val="none" w:color="auto"/>
              </w:rPr>
              <w:t>下图：</w:t>
            </w:r>
            <w:r>
              <w:rPr>
                <w:color w:val="auto"/>
                <w:position w:val="-29"/>
                <w:u w:val="none" w:color="auto"/>
              </w:rPr>
              <w:drawing>
                <wp:inline distT="0" distB="0" distL="0" distR="0">
                  <wp:extent cx="4987925" cy="950595"/>
                  <wp:effectExtent l="0" t="0" r="3175" b="1905"/>
                  <wp:docPr id="138" name="IM 80"/>
                  <wp:cNvGraphicFramePr/>
                  <a:graphic xmlns:a="http://schemas.openxmlformats.org/drawingml/2006/main">
                    <a:graphicData uri="http://schemas.openxmlformats.org/drawingml/2006/picture">
                      <pic:pic xmlns:pic="http://schemas.openxmlformats.org/drawingml/2006/picture">
                        <pic:nvPicPr>
                          <pic:cNvPr id="138" name="IM 80"/>
                          <pic:cNvPicPr/>
                        </pic:nvPicPr>
                        <pic:blipFill>
                          <a:blip r:embed="rId45"/>
                          <a:stretch>
                            <a:fillRect/>
                          </a:stretch>
                        </pic:blipFill>
                        <pic:spPr>
                          <a:xfrm>
                            <a:off x="0" y="0"/>
                            <a:ext cx="4988052" cy="950976"/>
                          </a:xfrm>
                          <a:prstGeom prst="rect">
                            <a:avLst/>
                          </a:prstGeom>
                        </pic:spPr>
                      </pic:pic>
                    </a:graphicData>
                  </a:graphic>
                </wp:inline>
              </w:drawing>
            </w:r>
          </w:p>
          <w:p w14:paraId="10F4D003">
            <w:pPr>
              <w:spacing w:before="82" w:line="228" w:lineRule="auto"/>
              <w:ind w:left="2379"/>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图</w:t>
            </w:r>
            <w:r>
              <w:rPr>
                <w:rFonts w:ascii="宋体" w:hAnsi="宋体" w:eastAsia="宋体" w:cs="宋体"/>
                <w:color w:val="auto"/>
                <w:spacing w:val="-35"/>
                <w:sz w:val="20"/>
                <w:szCs w:val="20"/>
                <w:u w:val="none" w:color="auto"/>
              </w:rPr>
              <w:t xml:space="preserve"> </w:t>
            </w:r>
            <w:r>
              <w:rPr>
                <w:rFonts w:ascii="Times New Roman" w:hAnsi="Times New Roman" w:eastAsia="Times New Roman" w:cs="Times New Roman"/>
                <w:b/>
                <w:bCs/>
                <w:color w:val="auto"/>
                <w:spacing w:val="5"/>
                <w:sz w:val="20"/>
                <w:szCs w:val="20"/>
                <w:u w:val="none" w:color="auto"/>
              </w:rPr>
              <w:t>4-</w:t>
            </w:r>
            <w:r>
              <w:rPr>
                <w:rFonts w:hint="eastAsia" w:eastAsia="宋体" w:cs="Times New Roman"/>
                <w:b/>
                <w:bCs/>
                <w:color w:val="auto"/>
                <w:spacing w:val="5"/>
                <w:sz w:val="20"/>
                <w:szCs w:val="20"/>
                <w:u w:val="none" w:color="auto"/>
                <w:lang w:val="en-US" w:eastAsia="zh-CN"/>
              </w:rPr>
              <w:t>6</w:t>
            </w:r>
            <w:r>
              <w:rPr>
                <w:rFonts w:ascii="Times New Roman" w:hAnsi="Times New Roman" w:eastAsia="Times New Roman" w:cs="Times New Roman"/>
                <w:b/>
                <w:bCs/>
                <w:color w:val="auto"/>
                <w:spacing w:val="5"/>
                <w:sz w:val="20"/>
                <w:szCs w:val="20"/>
                <w:u w:val="none" w:color="auto"/>
              </w:rPr>
              <w:t xml:space="preserve">    </w:t>
            </w:r>
            <w:r>
              <w:rPr>
                <w:rFonts w:ascii="宋体" w:hAnsi="宋体" w:eastAsia="宋体" w:cs="宋体"/>
                <w:b/>
                <w:bCs/>
                <w:color w:val="auto"/>
                <w:spacing w:val="5"/>
                <w:sz w:val="20"/>
                <w:szCs w:val="20"/>
                <w:u w:val="none" w:color="auto"/>
              </w:rPr>
              <w:t>通过树和灌木时噪声衰减示意图</w:t>
            </w:r>
          </w:p>
          <w:p w14:paraId="64BFDEB9">
            <w:pPr>
              <w:spacing w:before="127" w:line="360" w:lineRule="auto"/>
              <w:ind w:left="59" w:right="50" w:firstLine="481"/>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通过树叶传播造成的噪声衰减随通过树叶传播距离</w:t>
            </w:r>
            <w:r>
              <w:rPr>
                <w:rFonts w:ascii="宋体" w:hAnsi="宋体" w:eastAsia="宋体" w:cs="宋体"/>
                <w:color w:val="auto"/>
                <w:spacing w:val="-31"/>
                <w:sz w:val="24"/>
                <w:szCs w:val="24"/>
                <w:u w:val="none" w:color="auto"/>
              </w:rPr>
              <w:t xml:space="preserve"> </w:t>
            </w:r>
            <w:r>
              <w:rPr>
                <w:rFonts w:ascii="Times New Roman" w:hAnsi="Times New Roman" w:eastAsia="Times New Roman" w:cs="Times New Roman"/>
                <w:color w:val="auto"/>
                <w:sz w:val="24"/>
                <w:szCs w:val="24"/>
                <w:u w:val="none" w:color="auto"/>
              </w:rPr>
              <w:t>d</w:t>
            </w:r>
            <w:r>
              <w:rPr>
                <w:rFonts w:ascii="Times New Roman" w:hAnsi="Times New Roman" w:eastAsia="Times New Roman" w:cs="Times New Roman"/>
                <w:color w:val="auto"/>
                <w:position w:val="-1"/>
                <w:sz w:val="15"/>
                <w:szCs w:val="15"/>
                <w:u w:val="none" w:color="auto"/>
              </w:rPr>
              <w:t>f</w:t>
            </w:r>
            <w:r>
              <w:rPr>
                <w:rFonts w:ascii="Times New Roman" w:hAnsi="Times New Roman" w:eastAsia="Times New Roman" w:cs="Times New Roman"/>
                <w:color w:val="auto"/>
                <w:spacing w:val="17"/>
                <w:w w:val="101"/>
                <w:position w:val="-1"/>
                <w:sz w:val="15"/>
                <w:szCs w:val="15"/>
                <w:u w:val="none" w:color="auto"/>
              </w:rPr>
              <w:t xml:space="preserve"> </w:t>
            </w:r>
            <w:r>
              <w:rPr>
                <w:rFonts w:ascii="宋体" w:hAnsi="宋体" w:eastAsia="宋体" w:cs="宋体"/>
                <w:color w:val="auto"/>
                <w:spacing w:val="2"/>
                <w:sz w:val="24"/>
                <w:szCs w:val="24"/>
                <w:u w:val="none" w:color="auto"/>
              </w:rPr>
              <w:t>的增长而增加，其中</w:t>
            </w:r>
            <w:r>
              <w:rPr>
                <w:rFonts w:ascii="Times New Roman" w:hAnsi="Times New Roman" w:eastAsia="Times New Roman" w:cs="Times New Roman"/>
                <w:color w:val="auto"/>
                <w:spacing w:val="-3"/>
                <w:sz w:val="24"/>
                <w:szCs w:val="24"/>
                <w:u w:val="none" w:color="auto"/>
              </w:rPr>
              <w:t>d</w:t>
            </w:r>
            <w:r>
              <w:rPr>
                <w:rFonts w:ascii="Times New Roman" w:hAnsi="Times New Roman" w:eastAsia="Times New Roman" w:cs="Times New Roman"/>
                <w:color w:val="auto"/>
                <w:spacing w:val="-3"/>
                <w:position w:val="-1"/>
                <w:sz w:val="15"/>
                <w:szCs w:val="15"/>
                <w:u w:val="none" w:color="auto"/>
              </w:rPr>
              <w:t>f</w:t>
            </w:r>
            <w:r>
              <w:rPr>
                <w:rFonts w:ascii="Times New Roman" w:hAnsi="Times New Roman" w:eastAsia="Times New Roman" w:cs="Times New Roman"/>
                <w:color w:val="auto"/>
                <w:spacing w:val="-3"/>
                <w:sz w:val="24"/>
                <w:szCs w:val="24"/>
                <w:u w:val="none" w:color="auto"/>
              </w:rPr>
              <w:t>=d</w:t>
            </w:r>
            <w:r>
              <w:rPr>
                <w:rFonts w:ascii="Times New Roman" w:hAnsi="Times New Roman" w:eastAsia="Times New Roman" w:cs="Times New Roman"/>
                <w:color w:val="auto"/>
                <w:spacing w:val="-3"/>
                <w:position w:val="-1"/>
                <w:sz w:val="15"/>
                <w:szCs w:val="15"/>
                <w:u w:val="none" w:color="auto"/>
              </w:rPr>
              <w:t>1</w:t>
            </w:r>
            <w:r>
              <w:rPr>
                <w:rFonts w:ascii="Times New Roman" w:hAnsi="Times New Roman" w:eastAsia="Times New Roman" w:cs="Times New Roman"/>
                <w:color w:val="auto"/>
                <w:spacing w:val="-3"/>
                <w:sz w:val="24"/>
                <w:szCs w:val="24"/>
                <w:u w:val="none" w:color="auto"/>
              </w:rPr>
              <w:t>+d</w:t>
            </w:r>
            <w:r>
              <w:rPr>
                <w:rFonts w:ascii="Times New Roman" w:hAnsi="Times New Roman" w:eastAsia="Times New Roman" w:cs="Times New Roman"/>
                <w:color w:val="auto"/>
                <w:spacing w:val="-3"/>
                <w:position w:val="-1"/>
                <w:sz w:val="15"/>
                <w:szCs w:val="15"/>
                <w:u w:val="none" w:color="auto"/>
              </w:rPr>
              <w:t>2</w:t>
            </w:r>
            <w:r>
              <w:rPr>
                <w:rFonts w:ascii="Times New Roman" w:hAnsi="Times New Roman" w:eastAsia="Times New Roman" w:cs="Times New Roman"/>
                <w:color w:val="auto"/>
                <w:spacing w:val="1"/>
                <w:position w:val="-1"/>
                <w:sz w:val="15"/>
                <w:szCs w:val="15"/>
                <w:u w:val="none" w:color="auto"/>
              </w:rPr>
              <w:t xml:space="preserve"> </w:t>
            </w:r>
            <w:r>
              <w:rPr>
                <w:rFonts w:ascii="宋体" w:hAnsi="宋体" w:eastAsia="宋体" w:cs="宋体"/>
                <w:color w:val="auto"/>
                <w:spacing w:val="-3"/>
                <w:sz w:val="24"/>
                <w:szCs w:val="24"/>
                <w:u w:val="none" w:color="auto"/>
              </w:rPr>
              <w:t>，为了计算</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3"/>
                <w:sz w:val="24"/>
                <w:szCs w:val="24"/>
                <w:u w:val="none" w:color="auto"/>
              </w:rPr>
              <w:t>d</w:t>
            </w:r>
            <w:r>
              <w:rPr>
                <w:rFonts w:ascii="Times New Roman" w:hAnsi="Times New Roman" w:eastAsia="Times New Roman" w:cs="Times New Roman"/>
                <w:color w:val="auto"/>
                <w:spacing w:val="-3"/>
                <w:position w:val="-1"/>
                <w:sz w:val="15"/>
                <w:szCs w:val="15"/>
                <w:u w:val="none" w:color="auto"/>
              </w:rPr>
              <w:t>1</w:t>
            </w:r>
            <w:r>
              <w:rPr>
                <w:rFonts w:ascii="Times New Roman" w:hAnsi="Times New Roman" w:eastAsia="Times New Roman" w:cs="Times New Roman"/>
                <w:color w:val="auto"/>
                <w:spacing w:val="10"/>
                <w:w w:val="101"/>
                <w:position w:val="-1"/>
                <w:sz w:val="15"/>
                <w:szCs w:val="15"/>
                <w:u w:val="none" w:color="auto"/>
              </w:rPr>
              <w:t xml:space="preserve"> </w:t>
            </w:r>
            <w:r>
              <w:rPr>
                <w:rFonts w:ascii="宋体" w:hAnsi="宋体" w:eastAsia="宋体" w:cs="宋体"/>
                <w:color w:val="auto"/>
                <w:spacing w:val="-3"/>
                <w:sz w:val="24"/>
                <w:szCs w:val="24"/>
                <w:u w:val="none" w:color="auto"/>
              </w:rPr>
              <w:t>和</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3"/>
                <w:sz w:val="24"/>
                <w:szCs w:val="24"/>
                <w:u w:val="none" w:color="auto"/>
              </w:rPr>
              <w:t>d</w:t>
            </w:r>
            <w:r>
              <w:rPr>
                <w:rFonts w:ascii="Times New Roman" w:hAnsi="Times New Roman" w:eastAsia="Times New Roman" w:cs="Times New Roman"/>
                <w:color w:val="auto"/>
                <w:spacing w:val="-3"/>
                <w:position w:val="-1"/>
                <w:sz w:val="15"/>
                <w:szCs w:val="15"/>
                <w:u w:val="none" w:color="auto"/>
              </w:rPr>
              <w:t>2</w:t>
            </w:r>
            <w:r>
              <w:rPr>
                <w:rFonts w:ascii="Times New Roman" w:hAnsi="Times New Roman" w:eastAsia="Times New Roman" w:cs="Times New Roman"/>
                <w:color w:val="auto"/>
                <w:spacing w:val="-8"/>
                <w:position w:val="-1"/>
                <w:sz w:val="15"/>
                <w:szCs w:val="15"/>
                <w:u w:val="none" w:color="auto"/>
              </w:rPr>
              <w:t xml:space="preserve"> </w:t>
            </w:r>
            <w:r>
              <w:rPr>
                <w:rFonts w:ascii="宋体" w:hAnsi="宋体" w:eastAsia="宋体" w:cs="宋体"/>
                <w:color w:val="auto"/>
                <w:spacing w:val="-3"/>
                <w:sz w:val="24"/>
                <w:szCs w:val="24"/>
                <w:u w:val="none" w:color="auto"/>
              </w:rPr>
              <w:t>，可假设弯曲路径的半径为</w:t>
            </w:r>
            <w:r>
              <w:rPr>
                <w:rFonts w:ascii="宋体" w:hAnsi="宋体" w:eastAsia="宋体" w:cs="宋体"/>
                <w:color w:val="auto"/>
                <w:spacing w:val="-48"/>
                <w:sz w:val="24"/>
                <w:szCs w:val="24"/>
                <w:u w:val="none" w:color="auto"/>
              </w:rPr>
              <w:t xml:space="preserve"> </w:t>
            </w:r>
            <w:r>
              <w:rPr>
                <w:rFonts w:ascii="Times New Roman" w:hAnsi="Times New Roman" w:eastAsia="Times New Roman" w:cs="Times New Roman"/>
                <w:color w:val="auto"/>
                <w:spacing w:val="-3"/>
                <w:sz w:val="24"/>
                <w:szCs w:val="24"/>
                <w:u w:val="none" w:color="auto"/>
              </w:rPr>
              <w:t>5km</w:t>
            </w:r>
            <w:r>
              <w:rPr>
                <w:rFonts w:ascii="宋体" w:hAnsi="宋体" w:eastAsia="宋体" w:cs="宋体"/>
                <w:color w:val="auto"/>
                <w:spacing w:val="-3"/>
                <w:sz w:val="24"/>
                <w:szCs w:val="24"/>
                <w:u w:val="none" w:color="auto"/>
              </w:rPr>
              <w:t>。</w:t>
            </w:r>
          </w:p>
          <w:p w14:paraId="698EB5E5">
            <w:pPr>
              <w:spacing w:line="344" w:lineRule="auto"/>
              <w:ind w:left="60" w:right="50" w:firstLine="479"/>
              <w:jc w:val="both"/>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表</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2"/>
                <w:sz w:val="24"/>
                <w:szCs w:val="24"/>
                <w:u w:val="none" w:color="auto"/>
              </w:rPr>
              <w:t>A.3</w:t>
            </w:r>
            <w:r>
              <w:rPr>
                <w:rFonts w:ascii="Times New Roman" w:hAnsi="Times New Roman" w:eastAsia="Times New Roman" w:cs="Times New Roman"/>
                <w:color w:val="auto"/>
                <w:spacing w:val="32"/>
                <w:sz w:val="24"/>
                <w:szCs w:val="24"/>
                <w:u w:val="none" w:color="auto"/>
              </w:rPr>
              <w:t xml:space="preserve"> </w:t>
            </w:r>
            <w:r>
              <w:rPr>
                <w:rFonts w:ascii="宋体" w:hAnsi="宋体" w:eastAsia="宋体" w:cs="宋体"/>
                <w:color w:val="auto"/>
                <w:spacing w:val="-2"/>
                <w:sz w:val="24"/>
                <w:szCs w:val="24"/>
                <w:u w:val="none" w:color="auto"/>
              </w:rPr>
              <w:t>中的第一行给出了通过总长度为</w:t>
            </w:r>
            <w:r>
              <w:rPr>
                <w:rFonts w:ascii="宋体" w:hAnsi="宋体" w:eastAsia="宋体" w:cs="宋体"/>
                <w:color w:val="auto"/>
                <w:spacing w:val="-30"/>
                <w:sz w:val="24"/>
                <w:szCs w:val="24"/>
                <w:u w:val="none" w:color="auto"/>
              </w:rPr>
              <w:t xml:space="preserve"> </w:t>
            </w:r>
            <w:r>
              <w:rPr>
                <w:rFonts w:ascii="Times New Roman" w:hAnsi="Times New Roman" w:eastAsia="Times New Roman" w:cs="Times New Roman"/>
                <w:color w:val="auto"/>
                <w:spacing w:val="-2"/>
                <w:sz w:val="24"/>
                <w:szCs w:val="24"/>
                <w:u w:val="none" w:color="auto"/>
              </w:rPr>
              <w:t>10m</w:t>
            </w:r>
            <w:r>
              <w:rPr>
                <w:rFonts w:ascii="Times New Roman" w:hAnsi="Times New Roman" w:eastAsia="Times New Roman" w:cs="Times New Roman"/>
                <w:color w:val="auto"/>
                <w:spacing w:val="17"/>
                <w:sz w:val="24"/>
                <w:szCs w:val="24"/>
                <w:u w:val="none" w:color="auto"/>
              </w:rPr>
              <w:t xml:space="preserve"> </w:t>
            </w:r>
            <w:r>
              <w:rPr>
                <w:rFonts w:ascii="宋体" w:hAnsi="宋体" w:eastAsia="宋体" w:cs="宋体"/>
                <w:color w:val="auto"/>
                <w:spacing w:val="-2"/>
                <w:sz w:val="24"/>
                <w:szCs w:val="24"/>
                <w:u w:val="none" w:color="auto"/>
              </w:rPr>
              <w:t>到</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2"/>
                <w:sz w:val="24"/>
                <w:szCs w:val="24"/>
                <w:u w:val="none" w:color="auto"/>
              </w:rPr>
              <w:t xml:space="preserve">20m </w:t>
            </w:r>
            <w:r>
              <w:rPr>
                <w:rFonts w:ascii="宋体" w:hAnsi="宋体" w:eastAsia="宋体" w:cs="宋体"/>
                <w:color w:val="auto"/>
                <w:spacing w:val="-2"/>
                <w:sz w:val="24"/>
                <w:szCs w:val="24"/>
                <w:u w:val="none" w:color="auto"/>
              </w:rPr>
              <w:t>之间的乔灌结</w:t>
            </w:r>
            <w:r>
              <w:rPr>
                <w:rFonts w:ascii="宋体" w:hAnsi="宋体" w:eastAsia="宋体" w:cs="宋体"/>
                <w:color w:val="auto"/>
                <w:spacing w:val="-3"/>
                <w:sz w:val="24"/>
                <w:szCs w:val="24"/>
                <w:u w:val="none" w:color="auto"/>
              </w:rPr>
              <w:t>合郁闭度</w:t>
            </w:r>
            <w:r>
              <w:rPr>
                <w:rFonts w:ascii="宋体" w:hAnsi="宋体" w:eastAsia="宋体" w:cs="宋体"/>
                <w:color w:val="auto"/>
                <w:spacing w:val="-4"/>
                <w:sz w:val="24"/>
                <w:szCs w:val="24"/>
                <w:u w:val="none" w:color="auto"/>
              </w:rPr>
              <w:t>较高的林带时，由林带引起的衰减；第二行为通过总长度</w:t>
            </w:r>
            <w:r>
              <w:rPr>
                <w:rFonts w:ascii="宋体" w:hAnsi="宋体" w:eastAsia="宋体" w:cs="宋体"/>
                <w:color w:val="auto"/>
                <w:spacing w:val="-47"/>
                <w:sz w:val="24"/>
                <w:szCs w:val="24"/>
                <w:u w:val="none" w:color="auto"/>
              </w:rPr>
              <w:t xml:space="preserve"> </w:t>
            </w:r>
            <w:r>
              <w:rPr>
                <w:rFonts w:ascii="Times New Roman" w:hAnsi="Times New Roman" w:eastAsia="Times New Roman" w:cs="Times New Roman"/>
                <w:color w:val="auto"/>
                <w:spacing w:val="-4"/>
                <w:sz w:val="24"/>
                <w:szCs w:val="24"/>
                <w:u w:val="none" w:color="auto"/>
              </w:rPr>
              <w:t>20m</w:t>
            </w:r>
            <w:r>
              <w:rPr>
                <w:rFonts w:ascii="Times New Roman" w:hAnsi="Times New Roman" w:eastAsia="Times New Roman" w:cs="Times New Roman"/>
                <w:color w:val="auto"/>
                <w:spacing w:val="16"/>
                <w:w w:val="101"/>
                <w:sz w:val="24"/>
                <w:szCs w:val="24"/>
                <w:u w:val="none" w:color="auto"/>
              </w:rPr>
              <w:t xml:space="preserve"> </w:t>
            </w:r>
            <w:r>
              <w:rPr>
                <w:rFonts w:ascii="宋体" w:hAnsi="宋体" w:eastAsia="宋体" w:cs="宋体"/>
                <w:color w:val="auto"/>
                <w:spacing w:val="-4"/>
                <w:sz w:val="24"/>
                <w:szCs w:val="24"/>
                <w:u w:val="none" w:color="auto"/>
              </w:rPr>
              <w:t>到</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4"/>
                <w:sz w:val="24"/>
                <w:szCs w:val="24"/>
                <w:u w:val="none" w:color="auto"/>
              </w:rPr>
              <w:t xml:space="preserve">200m </w:t>
            </w:r>
            <w:r>
              <w:rPr>
                <w:rFonts w:ascii="宋体" w:hAnsi="宋体" w:eastAsia="宋体" w:cs="宋体"/>
                <w:color w:val="auto"/>
                <w:spacing w:val="-4"/>
                <w:sz w:val="24"/>
                <w:szCs w:val="24"/>
                <w:u w:val="none" w:color="auto"/>
              </w:rPr>
              <w:t>之间林带</w:t>
            </w:r>
            <w:r>
              <w:rPr>
                <w:rFonts w:ascii="宋体" w:hAnsi="宋体" w:eastAsia="宋体" w:cs="宋体"/>
                <w:color w:val="auto"/>
                <w:spacing w:val="-2"/>
                <w:sz w:val="24"/>
                <w:szCs w:val="24"/>
                <w:u w:val="none" w:color="auto"/>
              </w:rPr>
              <w:t>时的衰减系数；当通过林带的路径长度大于</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2"/>
                <w:sz w:val="24"/>
                <w:szCs w:val="24"/>
                <w:u w:val="none" w:color="auto"/>
              </w:rPr>
              <w:t>200m</w:t>
            </w:r>
            <w:r>
              <w:rPr>
                <w:rFonts w:ascii="Times New Roman" w:hAnsi="Times New Roman" w:eastAsia="Times New Roman" w:cs="Times New Roman"/>
                <w:color w:val="auto"/>
                <w:spacing w:val="19"/>
                <w:sz w:val="24"/>
                <w:szCs w:val="24"/>
                <w:u w:val="none" w:color="auto"/>
              </w:rPr>
              <w:t xml:space="preserve"> </w:t>
            </w:r>
            <w:r>
              <w:rPr>
                <w:rFonts w:ascii="宋体" w:hAnsi="宋体" w:eastAsia="宋体" w:cs="宋体"/>
                <w:color w:val="auto"/>
                <w:spacing w:val="-2"/>
                <w:sz w:val="24"/>
                <w:szCs w:val="24"/>
                <w:u w:val="none" w:color="auto"/>
              </w:rPr>
              <w:t>时，可使用</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2"/>
                <w:sz w:val="24"/>
                <w:szCs w:val="24"/>
                <w:u w:val="none" w:color="auto"/>
              </w:rPr>
              <w:t>200m</w:t>
            </w:r>
            <w:r>
              <w:rPr>
                <w:rFonts w:ascii="Times New Roman" w:hAnsi="Times New Roman" w:eastAsia="Times New Roman" w:cs="Times New Roman"/>
                <w:color w:val="auto"/>
                <w:spacing w:val="30"/>
                <w:sz w:val="24"/>
                <w:szCs w:val="24"/>
                <w:u w:val="none" w:color="auto"/>
              </w:rPr>
              <w:t xml:space="preserve"> </w:t>
            </w:r>
            <w:r>
              <w:rPr>
                <w:rFonts w:ascii="宋体" w:hAnsi="宋体" w:eastAsia="宋体" w:cs="宋体"/>
                <w:color w:val="auto"/>
                <w:spacing w:val="-2"/>
                <w:sz w:val="24"/>
                <w:szCs w:val="24"/>
                <w:u w:val="none" w:color="auto"/>
              </w:rPr>
              <w:t>的衰减值。</w:t>
            </w:r>
          </w:p>
          <w:p w14:paraId="521DE2E5">
            <w:pPr>
              <w:spacing w:before="1" w:line="226" w:lineRule="auto"/>
              <w:ind w:left="2043"/>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1"/>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10</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倍频带噪声通过林带传播时产生的衰减</w:t>
            </w:r>
          </w:p>
          <w:p w14:paraId="4BDD7333">
            <w:pPr>
              <w:spacing w:line="14" w:lineRule="exact"/>
              <w:rPr>
                <w:color w:val="auto"/>
                <w:u w:val="none" w:color="auto"/>
              </w:rPr>
            </w:pPr>
          </w:p>
          <w:tbl>
            <w:tblPr>
              <w:tblStyle w:val="72"/>
              <w:tblW w:w="80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88"/>
              <w:gridCol w:w="1421"/>
              <w:gridCol w:w="686"/>
              <w:gridCol w:w="685"/>
              <w:gridCol w:w="686"/>
              <w:gridCol w:w="686"/>
              <w:gridCol w:w="686"/>
              <w:gridCol w:w="686"/>
              <w:gridCol w:w="686"/>
              <w:gridCol w:w="708"/>
            </w:tblGrid>
            <w:tr w14:paraId="1E66B4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1088" w:type="dxa"/>
                  <w:vMerge w:val="restart"/>
                  <w:tcBorders>
                    <w:tl2br w:val="nil"/>
                    <w:tr2bl w:val="nil"/>
                  </w:tcBorders>
                  <w:vAlign w:val="center"/>
                </w:tcPr>
                <w:p w14:paraId="067F162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3"/>
                      <w:sz w:val="20"/>
                      <w:szCs w:val="20"/>
                      <w:u w:val="none" w:color="auto"/>
                    </w:rPr>
                    <w:t>项目</w:t>
                  </w:r>
                </w:p>
              </w:tc>
              <w:tc>
                <w:tcPr>
                  <w:tcW w:w="1421" w:type="dxa"/>
                  <w:vMerge w:val="restart"/>
                  <w:tcBorders>
                    <w:tl2br w:val="nil"/>
                    <w:tr2bl w:val="nil"/>
                  </w:tcBorders>
                  <w:vAlign w:val="center"/>
                </w:tcPr>
                <w:p w14:paraId="79E830F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1"/>
                      <w:sz w:val="20"/>
                      <w:szCs w:val="20"/>
                      <w:u w:val="none" w:color="auto"/>
                    </w:rPr>
                    <w:t>传播距离（</w:t>
                  </w:r>
                  <w:r>
                    <w:rPr>
                      <w:rFonts w:ascii="Times New Roman" w:hAnsi="Times New Roman" w:eastAsia="Times New Roman" w:cs="Times New Roman"/>
                      <w:color w:val="auto"/>
                      <w:spacing w:val="-1"/>
                      <w:sz w:val="20"/>
                      <w:szCs w:val="20"/>
                      <w:u w:val="none" w:color="auto"/>
                    </w:rPr>
                    <w:t>m</w:t>
                  </w:r>
                  <w:r>
                    <w:rPr>
                      <w:color w:val="auto"/>
                      <w:spacing w:val="-1"/>
                      <w:sz w:val="20"/>
                      <w:szCs w:val="20"/>
                      <w:u w:val="none" w:color="auto"/>
                    </w:rPr>
                    <w:t>）</w:t>
                  </w:r>
                </w:p>
              </w:tc>
              <w:tc>
                <w:tcPr>
                  <w:tcW w:w="5509" w:type="dxa"/>
                  <w:gridSpan w:val="8"/>
                  <w:tcBorders>
                    <w:tl2br w:val="nil"/>
                    <w:tr2bl w:val="nil"/>
                  </w:tcBorders>
                  <w:vAlign w:val="center"/>
                </w:tcPr>
                <w:p w14:paraId="484F583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9"/>
                      <w:sz w:val="20"/>
                      <w:szCs w:val="20"/>
                      <w:u w:val="none" w:color="auto"/>
                    </w:rPr>
                    <w:t>倍频带中心频率（</w:t>
                  </w:r>
                  <w:r>
                    <w:rPr>
                      <w:rFonts w:ascii="Times New Roman" w:hAnsi="Times New Roman" w:eastAsia="Times New Roman" w:cs="Times New Roman"/>
                      <w:color w:val="auto"/>
                      <w:sz w:val="20"/>
                      <w:szCs w:val="20"/>
                      <w:u w:val="none" w:color="auto"/>
                    </w:rPr>
                    <w:t>Hz</w:t>
                  </w:r>
                  <w:r>
                    <w:rPr>
                      <w:color w:val="auto"/>
                      <w:spacing w:val="9"/>
                      <w:sz w:val="20"/>
                      <w:szCs w:val="20"/>
                      <w:u w:val="none" w:color="auto"/>
                    </w:rPr>
                    <w:t>）</w:t>
                  </w:r>
                </w:p>
              </w:tc>
            </w:tr>
            <w:tr w14:paraId="08B8AB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088" w:type="dxa"/>
                  <w:vMerge w:val="continue"/>
                  <w:tcBorders>
                    <w:tl2br w:val="nil"/>
                    <w:tr2bl w:val="nil"/>
                  </w:tcBorders>
                  <w:vAlign w:val="center"/>
                </w:tcPr>
                <w:p w14:paraId="7823E7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421" w:type="dxa"/>
                  <w:vMerge w:val="continue"/>
                  <w:tcBorders>
                    <w:tl2br w:val="nil"/>
                    <w:tr2bl w:val="nil"/>
                  </w:tcBorders>
                  <w:vAlign w:val="center"/>
                </w:tcPr>
                <w:p w14:paraId="37171D0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686" w:type="dxa"/>
                  <w:tcBorders>
                    <w:tl2br w:val="nil"/>
                    <w:tr2bl w:val="nil"/>
                  </w:tcBorders>
                  <w:vAlign w:val="center"/>
                </w:tcPr>
                <w:p w14:paraId="3A83471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63</w:t>
                  </w:r>
                </w:p>
              </w:tc>
              <w:tc>
                <w:tcPr>
                  <w:tcW w:w="685" w:type="dxa"/>
                  <w:tcBorders>
                    <w:tl2br w:val="nil"/>
                    <w:tr2bl w:val="nil"/>
                  </w:tcBorders>
                  <w:vAlign w:val="center"/>
                </w:tcPr>
                <w:p w14:paraId="5F2C182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125</w:t>
                  </w:r>
                </w:p>
              </w:tc>
              <w:tc>
                <w:tcPr>
                  <w:tcW w:w="686" w:type="dxa"/>
                  <w:tcBorders>
                    <w:tl2br w:val="nil"/>
                    <w:tr2bl w:val="nil"/>
                  </w:tcBorders>
                  <w:vAlign w:val="center"/>
                </w:tcPr>
                <w:p w14:paraId="4E9CAA9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250</w:t>
                  </w:r>
                </w:p>
              </w:tc>
              <w:tc>
                <w:tcPr>
                  <w:tcW w:w="686" w:type="dxa"/>
                  <w:tcBorders>
                    <w:tl2br w:val="nil"/>
                    <w:tr2bl w:val="nil"/>
                  </w:tcBorders>
                  <w:vAlign w:val="center"/>
                </w:tcPr>
                <w:p w14:paraId="348FAC2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500</w:t>
                  </w:r>
                </w:p>
              </w:tc>
              <w:tc>
                <w:tcPr>
                  <w:tcW w:w="686" w:type="dxa"/>
                  <w:tcBorders>
                    <w:tl2br w:val="nil"/>
                    <w:tr2bl w:val="nil"/>
                  </w:tcBorders>
                  <w:vAlign w:val="center"/>
                </w:tcPr>
                <w:p w14:paraId="57DDAD1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1000</w:t>
                  </w:r>
                </w:p>
              </w:tc>
              <w:tc>
                <w:tcPr>
                  <w:tcW w:w="686" w:type="dxa"/>
                  <w:tcBorders>
                    <w:tl2br w:val="nil"/>
                    <w:tr2bl w:val="nil"/>
                  </w:tcBorders>
                  <w:vAlign w:val="center"/>
                </w:tcPr>
                <w:p w14:paraId="0A1BB8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2000</w:t>
                  </w:r>
                </w:p>
              </w:tc>
              <w:tc>
                <w:tcPr>
                  <w:tcW w:w="686" w:type="dxa"/>
                  <w:tcBorders>
                    <w:tl2br w:val="nil"/>
                    <w:tr2bl w:val="nil"/>
                  </w:tcBorders>
                  <w:vAlign w:val="center"/>
                </w:tcPr>
                <w:p w14:paraId="53ECD03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4000</w:t>
                  </w:r>
                </w:p>
              </w:tc>
              <w:tc>
                <w:tcPr>
                  <w:tcW w:w="708" w:type="dxa"/>
                  <w:tcBorders>
                    <w:tl2br w:val="nil"/>
                    <w:tr2bl w:val="nil"/>
                  </w:tcBorders>
                  <w:vAlign w:val="center"/>
                </w:tcPr>
                <w:p w14:paraId="2F0258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8000</w:t>
                  </w:r>
                </w:p>
              </w:tc>
            </w:tr>
            <w:tr w14:paraId="52D96E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088" w:type="dxa"/>
                  <w:tcBorders>
                    <w:tl2br w:val="nil"/>
                    <w:tr2bl w:val="nil"/>
                  </w:tcBorders>
                  <w:vAlign w:val="center"/>
                </w:tcPr>
                <w:p w14:paraId="31CC068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8"/>
                      <w:sz w:val="20"/>
                      <w:szCs w:val="20"/>
                      <w:u w:val="none" w:color="auto"/>
                    </w:rPr>
                    <w:t>衰减（</w:t>
                  </w:r>
                  <w:r>
                    <w:rPr>
                      <w:rFonts w:ascii="Times New Roman" w:hAnsi="Times New Roman" w:eastAsia="Times New Roman" w:cs="Times New Roman"/>
                      <w:color w:val="auto"/>
                      <w:spacing w:val="-8"/>
                      <w:sz w:val="20"/>
                      <w:szCs w:val="20"/>
                      <w:u w:val="none" w:color="auto"/>
                    </w:rPr>
                    <w:t>dB</w:t>
                  </w:r>
                  <w:r>
                    <w:rPr>
                      <w:color w:val="auto"/>
                      <w:spacing w:val="-8"/>
                      <w:sz w:val="20"/>
                      <w:szCs w:val="20"/>
                      <w:u w:val="none" w:color="auto"/>
                    </w:rPr>
                    <w:t>）</w:t>
                  </w:r>
                </w:p>
              </w:tc>
              <w:tc>
                <w:tcPr>
                  <w:tcW w:w="1421" w:type="dxa"/>
                  <w:tcBorders>
                    <w:tl2br w:val="nil"/>
                    <w:tr2bl w:val="nil"/>
                  </w:tcBorders>
                  <w:vAlign w:val="center"/>
                </w:tcPr>
                <w:p w14:paraId="086C15DB">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10≤</w:t>
                  </w:r>
                  <w:r>
                    <w:rPr>
                      <w:rFonts w:ascii="Times New Roman" w:hAnsi="Times New Roman" w:eastAsia="Times New Roman" w:cs="Times New Roman"/>
                      <w:color w:val="auto"/>
                      <w:sz w:val="20"/>
                      <w:szCs w:val="20"/>
                      <w:u w:val="none" w:color="auto"/>
                    </w:rPr>
                    <w:t>df</w:t>
                  </w:r>
                  <w:r>
                    <w:rPr>
                      <w:color w:val="auto"/>
                      <w:spacing w:val="3"/>
                      <w:sz w:val="20"/>
                      <w:szCs w:val="20"/>
                      <w:u w:val="none" w:color="auto"/>
                    </w:rPr>
                    <w:t>＜</w:t>
                  </w:r>
                  <w:r>
                    <w:rPr>
                      <w:rFonts w:ascii="Times New Roman" w:hAnsi="Times New Roman" w:eastAsia="Times New Roman" w:cs="Times New Roman"/>
                      <w:color w:val="auto"/>
                      <w:spacing w:val="3"/>
                      <w:sz w:val="20"/>
                      <w:szCs w:val="20"/>
                      <w:u w:val="none" w:color="auto"/>
                    </w:rPr>
                    <w:t>20</w:t>
                  </w:r>
                </w:p>
              </w:tc>
              <w:tc>
                <w:tcPr>
                  <w:tcW w:w="686" w:type="dxa"/>
                  <w:tcBorders>
                    <w:tl2br w:val="nil"/>
                    <w:tr2bl w:val="nil"/>
                  </w:tcBorders>
                  <w:vAlign w:val="center"/>
                </w:tcPr>
                <w:p w14:paraId="49ADA2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685" w:type="dxa"/>
                  <w:tcBorders>
                    <w:tl2br w:val="nil"/>
                    <w:tr2bl w:val="nil"/>
                  </w:tcBorders>
                  <w:vAlign w:val="center"/>
                </w:tcPr>
                <w:p w14:paraId="6422EED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686" w:type="dxa"/>
                  <w:tcBorders>
                    <w:tl2br w:val="nil"/>
                    <w:tr2bl w:val="nil"/>
                  </w:tcBorders>
                  <w:vAlign w:val="center"/>
                </w:tcPr>
                <w:p w14:paraId="3A8943B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686" w:type="dxa"/>
                  <w:tcBorders>
                    <w:tl2br w:val="nil"/>
                    <w:tr2bl w:val="nil"/>
                  </w:tcBorders>
                  <w:vAlign w:val="center"/>
                </w:tcPr>
                <w:p w14:paraId="3361862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686" w:type="dxa"/>
                  <w:tcBorders>
                    <w:tl2br w:val="nil"/>
                    <w:tr2bl w:val="nil"/>
                  </w:tcBorders>
                  <w:vAlign w:val="center"/>
                </w:tcPr>
                <w:p w14:paraId="005A41D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686" w:type="dxa"/>
                  <w:tcBorders>
                    <w:tl2br w:val="nil"/>
                    <w:tr2bl w:val="nil"/>
                  </w:tcBorders>
                  <w:vAlign w:val="center"/>
                </w:tcPr>
                <w:p w14:paraId="212F454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686" w:type="dxa"/>
                  <w:tcBorders>
                    <w:tl2br w:val="nil"/>
                    <w:tr2bl w:val="nil"/>
                  </w:tcBorders>
                  <w:vAlign w:val="center"/>
                </w:tcPr>
                <w:p w14:paraId="038C31A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2</w:t>
                  </w:r>
                </w:p>
              </w:tc>
              <w:tc>
                <w:tcPr>
                  <w:tcW w:w="708" w:type="dxa"/>
                  <w:tcBorders>
                    <w:tl2br w:val="nil"/>
                    <w:tr2bl w:val="nil"/>
                  </w:tcBorders>
                  <w:vAlign w:val="center"/>
                </w:tcPr>
                <w:p w14:paraId="7C2289A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w:t>
                  </w:r>
                </w:p>
              </w:tc>
            </w:tr>
            <w:tr w14:paraId="634578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1088" w:type="dxa"/>
                  <w:tcBorders>
                    <w:tl2br w:val="nil"/>
                    <w:tr2bl w:val="nil"/>
                  </w:tcBorders>
                  <w:vAlign w:val="center"/>
                </w:tcPr>
                <w:p w14:paraId="61E8F6A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7"/>
                      <w:sz w:val="20"/>
                      <w:szCs w:val="20"/>
                      <w:u w:val="none" w:color="auto"/>
                    </w:rPr>
                    <w:t>衰减系数</w:t>
                  </w:r>
                  <w:r>
                    <w:rPr>
                      <w:color w:val="auto"/>
                      <w:spacing w:val="1"/>
                      <w:sz w:val="20"/>
                      <w:szCs w:val="20"/>
                      <w:u w:val="none" w:color="auto"/>
                    </w:rPr>
                    <w:t>（</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1"/>
                      <w:sz w:val="20"/>
                      <w:szCs w:val="20"/>
                      <w:u w:val="none" w:color="auto"/>
                    </w:rPr>
                    <w:t>/m</w:t>
                  </w:r>
                  <w:r>
                    <w:rPr>
                      <w:color w:val="auto"/>
                      <w:spacing w:val="1"/>
                      <w:sz w:val="20"/>
                      <w:szCs w:val="20"/>
                      <w:u w:val="none" w:color="auto"/>
                    </w:rPr>
                    <w:t>）</w:t>
                  </w:r>
                </w:p>
              </w:tc>
              <w:tc>
                <w:tcPr>
                  <w:tcW w:w="1421" w:type="dxa"/>
                  <w:tcBorders>
                    <w:tl2br w:val="nil"/>
                    <w:tr2bl w:val="nil"/>
                  </w:tcBorders>
                  <w:vAlign w:val="center"/>
                </w:tcPr>
                <w:p w14:paraId="68C5DA22">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6"/>
                      <w:sz w:val="20"/>
                      <w:szCs w:val="20"/>
                      <w:u w:val="none" w:color="auto"/>
                    </w:rPr>
                    <w:t>20≤</w:t>
                  </w:r>
                  <w:r>
                    <w:rPr>
                      <w:rFonts w:ascii="Times New Roman" w:hAnsi="Times New Roman" w:eastAsia="Times New Roman" w:cs="Times New Roman"/>
                      <w:color w:val="auto"/>
                      <w:sz w:val="20"/>
                      <w:szCs w:val="20"/>
                      <w:u w:val="none" w:color="auto"/>
                    </w:rPr>
                    <w:t>df</w:t>
                  </w:r>
                  <w:r>
                    <w:rPr>
                      <w:color w:val="auto"/>
                      <w:spacing w:val="6"/>
                      <w:sz w:val="20"/>
                      <w:szCs w:val="20"/>
                      <w:u w:val="none" w:color="auto"/>
                    </w:rPr>
                    <w:t>＜</w:t>
                  </w:r>
                  <w:r>
                    <w:rPr>
                      <w:rFonts w:ascii="Times New Roman" w:hAnsi="Times New Roman" w:eastAsia="Times New Roman" w:cs="Times New Roman"/>
                      <w:color w:val="auto"/>
                      <w:spacing w:val="6"/>
                      <w:sz w:val="20"/>
                      <w:szCs w:val="20"/>
                      <w:u w:val="none" w:color="auto"/>
                    </w:rPr>
                    <w:t>200</w:t>
                  </w:r>
                </w:p>
              </w:tc>
              <w:tc>
                <w:tcPr>
                  <w:tcW w:w="686" w:type="dxa"/>
                  <w:tcBorders>
                    <w:tl2br w:val="nil"/>
                    <w:tr2bl w:val="nil"/>
                  </w:tcBorders>
                  <w:vAlign w:val="center"/>
                </w:tcPr>
                <w:p w14:paraId="6B74AA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0.02</w:t>
                  </w:r>
                </w:p>
              </w:tc>
              <w:tc>
                <w:tcPr>
                  <w:tcW w:w="685" w:type="dxa"/>
                  <w:tcBorders>
                    <w:tl2br w:val="nil"/>
                    <w:tr2bl w:val="nil"/>
                  </w:tcBorders>
                  <w:vAlign w:val="center"/>
                </w:tcPr>
                <w:p w14:paraId="1AFBBC5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0.03</w:t>
                  </w:r>
                </w:p>
              </w:tc>
              <w:tc>
                <w:tcPr>
                  <w:tcW w:w="686" w:type="dxa"/>
                  <w:tcBorders>
                    <w:tl2br w:val="nil"/>
                    <w:tr2bl w:val="nil"/>
                  </w:tcBorders>
                  <w:vAlign w:val="center"/>
                </w:tcPr>
                <w:p w14:paraId="3733F02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0.04</w:t>
                  </w:r>
                </w:p>
              </w:tc>
              <w:tc>
                <w:tcPr>
                  <w:tcW w:w="686" w:type="dxa"/>
                  <w:tcBorders>
                    <w:tl2br w:val="nil"/>
                    <w:tr2bl w:val="nil"/>
                  </w:tcBorders>
                  <w:vAlign w:val="center"/>
                </w:tcPr>
                <w:p w14:paraId="76EA19F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0.05</w:t>
                  </w:r>
                </w:p>
              </w:tc>
              <w:tc>
                <w:tcPr>
                  <w:tcW w:w="686" w:type="dxa"/>
                  <w:tcBorders>
                    <w:tl2br w:val="nil"/>
                    <w:tr2bl w:val="nil"/>
                  </w:tcBorders>
                  <w:vAlign w:val="center"/>
                </w:tcPr>
                <w:p w14:paraId="7B8A296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0.06</w:t>
                  </w:r>
                </w:p>
              </w:tc>
              <w:tc>
                <w:tcPr>
                  <w:tcW w:w="686" w:type="dxa"/>
                  <w:tcBorders>
                    <w:tl2br w:val="nil"/>
                    <w:tr2bl w:val="nil"/>
                  </w:tcBorders>
                  <w:vAlign w:val="center"/>
                </w:tcPr>
                <w:p w14:paraId="1DBAB58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0.08</w:t>
                  </w:r>
                </w:p>
              </w:tc>
              <w:tc>
                <w:tcPr>
                  <w:tcW w:w="686" w:type="dxa"/>
                  <w:tcBorders>
                    <w:tl2br w:val="nil"/>
                    <w:tr2bl w:val="nil"/>
                  </w:tcBorders>
                  <w:vAlign w:val="center"/>
                </w:tcPr>
                <w:p w14:paraId="2A9B30B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0.09</w:t>
                  </w:r>
                </w:p>
              </w:tc>
              <w:tc>
                <w:tcPr>
                  <w:tcW w:w="708" w:type="dxa"/>
                  <w:tcBorders>
                    <w:tl2br w:val="nil"/>
                    <w:tr2bl w:val="nil"/>
                  </w:tcBorders>
                  <w:vAlign w:val="center"/>
                </w:tcPr>
                <w:p w14:paraId="5920CA8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0.</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4"/>
                      <w:sz w:val="20"/>
                      <w:szCs w:val="20"/>
                      <w:u w:val="none" w:color="auto"/>
                    </w:rPr>
                    <w:t>12</w:t>
                  </w:r>
                </w:p>
              </w:tc>
            </w:tr>
          </w:tbl>
          <w:p w14:paraId="6E8DDCC2">
            <w:pPr>
              <w:spacing w:before="116" w:line="217" w:lineRule="auto"/>
              <w:ind w:left="538"/>
              <w:rPr>
                <w:rFonts w:ascii="宋体" w:hAnsi="宋体" w:eastAsia="宋体" w:cs="宋体"/>
                <w:color w:val="auto"/>
                <w:sz w:val="24"/>
                <w:szCs w:val="24"/>
                <w:u w:val="none" w:color="auto"/>
              </w:rPr>
            </w:pPr>
            <w:r>
              <w:rPr>
                <w:rFonts w:ascii="宋体" w:hAnsi="宋体" w:eastAsia="宋体" w:cs="宋体"/>
                <w:color w:val="auto"/>
                <w:sz w:val="24"/>
                <w:szCs w:val="24"/>
                <w:u w:val="none" w:color="auto"/>
              </w:rPr>
              <w:t>②空气吸收引起的衰减（</w:t>
            </w: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atm</w:t>
            </w:r>
            <w:r>
              <w:rPr>
                <w:rFonts w:ascii="宋体" w:hAnsi="宋体" w:eastAsia="宋体" w:cs="宋体"/>
                <w:color w:val="auto"/>
                <w:sz w:val="24"/>
                <w:szCs w:val="24"/>
                <w:u w:val="none" w:color="auto"/>
              </w:rPr>
              <w:t>）</w:t>
            </w:r>
          </w:p>
          <w:p w14:paraId="621CC02B">
            <w:pPr>
              <w:spacing w:before="187" w:line="219" w:lineRule="auto"/>
              <w:ind w:left="548"/>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空气吸收引起的衰减按下式计算：</w:t>
            </w:r>
          </w:p>
          <w:p w14:paraId="2BD081FB">
            <w:pPr>
              <w:spacing w:before="181" w:line="1018" w:lineRule="exact"/>
              <w:ind w:firstLine="2974"/>
              <w:rPr>
                <w:color w:val="auto"/>
                <w:u w:val="none" w:color="auto"/>
              </w:rPr>
            </w:pPr>
            <w:r>
              <w:rPr>
                <w:color w:val="auto"/>
                <w:position w:val="-20"/>
                <w:u w:val="none" w:color="auto"/>
              </w:rPr>
              <w:drawing>
                <wp:inline distT="0" distB="0" distL="0" distR="0">
                  <wp:extent cx="1551305" cy="645795"/>
                  <wp:effectExtent l="0" t="0" r="10795" b="1905"/>
                  <wp:docPr id="139" name="IM 82"/>
                  <wp:cNvGraphicFramePr/>
                  <a:graphic xmlns:a="http://schemas.openxmlformats.org/drawingml/2006/main">
                    <a:graphicData uri="http://schemas.openxmlformats.org/drawingml/2006/picture">
                      <pic:pic xmlns:pic="http://schemas.openxmlformats.org/drawingml/2006/picture">
                        <pic:nvPicPr>
                          <pic:cNvPr id="139" name="IM 82"/>
                          <pic:cNvPicPr/>
                        </pic:nvPicPr>
                        <pic:blipFill>
                          <a:blip r:embed="rId46"/>
                          <a:stretch>
                            <a:fillRect/>
                          </a:stretch>
                        </pic:blipFill>
                        <pic:spPr>
                          <a:xfrm>
                            <a:off x="0" y="0"/>
                            <a:ext cx="1551432" cy="646176"/>
                          </a:xfrm>
                          <a:prstGeom prst="rect">
                            <a:avLst/>
                          </a:prstGeom>
                        </pic:spPr>
                      </pic:pic>
                    </a:graphicData>
                  </a:graphic>
                </wp:inline>
              </w:drawing>
            </w:r>
          </w:p>
          <w:p w14:paraId="7424E751">
            <w:pPr>
              <w:spacing w:before="232" w:line="219" w:lineRule="auto"/>
              <w:ind w:left="545"/>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式中：</w:t>
            </w:r>
            <w:r>
              <w:rPr>
                <w:rFonts w:ascii="Times New Roman" w:hAnsi="Times New Roman" w:eastAsia="Times New Roman" w:cs="Times New Roman"/>
                <w:color w:val="auto"/>
                <w:spacing w:val="-1"/>
                <w:sz w:val="24"/>
                <w:szCs w:val="24"/>
                <w:u w:val="none" w:color="auto"/>
              </w:rPr>
              <w:t xml:space="preserve">a </w:t>
            </w:r>
            <w:r>
              <w:rPr>
                <w:rFonts w:ascii="宋体" w:hAnsi="宋体" w:eastAsia="宋体" w:cs="宋体"/>
                <w:color w:val="auto"/>
                <w:spacing w:val="-1"/>
                <w:sz w:val="24"/>
                <w:szCs w:val="24"/>
                <w:u w:val="none" w:color="auto"/>
              </w:rPr>
              <w:t>为温度、湿度和声波频率的函数，预测计算中一般根据建设项</w:t>
            </w:r>
            <w:r>
              <w:rPr>
                <w:rFonts w:ascii="宋体" w:hAnsi="宋体" w:eastAsia="宋体" w:cs="宋体"/>
                <w:color w:val="auto"/>
                <w:spacing w:val="-2"/>
                <w:sz w:val="24"/>
                <w:szCs w:val="24"/>
                <w:u w:val="none" w:color="auto"/>
              </w:rPr>
              <w:t>目所</w:t>
            </w:r>
          </w:p>
          <w:p w14:paraId="76765EA6">
            <w:pPr>
              <w:spacing w:before="183" w:line="219" w:lineRule="auto"/>
              <w:ind w:left="65"/>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处区域常年平均气温和湿度选择相应的空气吸收系数，见下表：</w:t>
            </w:r>
          </w:p>
          <w:p w14:paraId="40E3B869">
            <w:pPr>
              <w:spacing w:before="118" w:line="228" w:lineRule="auto"/>
              <w:ind w:left="2281"/>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42"/>
                <w:sz w:val="20"/>
                <w:szCs w:val="20"/>
                <w:u w:val="none" w:color="auto"/>
              </w:rPr>
              <w:t xml:space="preserve"> </w:t>
            </w:r>
            <w:r>
              <w:rPr>
                <w:rFonts w:ascii="Times New Roman" w:hAnsi="Times New Roman" w:eastAsia="Times New Roman" w:cs="Times New Roman"/>
                <w:b/>
                <w:bCs/>
                <w:color w:val="auto"/>
                <w:spacing w:val="6"/>
                <w:sz w:val="20"/>
                <w:szCs w:val="20"/>
                <w:u w:val="none" w:color="auto"/>
              </w:rPr>
              <w:t>4-</w:t>
            </w:r>
            <w:r>
              <w:rPr>
                <w:rFonts w:hint="eastAsia" w:eastAsia="宋体" w:cs="Times New Roman"/>
                <w:b/>
                <w:bCs/>
                <w:color w:val="auto"/>
                <w:spacing w:val="6"/>
                <w:sz w:val="20"/>
                <w:szCs w:val="20"/>
                <w:u w:val="none" w:color="auto"/>
                <w:lang w:val="en-US" w:eastAsia="zh-CN"/>
              </w:rPr>
              <w:t>11</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倍频带噪声的大气吸收衰减系数</w:t>
            </w:r>
            <w:r>
              <w:rPr>
                <w:rFonts w:ascii="宋体" w:hAnsi="宋体" w:eastAsia="宋体" w:cs="宋体"/>
                <w:color w:val="auto"/>
                <w:spacing w:val="-38"/>
                <w:sz w:val="20"/>
                <w:szCs w:val="20"/>
                <w:u w:val="none" w:color="auto"/>
              </w:rPr>
              <w:t xml:space="preserve"> </w:t>
            </w:r>
            <w:r>
              <w:rPr>
                <w:rFonts w:ascii="Times New Roman" w:hAnsi="Times New Roman" w:eastAsia="Times New Roman" w:cs="Times New Roman"/>
                <w:b/>
                <w:bCs/>
                <w:color w:val="auto"/>
                <w:spacing w:val="6"/>
                <w:sz w:val="20"/>
                <w:szCs w:val="20"/>
                <w:u w:val="none" w:color="auto"/>
              </w:rPr>
              <w:t>a</w:t>
            </w:r>
          </w:p>
          <w:p w14:paraId="2CA04633">
            <w:pPr>
              <w:spacing w:line="15" w:lineRule="exact"/>
              <w:rPr>
                <w:color w:val="auto"/>
                <w:u w:val="none" w:color="auto"/>
              </w:rPr>
            </w:pPr>
          </w:p>
          <w:tbl>
            <w:tblPr>
              <w:tblStyle w:val="72"/>
              <w:tblW w:w="7918"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50"/>
              <w:gridCol w:w="1257"/>
              <w:gridCol w:w="711"/>
              <w:gridCol w:w="712"/>
              <w:gridCol w:w="711"/>
              <w:gridCol w:w="712"/>
              <w:gridCol w:w="712"/>
              <w:gridCol w:w="712"/>
              <w:gridCol w:w="712"/>
              <w:gridCol w:w="729"/>
            </w:tblGrid>
            <w:tr w14:paraId="1CDAEF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50" w:type="dxa"/>
                  <w:vMerge w:val="restart"/>
                  <w:tcBorders>
                    <w:tl2br w:val="nil"/>
                    <w:tr2bl w:val="nil"/>
                  </w:tcBorders>
                  <w:vAlign w:val="top"/>
                </w:tcPr>
                <w:p w14:paraId="4465C36E">
                  <w:pPr>
                    <w:spacing w:line="311" w:lineRule="auto"/>
                    <w:rPr>
                      <w:rFonts w:ascii="Arial"/>
                      <w:color w:val="auto"/>
                      <w:sz w:val="21"/>
                      <w:u w:val="none" w:color="auto"/>
                    </w:rPr>
                  </w:pPr>
                </w:p>
                <w:p w14:paraId="6515C52B">
                  <w:pPr>
                    <w:pStyle w:val="81"/>
                    <w:spacing w:before="65" w:line="228" w:lineRule="auto"/>
                    <w:ind w:left="180"/>
                    <w:rPr>
                      <w:rFonts w:ascii="Times New Roman" w:hAnsi="Times New Roman" w:eastAsia="Times New Roman" w:cs="Times New Roman"/>
                      <w:color w:val="auto"/>
                      <w:sz w:val="20"/>
                      <w:szCs w:val="20"/>
                      <w:u w:val="none" w:color="auto"/>
                    </w:rPr>
                  </w:pPr>
                  <w:r>
                    <w:rPr>
                      <w:color w:val="auto"/>
                      <w:spacing w:val="6"/>
                      <w:sz w:val="20"/>
                      <w:szCs w:val="20"/>
                      <w:u w:val="none" w:color="auto"/>
                    </w:rPr>
                    <w:t>温度</w:t>
                  </w:r>
                  <w:r>
                    <w:rPr>
                      <w:rFonts w:ascii="Times New Roman" w:hAnsi="Times New Roman" w:eastAsia="Times New Roman" w:cs="Times New Roman"/>
                      <w:color w:val="auto"/>
                      <w:spacing w:val="6"/>
                      <w:sz w:val="20"/>
                      <w:szCs w:val="20"/>
                      <w:u w:val="none" w:color="auto"/>
                    </w:rPr>
                    <w:t>℃</w:t>
                  </w:r>
                </w:p>
              </w:tc>
              <w:tc>
                <w:tcPr>
                  <w:tcW w:w="1257" w:type="dxa"/>
                  <w:vMerge w:val="restart"/>
                  <w:tcBorders>
                    <w:tl2br w:val="nil"/>
                    <w:tr2bl w:val="nil"/>
                  </w:tcBorders>
                  <w:vAlign w:val="top"/>
                </w:tcPr>
                <w:p w14:paraId="214D7DBF">
                  <w:pPr>
                    <w:spacing w:line="311" w:lineRule="auto"/>
                    <w:rPr>
                      <w:rFonts w:ascii="Arial"/>
                      <w:color w:val="auto"/>
                      <w:sz w:val="21"/>
                      <w:u w:val="none" w:color="auto"/>
                    </w:rPr>
                  </w:pPr>
                </w:p>
                <w:p w14:paraId="6F67A1C9">
                  <w:pPr>
                    <w:pStyle w:val="81"/>
                    <w:spacing w:before="65" w:line="228" w:lineRule="auto"/>
                    <w:ind w:left="156"/>
                    <w:rPr>
                      <w:rFonts w:ascii="Times New Roman" w:hAnsi="Times New Roman" w:eastAsia="Times New Roman" w:cs="Times New Roman"/>
                      <w:color w:val="auto"/>
                      <w:sz w:val="20"/>
                      <w:szCs w:val="20"/>
                      <w:u w:val="none" w:color="auto"/>
                    </w:rPr>
                  </w:pPr>
                  <w:r>
                    <w:rPr>
                      <w:color w:val="auto"/>
                      <w:spacing w:val="7"/>
                      <w:sz w:val="20"/>
                      <w:szCs w:val="20"/>
                      <w:u w:val="none" w:color="auto"/>
                    </w:rPr>
                    <w:t>相对湿度</w:t>
                  </w:r>
                  <w:r>
                    <w:rPr>
                      <w:rFonts w:ascii="Times New Roman" w:hAnsi="Times New Roman" w:eastAsia="Times New Roman" w:cs="Times New Roman"/>
                      <w:color w:val="auto"/>
                      <w:spacing w:val="7"/>
                      <w:sz w:val="20"/>
                      <w:szCs w:val="20"/>
                      <w:u w:val="none" w:color="auto"/>
                    </w:rPr>
                    <w:t>%</w:t>
                  </w:r>
                </w:p>
              </w:tc>
              <w:tc>
                <w:tcPr>
                  <w:tcW w:w="5711" w:type="dxa"/>
                  <w:gridSpan w:val="8"/>
                  <w:tcBorders>
                    <w:tl2br w:val="nil"/>
                    <w:tr2bl w:val="nil"/>
                  </w:tcBorders>
                  <w:vAlign w:val="top"/>
                </w:tcPr>
                <w:p w14:paraId="471C05E5">
                  <w:pPr>
                    <w:pStyle w:val="81"/>
                    <w:spacing w:before="56" w:line="228" w:lineRule="auto"/>
                    <w:ind w:left="1722"/>
                    <w:rPr>
                      <w:rFonts w:ascii="Times New Roman" w:hAnsi="Times New Roman" w:eastAsia="Times New Roman" w:cs="Times New Roman"/>
                      <w:color w:val="auto"/>
                      <w:sz w:val="20"/>
                      <w:szCs w:val="20"/>
                      <w:u w:val="none" w:color="auto"/>
                    </w:rPr>
                  </w:pPr>
                  <w:r>
                    <w:rPr>
                      <w:color w:val="auto"/>
                      <w:spacing w:val="6"/>
                      <w:sz w:val="20"/>
                      <w:szCs w:val="20"/>
                      <w:u w:val="none" w:color="auto"/>
                    </w:rPr>
                    <w:t>大气吸收衰减系数</w:t>
                  </w:r>
                  <w:r>
                    <w:rPr>
                      <w:color w:val="auto"/>
                      <w:spacing w:val="-32"/>
                      <w:sz w:val="20"/>
                      <w:szCs w:val="20"/>
                      <w:u w:val="none" w:color="auto"/>
                    </w:rPr>
                    <w:t xml:space="preserve"> </w:t>
                  </w:r>
                  <w:r>
                    <w:rPr>
                      <w:rFonts w:ascii="Times New Roman" w:hAnsi="Times New Roman" w:eastAsia="Times New Roman" w:cs="Times New Roman"/>
                      <w:color w:val="auto"/>
                      <w:spacing w:val="6"/>
                      <w:sz w:val="20"/>
                      <w:szCs w:val="20"/>
                      <w:u w:val="none" w:color="auto"/>
                    </w:rPr>
                    <w:t>a</w:t>
                  </w:r>
                  <w:r>
                    <w:rPr>
                      <w:rFonts w:ascii="Times New Roman" w:hAnsi="Times New Roman" w:eastAsia="Times New Roman" w:cs="Times New Roman"/>
                      <w:color w:val="auto"/>
                      <w:spacing w:val="-24"/>
                      <w:sz w:val="20"/>
                      <w:szCs w:val="20"/>
                      <w:u w:val="none" w:color="auto"/>
                    </w:rPr>
                    <w:t xml:space="preserve"> </w:t>
                  </w:r>
                  <w:r>
                    <w:rPr>
                      <w:color w:val="auto"/>
                      <w:spacing w:val="6"/>
                      <w:sz w:val="20"/>
                      <w:szCs w:val="20"/>
                      <w:u w:val="none" w:color="auto"/>
                    </w:rPr>
                    <w:t>，</w:t>
                  </w:r>
                  <w:r>
                    <w:rPr>
                      <w:rFonts w:ascii="Times New Roman" w:hAnsi="Times New Roman" w:eastAsia="Times New Roman" w:cs="Times New Roman"/>
                      <w:color w:val="auto"/>
                      <w:sz w:val="20"/>
                      <w:szCs w:val="20"/>
                      <w:u w:val="none" w:color="auto"/>
                    </w:rPr>
                    <w:t>dB</w:t>
                  </w:r>
                  <w:r>
                    <w:rPr>
                      <w:rFonts w:ascii="Times New Roman" w:hAnsi="Times New Roman" w:eastAsia="Times New Roman" w:cs="Times New Roman"/>
                      <w:color w:val="auto"/>
                      <w:spacing w:val="6"/>
                      <w:sz w:val="20"/>
                      <w:szCs w:val="20"/>
                      <w:u w:val="none" w:color="auto"/>
                    </w:rPr>
                    <w:t>/</w:t>
                  </w:r>
                  <w:r>
                    <w:rPr>
                      <w:rFonts w:ascii="Times New Roman" w:hAnsi="Times New Roman" w:eastAsia="Times New Roman" w:cs="Times New Roman"/>
                      <w:color w:val="auto"/>
                      <w:sz w:val="20"/>
                      <w:szCs w:val="20"/>
                      <w:u w:val="none" w:color="auto"/>
                    </w:rPr>
                    <w:t>km</w:t>
                  </w:r>
                </w:p>
              </w:tc>
            </w:tr>
            <w:tr w14:paraId="1BB2BF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vMerge w:val="continue"/>
                  <w:tcBorders>
                    <w:tl2br w:val="nil"/>
                    <w:tr2bl w:val="nil"/>
                  </w:tcBorders>
                  <w:vAlign w:val="top"/>
                </w:tcPr>
                <w:p w14:paraId="2EF897A4">
                  <w:pPr>
                    <w:rPr>
                      <w:rFonts w:ascii="Arial"/>
                      <w:color w:val="auto"/>
                      <w:sz w:val="21"/>
                      <w:u w:val="none" w:color="auto"/>
                    </w:rPr>
                  </w:pPr>
                </w:p>
              </w:tc>
              <w:tc>
                <w:tcPr>
                  <w:tcW w:w="1257" w:type="dxa"/>
                  <w:vMerge w:val="continue"/>
                  <w:tcBorders>
                    <w:tl2br w:val="nil"/>
                    <w:tr2bl w:val="nil"/>
                  </w:tcBorders>
                  <w:vAlign w:val="top"/>
                </w:tcPr>
                <w:p w14:paraId="2A18E736">
                  <w:pPr>
                    <w:rPr>
                      <w:rFonts w:ascii="Arial"/>
                      <w:color w:val="auto"/>
                      <w:sz w:val="21"/>
                      <w:u w:val="none" w:color="auto"/>
                    </w:rPr>
                  </w:pPr>
                </w:p>
              </w:tc>
              <w:tc>
                <w:tcPr>
                  <w:tcW w:w="5711" w:type="dxa"/>
                  <w:gridSpan w:val="8"/>
                  <w:tcBorders>
                    <w:tl2br w:val="nil"/>
                    <w:tr2bl w:val="nil"/>
                  </w:tcBorders>
                  <w:vAlign w:val="top"/>
                </w:tcPr>
                <w:p w14:paraId="2765D5EF">
                  <w:pPr>
                    <w:pStyle w:val="81"/>
                    <w:spacing w:before="54" w:line="228" w:lineRule="auto"/>
                    <w:ind w:left="2140"/>
                    <w:rPr>
                      <w:rFonts w:ascii="Times New Roman" w:hAnsi="Times New Roman" w:eastAsia="Times New Roman" w:cs="Times New Roman"/>
                      <w:color w:val="auto"/>
                      <w:sz w:val="20"/>
                      <w:szCs w:val="20"/>
                      <w:u w:val="none" w:color="auto"/>
                    </w:rPr>
                  </w:pPr>
                  <w:r>
                    <w:rPr>
                      <w:color w:val="auto"/>
                      <w:spacing w:val="9"/>
                      <w:sz w:val="20"/>
                      <w:szCs w:val="20"/>
                      <w:u w:val="none" w:color="auto"/>
                    </w:rPr>
                    <w:t>倍频带中心频率</w:t>
                  </w:r>
                  <w:r>
                    <w:rPr>
                      <w:color w:val="auto"/>
                      <w:spacing w:val="-38"/>
                      <w:sz w:val="20"/>
                      <w:szCs w:val="20"/>
                      <w:u w:val="none" w:color="auto"/>
                    </w:rPr>
                    <w:t xml:space="preserve"> </w:t>
                  </w:r>
                  <w:r>
                    <w:rPr>
                      <w:rFonts w:ascii="Times New Roman" w:hAnsi="Times New Roman" w:eastAsia="Times New Roman" w:cs="Times New Roman"/>
                      <w:color w:val="auto"/>
                      <w:sz w:val="20"/>
                      <w:szCs w:val="20"/>
                      <w:u w:val="none" w:color="auto"/>
                    </w:rPr>
                    <w:t>Hz</w:t>
                  </w:r>
                </w:p>
              </w:tc>
            </w:tr>
            <w:tr w14:paraId="0BF132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vMerge w:val="continue"/>
                  <w:tcBorders>
                    <w:tl2br w:val="nil"/>
                    <w:tr2bl w:val="nil"/>
                  </w:tcBorders>
                  <w:vAlign w:val="top"/>
                </w:tcPr>
                <w:p w14:paraId="19812BDE">
                  <w:pPr>
                    <w:rPr>
                      <w:rFonts w:ascii="Arial"/>
                      <w:color w:val="auto"/>
                      <w:sz w:val="21"/>
                      <w:u w:val="none" w:color="auto"/>
                    </w:rPr>
                  </w:pPr>
                </w:p>
              </w:tc>
              <w:tc>
                <w:tcPr>
                  <w:tcW w:w="1257" w:type="dxa"/>
                  <w:vMerge w:val="continue"/>
                  <w:tcBorders>
                    <w:tl2br w:val="nil"/>
                    <w:tr2bl w:val="nil"/>
                  </w:tcBorders>
                  <w:vAlign w:val="top"/>
                </w:tcPr>
                <w:p w14:paraId="692D0A6A">
                  <w:pPr>
                    <w:rPr>
                      <w:rFonts w:ascii="Arial"/>
                      <w:color w:val="auto"/>
                      <w:sz w:val="21"/>
                      <w:u w:val="none" w:color="auto"/>
                    </w:rPr>
                  </w:pPr>
                </w:p>
              </w:tc>
              <w:tc>
                <w:tcPr>
                  <w:tcW w:w="711" w:type="dxa"/>
                  <w:tcBorders>
                    <w:tl2br w:val="nil"/>
                    <w:tr2bl w:val="nil"/>
                  </w:tcBorders>
                  <w:vAlign w:val="top"/>
                </w:tcPr>
                <w:p w14:paraId="42FEF6CA">
                  <w:pPr>
                    <w:spacing w:before="95" w:line="195" w:lineRule="auto"/>
                    <w:ind w:left="27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63</w:t>
                  </w:r>
                </w:p>
              </w:tc>
              <w:tc>
                <w:tcPr>
                  <w:tcW w:w="712" w:type="dxa"/>
                  <w:tcBorders>
                    <w:tl2br w:val="nil"/>
                    <w:tr2bl w:val="nil"/>
                  </w:tcBorders>
                  <w:vAlign w:val="top"/>
                </w:tcPr>
                <w:p w14:paraId="286A7DF5">
                  <w:pPr>
                    <w:spacing w:before="95" w:line="195" w:lineRule="auto"/>
                    <w:ind w:left="23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125</w:t>
                  </w:r>
                </w:p>
              </w:tc>
              <w:tc>
                <w:tcPr>
                  <w:tcW w:w="711" w:type="dxa"/>
                  <w:tcBorders>
                    <w:tl2br w:val="nil"/>
                    <w:tr2bl w:val="nil"/>
                  </w:tcBorders>
                  <w:vAlign w:val="top"/>
                </w:tcPr>
                <w:p w14:paraId="5C881DB7">
                  <w:pPr>
                    <w:spacing w:before="95" w:line="195" w:lineRule="auto"/>
                    <w:ind w:left="22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250</w:t>
                  </w:r>
                </w:p>
              </w:tc>
              <w:tc>
                <w:tcPr>
                  <w:tcW w:w="712" w:type="dxa"/>
                  <w:tcBorders>
                    <w:tl2br w:val="nil"/>
                    <w:tr2bl w:val="nil"/>
                  </w:tcBorders>
                  <w:vAlign w:val="top"/>
                </w:tcPr>
                <w:p w14:paraId="41F4B8F0">
                  <w:pPr>
                    <w:spacing w:before="95" w:line="195" w:lineRule="auto"/>
                    <w:ind w:left="23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500</w:t>
                  </w:r>
                </w:p>
              </w:tc>
              <w:tc>
                <w:tcPr>
                  <w:tcW w:w="712" w:type="dxa"/>
                  <w:tcBorders>
                    <w:tl2br w:val="nil"/>
                    <w:tr2bl w:val="nil"/>
                  </w:tcBorders>
                  <w:vAlign w:val="top"/>
                </w:tcPr>
                <w:p w14:paraId="162C961F">
                  <w:pPr>
                    <w:spacing w:before="95" w:line="195" w:lineRule="auto"/>
                    <w:ind w:left="19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1000</w:t>
                  </w:r>
                </w:p>
              </w:tc>
              <w:tc>
                <w:tcPr>
                  <w:tcW w:w="712" w:type="dxa"/>
                  <w:tcBorders>
                    <w:tl2br w:val="nil"/>
                    <w:tr2bl w:val="nil"/>
                  </w:tcBorders>
                  <w:vAlign w:val="top"/>
                </w:tcPr>
                <w:p w14:paraId="794DA4A8">
                  <w:pPr>
                    <w:spacing w:before="95" w:line="195" w:lineRule="auto"/>
                    <w:ind w:left="17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2000</w:t>
                  </w:r>
                </w:p>
              </w:tc>
              <w:tc>
                <w:tcPr>
                  <w:tcW w:w="712" w:type="dxa"/>
                  <w:tcBorders>
                    <w:tl2br w:val="nil"/>
                    <w:tr2bl w:val="nil"/>
                  </w:tcBorders>
                  <w:vAlign w:val="top"/>
                </w:tcPr>
                <w:p w14:paraId="505AF1CF">
                  <w:pPr>
                    <w:spacing w:before="95" w:line="195" w:lineRule="auto"/>
                    <w:ind w:left="17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4000</w:t>
                  </w:r>
                </w:p>
              </w:tc>
              <w:tc>
                <w:tcPr>
                  <w:tcW w:w="729" w:type="dxa"/>
                  <w:tcBorders>
                    <w:tl2br w:val="nil"/>
                    <w:tr2bl w:val="nil"/>
                  </w:tcBorders>
                  <w:vAlign w:val="top"/>
                </w:tcPr>
                <w:p w14:paraId="7F2064A4">
                  <w:pPr>
                    <w:spacing w:before="95" w:line="195" w:lineRule="auto"/>
                    <w:ind w:left="18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8000</w:t>
                  </w:r>
                </w:p>
              </w:tc>
            </w:tr>
            <w:tr w14:paraId="6E0B2B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tcBorders>
                    <w:tl2br w:val="nil"/>
                    <w:tr2bl w:val="nil"/>
                  </w:tcBorders>
                  <w:vAlign w:val="top"/>
                </w:tcPr>
                <w:p w14:paraId="2AE0817C">
                  <w:pPr>
                    <w:spacing w:before="97" w:line="195" w:lineRule="auto"/>
                    <w:ind w:left="40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8"/>
                      <w:sz w:val="20"/>
                      <w:szCs w:val="20"/>
                      <w:u w:val="none" w:color="auto"/>
                    </w:rPr>
                    <w:t>10</w:t>
                  </w:r>
                </w:p>
              </w:tc>
              <w:tc>
                <w:tcPr>
                  <w:tcW w:w="1257" w:type="dxa"/>
                  <w:tcBorders>
                    <w:tl2br w:val="nil"/>
                    <w:tr2bl w:val="nil"/>
                  </w:tcBorders>
                  <w:vAlign w:val="top"/>
                </w:tcPr>
                <w:p w14:paraId="67CE6B3C">
                  <w:pPr>
                    <w:spacing w:before="97" w:line="195" w:lineRule="auto"/>
                    <w:ind w:left="55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70</w:t>
                  </w:r>
                </w:p>
              </w:tc>
              <w:tc>
                <w:tcPr>
                  <w:tcW w:w="711" w:type="dxa"/>
                  <w:tcBorders>
                    <w:tl2br w:val="nil"/>
                    <w:tr2bl w:val="nil"/>
                  </w:tcBorders>
                  <w:vAlign w:val="top"/>
                </w:tcPr>
                <w:p w14:paraId="72C92E70">
                  <w:pPr>
                    <w:spacing w:before="97"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626F895F">
                  <w:pPr>
                    <w:spacing w:before="97"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0.4</w:t>
                  </w:r>
                </w:p>
              </w:tc>
              <w:tc>
                <w:tcPr>
                  <w:tcW w:w="711" w:type="dxa"/>
                  <w:tcBorders>
                    <w:tl2br w:val="nil"/>
                    <w:tr2bl w:val="nil"/>
                  </w:tcBorders>
                  <w:vAlign w:val="top"/>
                </w:tcPr>
                <w:p w14:paraId="3B69DD70">
                  <w:pPr>
                    <w:spacing w:before="98" w:line="195" w:lineRule="auto"/>
                    <w:ind w:left="34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26E907F9">
                  <w:pPr>
                    <w:spacing w:before="97" w:line="195" w:lineRule="auto"/>
                    <w:ind w:left="27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1.9</w:t>
                  </w:r>
                </w:p>
              </w:tc>
              <w:tc>
                <w:tcPr>
                  <w:tcW w:w="712" w:type="dxa"/>
                  <w:tcBorders>
                    <w:tl2br w:val="nil"/>
                    <w:tr2bl w:val="nil"/>
                  </w:tcBorders>
                  <w:vAlign w:val="top"/>
                </w:tcPr>
                <w:p w14:paraId="762A207B">
                  <w:pPr>
                    <w:spacing w:before="97" w:line="195" w:lineRule="auto"/>
                    <w:ind w:left="25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3.7</w:t>
                  </w:r>
                </w:p>
              </w:tc>
              <w:tc>
                <w:tcPr>
                  <w:tcW w:w="712" w:type="dxa"/>
                  <w:tcBorders>
                    <w:tl2br w:val="nil"/>
                    <w:tr2bl w:val="nil"/>
                  </w:tcBorders>
                  <w:vAlign w:val="top"/>
                </w:tcPr>
                <w:p w14:paraId="689487B7">
                  <w:pPr>
                    <w:spacing w:before="97" w:line="195" w:lineRule="auto"/>
                    <w:ind w:left="25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9.7</w:t>
                  </w:r>
                </w:p>
              </w:tc>
              <w:tc>
                <w:tcPr>
                  <w:tcW w:w="712" w:type="dxa"/>
                  <w:tcBorders>
                    <w:tl2br w:val="nil"/>
                    <w:tr2bl w:val="nil"/>
                  </w:tcBorders>
                  <w:vAlign w:val="top"/>
                </w:tcPr>
                <w:p w14:paraId="66766DCE">
                  <w:pPr>
                    <w:spacing w:before="97" w:line="195" w:lineRule="auto"/>
                    <w:ind w:left="20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32.8</w:t>
                  </w:r>
                </w:p>
              </w:tc>
              <w:tc>
                <w:tcPr>
                  <w:tcW w:w="729" w:type="dxa"/>
                  <w:tcBorders>
                    <w:tl2br w:val="nil"/>
                    <w:tr2bl w:val="nil"/>
                  </w:tcBorders>
                  <w:vAlign w:val="top"/>
                </w:tcPr>
                <w:p w14:paraId="35705C1D">
                  <w:pPr>
                    <w:spacing w:before="97" w:line="195" w:lineRule="auto"/>
                    <w:ind w:left="25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117</w:t>
                  </w:r>
                </w:p>
              </w:tc>
            </w:tr>
            <w:tr w14:paraId="5C14D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tcBorders>
                    <w:tl2br w:val="nil"/>
                    <w:tr2bl w:val="nil"/>
                  </w:tcBorders>
                  <w:vAlign w:val="top"/>
                </w:tcPr>
                <w:p w14:paraId="52F3CDC2">
                  <w:pPr>
                    <w:spacing w:before="100" w:line="195" w:lineRule="auto"/>
                    <w:ind w:left="38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c>
                <w:tcPr>
                  <w:tcW w:w="1257" w:type="dxa"/>
                  <w:tcBorders>
                    <w:tl2br w:val="nil"/>
                    <w:tr2bl w:val="nil"/>
                  </w:tcBorders>
                  <w:vAlign w:val="top"/>
                </w:tcPr>
                <w:p w14:paraId="01B99E2A">
                  <w:pPr>
                    <w:spacing w:before="100" w:line="195" w:lineRule="auto"/>
                    <w:ind w:left="55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70</w:t>
                  </w:r>
                </w:p>
              </w:tc>
              <w:tc>
                <w:tcPr>
                  <w:tcW w:w="711" w:type="dxa"/>
                  <w:tcBorders>
                    <w:tl2br w:val="nil"/>
                    <w:tr2bl w:val="nil"/>
                  </w:tcBorders>
                  <w:vAlign w:val="top"/>
                </w:tcPr>
                <w:p w14:paraId="7B00805A">
                  <w:pPr>
                    <w:spacing w:before="100"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3828AAC6">
                  <w:pPr>
                    <w:spacing w:before="100"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0.3</w:t>
                  </w:r>
                </w:p>
              </w:tc>
              <w:tc>
                <w:tcPr>
                  <w:tcW w:w="711" w:type="dxa"/>
                  <w:tcBorders>
                    <w:tl2br w:val="nil"/>
                    <w:tr2bl w:val="nil"/>
                  </w:tcBorders>
                  <w:vAlign w:val="top"/>
                </w:tcPr>
                <w:p w14:paraId="0AEECD25">
                  <w:pPr>
                    <w:spacing w:before="100" w:line="195" w:lineRule="auto"/>
                    <w:ind w:left="26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6"/>
                      <w:sz w:val="20"/>
                      <w:szCs w:val="20"/>
                      <w:u w:val="none" w:color="auto"/>
                    </w:rPr>
                    <w:t>1.</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6"/>
                      <w:sz w:val="20"/>
                      <w:szCs w:val="20"/>
                      <w:u w:val="none" w:color="auto"/>
                    </w:rPr>
                    <w:t>1</w:t>
                  </w:r>
                </w:p>
              </w:tc>
              <w:tc>
                <w:tcPr>
                  <w:tcW w:w="712" w:type="dxa"/>
                  <w:tcBorders>
                    <w:tl2br w:val="nil"/>
                    <w:tr2bl w:val="nil"/>
                  </w:tcBorders>
                  <w:vAlign w:val="top"/>
                </w:tcPr>
                <w:p w14:paraId="26959E6E">
                  <w:pPr>
                    <w:spacing w:before="100" w:line="195" w:lineRule="auto"/>
                    <w:ind w:left="25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2.8</w:t>
                  </w:r>
                </w:p>
              </w:tc>
              <w:tc>
                <w:tcPr>
                  <w:tcW w:w="712" w:type="dxa"/>
                  <w:tcBorders>
                    <w:tl2br w:val="nil"/>
                    <w:tr2bl w:val="nil"/>
                  </w:tcBorders>
                  <w:vAlign w:val="top"/>
                </w:tcPr>
                <w:p w14:paraId="7CDDC8F2">
                  <w:pPr>
                    <w:spacing w:before="103" w:line="192" w:lineRule="auto"/>
                    <w:ind w:left="33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5</w:t>
                  </w:r>
                </w:p>
              </w:tc>
              <w:tc>
                <w:tcPr>
                  <w:tcW w:w="712" w:type="dxa"/>
                  <w:tcBorders>
                    <w:tl2br w:val="nil"/>
                    <w:tr2bl w:val="nil"/>
                  </w:tcBorders>
                  <w:vAlign w:val="top"/>
                </w:tcPr>
                <w:p w14:paraId="17462B96">
                  <w:pPr>
                    <w:spacing w:before="100" w:line="195" w:lineRule="auto"/>
                    <w:ind w:left="33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9</w:t>
                  </w:r>
                </w:p>
              </w:tc>
              <w:tc>
                <w:tcPr>
                  <w:tcW w:w="712" w:type="dxa"/>
                  <w:tcBorders>
                    <w:tl2br w:val="nil"/>
                    <w:tr2bl w:val="nil"/>
                  </w:tcBorders>
                  <w:vAlign w:val="top"/>
                </w:tcPr>
                <w:p w14:paraId="0D179DF5">
                  <w:pPr>
                    <w:spacing w:before="100" w:line="195" w:lineRule="auto"/>
                    <w:ind w:left="20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22.9</w:t>
                  </w:r>
                </w:p>
              </w:tc>
              <w:tc>
                <w:tcPr>
                  <w:tcW w:w="729" w:type="dxa"/>
                  <w:tcBorders>
                    <w:tl2br w:val="nil"/>
                    <w:tr2bl w:val="nil"/>
                  </w:tcBorders>
                  <w:vAlign w:val="top"/>
                </w:tcPr>
                <w:p w14:paraId="290242A5">
                  <w:pPr>
                    <w:spacing w:before="100" w:line="195" w:lineRule="auto"/>
                    <w:ind w:left="20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76.6</w:t>
                  </w:r>
                </w:p>
              </w:tc>
            </w:tr>
            <w:tr w14:paraId="2017ED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tcBorders>
                    <w:tl2br w:val="nil"/>
                    <w:tr2bl w:val="nil"/>
                  </w:tcBorders>
                  <w:vAlign w:val="top"/>
                </w:tcPr>
                <w:p w14:paraId="58CB1253">
                  <w:pPr>
                    <w:spacing w:before="103" w:line="195" w:lineRule="auto"/>
                    <w:ind w:left="39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30</w:t>
                  </w:r>
                </w:p>
              </w:tc>
              <w:tc>
                <w:tcPr>
                  <w:tcW w:w="1257" w:type="dxa"/>
                  <w:tcBorders>
                    <w:tl2br w:val="nil"/>
                    <w:tr2bl w:val="nil"/>
                  </w:tcBorders>
                  <w:vAlign w:val="top"/>
                </w:tcPr>
                <w:p w14:paraId="6F23663A">
                  <w:pPr>
                    <w:spacing w:before="103" w:line="195" w:lineRule="auto"/>
                    <w:ind w:left="55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70</w:t>
                  </w:r>
                </w:p>
              </w:tc>
              <w:tc>
                <w:tcPr>
                  <w:tcW w:w="711" w:type="dxa"/>
                  <w:tcBorders>
                    <w:tl2br w:val="nil"/>
                    <w:tr2bl w:val="nil"/>
                  </w:tcBorders>
                  <w:vAlign w:val="top"/>
                </w:tcPr>
                <w:p w14:paraId="6CF828E7">
                  <w:pPr>
                    <w:spacing w:before="103"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40829342">
                  <w:pPr>
                    <w:spacing w:before="103"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0.3</w:t>
                  </w:r>
                </w:p>
              </w:tc>
              <w:tc>
                <w:tcPr>
                  <w:tcW w:w="711" w:type="dxa"/>
                  <w:tcBorders>
                    <w:tl2br w:val="nil"/>
                    <w:tr2bl w:val="nil"/>
                  </w:tcBorders>
                  <w:vAlign w:val="top"/>
                </w:tcPr>
                <w:p w14:paraId="77D84F81">
                  <w:pPr>
                    <w:spacing w:before="103" w:line="195" w:lineRule="auto"/>
                    <w:ind w:left="34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686B5722">
                  <w:pPr>
                    <w:spacing w:before="103" w:line="195" w:lineRule="auto"/>
                    <w:ind w:left="25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3.</w:t>
                  </w:r>
                  <w:r>
                    <w:rPr>
                      <w:rFonts w:ascii="Times New Roman" w:hAnsi="Times New Roman" w:eastAsia="Times New Roman" w:cs="Times New Roman"/>
                      <w:color w:val="auto"/>
                      <w:spacing w:val="-24"/>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12" w:type="dxa"/>
                  <w:tcBorders>
                    <w:tl2br w:val="nil"/>
                    <w:tr2bl w:val="nil"/>
                  </w:tcBorders>
                  <w:vAlign w:val="top"/>
                </w:tcPr>
                <w:p w14:paraId="5C230A71">
                  <w:pPr>
                    <w:spacing w:before="103" w:line="195" w:lineRule="auto"/>
                    <w:ind w:left="25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7.4</w:t>
                  </w:r>
                </w:p>
              </w:tc>
              <w:tc>
                <w:tcPr>
                  <w:tcW w:w="712" w:type="dxa"/>
                  <w:tcBorders>
                    <w:tl2br w:val="nil"/>
                    <w:tr2bl w:val="nil"/>
                  </w:tcBorders>
                  <w:vAlign w:val="top"/>
                </w:tcPr>
                <w:p w14:paraId="2773CC13">
                  <w:pPr>
                    <w:spacing w:before="103" w:line="195" w:lineRule="auto"/>
                    <w:ind w:left="22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12.7</w:t>
                  </w:r>
                </w:p>
              </w:tc>
              <w:tc>
                <w:tcPr>
                  <w:tcW w:w="712" w:type="dxa"/>
                  <w:tcBorders>
                    <w:tl2br w:val="nil"/>
                    <w:tr2bl w:val="nil"/>
                  </w:tcBorders>
                  <w:vAlign w:val="top"/>
                </w:tcPr>
                <w:p w14:paraId="10896E9B">
                  <w:pPr>
                    <w:spacing w:before="103" w:line="195" w:lineRule="auto"/>
                    <w:ind w:left="20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23.</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2"/>
                      <w:sz w:val="20"/>
                      <w:szCs w:val="20"/>
                      <w:u w:val="none" w:color="auto"/>
                    </w:rPr>
                    <w:t>1</w:t>
                  </w:r>
                </w:p>
              </w:tc>
              <w:tc>
                <w:tcPr>
                  <w:tcW w:w="729" w:type="dxa"/>
                  <w:tcBorders>
                    <w:tl2br w:val="nil"/>
                    <w:tr2bl w:val="nil"/>
                  </w:tcBorders>
                  <w:vAlign w:val="top"/>
                </w:tcPr>
                <w:p w14:paraId="174D041D">
                  <w:pPr>
                    <w:spacing w:before="103" w:line="195" w:lineRule="auto"/>
                    <w:ind w:left="21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59.3</w:t>
                  </w:r>
                </w:p>
              </w:tc>
            </w:tr>
            <w:tr w14:paraId="5F9D69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950" w:type="dxa"/>
                  <w:tcBorders>
                    <w:tl2br w:val="nil"/>
                    <w:tr2bl w:val="nil"/>
                  </w:tcBorders>
                  <w:vAlign w:val="top"/>
                </w:tcPr>
                <w:p w14:paraId="587D87FC">
                  <w:pPr>
                    <w:spacing w:before="105" w:line="195" w:lineRule="auto"/>
                    <w:ind w:left="40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8"/>
                      <w:sz w:val="20"/>
                      <w:szCs w:val="20"/>
                      <w:u w:val="none" w:color="auto"/>
                    </w:rPr>
                    <w:t>15</w:t>
                  </w:r>
                </w:p>
              </w:tc>
              <w:tc>
                <w:tcPr>
                  <w:tcW w:w="1257" w:type="dxa"/>
                  <w:tcBorders>
                    <w:tl2br w:val="nil"/>
                    <w:tr2bl w:val="nil"/>
                  </w:tcBorders>
                  <w:vAlign w:val="top"/>
                </w:tcPr>
                <w:p w14:paraId="7FF01666">
                  <w:pPr>
                    <w:spacing w:before="105" w:line="195" w:lineRule="auto"/>
                    <w:ind w:left="5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c>
                <w:tcPr>
                  <w:tcW w:w="711" w:type="dxa"/>
                  <w:tcBorders>
                    <w:tl2br w:val="nil"/>
                    <w:tr2bl w:val="nil"/>
                  </w:tcBorders>
                  <w:vAlign w:val="top"/>
                </w:tcPr>
                <w:p w14:paraId="77FE1BF6">
                  <w:pPr>
                    <w:spacing w:before="105"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0.3</w:t>
                  </w:r>
                </w:p>
              </w:tc>
              <w:tc>
                <w:tcPr>
                  <w:tcW w:w="712" w:type="dxa"/>
                  <w:tcBorders>
                    <w:tl2br w:val="nil"/>
                    <w:tr2bl w:val="nil"/>
                  </w:tcBorders>
                  <w:vAlign w:val="top"/>
                </w:tcPr>
                <w:p w14:paraId="777E92C4">
                  <w:pPr>
                    <w:spacing w:before="105"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0.6</w:t>
                  </w:r>
                </w:p>
              </w:tc>
              <w:tc>
                <w:tcPr>
                  <w:tcW w:w="711" w:type="dxa"/>
                  <w:tcBorders>
                    <w:tl2br w:val="nil"/>
                    <w:tr2bl w:val="nil"/>
                  </w:tcBorders>
                  <w:vAlign w:val="top"/>
                </w:tcPr>
                <w:p w14:paraId="098EEB20">
                  <w:pPr>
                    <w:spacing w:before="105" w:line="195" w:lineRule="auto"/>
                    <w:ind w:left="26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1.2</w:t>
                  </w:r>
                </w:p>
              </w:tc>
              <w:tc>
                <w:tcPr>
                  <w:tcW w:w="712" w:type="dxa"/>
                  <w:tcBorders>
                    <w:tl2br w:val="nil"/>
                    <w:tr2bl w:val="nil"/>
                  </w:tcBorders>
                  <w:vAlign w:val="top"/>
                </w:tcPr>
                <w:p w14:paraId="2B4F0564">
                  <w:pPr>
                    <w:spacing w:before="105" w:line="195" w:lineRule="auto"/>
                    <w:ind w:left="25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2.7</w:t>
                  </w:r>
                </w:p>
              </w:tc>
              <w:tc>
                <w:tcPr>
                  <w:tcW w:w="712" w:type="dxa"/>
                  <w:tcBorders>
                    <w:tl2br w:val="nil"/>
                    <w:tr2bl w:val="nil"/>
                  </w:tcBorders>
                  <w:vAlign w:val="top"/>
                </w:tcPr>
                <w:p w14:paraId="084E93CC">
                  <w:pPr>
                    <w:spacing w:before="105" w:line="195" w:lineRule="auto"/>
                    <w:ind w:left="26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8.2</w:t>
                  </w:r>
                </w:p>
              </w:tc>
              <w:tc>
                <w:tcPr>
                  <w:tcW w:w="712" w:type="dxa"/>
                  <w:tcBorders>
                    <w:tl2br w:val="nil"/>
                    <w:tr2bl w:val="nil"/>
                  </w:tcBorders>
                  <w:vAlign w:val="top"/>
                </w:tcPr>
                <w:p w14:paraId="0C3B0734">
                  <w:pPr>
                    <w:spacing w:before="105" w:line="195" w:lineRule="auto"/>
                    <w:ind w:left="20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28.2</w:t>
                  </w:r>
                </w:p>
              </w:tc>
              <w:tc>
                <w:tcPr>
                  <w:tcW w:w="712" w:type="dxa"/>
                  <w:tcBorders>
                    <w:tl2br w:val="nil"/>
                    <w:tr2bl w:val="nil"/>
                  </w:tcBorders>
                  <w:vAlign w:val="top"/>
                </w:tcPr>
                <w:p w14:paraId="3000E152">
                  <w:pPr>
                    <w:spacing w:before="105" w:line="195" w:lineRule="auto"/>
                    <w:ind w:left="20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28.8</w:t>
                  </w:r>
                </w:p>
              </w:tc>
              <w:tc>
                <w:tcPr>
                  <w:tcW w:w="729" w:type="dxa"/>
                  <w:tcBorders>
                    <w:tl2br w:val="nil"/>
                    <w:tr2bl w:val="nil"/>
                  </w:tcBorders>
                  <w:vAlign w:val="top"/>
                </w:tcPr>
                <w:p w14:paraId="38D84951">
                  <w:pPr>
                    <w:spacing w:before="105" w:line="195" w:lineRule="auto"/>
                    <w:ind w:left="2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202</w:t>
                  </w:r>
                </w:p>
              </w:tc>
            </w:tr>
            <w:tr w14:paraId="02863F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50" w:type="dxa"/>
                  <w:tcBorders>
                    <w:tl2br w:val="nil"/>
                    <w:tr2bl w:val="nil"/>
                  </w:tcBorders>
                  <w:vAlign w:val="top"/>
                </w:tcPr>
                <w:p w14:paraId="123AFE62">
                  <w:pPr>
                    <w:spacing w:before="107" w:line="195" w:lineRule="auto"/>
                    <w:ind w:left="40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8"/>
                      <w:sz w:val="20"/>
                      <w:szCs w:val="20"/>
                      <w:u w:val="none" w:color="auto"/>
                    </w:rPr>
                    <w:t>15</w:t>
                  </w:r>
                </w:p>
              </w:tc>
              <w:tc>
                <w:tcPr>
                  <w:tcW w:w="1257" w:type="dxa"/>
                  <w:tcBorders>
                    <w:tl2br w:val="nil"/>
                    <w:tr2bl w:val="nil"/>
                  </w:tcBorders>
                  <w:vAlign w:val="top"/>
                </w:tcPr>
                <w:p w14:paraId="4961E2C2">
                  <w:pPr>
                    <w:spacing w:before="107" w:line="195" w:lineRule="auto"/>
                    <w:ind w:left="55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50</w:t>
                  </w:r>
                </w:p>
              </w:tc>
              <w:tc>
                <w:tcPr>
                  <w:tcW w:w="711" w:type="dxa"/>
                  <w:tcBorders>
                    <w:tl2br w:val="nil"/>
                    <w:tr2bl w:val="nil"/>
                  </w:tcBorders>
                  <w:vAlign w:val="top"/>
                </w:tcPr>
                <w:p w14:paraId="29EBDF7F">
                  <w:pPr>
                    <w:spacing w:before="107"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z w:val="20"/>
                      <w:szCs w:val="20"/>
                      <w:u w:val="none" w:color="auto"/>
                    </w:rPr>
                    <w:t>1</w:t>
                  </w:r>
                </w:p>
              </w:tc>
              <w:tc>
                <w:tcPr>
                  <w:tcW w:w="712" w:type="dxa"/>
                  <w:tcBorders>
                    <w:tl2br w:val="nil"/>
                    <w:tr2bl w:val="nil"/>
                  </w:tcBorders>
                  <w:vAlign w:val="top"/>
                </w:tcPr>
                <w:p w14:paraId="5F4D7824">
                  <w:pPr>
                    <w:spacing w:before="107"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0.5</w:t>
                  </w:r>
                </w:p>
              </w:tc>
              <w:tc>
                <w:tcPr>
                  <w:tcW w:w="711" w:type="dxa"/>
                  <w:tcBorders>
                    <w:tl2br w:val="nil"/>
                    <w:tr2bl w:val="nil"/>
                  </w:tcBorders>
                  <w:vAlign w:val="top"/>
                </w:tcPr>
                <w:p w14:paraId="2075EDC9">
                  <w:pPr>
                    <w:spacing w:before="107" w:line="195" w:lineRule="auto"/>
                    <w:ind w:left="26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1.2</w:t>
                  </w:r>
                </w:p>
              </w:tc>
              <w:tc>
                <w:tcPr>
                  <w:tcW w:w="712" w:type="dxa"/>
                  <w:tcBorders>
                    <w:tl2br w:val="nil"/>
                    <w:tr2bl w:val="nil"/>
                  </w:tcBorders>
                  <w:vAlign w:val="top"/>
                </w:tcPr>
                <w:p w14:paraId="41E2EE13">
                  <w:pPr>
                    <w:spacing w:before="107" w:line="195" w:lineRule="auto"/>
                    <w:ind w:left="25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2.2</w:t>
                  </w:r>
                </w:p>
              </w:tc>
              <w:tc>
                <w:tcPr>
                  <w:tcW w:w="712" w:type="dxa"/>
                  <w:tcBorders>
                    <w:tl2br w:val="nil"/>
                    <w:tr2bl w:val="nil"/>
                  </w:tcBorders>
                  <w:vAlign w:val="top"/>
                </w:tcPr>
                <w:p w14:paraId="3B310360">
                  <w:pPr>
                    <w:spacing w:before="107" w:line="195" w:lineRule="auto"/>
                    <w:ind w:left="25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4.2</w:t>
                  </w:r>
                </w:p>
              </w:tc>
              <w:tc>
                <w:tcPr>
                  <w:tcW w:w="712" w:type="dxa"/>
                  <w:tcBorders>
                    <w:tl2br w:val="nil"/>
                    <w:tr2bl w:val="nil"/>
                  </w:tcBorders>
                  <w:vAlign w:val="top"/>
                </w:tcPr>
                <w:p w14:paraId="52949F6E">
                  <w:pPr>
                    <w:spacing w:before="107" w:line="195" w:lineRule="auto"/>
                    <w:ind w:left="22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10.8</w:t>
                  </w:r>
                </w:p>
              </w:tc>
              <w:tc>
                <w:tcPr>
                  <w:tcW w:w="712" w:type="dxa"/>
                  <w:tcBorders>
                    <w:tl2br w:val="nil"/>
                    <w:tr2bl w:val="nil"/>
                  </w:tcBorders>
                  <w:vAlign w:val="top"/>
                </w:tcPr>
                <w:p w14:paraId="45D8E0D8">
                  <w:pPr>
                    <w:spacing w:before="107" w:line="195" w:lineRule="auto"/>
                    <w:ind w:left="20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36.2</w:t>
                  </w:r>
                </w:p>
              </w:tc>
              <w:tc>
                <w:tcPr>
                  <w:tcW w:w="729" w:type="dxa"/>
                  <w:tcBorders>
                    <w:tl2br w:val="nil"/>
                    <w:tr2bl w:val="nil"/>
                  </w:tcBorders>
                  <w:vAlign w:val="top"/>
                </w:tcPr>
                <w:p w14:paraId="38DC703E">
                  <w:pPr>
                    <w:spacing w:before="107" w:line="195" w:lineRule="auto"/>
                    <w:ind w:left="17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129.3</w:t>
                  </w:r>
                </w:p>
              </w:tc>
            </w:tr>
            <w:tr w14:paraId="04907A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950" w:type="dxa"/>
                  <w:tcBorders>
                    <w:tl2br w:val="nil"/>
                    <w:tr2bl w:val="nil"/>
                  </w:tcBorders>
                  <w:vAlign w:val="top"/>
                </w:tcPr>
                <w:p w14:paraId="0BC5D7A6">
                  <w:pPr>
                    <w:spacing w:before="112" w:line="195" w:lineRule="auto"/>
                    <w:ind w:left="40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8"/>
                      <w:sz w:val="20"/>
                      <w:szCs w:val="20"/>
                      <w:u w:val="none" w:color="auto"/>
                    </w:rPr>
                    <w:t>15</w:t>
                  </w:r>
                </w:p>
              </w:tc>
              <w:tc>
                <w:tcPr>
                  <w:tcW w:w="1257" w:type="dxa"/>
                  <w:tcBorders>
                    <w:tl2br w:val="nil"/>
                    <w:tr2bl w:val="nil"/>
                  </w:tcBorders>
                  <w:vAlign w:val="top"/>
                </w:tcPr>
                <w:p w14:paraId="41DE0F07">
                  <w:pPr>
                    <w:spacing w:before="112" w:line="195" w:lineRule="auto"/>
                    <w:ind w:left="56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80</w:t>
                  </w:r>
                </w:p>
              </w:tc>
              <w:tc>
                <w:tcPr>
                  <w:tcW w:w="711" w:type="dxa"/>
                  <w:tcBorders>
                    <w:tl2br w:val="nil"/>
                    <w:tr2bl w:val="nil"/>
                  </w:tcBorders>
                  <w:vAlign w:val="top"/>
                </w:tcPr>
                <w:p w14:paraId="6CB8CB82">
                  <w:pPr>
                    <w:spacing w:before="112" w:line="195" w:lineRule="auto"/>
                    <w:ind w:left="24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0.3</w:t>
                  </w:r>
                </w:p>
              </w:tc>
              <w:tc>
                <w:tcPr>
                  <w:tcW w:w="712" w:type="dxa"/>
                  <w:tcBorders>
                    <w:tl2br w:val="nil"/>
                    <w:tr2bl w:val="nil"/>
                  </w:tcBorders>
                  <w:vAlign w:val="top"/>
                </w:tcPr>
                <w:p w14:paraId="0EF0D66F">
                  <w:pPr>
                    <w:spacing w:before="112" w:line="195" w:lineRule="auto"/>
                    <w:ind w:left="24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0.3</w:t>
                  </w:r>
                </w:p>
              </w:tc>
              <w:tc>
                <w:tcPr>
                  <w:tcW w:w="711" w:type="dxa"/>
                  <w:tcBorders>
                    <w:tl2br w:val="nil"/>
                    <w:tr2bl w:val="nil"/>
                  </w:tcBorders>
                  <w:vAlign w:val="top"/>
                </w:tcPr>
                <w:p w14:paraId="40358885">
                  <w:pPr>
                    <w:spacing w:before="112" w:line="195" w:lineRule="auto"/>
                    <w:ind w:left="26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6"/>
                      <w:sz w:val="20"/>
                      <w:szCs w:val="20"/>
                      <w:u w:val="none" w:color="auto"/>
                    </w:rPr>
                    <w:t>1.</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6"/>
                      <w:sz w:val="20"/>
                      <w:szCs w:val="20"/>
                      <w:u w:val="none" w:color="auto"/>
                    </w:rPr>
                    <w:t>1</w:t>
                  </w:r>
                </w:p>
              </w:tc>
              <w:tc>
                <w:tcPr>
                  <w:tcW w:w="712" w:type="dxa"/>
                  <w:tcBorders>
                    <w:tl2br w:val="nil"/>
                    <w:tr2bl w:val="nil"/>
                  </w:tcBorders>
                  <w:vAlign w:val="top"/>
                </w:tcPr>
                <w:p w14:paraId="1FE355A7">
                  <w:pPr>
                    <w:spacing w:before="112" w:line="195" w:lineRule="auto"/>
                    <w:ind w:left="25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2.4</w:t>
                  </w:r>
                </w:p>
              </w:tc>
              <w:tc>
                <w:tcPr>
                  <w:tcW w:w="712" w:type="dxa"/>
                  <w:tcBorders>
                    <w:tl2br w:val="nil"/>
                    <w:tr2bl w:val="nil"/>
                  </w:tcBorders>
                  <w:vAlign w:val="top"/>
                </w:tcPr>
                <w:p w14:paraId="7A3E2941">
                  <w:pPr>
                    <w:spacing w:before="112" w:line="195" w:lineRule="auto"/>
                    <w:ind w:left="25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4.</w:t>
                  </w:r>
                  <w:r>
                    <w:rPr>
                      <w:rFonts w:ascii="Times New Roman" w:hAnsi="Times New Roman" w:eastAsia="Times New Roman" w:cs="Times New Roman"/>
                      <w:color w:val="auto"/>
                      <w:spacing w:val="-25"/>
                      <w:sz w:val="20"/>
                      <w:szCs w:val="20"/>
                      <w:u w:val="none" w:color="auto"/>
                    </w:rPr>
                    <w:t xml:space="preserve"> </w:t>
                  </w:r>
                  <w:r>
                    <w:rPr>
                      <w:rFonts w:ascii="Times New Roman" w:hAnsi="Times New Roman" w:eastAsia="Times New Roman" w:cs="Times New Roman"/>
                      <w:color w:val="auto"/>
                      <w:spacing w:val="1"/>
                      <w:sz w:val="20"/>
                      <w:szCs w:val="20"/>
                      <w:u w:val="none" w:color="auto"/>
                    </w:rPr>
                    <w:t>1</w:t>
                  </w:r>
                </w:p>
              </w:tc>
              <w:tc>
                <w:tcPr>
                  <w:tcW w:w="712" w:type="dxa"/>
                  <w:tcBorders>
                    <w:tl2br w:val="nil"/>
                    <w:tr2bl w:val="nil"/>
                  </w:tcBorders>
                  <w:vAlign w:val="top"/>
                </w:tcPr>
                <w:p w14:paraId="65A8A61E">
                  <w:pPr>
                    <w:spacing w:before="112" w:line="195" w:lineRule="auto"/>
                    <w:ind w:left="26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8.3</w:t>
                  </w:r>
                </w:p>
              </w:tc>
              <w:tc>
                <w:tcPr>
                  <w:tcW w:w="712" w:type="dxa"/>
                  <w:tcBorders>
                    <w:tl2br w:val="nil"/>
                    <w:tr2bl w:val="nil"/>
                  </w:tcBorders>
                  <w:vAlign w:val="top"/>
                </w:tcPr>
                <w:p w14:paraId="39F454A9">
                  <w:pPr>
                    <w:spacing w:before="112" w:line="195" w:lineRule="auto"/>
                    <w:ind w:left="20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23.7</w:t>
                  </w:r>
                </w:p>
              </w:tc>
              <w:tc>
                <w:tcPr>
                  <w:tcW w:w="729" w:type="dxa"/>
                  <w:tcBorders>
                    <w:tl2br w:val="nil"/>
                    <w:tr2bl w:val="nil"/>
                  </w:tcBorders>
                  <w:vAlign w:val="top"/>
                </w:tcPr>
                <w:p w14:paraId="6E014C0D">
                  <w:pPr>
                    <w:spacing w:before="112" w:line="195" w:lineRule="auto"/>
                    <w:ind w:left="214"/>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82.8</w:t>
                  </w:r>
                </w:p>
              </w:tc>
            </w:tr>
          </w:tbl>
          <w:p w14:paraId="785A431B">
            <w:pPr>
              <w:spacing w:before="115" w:line="290" w:lineRule="auto"/>
              <w:ind w:left="539" w:right="5434" w:hanging="1"/>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③地面效应衰减（</w:t>
            </w:r>
            <w:r>
              <w:rPr>
                <w:rFonts w:ascii="Times New Roman" w:hAnsi="Times New Roman" w:eastAsia="Times New Roman" w:cs="Times New Roman"/>
                <w:color w:val="auto"/>
                <w:spacing w:val="-3"/>
                <w:sz w:val="24"/>
                <w:szCs w:val="24"/>
                <w:u w:val="none" w:color="auto"/>
              </w:rPr>
              <w:t>A</w:t>
            </w:r>
            <w:r>
              <w:rPr>
                <w:rFonts w:ascii="Times New Roman" w:hAnsi="Times New Roman" w:eastAsia="Times New Roman" w:cs="Times New Roman"/>
                <w:color w:val="auto"/>
                <w:spacing w:val="-3"/>
                <w:position w:val="-1"/>
                <w:sz w:val="15"/>
                <w:szCs w:val="15"/>
                <w:u w:val="none" w:color="auto"/>
              </w:rPr>
              <w:t>gr</w:t>
            </w:r>
            <w:r>
              <w:rPr>
                <w:rFonts w:ascii="宋体" w:hAnsi="宋体" w:eastAsia="宋体" w:cs="宋体"/>
                <w:color w:val="auto"/>
                <w:spacing w:val="-3"/>
                <w:sz w:val="24"/>
                <w:szCs w:val="24"/>
                <w:u w:val="none" w:color="auto"/>
              </w:rPr>
              <w:t>）</w:t>
            </w:r>
            <w:r>
              <w:rPr>
                <w:rFonts w:ascii="宋体" w:hAnsi="宋体" w:eastAsia="宋体" w:cs="宋体"/>
                <w:color w:val="auto"/>
                <w:spacing w:val="-2"/>
                <w:sz w:val="24"/>
                <w:szCs w:val="24"/>
                <w:u w:val="none" w:color="auto"/>
              </w:rPr>
              <w:t>地面类型可分为：</w:t>
            </w:r>
          </w:p>
          <w:p w14:paraId="780406A9">
            <w:pPr>
              <w:spacing w:before="183" w:line="219" w:lineRule="auto"/>
              <w:ind w:left="537"/>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I.</w:t>
            </w:r>
            <w:r>
              <w:rPr>
                <w:rFonts w:ascii="宋体" w:hAnsi="宋体" w:eastAsia="宋体" w:cs="宋体"/>
                <w:color w:val="auto"/>
                <w:sz w:val="24"/>
                <w:szCs w:val="24"/>
                <w:u w:val="none" w:color="auto"/>
              </w:rPr>
              <w:t>坚实地面，包括铺筑过的路面、水面、冰</w:t>
            </w:r>
            <w:r>
              <w:rPr>
                <w:rFonts w:ascii="宋体" w:hAnsi="宋体" w:eastAsia="宋体" w:cs="宋体"/>
                <w:color w:val="auto"/>
                <w:spacing w:val="-1"/>
                <w:sz w:val="24"/>
                <w:szCs w:val="24"/>
                <w:u w:val="none" w:color="auto"/>
              </w:rPr>
              <w:t>面以及夯实地面。</w:t>
            </w:r>
          </w:p>
          <w:p w14:paraId="149EDA3F">
            <w:pPr>
              <w:spacing w:before="123" w:line="290" w:lineRule="auto"/>
              <w:ind w:left="43" w:right="72" w:firstLine="456"/>
              <w:rPr>
                <w:rFonts w:ascii="宋体" w:hAnsi="宋体" w:eastAsia="宋体" w:cs="宋体"/>
                <w:color w:val="auto"/>
                <w:sz w:val="24"/>
                <w:szCs w:val="24"/>
                <w:u w:val="none" w:color="auto"/>
              </w:rPr>
            </w:pPr>
            <w:r>
              <w:rPr>
                <w:rFonts w:ascii="Times New Roman" w:hAnsi="Times New Roman" w:eastAsia="Times New Roman" w:cs="Times New Roman"/>
                <w:color w:val="auto"/>
                <w:spacing w:val="-2"/>
                <w:sz w:val="24"/>
                <w:szCs w:val="24"/>
                <w:u w:val="none" w:color="auto"/>
              </w:rPr>
              <w:t>II.</w:t>
            </w:r>
            <w:r>
              <w:rPr>
                <w:rFonts w:ascii="宋体" w:hAnsi="宋体" w:eastAsia="宋体" w:cs="宋体"/>
                <w:color w:val="auto"/>
                <w:spacing w:val="-2"/>
                <w:sz w:val="24"/>
                <w:szCs w:val="24"/>
                <w:u w:val="none" w:color="auto"/>
              </w:rPr>
              <w:t>疏松地面，包括被草或其他植物覆盖的地面，以</w:t>
            </w:r>
            <w:r>
              <w:rPr>
                <w:rFonts w:ascii="宋体" w:hAnsi="宋体" w:eastAsia="宋体" w:cs="宋体"/>
                <w:color w:val="auto"/>
                <w:spacing w:val="-3"/>
                <w:sz w:val="24"/>
                <w:szCs w:val="24"/>
                <w:u w:val="none" w:color="auto"/>
              </w:rPr>
              <w:t>及农田等适合于植物生长</w:t>
            </w:r>
            <w:r>
              <w:rPr>
                <w:rFonts w:ascii="宋体" w:hAnsi="宋体" w:eastAsia="宋体" w:cs="宋体"/>
                <w:color w:val="auto"/>
                <w:spacing w:val="-8"/>
                <w:sz w:val="24"/>
                <w:szCs w:val="24"/>
                <w:u w:val="none" w:color="auto"/>
              </w:rPr>
              <w:t>的地面。</w:t>
            </w:r>
          </w:p>
          <w:p w14:paraId="7067069E">
            <w:pPr>
              <w:spacing w:before="181" w:line="219" w:lineRule="auto"/>
              <w:ind w:left="500"/>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III.</w:t>
            </w:r>
            <w:r>
              <w:rPr>
                <w:rFonts w:ascii="宋体" w:hAnsi="宋体" w:eastAsia="宋体" w:cs="宋体"/>
                <w:color w:val="auto"/>
                <w:spacing w:val="-1"/>
                <w:sz w:val="24"/>
                <w:szCs w:val="24"/>
                <w:u w:val="none" w:color="auto"/>
              </w:rPr>
              <w:t>混合地面，由坚实地面和疏松地面组成。</w:t>
            </w:r>
          </w:p>
          <w:p w14:paraId="2CD63DD6">
            <w:pPr>
              <w:spacing w:before="184" w:line="360" w:lineRule="auto"/>
              <w:ind w:left="25" w:right="72" w:firstLine="482"/>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声波越过输送地面传播时，或大部分为疏松地面的混</w:t>
            </w:r>
            <w:r>
              <w:rPr>
                <w:rFonts w:ascii="宋体" w:hAnsi="宋体" w:eastAsia="宋体" w:cs="宋体"/>
                <w:color w:val="auto"/>
                <w:spacing w:val="-4"/>
                <w:sz w:val="24"/>
                <w:szCs w:val="24"/>
                <w:u w:val="none" w:color="auto"/>
              </w:rPr>
              <w:t>合地面，在预测点仅计</w:t>
            </w:r>
            <w:r>
              <w:rPr>
                <w:rFonts w:ascii="宋体" w:hAnsi="宋体" w:eastAsia="宋体" w:cs="宋体"/>
                <w:color w:val="auto"/>
                <w:spacing w:val="-1"/>
                <w:sz w:val="24"/>
                <w:szCs w:val="24"/>
                <w:u w:val="none" w:color="auto"/>
              </w:rPr>
              <w:t>算</w:t>
            </w:r>
            <w:r>
              <w:rPr>
                <w:rFonts w:ascii="宋体" w:hAnsi="宋体" w:eastAsia="宋体" w:cs="宋体"/>
                <w:color w:val="auto"/>
                <w:spacing w:val="-46"/>
                <w:sz w:val="24"/>
                <w:szCs w:val="24"/>
                <w:u w:val="none" w:color="auto"/>
              </w:rPr>
              <w:t xml:space="preserve"> </w:t>
            </w:r>
            <w:r>
              <w:rPr>
                <w:rFonts w:ascii="Times New Roman" w:hAnsi="Times New Roman" w:eastAsia="Times New Roman" w:cs="Times New Roman"/>
                <w:color w:val="auto"/>
                <w:spacing w:val="-1"/>
                <w:sz w:val="24"/>
                <w:szCs w:val="24"/>
                <w:u w:val="none" w:color="auto"/>
              </w:rPr>
              <w:t xml:space="preserve">A </w:t>
            </w:r>
            <w:r>
              <w:rPr>
                <w:rFonts w:ascii="宋体" w:hAnsi="宋体" w:eastAsia="宋体" w:cs="宋体"/>
                <w:color w:val="auto"/>
                <w:spacing w:val="-1"/>
                <w:sz w:val="24"/>
                <w:szCs w:val="24"/>
                <w:u w:val="none" w:color="auto"/>
              </w:rPr>
              <w:t>声级前提下，地面效应引起的倍频带衰减按下式计算：</w:t>
            </w:r>
          </w:p>
          <w:p w14:paraId="430015D7">
            <w:pPr>
              <w:spacing w:line="995" w:lineRule="exact"/>
              <w:ind w:firstLine="2006"/>
              <w:rPr>
                <w:color w:val="auto"/>
                <w:u w:val="none" w:color="auto"/>
              </w:rPr>
            </w:pPr>
            <w:r>
              <w:rPr>
                <w:color w:val="auto"/>
                <w:position w:val="-19"/>
                <w:u w:val="none" w:color="auto"/>
              </w:rPr>
              <w:drawing>
                <wp:inline distT="0" distB="0" distL="0" distR="0">
                  <wp:extent cx="2732405" cy="631825"/>
                  <wp:effectExtent l="0" t="0" r="10795" b="15875"/>
                  <wp:docPr id="154" name="IM 84"/>
                  <wp:cNvGraphicFramePr/>
                  <a:graphic xmlns:a="http://schemas.openxmlformats.org/drawingml/2006/main">
                    <a:graphicData uri="http://schemas.openxmlformats.org/drawingml/2006/picture">
                      <pic:pic xmlns:pic="http://schemas.openxmlformats.org/drawingml/2006/picture">
                        <pic:nvPicPr>
                          <pic:cNvPr id="154" name="IM 84"/>
                          <pic:cNvPicPr/>
                        </pic:nvPicPr>
                        <pic:blipFill>
                          <a:blip r:embed="rId47"/>
                          <a:stretch>
                            <a:fillRect/>
                          </a:stretch>
                        </pic:blipFill>
                        <pic:spPr>
                          <a:xfrm>
                            <a:off x="0" y="0"/>
                            <a:ext cx="2732532" cy="632459"/>
                          </a:xfrm>
                          <a:prstGeom prst="rect">
                            <a:avLst/>
                          </a:prstGeom>
                        </pic:spPr>
                      </pic:pic>
                    </a:graphicData>
                  </a:graphic>
                </wp:inline>
              </w:drawing>
            </w:r>
          </w:p>
          <w:p w14:paraId="186504EE">
            <w:pPr>
              <w:spacing w:before="251"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18E1F72B">
            <w:pPr>
              <w:spacing w:before="182" w:line="220" w:lineRule="auto"/>
              <w:ind w:left="495"/>
              <w:rPr>
                <w:rFonts w:ascii="宋体" w:hAnsi="宋体" w:eastAsia="宋体" w:cs="宋体"/>
                <w:color w:val="auto"/>
                <w:sz w:val="24"/>
                <w:szCs w:val="24"/>
                <w:u w:val="none" w:color="auto"/>
              </w:rPr>
            </w:pPr>
            <w:r>
              <w:rPr>
                <w:rFonts w:ascii="Times New Roman" w:hAnsi="Times New Roman" w:eastAsia="Times New Roman" w:cs="Times New Roman"/>
                <w:color w:val="auto"/>
                <w:spacing w:val="-1"/>
                <w:sz w:val="24"/>
                <w:szCs w:val="24"/>
                <w:u w:val="none" w:color="auto"/>
              </w:rPr>
              <w:t>r——</w:t>
            </w:r>
            <w:r>
              <w:rPr>
                <w:rFonts w:ascii="宋体" w:hAnsi="宋体" w:eastAsia="宋体" w:cs="宋体"/>
                <w:color w:val="auto"/>
                <w:spacing w:val="-1"/>
                <w:sz w:val="24"/>
                <w:szCs w:val="24"/>
                <w:u w:val="none" w:color="auto"/>
              </w:rPr>
              <w:t>声源到预测点的距离，</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w:t>
            </w:r>
          </w:p>
          <w:p w14:paraId="538AF1C7">
            <w:pPr>
              <w:spacing w:before="182" w:line="360" w:lineRule="auto"/>
              <w:ind w:left="23" w:right="75" w:firstLine="472"/>
              <w:rPr>
                <w:rFonts w:ascii="宋体" w:hAnsi="宋体" w:eastAsia="宋体" w:cs="宋体"/>
                <w:color w:val="auto"/>
                <w:sz w:val="24"/>
                <w:szCs w:val="24"/>
                <w:u w:val="none" w:color="auto"/>
              </w:rPr>
            </w:pPr>
            <w:r>
              <w:rPr>
                <w:rFonts w:ascii="Times New Roman" w:hAnsi="Times New Roman" w:eastAsia="Times New Roman" w:cs="Times New Roman"/>
                <w:color w:val="auto"/>
                <w:sz w:val="24"/>
                <w:szCs w:val="24"/>
                <w:u w:val="none" w:color="auto"/>
              </w:rPr>
              <w:t>h</w:t>
            </w:r>
            <w:r>
              <w:rPr>
                <w:rFonts w:ascii="Times New Roman" w:hAnsi="Times New Roman" w:eastAsia="Times New Roman" w:cs="Times New Roman"/>
                <w:color w:val="auto"/>
                <w:position w:val="-1"/>
                <w:sz w:val="15"/>
                <w:szCs w:val="15"/>
                <w:u w:val="none" w:color="auto"/>
              </w:rPr>
              <w:t>m</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传播路径的平均离地高度，</w:t>
            </w:r>
            <w:r>
              <w:rPr>
                <w:rFonts w:ascii="Times New Roman" w:hAnsi="Times New Roman" w:eastAsia="Times New Roman" w:cs="Times New Roman"/>
                <w:color w:val="auto"/>
                <w:spacing w:val="1"/>
                <w:sz w:val="24"/>
                <w:szCs w:val="24"/>
                <w:u w:val="none" w:color="auto"/>
              </w:rPr>
              <w:t>m</w:t>
            </w:r>
            <w:r>
              <w:rPr>
                <w:rFonts w:ascii="Times New Roman" w:hAnsi="Times New Roman" w:eastAsia="Times New Roman" w:cs="Times New Roman"/>
                <w:color w:val="auto"/>
                <w:spacing w:val="-6"/>
                <w:sz w:val="24"/>
                <w:szCs w:val="24"/>
                <w:u w:val="none" w:color="auto"/>
              </w:rPr>
              <w:t xml:space="preserve"> </w:t>
            </w:r>
            <w:r>
              <w:rPr>
                <w:rFonts w:ascii="宋体" w:hAnsi="宋体" w:eastAsia="宋体" w:cs="宋体"/>
                <w:color w:val="auto"/>
                <w:spacing w:val="1"/>
                <w:sz w:val="24"/>
                <w:szCs w:val="24"/>
                <w:u w:val="none" w:color="auto"/>
              </w:rPr>
              <w:t>；平均高度</w:t>
            </w:r>
            <w:r>
              <w:rPr>
                <w:rFonts w:ascii="宋体" w:hAnsi="宋体" w:eastAsia="宋体" w:cs="宋体"/>
                <w:color w:val="auto"/>
                <w:spacing w:val="-54"/>
                <w:sz w:val="24"/>
                <w:szCs w:val="24"/>
                <w:u w:val="none" w:color="auto"/>
              </w:rPr>
              <w:t xml:space="preserve"> </w:t>
            </w:r>
            <w:r>
              <w:rPr>
                <w:rFonts w:ascii="Times New Roman" w:hAnsi="Times New Roman" w:eastAsia="Times New Roman" w:cs="Times New Roman"/>
                <w:color w:val="auto"/>
                <w:sz w:val="24"/>
                <w:szCs w:val="24"/>
                <w:u w:val="none" w:color="auto"/>
              </w:rPr>
              <w:t>h</w:t>
            </w:r>
            <w:r>
              <w:rPr>
                <w:rFonts w:ascii="Times New Roman" w:hAnsi="Times New Roman" w:eastAsia="Times New Roman" w:cs="Times New Roman"/>
                <w:color w:val="auto"/>
                <w:position w:val="-1"/>
                <w:sz w:val="15"/>
                <w:szCs w:val="15"/>
                <w:u w:val="none" w:color="auto"/>
              </w:rPr>
              <w:t>m</w:t>
            </w:r>
            <w:r>
              <w:rPr>
                <w:rFonts w:ascii="Times New Roman" w:hAnsi="Times New Roman" w:eastAsia="Times New Roman" w:cs="Times New Roman"/>
                <w:color w:val="auto"/>
                <w:spacing w:val="14"/>
                <w:position w:val="-1"/>
                <w:sz w:val="15"/>
                <w:szCs w:val="15"/>
                <w:u w:val="none" w:color="auto"/>
              </w:rPr>
              <w:t xml:space="preserve"> </w:t>
            </w:r>
            <w:r>
              <w:rPr>
                <w:rFonts w:ascii="宋体" w:hAnsi="宋体" w:eastAsia="宋体" w:cs="宋体"/>
                <w:color w:val="auto"/>
                <w:spacing w:val="1"/>
                <w:sz w:val="24"/>
                <w:szCs w:val="24"/>
                <w:u w:val="none" w:color="auto"/>
              </w:rPr>
              <w:t>可按下图所示方法进行</w:t>
            </w:r>
            <w:r>
              <w:rPr>
                <w:rFonts w:ascii="宋体" w:hAnsi="宋体" w:eastAsia="宋体" w:cs="宋体"/>
                <w:color w:val="auto"/>
                <w:spacing w:val="-3"/>
                <w:sz w:val="24"/>
                <w:szCs w:val="24"/>
                <w:u w:val="none" w:color="auto"/>
              </w:rPr>
              <w:t>计算。</w:t>
            </w:r>
            <w:r>
              <w:rPr>
                <w:rFonts w:ascii="Times New Roman" w:hAnsi="Times New Roman" w:eastAsia="Times New Roman" w:cs="Times New Roman"/>
                <w:color w:val="auto"/>
                <w:spacing w:val="-3"/>
                <w:sz w:val="24"/>
                <w:szCs w:val="24"/>
                <w:u w:val="none" w:color="auto"/>
              </w:rPr>
              <w:t>h</w:t>
            </w:r>
            <w:r>
              <w:rPr>
                <w:rFonts w:ascii="Times New Roman" w:hAnsi="Times New Roman" w:eastAsia="Times New Roman" w:cs="Times New Roman"/>
                <w:color w:val="auto"/>
                <w:spacing w:val="-3"/>
                <w:position w:val="-1"/>
                <w:sz w:val="15"/>
                <w:szCs w:val="15"/>
                <w:u w:val="none" w:color="auto"/>
              </w:rPr>
              <w:t>m</w:t>
            </w:r>
            <w:r>
              <w:rPr>
                <w:rFonts w:ascii="Times New Roman" w:hAnsi="Times New Roman" w:eastAsia="Times New Roman" w:cs="Times New Roman"/>
                <w:color w:val="auto"/>
                <w:spacing w:val="-3"/>
                <w:sz w:val="24"/>
                <w:szCs w:val="24"/>
                <w:u w:val="none" w:color="auto"/>
              </w:rPr>
              <w:t>=F/r</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F——</w:t>
            </w:r>
            <w:r>
              <w:rPr>
                <w:rFonts w:ascii="宋体" w:hAnsi="宋体" w:eastAsia="宋体" w:cs="宋体"/>
                <w:color w:val="auto"/>
                <w:spacing w:val="-3"/>
                <w:sz w:val="24"/>
                <w:szCs w:val="24"/>
                <w:u w:val="none" w:color="auto"/>
              </w:rPr>
              <w:t>面积，</w:t>
            </w:r>
            <w:r>
              <w:rPr>
                <w:rFonts w:ascii="Times New Roman" w:hAnsi="Times New Roman" w:eastAsia="Times New Roman" w:cs="Times New Roman"/>
                <w:color w:val="auto"/>
                <w:spacing w:val="-3"/>
                <w:sz w:val="24"/>
                <w:szCs w:val="24"/>
                <w:u w:val="none" w:color="auto"/>
              </w:rPr>
              <w:t>m</w:t>
            </w:r>
            <w:r>
              <w:rPr>
                <w:rFonts w:ascii="Times New Roman" w:hAnsi="Times New Roman" w:eastAsia="Times New Roman" w:cs="Times New Roman"/>
                <w:color w:val="auto"/>
                <w:spacing w:val="-3"/>
                <w:position w:val="7"/>
                <w:sz w:val="15"/>
                <w:szCs w:val="15"/>
                <w:u w:val="none" w:color="auto"/>
              </w:rPr>
              <w:t>2</w:t>
            </w:r>
            <w:r>
              <w:rPr>
                <w:rFonts w:ascii="Times New Roman" w:hAnsi="Times New Roman" w:eastAsia="Times New Roman" w:cs="Times New Roman"/>
                <w:color w:val="auto"/>
                <w:spacing w:val="-1"/>
                <w:position w:val="7"/>
                <w:sz w:val="15"/>
                <w:szCs w:val="15"/>
                <w:u w:val="none" w:color="auto"/>
              </w:rPr>
              <w:t xml:space="preserve"> </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r</w:t>
            </w:r>
            <w:r>
              <w:rPr>
                <w:rFonts w:ascii="Times New Roman" w:hAnsi="Times New Roman" w:eastAsia="Times New Roman" w:cs="Times New Roman"/>
                <w:color w:val="auto"/>
                <w:spacing w:val="-33"/>
                <w:sz w:val="24"/>
                <w:szCs w:val="24"/>
                <w:u w:val="none" w:color="auto"/>
              </w:rPr>
              <w:t xml:space="preserve"> </w:t>
            </w: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m</w:t>
            </w:r>
            <w:r>
              <w:rPr>
                <w:rFonts w:ascii="宋体" w:hAnsi="宋体" w:eastAsia="宋体" w:cs="宋体"/>
                <w:color w:val="auto"/>
                <w:spacing w:val="-3"/>
                <w:sz w:val="24"/>
                <w:szCs w:val="24"/>
                <w:u w:val="none" w:color="auto"/>
              </w:rPr>
              <w:t>。</w:t>
            </w:r>
          </w:p>
          <w:p w14:paraId="5F78E7E2">
            <w:pPr>
              <w:spacing w:before="1" w:line="352" w:lineRule="auto"/>
              <w:ind w:left="21" w:right="72" w:firstLine="482"/>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若</w:t>
            </w:r>
            <w:r>
              <w:rPr>
                <w:rFonts w:ascii="宋体" w:hAnsi="宋体" w:eastAsia="宋体" w:cs="宋体"/>
                <w:color w:val="auto"/>
                <w:spacing w:val="-46"/>
                <w:sz w:val="24"/>
                <w:szCs w:val="24"/>
                <w:u w:val="none" w:color="auto"/>
              </w:rPr>
              <w:t xml:space="preserve"> </w:t>
            </w:r>
            <w:r>
              <w:rPr>
                <w:rFonts w:ascii="Times New Roman" w:hAnsi="Times New Roman" w:eastAsia="Times New Roman" w:cs="Times New Roman"/>
                <w:color w:val="auto"/>
                <w:spacing w:val="-2"/>
                <w:sz w:val="24"/>
                <w:szCs w:val="24"/>
                <w:u w:val="none" w:color="auto"/>
              </w:rPr>
              <w:t>A</w:t>
            </w:r>
            <w:r>
              <w:rPr>
                <w:rFonts w:ascii="Times New Roman" w:hAnsi="Times New Roman" w:eastAsia="Times New Roman" w:cs="Times New Roman"/>
                <w:color w:val="auto"/>
                <w:spacing w:val="-2"/>
                <w:position w:val="-1"/>
                <w:sz w:val="15"/>
                <w:szCs w:val="15"/>
                <w:u w:val="none" w:color="auto"/>
              </w:rPr>
              <w:t>gr</w:t>
            </w:r>
            <w:r>
              <w:rPr>
                <w:rFonts w:ascii="Times New Roman" w:hAnsi="Times New Roman" w:eastAsia="Times New Roman" w:cs="Times New Roman"/>
                <w:color w:val="auto"/>
                <w:spacing w:val="10"/>
                <w:w w:val="101"/>
                <w:position w:val="-1"/>
                <w:sz w:val="15"/>
                <w:szCs w:val="15"/>
                <w:u w:val="none" w:color="auto"/>
              </w:rPr>
              <w:t xml:space="preserve"> </w:t>
            </w:r>
            <w:r>
              <w:rPr>
                <w:rFonts w:ascii="宋体" w:hAnsi="宋体" w:eastAsia="宋体" w:cs="宋体"/>
                <w:color w:val="auto"/>
                <w:spacing w:val="-2"/>
                <w:sz w:val="24"/>
                <w:szCs w:val="24"/>
                <w:u w:val="none" w:color="auto"/>
              </w:rPr>
              <w:t>计算出现负值，则</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2"/>
                <w:sz w:val="24"/>
                <w:szCs w:val="24"/>
                <w:u w:val="none" w:color="auto"/>
              </w:rPr>
              <w:t>A</w:t>
            </w:r>
            <w:r>
              <w:rPr>
                <w:rFonts w:ascii="Times New Roman" w:hAnsi="Times New Roman" w:eastAsia="Times New Roman" w:cs="Times New Roman"/>
                <w:color w:val="auto"/>
                <w:spacing w:val="-2"/>
                <w:position w:val="-1"/>
                <w:sz w:val="15"/>
                <w:szCs w:val="15"/>
                <w:u w:val="none" w:color="auto"/>
              </w:rPr>
              <w:t>gr</w:t>
            </w:r>
            <w:r>
              <w:rPr>
                <w:rFonts w:ascii="Times New Roman" w:hAnsi="Times New Roman" w:eastAsia="Times New Roman" w:cs="Times New Roman"/>
                <w:color w:val="auto"/>
                <w:spacing w:val="12"/>
                <w:position w:val="-1"/>
                <w:sz w:val="15"/>
                <w:szCs w:val="15"/>
                <w:u w:val="none" w:color="auto"/>
              </w:rPr>
              <w:t xml:space="preserve"> </w:t>
            </w:r>
            <w:r>
              <w:rPr>
                <w:rFonts w:ascii="宋体" w:hAnsi="宋体" w:eastAsia="宋体" w:cs="宋体"/>
                <w:color w:val="auto"/>
                <w:spacing w:val="-2"/>
                <w:sz w:val="24"/>
                <w:szCs w:val="24"/>
                <w:u w:val="none" w:color="auto"/>
              </w:rPr>
              <w:t>可用“</w:t>
            </w:r>
            <w:r>
              <w:rPr>
                <w:rFonts w:ascii="Times New Roman" w:hAnsi="Times New Roman" w:eastAsia="Times New Roman" w:cs="Times New Roman"/>
                <w:color w:val="auto"/>
                <w:spacing w:val="-2"/>
                <w:sz w:val="24"/>
                <w:szCs w:val="24"/>
                <w:u w:val="none" w:color="auto"/>
              </w:rPr>
              <w:t>0</w:t>
            </w:r>
            <w:r>
              <w:rPr>
                <w:rFonts w:ascii="Times New Roman" w:hAnsi="Times New Roman" w:eastAsia="Times New Roman" w:cs="Times New Roman"/>
                <w:color w:val="auto"/>
                <w:spacing w:val="-28"/>
                <w:sz w:val="24"/>
                <w:szCs w:val="24"/>
                <w:u w:val="none" w:color="auto"/>
              </w:rPr>
              <w:t xml:space="preserve"> </w:t>
            </w:r>
            <w:r>
              <w:rPr>
                <w:rFonts w:ascii="宋体" w:hAnsi="宋体" w:eastAsia="宋体" w:cs="宋体"/>
                <w:color w:val="auto"/>
                <w:spacing w:val="-2"/>
                <w:sz w:val="24"/>
                <w:szCs w:val="24"/>
                <w:u w:val="none" w:color="auto"/>
              </w:rPr>
              <w:t>”代替，其他情况可参照</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2"/>
                <w:sz w:val="24"/>
                <w:szCs w:val="24"/>
                <w:u w:val="none" w:color="auto"/>
              </w:rPr>
              <w:t>GB/T17247.2</w:t>
            </w:r>
            <w:r>
              <w:rPr>
                <w:rFonts w:ascii="宋体" w:hAnsi="宋体" w:eastAsia="宋体" w:cs="宋体"/>
                <w:color w:val="auto"/>
                <w:spacing w:val="-2"/>
                <w:sz w:val="24"/>
                <w:szCs w:val="24"/>
                <w:u w:val="none" w:color="auto"/>
              </w:rPr>
              <w:t>进行计算。</w:t>
            </w:r>
          </w:p>
          <w:p w14:paraId="26AA58DF">
            <w:pPr>
              <w:spacing w:before="40" w:line="2822" w:lineRule="exact"/>
              <w:ind w:firstLine="971"/>
              <w:rPr>
                <w:color w:val="auto"/>
                <w:u w:val="none" w:color="auto"/>
              </w:rPr>
            </w:pPr>
            <w:r>
              <w:rPr>
                <w:color w:val="auto"/>
                <w:position w:val="-56"/>
                <w:u w:val="none" w:color="auto"/>
              </w:rPr>
              <w:drawing>
                <wp:inline distT="0" distB="0" distL="0" distR="0">
                  <wp:extent cx="4053840" cy="1791970"/>
                  <wp:effectExtent l="0" t="0" r="3810" b="17780"/>
                  <wp:docPr id="163" name="IM 86"/>
                  <wp:cNvGraphicFramePr/>
                  <a:graphic xmlns:a="http://schemas.openxmlformats.org/drawingml/2006/main">
                    <a:graphicData uri="http://schemas.openxmlformats.org/drawingml/2006/picture">
                      <pic:pic xmlns:pic="http://schemas.openxmlformats.org/drawingml/2006/picture">
                        <pic:nvPicPr>
                          <pic:cNvPr id="163" name="IM 86"/>
                          <pic:cNvPicPr/>
                        </pic:nvPicPr>
                        <pic:blipFill>
                          <a:blip r:embed="rId48"/>
                          <a:stretch>
                            <a:fillRect/>
                          </a:stretch>
                        </pic:blipFill>
                        <pic:spPr>
                          <a:xfrm>
                            <a:off x="0" y="0"/>
                            <a:ext cx="4053840" cy="1792223"/>
                          </a:xfrm>
                          <a:prstGeom prst="rect">
                            <a:avLst/>
                          </a:prstGeom>
                        </pic:spPr>
                      </pic:pic>
                    </a:graphicData>
                  </a:graphic>
                </wp:inline>
              </w:drawing>
            </w:r>
          </w:p>
          <w:p w14:paraId="3E102002">
            <w:pPr>
              <w:spacing w:before="215" w:line="226" w:lineRule="auto"/>
              <w:ind w:left="2711"/>
              <w:rPr>
                <w:rFonts w:ascii="宋体" w:hAnsi="宋体" w:eastAsia="宋体" w:cs="宋体"/>
                <w:color w:val="auto"/>
                <w:sz w:val="20"/>
                <w:szCs w:val="20"/>
                <w:u w:val="none" w:color="auto"/>
              </w:rPr>
            </w:pPr>
            <w:r>
              <w:rPr>
                <w:rFonts w:ascii="宋体" w:hAnsi="宋体" w:eastAsia="宋体" w:cs="宋体"/>
                <w:b/>
                <w:bCs/>
                <w:color w:val="auto"/>
                <w:spacing w:val="2"/>
                <w:sz w:val="20"/>
                <w:szCs w:val="20"/>
                <w:u w:val="none" w:color="auto"/>
              </w:rPr>
              <w:t>图</w:t>
            </w:r>
            <w:r>
              <w:rPr>
                <w:rFonts w:ascii="宋体" w:hAnsi="宋体" w:eastAsia="宋体" w:cs="宋体"/>
                <w:color w:val="auto"/>
                <w:spacing w:val="-36"/>
                <w:sz w:val="20"/>
                <w:szCs w:val="20"/>
                <w:u w:val="none" w:color="auto"/>
              </w:rPr>
              <w:t xml:space="preserve"> </w:t>
            </w:r>
            <w:r>
              <w:rPr>
                <w:rFonts w:ascii="Times New Roman" w:hAnsi="Times New Roman" w:eastAsia="Times New Roman" w:cs="Times New Roman"/>
                <w:b/>
                <w:bCs/>
                <w:color w:val="auto"/>
                <w:spacing w:val="2"/>
                <w:sz w:val="20"/>
                <w:szCs w:val="20"/>
                <w:u w:val="none" w:color="auto"/>
              </w:rPr>
              <w:t>4-</w:t>
            </w:r>
            <w:r>
              <w:rPr>
                <w:rFonts w:hint="eastAsia" w:eastAsia="宋体" w:cs="Times New Roman"/>
                <w:b/>
                <w:bCs/>
                <w:color w:val="auto"/>
                <w:spacing w:val="2"/>
                <w:sz w:val="20"/>
                <w:szCs w:val="20"/>
                <w:u w:val="none" w:color="auto"/>
                <w:lang w:val="en-US" w:eastAsia="zh-CN"/>
              </w:rPr>
              <w:t>7</w:t>
            </w:r>
            <w:r>
              <w:rPr>
                <w:rFonts w:ascii="Times New Roman" w:hAnsi="Times New Roman" w:eastAsia="Times New Roman" w:cs="Times New Roman"/>
                <w:b/>
                <w:bCs/>
                <w:color w:val="auto"/>
                <w:spacing w:val="2"/>
                <w:sz w:val="20"/>
                <w:szCs w:val="20"/>
                <w:u w:val="none" w:color="auto"/>
              </w:rPr>
              <w:t xml:space="preserve">    </w:t>
            </w:r>
            <w:r>
              <w:rPr>
                <w:rFonts w:ascii="宋体" w:hAnsi="宋体" w:eastAsia="宋体" w:cs="宋体"/>
                <w:b/>
                <w:bCs/>
                <w:color w:val="auto"/>
                <w:spacing w:val="2"/>
                <w:sz w:val="20"/>
                <w:szCs w:val="20"/>
                <w:u w:val="none" w:color="auto"/>
              </w:rPr>
              <w:t>估计平均高度</w:t>
            </w:r>
            <w:r>
              <w:rPr>
                <w:rFonts w:ascii="宋体" w:hAnsi="宋体" w:eastAsia="宋体" w:cs="宋体"/>
                <w:color w:val="auto"/>
                <w:spacing w:val="-38"/>
                <w:sz w:val="20"/>
                <w:szCs w:val="20"/>
                <w:u w:val="none" w:color="auto"/>
              </w:rPr>
              <w:t xml:space="preserve"> </w:t>
            </w:r>
            <w:r>
              <w:rPr>
                <w:rFonts w:ascii="Times New Roman" w:hAnsi="Times New Roman" w:eastAsia="Times New Roman" w:cs="Times New Roman"/>
                <w:b/>
                <w:bCs/>
                <w:color w:val="auto"/>
                <w:sz w:val="20"/>
                <w:szCs w:val="20"/>
                <w:u w:val="none" w:color="auto"/>
              </w:rPr>
              <w:t>h</w:t>
            </w:r>
            <w:r>
              <w:rPr>
                <w:rFonts w:ascii="Times New Roman" w:hAnsi="Times New Roman" w:eastAsia="Times New Roman" w:cs="Times New Roman"/>
                <w:b/>
                <w:bCs/>
                <w:color w:val="auto"/>
                <w:position w:val="-1"/>
                <w:sz w:val="13"/>
                <w:szCs w:val="13"/>
                <w:u w:val="none" w:color="auto"/>
              </w:rPr>
              <w:t>m</w:t>
            </w:r>
            <w:r>
              <w:rPr>
                <w:rFonts w:ascii="Times New Roman" w:hAnsi="Times New Roman" w:eastAsia="Times New Roman" w:cs="Times New Roman"/>
                <w:b/>
                <w:bCs/>
                <w:color w:val="auto"/>
                <w:spacing w:val="2"/>
                <w:position w:val="-1"/>
                <w:sz w:val="13"/>
                <w:szCs w:val="13"/>
                <w:u w:val="none" w:color="auto"/>
              </w:rPr>
              <w:t xml:space="preserve">  </w:t>
            </w:r>
            <w:r>
              <w:rPr>
                <w:rFonts w:ascii="宋体" w:hAnsi="宋体" w:eastAsia="宋体" w:cs="宋体"/>
                <w:b/>
                <w:bCs/>
                <w:color w:val="auto"/>
                <w:spacing w:val="2"/>
                <w:sz w:val="20"/>
                <w:szCs w:val="20"/>
                <w:u w:val="none" w:color="auto"/>
              </w:rPr>
              <w:t>的方法</w:t>
            </w:r>
          </w:p>
          <w:p w14:paraId="2861F1BA">
            <w:pPr>
              <w:spacing w:before="130" w:line="217" w:lineRule="auto"/>
              <w:ind w:left="501"/>
              <w:rPr>
                <w:rFonts w:ascii="宋体" w:hAnsi="宋体" w:eastAsia="宋体" w:cs="宋体"/>
                <w:color w:val="auto"/>
                <w:sz w:val="24"/>
                <w:szCs w:val="24"/>
                <w:u w:val="none" w:color="auto"/>
              </w:rPr>
            </w:pPr>
            <w:r>
              <w:rPr>
                <w:rFonts w:ascii="宋体" w:hAnsi="宋体" w:eastAsia="宋体" w:cs="宋体"/>
                <w:color w:val="auto"/>
                <w:sz w:val="24"/>
                <w:szCs w:val="24"/>
                <w:u w:val="none" w:color="auto"/>
              </w:rPr>
              <w:t>④其他方面效应引起的衰减（</w:t>
            </w: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position w:val="-1"/>
                <w:sz w:val="15"/>
                <w:szCs w:val="15"/>
                <w:u w:val="none" w:color="auto"/>
              </w:rPr>
              <w:t>misc</w:t>
            </w:r>
            <w:r>
              <w:rPr>
                <w:rFonts w:ascii="宋体" w:hAnsi="宋体" w:eastAsia="宋体" w:cs="宋体"/>
                <w:color w:val="auto"/>
                <w:sz w:val="24"/>
                <w:szCs w:val="24"/>
                <w:u w:val="none" w:color="auto"/>
              </w:rPr>
              <w:t>）</w:t>
            </w:r>
          </w:p>
          <w:p w14:paraId="5A07354A">
            <w:pPr>
              <w:spacing w:before="185" w:line="360" w:lineRule="auto"/>
              <w:ind w:left="25" w:firstLine="477"/>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在声环境影响评价中，一般情况下不考虑自然条件（如风、温度梯度、雾）</w:t>
            </w:r>
            <w:r>
              <w:rPr>
                <w:rFonts w:ascii="宋体" w:hAnsi="宋体" w:eastAsia="宋体" w:cs="宋体"/>
                <w:color w:val="auto"/>
                <w:spacing w:val="-2"/>
                <w:sz w:val="24"/>
                <w:szCs w:val="24"/>
                <w:u w:val="none" w:color="auto"/>
              </w:rPr>
              <w:t>等变化引起的衰减。</w:t>
            </w:r>
          </w:p>
          <w:p w14:paraId="4340D6D7">
            <w:pPr>
              <w:spacing w:before="1" w:line="219" w:lineRule="auto"/>
              <w:ind w:left="514"/>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3</w:t>
            </w:r>
            <w:r>
              <w:rPr>
                <w:rFonts w:ascii="宋体" w:hAnsi="宋体" w:eastAsia="宋体" w:cs="宋体"/>
                <w:color w:val="auto"/>
                <w:spacing w:val="-1"/>
                <w:sz w:val="24"/>
                <w:szCs w:val="24"/>
                <w:u w:val="none" w:color="auto"/>
              </w:rPr>
              <w:t>）由反射等引起的修正量 (</w:t>
            </w:r>
            <w:r>
              <w:rPr>
                <w:rFonts w:ascii="Times New Roman" w:hAnsi="Times New Roman" w:eastAsia="Times New Roman" w:cs="Times New Roman"/>
                <w:color w:val="auto"/>
                <w:spacing w:val="-1"/>
                <w:sz w:val="24"/>
                <w:szCs w:val="24"/>
                <w:u w:val="none" w:color="auto"/>
              </w:rPr>
              <w:t>ΔL</w:t>
            </w:r>
            <w:r>
              <w:rPr>
                <w:rFonts w:ascii="Times New Roman" w:hAnsi="Times New Roman" w:eastAsia="Times New Roman" w:cs="Times New Roman"/>
                <w:color w:val="auto"/>
                <w:spacing w:val="-1"/>
                <w:position w:val="-1"/>
                <w:sz w:val="15"/>
                <w:szCs w:val="15"/>
                <w:u w:val="none" w:color="auto"/>
              </w:rPr>
              <w:t>3</w:t>
            </w:r>
            <w:r>
              <w:rPr>
                <w:rFonts w:ascii="宋体" w:hAnsi="宋体" w:eastAsia="宋体" w:cs="宋体"/>
                <w:color w:val="auto"/>
                <w:spacing w:val="-1"/>
                <w:sz w:val="24"/>
                <w:szCs w:val="24"/>
                <w:u w:val="none" w:color="auto"/>
              </w:rPr>
              <w:t>）</w:t>
            </w:r>
          </w:p>
          <w:p w14:paraId="1CCF1465">
            <w:pPr>
              <w:spacing w:before="183" w:line="217" w:lineRule="auto"/>
              <w:ind w:left="502"/>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①城市道路交叉路口噪声（影响）修正量</w:t>
            </w:r>
          </w:p>
          <w:p w14:paraId="7429E8F8">
            <w:pPr>
              <w:spacing w:before="185" w:line="219" w:lineRule="auto"/>
              <w:ind w:left="508"/>
              <w:rPr>
                <w:rFonts w:ascii="宋体" w:hAnsi="宋体" w:eastAsia="宋体" w:cs="宋体"/>
                <w:color w:val="auto"/>
                <w:spacing w:val="-1"/>
                <w:sz w:val="24"/>
                <w:szCs w:val="24"/>
                <w:u w:val="none" w:color="auto"/>
              </w:rPr>
            </w:pPr>
            <w:r>
              <w:rPr>
                <w:rFonts w:ascii="宋体" w:hAnsi="宋体" w:eastAsia="宋体" w:cs="宋体"/>
                <w:color w:val="auto"/>
                <w:spacing w:val="-1"/>
                <w:sz w:val="24"/>
                <w:szCs w:val="24"/>
                <w:u w:val="none" w:color="auto"/>
              </w:rPr>
              <w:t>交叉路口的噪声修正值（附加值）见下表：</w:t>
            </w:r>
          </w:p>
          <w:p w14:paraId="78291D01">
            <w:pPr>
              <w:spacing w:before="185" w:line="219" w:lineRule="auto"/>
              <w:ind w:left="508"/>
              <w:jc w:val="center"/>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表</w:t>
            </w:r>
            <w:r>
              <w:rPr>
                <w:rFonts w:ascii="宋体" w:hAnsi="宋体" w:eastAsia="宋体" w:cs="宋体"/>
                <w:color w:val="auto"/>
                <w:spacing w:val="-27"/>
                <w:sz w:val="20"/>
                <w:szCs w:val="20"/>
                <w:u w:val="none" w:color="auto"/>
              </w:rPr>
              <w:t xml:space="preserve"> </w:t>
            </w:r>
            <w:r>
              <w:rPr>
                <w:rFonts w:ascii="Times New Roman" w:hAnsi="Times New Roman" w:eastAsia="Times New Roman" w:cs="Times New Roman"/>
                <w:b/>
                <w:bCs/>
                <w:color w:val="auto"/>
                <w:spacing w:val="5"/>
                <w:sz w:val="20"/>
                <w:szCs w:val="20"/>
                <w:u w:val="none" w:color="auto"/>
              </w:rPr>
              <w:t>4-1</w:t>
            </w:r>
            <w:r>
              <w:rPr>
                <w:rFonts w:hint="eastAsia" w:eastAsia="宋体" w:cs="Times New Roman"/>
                <w:b/>
                <w:bCs/>
                <w:color w:val="auto"/>
                <w:spacing w:val="5"/>
                <w:sz w:val="20"/>
                <w:szCs w:val="20"/>
                <w:u w:val="none" w:color="auto"/>
                <w:lang w:val="en-US" w:eastAsia="zh-CN"/>
              </w:rPr>
              <w:t>2</w:t>
            </w:r>
            <w:r>
              <w:rPr>
                <w:rFonts w:ascii="Times New Roman" w:hAnsi="Times New Roman" w:eastAsia="Times New Roman" w:cs="Times New Roman"/>
                <w:b/>
                <w:bCs/>
                <w:color w:val="auto"/>
                <w:spacing w:val="5"/>
                <w:sz w:val="20"/>
                <w:szCs w:val="20"/>
                <w:u w:val="none" w:color="auto"/>
              </w:rPr>
              <w:t xml:space="preserve">    </w:t>
            </w:r>
            <w:r>
              <w:rPr>
                <w:rFonts w:ascii="宋体" w:hAnsi="宋体" w:eastAsia="宋体" w:cs="宋体"/>
                <w:b/>
                <w:bCs/>
                <w:color w:val="auto"/>
                <w:spacing w:val="5"/>
                <w:sz w:val="20"/>
                <w:szCs w:val="20"/>
                <w:u w:val="none" w:color="auto"/>
              </w:rPr>
              <w:t>交叉路口的噪声附加量</w:t>
            </w:r>
          </w:p>
          <w:p w14:paraId="371B5D1C">
            <w:pPr>
              <w:spacing w:line="14" w:lineRule="exact"/>
              <w:rPr>
                <w:color w:val="auto"/>
                <w:u w:val="none" w:color="auto"/>
              </w:rPr>
            </w:pPr>
          </w:p>
          <w:p w14:paraId="6F374D44">
            <w:pPr>
              <w:spacing w:line="91" w:lineRule="auto"/>
              <w:rPr>
                <w:rFonts w:ascii="Arial"/>
                <w:color w:val="auto"/>
                <w:sz w:val="2"/>
                <w:u w:val="none" w:color="auto"/>
              </w:rPr>
            </w:pPr>
          </w:p>
          <w:tbl>
            <w:tblPr>
              <w:tblStyle w:val="26"/>
              <w:tblW w:w="77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82"/>
              <w:gridCol w:w="2997"/>
            </w:tblGrid>
            <w:tr w14:paraId="32C41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782" w:type="dxa"/>
                  <w:tcBorders>
                    <w:tl2br w:val="nil"/>
                    <w:tr2bl w:val="nil"/>
                  </w:tcBorders>
                  <w:vAlign w:val="center"/>
                </w:tcPr>
                <w:p w14:paraId="6BF48BF2">
                  <w:pPr>
                    <w:pStyle w:val="81"/>
                    <w:spacing w:before="55" w:line="225" w:lineRule="auto"/>
                    <w:jc w:val="center"/>
                    <w:rPr>
                      <w:rFonts w:ascii="宋体" w:hAnsi="宋体" w:eastAsia="宋体" w:cs="宋体"/>
                      <w:color w:val="auto"/>
                      <w:spacing w:val="-3"/>
                      <w:sz w:val="24"/>
                      <w:szCs w:val="24"/>
                      <w:u w:val="none" w:color="auto"/>
                      <w:vertAlign w:val="baseline"/>
                    </w:rPr>
                  </w:pPr>
                  <w:r>
                    <w:rPr>
                      <w:color w:val="auto"/>
                      <w:spacing w:val="9"/>
                      <w:sz w:val="20"/>
                      <w:szCs w:val="20"/>
                      <w:u w:val="none" w:color="auto"/>
                    </w:rPr>
                    <w:t>受噪声影响点至最近快车道中轴线交叉点的距离</w:t>
                  </w:r>
                </w:p>
              </w:tc>
              <w:tc>
                <w:tcPr>
                  <w:tcW w:w="2997" w:type="dxa"/>
                  <w:tcBorders>
                    <w:tl2br w:val="nil"/>
                    <w:tr2bl w:val="nil"/>
                  </w:tcBorders>
                  <w:vAlign w:val="center"/>
                </w:tcPr>
                <w:p w14:paraId="6CD1983E">
                  <w:pPr>
                    <w:pStyle w:val="81"/>
                    <w:spacing w:before="55" w:line="225" w:lineRule="auto"/>
                    <w:jc w:val="center"/>
                    <w:rPr>
                      <w:rFonts w:ascii="宋体" w:hAnsi="宋体" w:eastAsia="宋体" w:cs="宋体"/>
                      <w:color w:val="auto"/>
                      <w:spacing w:val="-3"/>
                      <w:sz w:val="24"/>
                      <w:szCs w:val="24"/>
                      <w:u w:val="none" w:color="auto"/>
                      <w:vertAlign w:val="baseline"/>
                    </w:rPr>
                  </w:pPr>
                  <w:r>
                    <w:rPr>
                      <w:color w:val="auto"/>
                      <w:spacing w:val="7"/>
                      <w:sz w:val="20"/>
                      <w:szCs w:val="20"/>
                      <w:u w:val="none" w:color="auto"/>
                    </w:rPr>
                    <w:t>交叉路口（</w:t>
                  </w:r>
                  <w:r>
                    <w:rPr>
                      <w:rFonts w:ascii="Times New Roman" w:hAnsi="Times New Roman" w:eastAsia="Times New Roman" w:cs="Times New Roman"/>
                      <w:color w:val="auto"/>
                      <w:sz w:val="20"/>
                      <w:szCs w:val="20"/>
                      <w:u w:val="none" w:color="auto"/>
                    </w:rPr>
                    <w:t>dB</w:t>
                  </w:r>
                  <w:r>
                    <w:rPr>
                      <w:color w:val="auto"/>
                      <w:spacing w:val="7"/>
                      <w:sz w:val="20"/>
                      <w:szCs w:val="20"/>
                      <w:u w:val="none" w:color="auto"/>
                    </w:rPr>
                    <w:t>）</w:t>
                  </w:r>
                </w:p>
              </w:tc>
            </w:tr>
            <w:tr w14:paraId="49AB7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782" w:type="dxa"/>
                  <w:tcBorders>
                    <w:tl2br w:val="nil"/>
                    <w:tr2bl w:val="nil"/>
                  </w:tcBorders>
                  <w:vAlign w:val="center"/>
                </w:tcPr>
                <w:p w14:paraId="458D6824">
                  <w:pPr>
                    <w:spacing w:before="102"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pacing w:val="4"/>
                      <w:sz w:val="20"/>
                      <w:szCs w:val="20"/>
                      <w:u w:val="none" w:color="auto"/>
                    </w:rPr>
                    <w:t>≤40</w:t>
                  </w:r>
                </w:p>
              </w:tc>
              <w:tc>
                <w:tcPr>
                  <w:tcW w:w="2997" w:type="dxa"/>
                  <w:tcBorders>
                    <w:tl2br w:val="nil"/>
                    <w:tr2bl w:val="nil"/>
                  </w:tcBorders>
                  <w:vAlign w:val="center"/>
                </w:tcPr>
                <w:p w14:paraId="20E20144">
                  <w:pPr>
                    <w:spacing w:before="101"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z w:val="20"/>
                      <w:szCs w:val="20"/>
                      <w:u w:val="none" w:color="auto"/>
                    </w:rPr>
                    <w:t>3</w:t>
                  </w:r>
                </w:p>
              </w:tc>
            </w:tr>
            <w:tr w14:paraId="09B8B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82" w:type="dxa"/>
                  <w:tcBorders>
                    <w:tl2br w:val="nil"/>
                    <w:tr2bl w:val="nil"/>
                  </w:tcBorders>
                  <w:vAlign w:val="center"/>
                </w:tcPr>
                <w:p w14:paraId="11CF8E23">
                  <w:pPr>
                    <w:spacing w:before="94"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pacing w:val="4"/>
                      <w:sz w:val="20"/>
                      <w:szCs w:val="20"/>
                      <w:u w:val="none" w:color="auto"/>
                    </w:rPr>
                    <w:t>40&lt;D≤70</w:t>
                  </w:r>
                </w:p>
              </w:tc>
              <w:tc>
                <w:tcPr>
                  <w:tcW w:w="2997" w:type="dxa"/>
                  <w:tcBorders>
                    <w:tl2br w:val="nil"/>
                    <w:tr2bl w:val="nil"/>
                  </w:tcBorders>
                  <w:vAlign w:val="center"/>
                </w:tcPr>
                <w:p w14:paraId="70F11767">
                  <w:pPr>
                    <w:spacing w:before="94"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z w:val="20"/>
                      <w:szCs w:val="20"/>
                      <w:u w:val="none" w:color="auto"/>
                    </w:rPr>
                    <w:t>2</w:t>
                  </w:r>
                </w:p>
              </w:tc>
            </w:tr>
            <w:tr w14:paraId="59897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782" w:type="dxa"/>
                  <w:tcBorders>
                    <w:tl2br w:val="nil"/>
                    <w:tr2bl w:val="nil"/>
                  </w:tcBorders>
                  <w:vAlign w:val="center"/>
                </w:tcPr>
                <w:p w14:paraId="54A07040">
                  <w:pPr>
                    <w:spacing w:before="98"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pacing w:val="4"/>
                      <w:sz w:val="20"/>
                      <w:szCs w:val="20"/>
                      <w:u w:val="none" w:color="auto"/>
                    </w:rPr>
                    <w:t>70&lt;D≤100</w:t>
                  </w:r>
                </w:p>
              </w:tc>
              <w:tc>
                <w:tcPr>
                  <w:tcW w:w="2997" w:type="dxa"/>
                  <w:tcBorders>
                    <w:tl2br w:val="nil"/>
                    <w:tr2bl w:val="nil"/>
                  </w:tcBorders>
                  <w:vAlign w:val="center"/>
                </w:tcPr>
                <w:p w14:paraId="0BA68684">
                  <w:pPr>
                    <w:spacing w:before="97"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z w:val="20"/>
                      <w:szCs w:val="20"/>
                      <w:u w:val="none" w:color="auto"/>
                    </w:rPr>
                    <w:t>1</w:t>
                  </w:r>
                </w:p>
              </w:tc>
            </w:tr>
            <w:tr w14:paraId="1589D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782" w:type="dxa"/>
                  <w:tcBorders>
                    <w:tl2br w:val="nil"/>
                    <w:tr2bl w:val="nil"/>
                  </w:tcBorders>
                  <w:vAlign w:val="center"/>
                </w:tcPr>
                <w:p w14:paraId="0445ED05">
                  <w:pPr>
                    <w:spacing w:before="105"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pacing w:val="4"/>
                      <w:sz w:val="20"/>
                      <w:szCs w:val="20"/>
                      <w:u w:val="none" w:color="auto"/>
                    </w:rPr>
                    <w:t>&gt;100</w:t>
                  </w:r>
                </w:p>
              </w:tc>
              <w:tc>
                <w:tcPr>
                  <w:tcW w:w="2997" w:type="dxa"/>
                  <w:tcBorders>
                    <w:tl2br w:val="nil"/>
                    <w:tr2bl w:val="nil"/>
                  </w:tcBorders>
                  <w:vAlign w:val="center"/>
                </w:tcPr>
                <w:p w14:paraId="340CD8E1">
                  <w:pPr>
                    <w:spacing w:before="105" w:line="195" w:lineRule="auto"/>
                    <w:jc w:val="center"/>
                    <w:rPr>
                      <w:rFonts w:ascii="宋体" w:hAnsi="宋体" w:eastAsia="宋体" w:cs="宋体"/>
                      <w:color w:val="auto"/>
                      <w:spacing w:val="-3"/>
                      <w:sz w:val="24"/>
                      <w:szCs w:val="24"/>
                      <w:u w:val="none" w:color="auto"/>
                      <w:vertAlign w:val="baseline"/>
                    </w:rPr>
                  </w:pPr>
                  <w:r>
                    <w:rPr>
                      <w:rFonts w:ascii="Times New Roman" w:hAnsi="Times New Roman" w:eastAsia="Times New Roman" w:cs="Times New Roman"/>
                      <w:color w:val="auto"/>
                      <w:sz w:val="20"/>
                      <w:szCs w:val="20"/>
                      <w:u w:val="none" w:color="auto"/>
                    </w:rPr>
                    <w:t>0</w:t>
                  </w:r>
                </w:p>
              </w:tc>
            </w:tr>
          </w:tbl>
          <w:p w14:paraId="6C3B547A">
            <w:pPr>
              <w:spacing w:before="118" w:line="342" w:lineRule="auto"/>
              <w:ind w:left="29" w:right="27" w:firstLine="473"/>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地貌以及声源两侧建筑物反射影响因素的修正。当线路两侧间距</w:t>
            </w:r>
            <w:r>
              <w:rPr>
                <w:rFonts w:ascii="宋体" w:hAnsi="宋体" w:eastAsia="宋体" w:cs="宋体"/>
                <w:color w:val="auto"/>
                <w:spacing w:val="-4"/>
                <w:sz w:val="24"/>
                <w:szCs w:val="24"/>
                <w:u w:val="none" w:color="auto"/>
              </w:rPr>
              <w:t>小于总计算</w:t>
            </w:r>
            <w:r>
              <w:rPr>
                <w:rFonts w:ascii="宋体" w:hAnsi="宋体" w:eastAsia="宋体" w:cs="宋体"/>
                <w:color w:val="auto"/>
                <w:spacing w:val="-2"/>
                <w:sz w:val="24"/>
                <w:szCs w:val="24"/>
                <w:u w:val="none" w:color="auto"/>
              </w:rPr>
              <w:t>高度</w:t>
            </w:r>
            <w:r>
              <w:rPr>
                <w:rFonts w:ascii="宋体" w:hAnsi="宋体" w:eastAsia="宋体" w:cs="宋体"/>
                <w:color w:val="auto"/>
                <w:spacing w:val="-46"/>
                <w:sz w:val="24"/>
                <w:szCs w:val="24"/>
                <w:u w:val="none" w:color="auto"/>
              </w:rPr>
              <w:t xml:space="preserve"> </w:t>
            </w:r>
            <w:r>
              <w:rPr>
                <w:rFonts w:ascii="Times New Roman" w:hAnsi="Times New Roman" w:eastAsia="Times New Roman" w:cs="Times New Roman"/>
                <w:color w:val="auto"/>
                <w:spacing w:val="-2"/>
                <w:sz w:val="24"/>
                <w:szCs w:val="24"/>
                <w:u w:val="none" w:color="auto"/>
              </w:rPr>
              <w:t>30%</w:t>
            </w:r>
            <w:r>
              <w:rPr>
                <w:rFonts w:ascii="宋体" w:hAnsi="宋体" w:eastAsia="宋体" w:cs="宋体"/>
                <w:color w:val="auto"/>
                <w:spacing w:val="-2"/>
                <w:sz w:val="24"/>
                <w:szCs w:val="24"/>
                <w:u w:val="none" w:color="auto"/>
              </w:rPr>
              <w:t>时，其反射声修正量为：</w:t>
            </w:r>
          </w:p>
          <w:p w14:paraId="59CA75F4">
            <w:pPr>
              <w:spacing w:line="322" w:lineRule="exact"/>
              <w:ind w:left="504"/>
              <w:rPr>
                <w:rFonts w:ascii="Times New Roman" w:hAnsi="Times New Roman" w:eastAsia="Times New Roman" w:cs="Times New Roman"/>
                <w:color w:val="auto"/>
                <w:sz w:val="24"/>
                <w:szCs w:val="24"/>
                <w:u w:val="none" w:color="auto"/>
              </w:rPr>
            </w:pPr>
            <w:r>
              <w:rPr>
                <w:rFonts w:ascii="宋体" w:hAnsi="宋体" w:eastAsia="宋体" w:cs="宋体"/>
                <w:color w:val="auto"/>
                <w:spacing w:val="-1"/>
                <w:position w:val="1"/>
                <w:sz w:val="24"/>
                <w:szCs w:val="24"/>
                <w:u w:val="none" w:color="auto"/>
              </w:rPr>
              <w:t>两侧建筑物是反射面时：</w:t>
            </w:r>
            <w:r>
              <w:rPr>
                <w:rFonts w:ascii="Times New Roman" w:hAnsi="Times New Roman" w:eastAsia="Times New Roman" w:cs="Times New Roman"/>
                <w:color w:val="auto"/>
                <w:spacing w:val="-1"/>
                <w:position w:val="1"/>
                <w:sz w:val="24"/>
                <w:szCs w:val="24"/>
                <w:u w:val="none" w:color="auto"/>
              </w:rPr>
              <w:t xml:space="preserve">ΔL </w:t>
            </w:r>
            <w:r>
              <w:rPr>
                <w:rFonts w:ascii="宋体" w:hAnsi="宋体" w:eastAsia="宋体" w:cs="宋体"/>
                <w:color w:val="auto"/>
                <w:spacing w:val="-1"/>
                <w:position w:val="1"/>
                <w:sz w:val="24"/>
                <w:szCs w:val="24"/>
                <w:u w:val="none" w:color="auto"/>
              </w:rPr>
              <w:t>反射</w:t>
            </w:r>
            <w:r>
              <w:rPr>
                <w:rFonts w:ascii="Times New Roman" w:hAnsi="Times New Roman" w:eastAsia="Times New Roman" w:cs="Times New Roman"/>
                <w:color w:val="auto"/>
                <w:spacing w:val="-1"/>
                <w:position w:val="1"/>
                <w:sz w:val="24"/>
                <w:szCs w:val="24"/>
                <w:u w:val="none" w:color="auto"/>
              </w:rPr>
              <w:t>=4Hb/w≤3.2dB</w:t>
            </w:r>
          </w:p>
          <w:p w14:paraId="5512B5C4">
            <w:pPr>
              <w:spacing w:before="145" w:line="322" w:lineRule="exact"/>
              <w:ind w:left="504"/>
              <w:rPr>
                <w:rFonts w:ascii="Times New Roman" w:hAnsi="Times New Roman" w:eastAsia="Times New Roman" w:cs="Times New Roman"/>
                <w:color w:val="auto"/>
                <w:sz w:val="24"/>
                <w:szCs w:val="24"/>
                <w:u w:val="none" w:color="auto"/>
              </w:rPr>
            </w:pPr>
            <w:r>
              <w:rPr>
                <w:rFonts w:ascii="宋体" w:hAnsi="宋体" w:eastAsia="宋体" w:cs="宋体"/>
                <w:color w:val="auto"/>
                <w:position w:val="1"/>
                <w:sz w:val="24"/>
                <w:szCs w:val="24"/>
                <w:u w:val="none" w:color="auto"/>
              </w:rPr>
              <w:t>两侧建筑物是一般吸收性表面：</w:t>
            </w:r>
            <w:r>
              <w:rPr>
                <w:rFonts w:ascii="Times New Roman" w:hAnsi="Times New Roman" w:eastAsia="Times New Roman" w:cs="Times New Roman"/>
                <w:color w:val="auto"/>
                <w:position w:val="1"/>
                <w:sz w:val="24"/>
                <w:szCs w:val="24"/>
                <w:u w:val="none" w:color="auto"/>
              </w:rPr>
              <w:t xml:space="preserve">ΔL </w:t>
            </w:r>
            <w:r>
              <w:rPr>
                <w:rFonts w:ascii="宋体" w:hAnsi="宋体" w:eastAsia="宋体" w:cs="宋体"/>
                <w:color w:val="auto"/>
                <w:position w:val="1"/>
                <w:sz w:val="24"/>
                <w:szCs w:val="24"/>
                <w:u w:val="none" w:color="auto"/>
              </w:rPr>
              <w:t>反射</w:t>
            </w:r>
            <w:r>
              <w:rPr>
                <w:rFonts w:ascii="Times New Roman" w:hAnsi="Times New Roman" w:eastAsia="Times New Roman" w:cs="Times New Roman"/>
                <w:color w:val="auto"/>
                <w:position w:val="1"/>
                <w:sz w:val="24"/>
                <w:szCs w:val="24"/>
                <w:u w:val="none" w:color="auto"/>
              </w:rPr>
              <w:t>=</w:t>
            </w:r>
            <w:r>
              <w:rPr>
                <w:rFonts w:ascii="Times New Roman" w:hAnsi="Times New Roman" w:eastAsia="Times New Roman" w:cs="Times New Roman"/>
                <w:color w:val="auto"/>
                <w:spacing w:val="-1"/>
                <w:position w:val="1"/>
                <w:sz w:val="24"/>
                <w:szCs w:val="24"/>
                <w:u w:val="none" w:color="auto"/>
              </w:rPr>
              <w:t>2Hb/w≤1.6dB</w:t>
            </w:r>
          </w:p>
          <w:p w14:paraId="76FE1033">
            <w:pPr>
              <w:spacing w:before="191" w:line="219" w:lineRule="auto"/>
              <w:ind w:left="504"/>
              <w:rPr>
                <w:rFonts w:ascii="Times New Roman" w:hAnsi="Times New Roman" w:eastAsia="Times New Roman" w:cs="Times New Roman"/>
                <w:color w:val="auto"/>
                <w:sz w:val="24"/>
                <w:szCs w:val="24"/>
                <w:u w:val="none" w:color="auto"/>
              </w:rPr>
            </w:pPr>
            <w:r>
              <w:rPr>
                <w:rFonts w:ascii="宋体" w:hAnsi="宋体" w:eastAsia="宋体" w:cs="宋体"/>
                <w:color w:val="auto"/>
                <w:spacing w:val="-1"/>
                <w:sz w:val="24"/>
                <w:szCs w:val="24"/>
                <w:u w:val="none" w:color="auto"/>
              </w:rPr>
              <w:t>两侧建筑物为全吸收性表面：</w:t>
            </w:r>
            <w:r>
              <w:rPr>
                <w:rFonts w:ascii="Times New Roman" w:hAnsi="Times New Roman" w:eastAsia="Times New Roman" w:cs="Times New Roman"/>
                <w:color w:val="auto"/>
                <w:spacing w:val="-1"/>
                <w:sz w:val="24"/>
                <w:szCs w:val="24"/>
                <w:u w:val="none" w:color="auto"/>
              </w:rPr>
              <w:t xml:space="preserve">ΔL </w:t>
            </w:r>
            <w:r>
              <w:rPr>
                <w:rFonts w:ascii="宋体" w:hAnsi="宋体" w:eastAsia="宋体" w:cs="宋体"/>
                <w:color w:val="auto"/>
                <w:spacing w:val="-1"/>
                <w:sz w:val="24"/>
                <w:szCs w:val="24"/>
                <w:u w:val="none" w:color="auto"/>
              </w:rPr>
              <w:t>反射</w:t>
            </w:r>
            <w:r>
              <w:rPr>
                <w:rFonts w:ascii="Times New Roman" w:hAnsi="Times New Roman" w:eastAsia="Times New Roman" w:cs="Times New Roman"/>
                <w:color w:val="auto"/>
                <w:spacing w:val="-1"/>
                <w:sz w:val="24"/>
                <w:szCs w:val="24"/>
                <w:u w:val="none" w:color="auto"/>
              </w:rPr>
              <w:t>≈0</w:t>
            </w:r>
          </w:p>
          <w:p w14:paraId="1CD2A01F">
            <w:pPr>
              <w:spacing w:before="183" w:line="220" w:lineRule="auto"/>
              <w:ind w:left="508"/>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式中：</w:t>
            </w:r>
          </w:p>
          <w:p w14:paraId="3039F276">
            <w:pPr>
              <w:spacing w:before="182" w:line="219" w:lineRule="auto"/>
              <w:ind w:left="495"/>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1"/>
                <w:sz w:val="24"/>
                <w:szCs w:val="24"/>
                <w:u w:val="none" w:color="auto"/>
              </w:rPr>
              <w:t>w——</w:t>
            </w:r>
            <w:r>
              <w:rPr>
                <w:rFonts w:ascii="宋体" w:hAnsi="宋体" w:eastAsia="宋体" w:cs="宋体"/>
                <w:color w:val="auto"/>
                <w:spacing w:val="-1"/>
                <w:sz w:val="24"/>
                <w:szCs w:val="24"/>
                <w:u w:val="none" w:color="auto"/>
              </w:rPr>
              <w:t>为线路两侧建筑物反射面的间距，</w:t>
            </w:r>
            <w:r>
              <w:rPr>
                <w:rFonts w:ascii="Times New Roman" w:hAnsi="Times New Roman" w:eastAsia="Times New Roman" w:cs="Times New Roman"/>
                <w:color w:val="auto"/>
                <w:spacing w:val="-1"/>
                <w:sz w:val="24"/>
                <w:szCs w:val="24"/>
                <w:u w:val="none" w:color="auto"/>
              </w:rPr>
              <w:t>m</w:t>
            </w:r>
          </w:p>
          <w:p w14:paraId="7B10733E">
            <w:pPr>
              <w:spacing w:before="182" w:line="350" w:lineRule="auto"/>
              <w:ind w:left="16" w:firstLine="482"/>
              <w:rPr>
                <w:rFonts w:ascii="宋体" w:hAnsi="宋体" w:eastAsia="宋体" w:cs="宋体"/>
                <w:color w:val="auto"/>
                <w:sz w:val="24"/>
                <w:szCs w:val="24"/>
                <w:u w:val="none" w:color="auto"/>
              </w:rPr>
            </w:pPr>
            <w:r>
              <w:rPr>
                <w:rFonts w:ascii="Times New Roman" w:hAnsi="Times New Roman" w:eastAsia="Times New Roman" w:cs="Times New Roman"/>
                <w:color w:val="auto"/>
                <w:spacing w:val="-3"/>
                <w:sz w:val="24"/>
                <w:szCs w:val="24"/>
                <w:u w:val="none" w:color="auto"/>
              </w:rPr>
              <w:t>Hb——</w:t>
            </w:r>
            <w:r>
              <w:rPr>
                <w:rFonts w:ascii="宋体" w:hAnsi="宋体" w:eastAsia="宋体" w:cs="宋体"/>
                <w:color w:val="auto"/>
                <w:spacing w:val="-3"/>
                <w:sz w:val="24"/>
                <w:szCs w:val="24"/>
                <w:u w:val="none" w:color="auto"/>
              </w:rPr>
              <w:t>为构筑物的平均高度</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3"/>
                <w:sz w:val="24"/>
                <w:szCs w:val="24"/>
                <w:u w:val="none" w:color="auto"/>
              </w:rPr>
              <w:t>h</w:t>
            </w:r>
            <w:r>
              <w:rPr>
                <w:rFonts w:ascii="Times New Roman" w:hAnsi="Times New Roman" w:eastAsia="Times New Roman" w:cs="Times New Roman"/>
                <w:color w:val="auto"/>
                <w:spacing w:val="-31"/>
                <w:sz w:val="24"/>
                <w:szCs w:val="24"/>
                <w:u w:val="none" w:color="auto"/>
              </w:rPr>
              <w:t xml:space="preserve"> </w:t>
            </w:r>
            <w:r>
              <w:rPr>
                <w:rFonts w:ascii="宋体" w:hAnsi="宋体" w:eastAsia="宋体" w:cs="宋体"/>
                <w:color w:val="auto"/>
                <w:spacing w:val="-3"/>
                <w:sz w:val="24"/>
                <w:szCs w:val="24"/>
                <w:u w:val="none" w:color="auto"/>
              </w:rPr>
              <w:t>，取线路两侧较低一侧高度平均值代入计算，</w:t>
            </w:r>
            <w:r>
              <w:rPr>
                <w:rFonts w:ascii="宋体" w:hAnsi="宋体" w:eastAsia="宋体" w:cs="宋体"/>
                <w:color w:val="auto"/>
                <w:sz w:val="24"/>
                <w:szCs w:val="24"/>
                <w:u w:val="none" w:color="auto"/>
              </w:rPr>
              <w:t xml:space="preserve"> </w:t>
            </w:r>
            <w:r>
              <w:rPr>
                <w:rFonts w:ascii="Times New Roman" w:hAnsi="Times New Roman" w:eastAsia="Times New Roman" w:cs="Times New Roman"/>
                <w:color w:val="auto"/>
                <w:spacing w:val="-2"/>
                <w:sz w:val="24"/>
                <w:szCs w:val="24"/>
                <w:u w:val="none" w:color="auto"/>
              </w:rPr>
              <w:t>m</w:t>
            </w:r>
            <w:r>
              <w:rPr>
                <w:rFonts w:ascii="宋体" w:hAnsi="宋体" w:eastAsia="宋体" w:cs="宋体"/>
                <w:color w:val="auto"/>
                <w:spacing w:val="-2"/>
                <w:sz w:val="24"/>
                <w:szCs w:val="24"/>
                <w:u w:val="none" w:color="auto"/>
              </w:rPr>
              <w:t>。</w:t>
            </w:r>
          </w:p>
          <w:p w14:paraId="151B72DE">
            <w:pPr>
              <w:spacing w:before="27" w:line="219" w:lineRule="auto"/>
              <w:ind w:left="19"/>
              <w:rPr>
                <w:rFonts w:ascii="宋体" w:hAnsi="宋体" w:eastAsia="宋体" w:cs="宋体"/>
                <w:color w:val="auto"/>
                <w:sz w:val="24"/>
                <w:szCs w:val="24"/>
                <w:u w:val="none" w:color="auto"/>
              </w:rPr>
            </w:pPr>
            <w:r>
              <w:rPr>
                <w:rFonts w:hint="eastAsia" w:cs="Times New Roman"/>
                <w:b/>
                <w:bCs/>
                <w:color w:val="auto"/>
                <w:spacing w:val="-2"/>
                <w:sz w:val="24"/>
                <w:szCs w:val="24"/>
                <w:u w:val="none" w:color="auto"/>
                <w:lang w:val="en-US" w:eastAsia="zh-CN"/>
              </w:rPr>
              <w:t>3）</w:t>
            </w:r>
            <w:r>
              <w:rPr>
                <w:rFonts w:ascii="宋体" w:hAnsi="宋体" w:eastAsia="宋体" w:cs="宋体"/>
                <w:b/>
                <w:bCs/>
                <w:color w:val="auto"/>
                <w:spacing w:val="-2"/>
                <w:sz w:val="24"/>
                <w:szCs w:val="24"/>
                <w:u w:val="none" w:color="auto"/>
              </w:rPr>
              <w:t>道路交通噪声预测方法</w:t>
            </w:r>
          </w:p>
          <w:p w14:paraId="138248B2">
            <w:pPr>
              <w:spacing w:before="183" w:line="360" w:lineRule="auto"/>
              <w:ind w:left="23" w:right="27" w:firstLine="479"/>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对纯地面道路的交通噪声预测，由于道路交通噪声产生的声场比</w:t>
            </w:r>
            <w:r>
              <w:rPr>
                <w:rFonts w:ascii="宋体" w:hAnsi="宋体" w:eastAsia="宋体" w:cs="宋体"/>
                <w:color w:val="auto"/>
                <w:spacing w:val="-4"/>
                <w:sz w:val="24"/>
                <w:szCs w:val="24"/>
                <w:u w:val="none" w:color="auto"/>
              </w:rPr>
              <w:t>较简单，其</w:t>
            </w:r>
            <w:r>
              <w:rPr>
                <w:rFonts w:ascii="宋体" w:hAnsi="宋体" w:eastAsia="宋体" w:cs="宋体"/>
                <w:color w:val="auto"/>
                <w:spacing w:val="-1"/>
                <w:sz w:val="24"/>
                <w:szCs w:val="24"/>
                <w:u w:val="none" w:color="auto"/>
              </w:rPr>
              <w:t>影响预测按照上述导则公式进行计算。</w:t>
            </w:r>
          </w:p>
          <w:p w14:paraId="2B42C6A7">
            <w:pPr>
              <w:spacing w:before="1" w:line="219" w:lineRule="auto"/>
              <w:ind w:left="19"/>
              <w:rPr>
                <w:rFonts w:ascii="宋体" w:hAnsi="宋体" w:eastAsia="宋体" w:cs="宋体"/>
                <w:color w:val="auto"/>
                <w:sz w:val="24"/>
                <w:szCs w:val="24"/>
                <w:u w:val="none" w:color="auto"/>
              </w:rPr>
            </w:pPr>
            <w:r>
              <w:rPr>
                <w:rFonts w:hint="eastAsia" w:cs="Times New Roman"/>
                <w:b/>
                <w:bCs/>
                <w:color w:val="auto"/>
                <w:spacing w:val="-2"/>
                <w:sz w:val="24"/>
                <w:szCs w:val="24"/>
                <w:u w:val="none" w:color="auto"/>
                <w:lang w:val="en-US" w:eastAsia="zh-CN"/>
              </w:rPr>
              <w:t>4）</w:t>
            </w:r>
            <w:r>
              <w:rPr>
                <w:rFonts w:ascii="宋体" w:hAnsi="宋体" w:eastAsia="宋体" w:cs="宋体"/>
                <w:b/>
                <w:bCs/>
                <w:color w:val="auto"/>
                <w:spacing w:val="-2"/>
                <w:sz w:val="24"/>
                <w:szCs w:val="24"/>
                <w:u w:val="none" w:color="auto"/>
              </w:rPr>
              <w:t>预测参数</w:t>
            </w:r>
          </w:p>
          <w:p w14:paraId="48ABB6C4">
            <w:pPr>
              <w:spacing w:before="183" w:line="219" w:lineRule="auto"/>
              <w:ind w:left="522"/>
              <w:rPr>
                <w:rFonts w:ascii="宋体" w:hAnsi="宋体" w:eastAsia="宋体" w:cs="宋体"/>
                <w:color w:val="auto"/>
                <w:sz w:val="24"/>
                <w:szCs w:val="24"/>
                <w:u w:val="none" w:color="auto"/>
              </w:rPr>
            </w:pPr>
            <w:r>
              <w:rPr>
                <w:rFonts w:ascii="Times New Roman" w:hAnsi="Times New Roman" w:eastAsia="Times New Roman" w:cs="Times New Roman"/>
                <w:color w:val="auto"/>
                <w:spacing w:val="-10"/>
                <w:sz w:val="24"/>
                <w:szCs w:val="24"/>
                <w:u w:val="none" w:color="auto"/>
              </w:rPr>
              <w:t>1</w:t>
            </w:r>
            <w:r>
              <w:rPr>
                <w:rFonts w:ascii="Times New Roman" w:hAnsi="Times New Roman" w:eastAsia="Times New Roman" w:cs="Times New Roman"/>
                <w:color w:val="auto"/>
                <w:spacing w:val="-30"/>
                <w:sz w:val="24"/>
                <w:szCs w:val="24"/>
                <w:u w:val="none" w:color="auto"/>
              </w:rPr>
              <w:t xml:space="preserve"> </w:t>
            </w:r>
            <w:r>
              <w:rPr>
                <w:rFonts w:ascii="宋体" w:hAnsi="宋体" w:eastAsia="宋体" w:cs="宋体"/>
                <w:color w:val="auto"/>
                <w:spacing w:val="-10"/>
                <w:sz w:val="24"/>
                <w:szCs w:val="24"/>
                <w:u w:val="none" w:color="auto"/>
              </w:rPr>
              <w:t>、车型分类</w:t>
            </w:r>
          </w:p>
          <w:p w14:paraId="346D8436">
            <w:pPr>
              <w:spacing w:before="183" w:line="219" w:lineRule="auto"/>
              <w:ind w:left="505"/>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车型分类（大、中、小型车）分类方法见下表：</w:t>
            </w:r>
          </w:p>
          <w:p w14:paraId="1233CDC6">
            <w:pPr>
              <w:spacing w:before="118" w:line="228" w:lineRule="auto"/>
              <w:ind w:left="3117"/>
              <w:rPr>
                <w:rFonts w:ascii="宋体" w:hAnsi="宋体" w:eastAsia="宋体" w:cs="宋体"/>
                <w:color w:val="auto"/>
                <w:sz w:val="20"/>
                <w:szCs w:val="20"/>
                <w:u w:val="none" w:color="auto"/>
              </w:rPr>
            </w:pPr>
            <w:r>
              <w:rPr>
                <w:rFonts w:ascii="宋体" w:hAnsi="宋体" w:eastAsia="宋体" w:cs="宋体"/>
                <w:b/>
                <w:bCs/>
                <w:color w:val="auto"/>
                <w:spacing w:val="4"/>
                <w:sz w:val="20"/>
                <w:szCs w:val="20"/>
                <w:u w:val="none" w:color="auto"/>
              </w:rPr>
              <w:t>表</w:t>
            </w:r>
            <w:r>
              <w:rPr>
                <w:rFonts w:ascii="宋体" w:hAnsi="宋体" w:eastAsia="宋体" w:cs="宋体"/>
                <w:color w:val="auto"/>
                <w:spacing w:val="-40"/>
                <w:sz w:val="20"/>
                <w:szCs w:val="20"/>
                <w:u w:val="none" w:color="auto"/>
              </w:rPr>
              <w:t xml:space="preserve"> </w:t>
            </w:r>
            <w:r>
              <w:rPr>
                <w:rFonts w:ascii="Times New Roman" w:hAnsi="Times New Roman" w:eastAsia="Times New Roman" w:cs="Times New Roman"/>
                <w:b/>
                <w:bCs/>
                <w:color w:val="auto"/>
                <w:spacing w:val="4"/>
                <w:sz w:val="20"/>
                <w:szCs w:val="20"/>
                <w:u w:val="none" w:color="auto"/>
              </w:rPr>
              <w:t>4-1</w:t>
            </w:r>
            <w:r>
              <w:rPr>
                <w:rFonts w:hint="eastAsia" w:eastAsia="宋体" w:cs="Times New Roman"/>
                <w:b/>
                <w:bCs/>
                <w:color w:val="auto"/>
                <w:spacing w:val="4"/>
                <w:sz w:val="20"/>
                <w:szCs w:val="20"/>
                <w:u w:val="none" w:color="auto"/>
                <w:lang w:val="en-US" w:eastAsia="zh-CN"/>
              </w:rPr>
              <w:t>3</w:t>
            </w:r>
            <w:r>
              <w:rPr>
                <w:rFonts w:ascii="Times New Roman" w:hAnsi="Times New Roman" w:eastAsia="Times New Roman" w:cs="Times New Roman"/>
                <w:b/>
                <w:bCs/>
                <w:color w:val="auto"/>
                <w:spacing w:val="4"/>
                <w:sz w:val="20"/>
                <w:szCs w:val="20"/>
                <w:u w:val="none" w:color="auto"/>
              </w:rPr>
              <w:t xml:space="preserve">    </w:t>
            </w:r>
            <w:r>
              <w:rPr>
                <w:rFonts w:ascii="宋体" w:hAnsi="宋体" w:eastAsia="宋体" w:cs="宋体"/>
                <w:b/>
                <w:bCs/>
                <w:color w:val="auto"/>
                <w:spacing w:val="4"/>
                <w:sz w:val="20"/>
                <w:szCs w:val="20"/>
                <w:u w:val="none" w:color="auto"/>
              </w:rPr>
              <w:t>车型分类标准</w:t>
            </w:r>
          </w:p>
          <w:p w14:paraId="184D91B7">
            <w:pPr>
              <w:spacing w:line="14" w:lineRule="exact"/>
              <w:rPr>
                <w:color w:val="auto"/>
                <w:u w:val="none" w:color="auto"/>
              </w:rPr>
            </w:pPr>
          </w:p>
          <w:tbl>
            <w:tblPr>
              <w:tblStyle w:val="72"/>
              <w:tblW w:w="7738" w:type="dxa"/>
              <w:tblInd w:w="24"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68"/>
              <w:gridCol w:w="1522"/>
              <w:gridCol w:w="1470"/>
              <w:gridCol w:w="3978"/>
            </w:tblGrid>
            <w:tr w14:paraId="46623D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768" w:type="dxa"/>
                  <w:tcBorders>
                    <w:tl2br w:val="nil"/>
                    <w:tr2bl w:val="nil"/>
                  </w:tcBorders>
                  <w:vAlign w:val="top"/>
                </w:tcPr>
                <w:p w14:paraId="73864600">
                  <w:pPr>
                    <w:pStyle w:val="81"/>
                    <w:spacing w:before="56" w:line="228" w:lineRule="auto"/>
                    <w:ind w:left="193"/>
                    <w:rPr>
                      <w:color w:val="auto"/>
                      <w:sz w:val="20"/>
                      <w:szCs w:val="20"/>
                      <w:u w:val="none" w:color="auto"/>
                    </w:rPr>
                  </w:pPr>
                  <w:r>
                    <w:rPr>
                      <w:color w:val="auto"/>
                      <w:spacing w:val="3"/>
                      <w:sz w:val="20"/>
                      <w:szCs w:val="20"/>
                      <w:u w:val="none" w:color="auto"/>
                    </w:rPr>
                    <w:t>车型</w:t>
                  </w:r>
                </w:p>
              </w:tc>
              <w:tc>
                <w:tcPr>
                  <w:tcW w:w="1522" w:type="dxa"/>
                  <w:tcBorders>
                    <w:tl2br w:val="nil"/>
                    <w:tr2bl w:val="nil"/>
                  </w:tcBorders>
                  <w:vAlign w:val="top"/>
                </w:tcPr>
                <w:p w14:paraId="52DE3C8E">
                  <w:pPr>
                    <w:pStyle w:val="81"/>
                    <w:spacing w:before="56" w:line="228" w:lineRule="auto"/>
                    <w:ind w:left="181"/>
                    <w:rPr>
                      <w:color w:val="auto"/>
                      <w:sz w:val="20"/>
                      <w:szCs w:val="20"/>
                      <w:u w:val="none" w:color="auto"/>
                    </w:rPr>
                  </w:pPr>
                  <w:r>
                    <w:rPr>
                      <w:color w:val="auto"/>
                      <w:spacing w:val="8"/>
                      <w:sz w:val="20"/>
                      <w:szCs w:val="20"/>
                      <w:u w:val="none" w:color="auto"/>
                    </w:rPr>
                    <w:t>汽车代表车型</w:t>
                  </w:r>
                </w:p>
              </w:tc>
              <w:tc>
                <w:tcPr>
                  <w:tcW w:w="1470" w:type="dxa"/>
                  <w:tcBorders>
                    <w:tl2br w:val="nil"/>
                    <w:tr2bl w:val="nil"/>
                  </w:tcBorders>
                  <w:vAlign w:val="top"/>
                </w:tcPr>
                <w:p w14:paraId="452A0629">
                  <w:pPr>
                    <w:pStyle w:val="81"/>
                    <w:spacing w:before="56" w:line="228" w:lineRule="auto"/>
                    <w:ind w:left="218"/>
                    <w:rPr>
                      <w:color w:val="auto"/>
                      <w:sz w:val="20"/>
                      <w:szCs w:val="20"/>
                      <w:u w:val="none" w:color="auto"/>
                    </w:rPr>
                  </w:pPr>
                  <w:r>
                    <w:rPr>
                      <w:color w:val="auto"/>
                      <w:spacing w:val="7"/>
                      <w:sz w:val="20"/>
                      <w:szCs w:val="20"/>
                      <w:u w:val="none" w:color="auto"/>
                    </w:rPr>
                    <w:t>车辆折算系数</w:t>
                  </w:r>
                </w:p>
              </w:tc>
              <w:tc>
                <w:tcPr>
                  <w:tcW w:w="3978" w:type="dxa"/>
                  <w:tcBorders>
                    <w:tl2br w:val="nil"/>
                    <w:tr2bl w:val="nil"/>
                  </w:tcBorders>
                  <w:vAlign w:val="top"/>
                </w:tcPr>
                <w:p w14:paraId="0209C17B">
                  <w:pPr>
                    <w:pStyle w:val="81"/>
                    <w:spacing w:before="56" w:line="228" w:lineRule="auto"/>
                    <w:ind w:left="1447"/>
                    <w:rPr>
                      <w:color w:val="auto"/>
                      <w:sz w:val="20"/>
                      <w:szCs w:val="20"/>
                      <w:u w:val="none" w:color="auto"/>
                    </w:rPr>
                  </w:pPr>
                  <w:r>
                    <w:rPr>
                      <w:color w:val="auto"/>
                      <w:spacing w:val="7"/>
                      <w:sz w:val="20"/>
                      <w:szCs w:val="20"/>
                      <w:u w:val="none" w:color="auto"/>
                    </w:rPr>
                    <w:t>车型划分标准</w:t>
                  </w:r>
                </w:p>
              </w:tc>
            </w:tr>
            <w:tr w14:paraId="08EF29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68" w:type="dxa"/>
                  <w:tcBorders>
                    <w:tl2br w:val="nil"/>
                    <w:tr2bl w:val="nil"/>
                  </w:tcBorders>
                  <w:vAlign w:val="top"/>
                </w:tcPr>
                <w:p w14:paraId="52D38547">
                  <w:pPr>
                    <w:pStyle w:val="81"/>
                    <w:spacing w:before="58" w:line="225" w:lineRule="auto"/>
                    <w:ind w:left="303"/>
                    <w:rPr>
                      <w:color w:val="auto"/>
                      <w:sz w:val="20"/>
                      <w:szCs w:val="20"/>
                      <w:u w:val="none" w:color="auto"/>
                    </w:rPr>
                  </w:pPr>
                  <w:r>
                    <w:rPr>
                      <w:color w:val="auto"/>
                      <w:sz w:val="20"/>
                      <w:szCs w:val="20"/>
                      <w:u w:val="none" w:color="auto"/>
                    </w:rPr>
                    <w:t>小</w:t>
                  </w:r>
                </w:p>
              </w:tc>
              <w:tc>
                <w:tcPr>
                  <w:tcW w:w="1522" w:type="dxa"/>
                  <w:tcBorders>
                    <w:tl2br w:val="nil"/>
                    <w:tr2bl w:val="nil"/>
                  </w:tcBorders>
                  <w:vAlign w:val="top"/>
                </w:tcPr>
                <w:p w14:paraId="475AB13C">
                  <w:pPr>
                    <w:pStyle w:val="81"/>
                    <w:spacing w:before="58" w:line="225" w:lineRule="auto"/>
                    <w:ind w:left="503"/>
                    <w:rPr>
                      <w:color w:val="auto"/>
                      <w:sz w:val="20"/>
                      <w:szCs w:val="20"/>
                      <w:u w:val="none" w:color="auto"/>
                    </w:rPr>
                  </w:pPr>
                  <w:r>
                    <w:rPr>
                      <w:color w:val="auto"/>
                      <w:spacing w:val="5"/>
                      <w:sz w:val="20"/>
                      <w:szCs w:val="20"/>
                      <w:u w:val="none" w:color="auto"/>
                    </w:rPr>
                    <w:t>小客车</w:t>
                  </w:r>
                </w:p>
              </w:tc>
              <w:tc>
                <w:tcPr>
                  <w:tcW w:w="1470" w:type="dxa"/>
                  <w:tcBorders>
                    <w:tl2br w:val="nil"/>
                    <w:tr2bl w:val="nil"/>
                  </w:tcBorders>
                  <w:vAlign w:val="top"/>
                </w:tcPr>
                <w:p w14:paraId="6F6B2781">
                  <w:pPr>
                    <w:spacing w:before="93" w:line="195" w:lineRule="auto"/>
                    <w:ind w:left="7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1.0</w:t>
                  </w:r>
                </w:p>
              </w:tc>
              <w:tc>
                <w:tcPr>
                  <w:tcW w:w="3978" w:type="dxa"/>
                  <w:tcBorders>
                    <w:tl2br w:val="nil"/>
                    <w:tr2bl w:val="nil"/>
                  </w:tcBorders>
                  <w:vAlign w:val="top"/>
                </w:tcPr>
                <w:p w14:paraId="4F05DE7A">
                  <w:pPr>
                    <w:pStyle w:val="81"/>
                    <w:spacing w:before="58" w:line="225" w:lineRule="auto"/>
                    <w:ind w:left="357"/>
                    <w:rPr>
                      <w:color w:val="auto"/>
                      <w:sz w:val="20"/>
                      <w:szCs w:val="20"/>
                      <w:u w:val="none" w:color="auto"/>
                    </w:rPr>
                  </w:pPr>
                  <w:r>
                    <w:rPr>
                      <w:color w:val="auto"/>
                      <w:spacing w:val="6"/>
                      <w:sz w:val="20"/>
                      <w:szCs w:val="20"/>
                      <w:u w:val="none" w:color="auto"/>
                    </w:rPr>
                    <w:t>座位</w:t>
                  </w:r>
                  <w:r>
                    <w:rPr>
                      <w:rFonts w:ascii="Times New Roman" w:hAnsi="Times New Roman" w:eastAsia="Times New Roman" w:cs="Times New Roman"/>
                      <w:color w:val="auto"/>
                      <w:spacing w:val="6"/>
                      <w:sz w:val="20"/>
                      <w:szCs w:val="20"/>
                      <w:u w:val="none" w:color="auto"/>
                    </w:rPr>
                    <w:t xml:space="preserve">≤19 </w:t>
                  </w:r>
                  <w:r>
                    <w:rPr>
                      <w:color w:val="auto"/>
                      <w:spacing w:val="6"/>
                      <w:sz w:val="20"/>
                      <w:szCs w:val="20"/>
                      <w:u w:val="none" w:color="auto"/>
                    </w:rPr>
                    <w:t>座的客车和载质量</w:t>
                  </w:r>
                  <w:r>
                    <w:rPr>
                      <w:rFonts w:ascii="Times New Roman" w:hAnsi="Times New Roman" w:eastAsia="Times New Roman" w:cs="Times New Roman"/>
                      <w:color w:val="auto"/>
                      <w:spacing w:val="6"/>
                      <w:sz w:val="20"/>
                      <w:szCs w:val="20"/>
                      <w:u w:val="none" w:color="auto"/>
                    </w:rPr>
                    <w:t>≤2t</w:t>
                  </w:r>
                  <w:r>
                    <w:rPr>
                      <w:rFonts w:ascii="Times New Roman" w:hAnsi="Times New Roman" w:eastAsia="Times New Roman" w:cs="Times New Roman"/>
                      <w:color w:val="auto"/>
                      <w:spacing w:val="31"/>
                      <w:sz w:val="20"/>
                      <w:szCs w:val="20"/>
                      <w:u w:val="none" w:color="auto"/>
                    </w:rPr>
                    <w:t xml:space="preserve"> </w:t>
                  </w:r>
                  <w:r>
                    <w:rPr>
                      <w:color w:val="auto"/>
                      <w:spacing w:val="6"/>
                      <w:sz w:val="20"/>
                      <w:szCs w:val="20"/>
                      <w:u w:val="none" w:color="auto"/>
                    </w:rPr>
                    <w:t>的货车</w:t>
                  </w:r>
                </w:p>
              </w:tc>
            </w:tr>
            <w:tr w14:paraId="5519EB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68" w:type="dxa"/>
                  <w:tcBorders>
                    <w:tl2br w:val="nil"/>
                    <w:tr2bl w:val="nil"/>
                  </w:tcBorders>
                  <w:vAlign w:val="top"/>
                </w:tcPr>
                <w:p w14:paraId="11D63320">
                  <w:pPr>
                    <w:pStyle w:val="81"/>
                    <w:spacing w:before="62" w:line="221" w:lineRule="auto"/>
                    <w:ind w:left="317"/>
                    <w:rPr>
                      <w:color w:val="auto"/>
                      <w:sz w:val="20"/>
                      <w:szCs w:val="20"/>
                      <w:u w:val="none" w:color="auto"/>
                    </w:rPr>
                  </w:pPr>
                  <w:r>
                    <w:rPr>
                      <w:color w:val="auto"/>
                      <w:sz w:val="20"/>
                      <w:szCs w:val="20"/>
                      <w:u w:val="none" w:color="auto"/>
                    </w:rPr>
                    <w:t>中</w:t>
                  </w:r>
                </w:p>
              </w:tc>
              <w:tc>
                <w:tcPr>
                  <w:tcW w:w="1522" w:type="dxa"/>
                  <w:tcBorders>
                    <w:tl2br w:val="nil"/>
                    <w:tr2bl w:val="nil"/>
                  </w:tcBorders>
                  <w:vAlign w:val="top"/>
                </w:tcPr>
                <w:p w14:paraId="6A5AE8A3">
                  <w:pPr>
                    <w:pStyle w:val="81"/>
                    <w:spacing w:before="62" w:line="221" w:lineRule="auto"/>
                    <w:ind w:left="517"/>
                    <w:rPr>
                      <w:color w:val="auto"/>
                      <w:sz w:val="20"/>
                      <w:szCs w:val="20"/>
                      <w:u w:val="none" w:color="auto"/>
                    </w:rPr>
                  </w:pPr>
                  <w:r>
                    <w:rPr>
                      <w:color w:val="auto"/>
                      <w:sz w:val="20"/>
                      <w:szCs w:val="20"/>
                      <w:u w:val="none" w:color="auto"/>
                    </w:rPr>
                    <w:t>中型车</w:t>
                  </w:r>
                </w:p>
              </w:tc>
              <w:tc>
                <w:tcPr>
                  <w:tcW w:w="1470" w:type="dxa"/>
                  <w:tcBorders>
                    <w:tl2br w:val="nil"/>
                    <w:tr2bl w:val="nil"/>
                  </w:tcBorders>
                  <w:vAlign w:val="top"/>
                </w:tcPr>
                <w:p w14:paraId="691051E3">
                  <w:pPr>
                    <w:spacing w:before="98" w:line="195" w:lineRule="auto"/>
                    <w:ind w:left="73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1.5</w:t>
                  </w:r>
                </w:p>
              </w:tc>
              <w:tc>
                <w:tcPr>
                  <w:tcW w:w="3978" w:type="dxa"/>
                  <w:tcBorders>
                    <w:tl2br w:val="nil"/>
                    <w:tr2bl w:val="nil"/>
                  </w:tcBorders>
                  <w:vAlign w:val="top"/>
                </w:tcPr>
                <w:p w14:paraId="092BD3DD">
                  <w:pPr>
                    <w:pStyle w:val="81"/>
                    <w:spacing w:before="62" w:line="221" w:lineRule="auto"/>
                    <w:ind w:left="115"/>
                    <w:rPr>
                      <w:color w:val="auto"/>
                      <w:sz w:val="20"/>
                      <w:szCs w:val="20"/>
                      <w:u w:val="none" w:color="auto"/>
                    </w:rPr>
                  </w:pPr>
                  <w:r>
                    <w:rPr>
                      <w:color w:val="auto"/>
                      <w:spacing w:val="5"/>
                      <w:sz w:val="20"/>
                      <w:szCs w:val="20"/>
                      <w:u w:val="none" w:color="auto"/>
                    </w:rPr>
                    <w:t>座位＞</w:t>
                  </w:r>
                  <w:r>
                    <w:rPr>
                      <w:rFonts w:ascii="Times New Roman" w:hAnsi="Times New Roman" w:eastAsia="Times New Roman" w:cs="Times New Roman"/>
                      <w:color w:val="auto"/>
                      <w:spacing w:val="5"/>
                      <w:sz w:val="20"/>
                      <w:szCs w:val="20"/>
                      <w:u w:val="none" w:color="auto"/>
                    </w:rPr>
                    <w:t xml:space="preserve">19 </w:t>
                  </w:r>
                  <w:r>
                    <w:rPr>
                      <w:color w:val="auto"/>
                      <w:spacing w:val="5"/>
                      <w:sz w:val="20"/>
                      <w:szCs w:val="20"/>
                      <w:u w:val="none" w:color="auto"/>
                    </w:rPr>
                    <w:t>座的客车和</w:t>
                  </w:r>
                  <w:r>
                    <w:rPr>
                      <w:color w:val="auto"/>
                      <w:spacing w:val="-43"/>
                      <w:sz w:val="20"/>
                      <w:szCs w:val="20"/>
                      <w:u w:val="none" w:color="auto"/>
                    </w:rPr>
                    <w:t xml:space="preserve"> </w:t>
                  </w:r>
                  <w:r>
                    <w:rPr>
                      <w:rFonts w:ascii="Times New Roman" w:hAnsi="Times New Roman" w:eastAsia="Times New Roman" w:cs="Times New Roman"/>
                      <w:color w:val="auto"/>
                      <w:spacing w:val="5"/>
                      <w:sz w:val="20"/>
                      <w:szCs w:val="20"/>
                      <w:u w:val="none" w:color="auto"/>
                    </w:rPr>
                    <w:t>2t</w:t>
                  </w:r>
                  <w:r>
                    <w:rPr>
                      <w:color w:val="auto"/>
                      <w:spacing w:val="5"/>
                      <w:sz w:val="20"/>
                      <w:szCs w:val="20"/>
                      <w:u w:val="none" w:color="auto"/>
                    </w:rPr>
                    <w:t>＜载质量</w:t>
                  </w:r>
                  <w:r>
                    <w:rPr>
                      <w:rFonts w:ascii="Times New Roman" w:hAnsi="Times New Roman" w:eastAsia="Times New Roman" w:cs="Times New Roman"/>
                      <w:color w:val="auto"/>
                      <w:spacing w:val="5"/>
                      <w:sz w:val="20"/>
                      <w:szCs w:val="20"/>
                      <w:u w:val="none" w:color="auto"/>
                    </w:rPr>
                    <w:t>≤7t</w:t>
                  </w:r>
                  <w:r>
                    <w:rPr>
                      <w:rFonts w:ascii="Times New Roman" w:hAnsi="Times New Roman" w:eastAsia="Times New Roman" w:cs="Times New Roman"/>
                      <w:color w:val="auto"/>
                      <w:spacing w:val="18"/>
                      <w:sz w:val="20"/>
                      <w:szCs w:val="20"/>
                      <w:u w:val="none" w:color="auto"/>
                    </w:rPr>
                    <w:t xml:space="preserve"> </w:t>
                  </w:r>
                  <w:r>
                    <w:rPr>
                      <w:color w:val="auto"/>
                      <w:spacing w:val="5"/>
                      <w:sz w:val="20"/>
                      <w:szCs w:val="20"/>
                      <w:u w:val="none" w:color="auto"/>
                    </w:rPr>
                    <w:t>的货车</w:t>
                  </w:r>
                </w:p>
              </w:tc>
            </w:tr>
            <w:tr w14:paraId="625F52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68" w:type="dxa"/>
                  <w:vMerge w:val="restart"/>
                  <w:tcBorders>
                    <w:tl2br w:val="nil"/>
                    <w:tr2bl w:val="nil"/>
                  </w:tcBorders>
                  <w:vAlign w:val="top"/>
                </w:tcPr>
                <w:p w14:paraId="6D053FD3">
                  <w:pPr>
                    <w:pStyle w:val="81"/>
                    <w:spacing w:before="228" w:line="228" w:lineRule="auto"/>
                    <w:ind w:left="300"/>
                    <w:rPr>
                      <w:color w:val="auto"/>
                      <w:sz w:val="20"/>
                      <w:szCs w:val="20"/>
                      <w:u w:val="none" w:color="auto"/>
                    </w:rPr>
                  </w:pPr>
                  <w:r>
                    <w:rPr>
                      <w:color w:val="auto"/>
                      <w:sz w:val="20"/>
                      <w:szCs w:val="20"/>
                      <w:u w:val="none" w:color="auto"/>
                    </w:rPr>
                    <w:t>大</w:t>
                  </w:r>
                </w:p>
              </w:tc>
              <w:tc>
                <w:tcPr>
                  <w:tcW w:w="1522" w:type="dxa"/>
                  <w:tcBorders>
                    <w:tl2br w:val="nil"/>
                    <w:tr2bl w:val="nil"/>
                  </w:tcBorders>
                  <w:vAlign w:val="top"/>
                </w:tcPr>
                <w:p w14:paraId="089D4485">
                  <w:pPr>
                    <w:pStyle w:val="81"/>
                    <w:spacing w:before="66" w:line="217" w:lineRule="auto"/>
                    <w:ind w:left="500"/>
                    <w:rPr>
                      <w:color w:val="auto"/>
                      <w:sz w:val="20"/>
                      <w:szCs w:val="20"/>
                      <w:u w:val="none" w:color="auto"/>
                    </w:rPr>
                  </w:pPr>
                  <w:r>
                    <w:rPr>
                      <w:color w:val="auto"/>
                      <w:spacing w:val="6"/>
                      <w:sz w:val="20"/>
                      <w:szCs w:val="20"/>
                      <w:u w:val="none" w:color="auto"/>
                    </w:rPr>
                    <w:t>大型车</w:t>
                  </w:r>
                </w:p>
              </w:tc>
              <w:tc>
                <w:tcPr>
                  <w:tcW w:w="1470" w:type="dxa"/>
                  <w:tcBorders>
                    <w:tl2br w:val="nil"/>
                    <w:tr2bl w:val="nil"/>
                  </w:tcBorders>
                  <w:vAlign w:val="top"/>
                </w:tcPr>
                <w:p w14:paraId="78ADF443">
                  <w:pPr>
                    <w:spacing w:before="105" w:line="195" w:lineRule="auto"/>
                    <w:ind w:left="71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2.5</w:t>
                  </w:r>
                </w:p>
              </w:tc>
              <w:tc>
                <w:tcPr>
                  <w:tcW w:w="3978" w:type="dxa"/>
                  <w:tcBorders>
                    <w:tl2br w:val="nil"/>
                    <w:tr2bl w:val="nil"/>
                  </w:tcBorders>
                  <w:vAlign w:val="top"/>
                </w:tcPr>
                <w:p w14:paraId="0F35E1AD">
                  <w:pPr>
                    <w:pStyle w:val="81"/>
                    <w:spacing w:before="66" w:line="217" w:lineRule="auto"/>
                    <w:ind w:left="1041"/>
                    <w:rPr>
                      <w:color w:val="auto"/>
                      <w:sz w:val="20"/>
                      <w:szCs w:val="20"/>
                      <w:u w:val="none" w:color="auto"/>
                    </w:rPr>
                  </w:pPr>
                  <w:r>
                    <w:rPr>
                      <w:rFonts w:ascii="Times New Roman" w:hAnsi="Times New Roman" w:eastAsia="Times New Roman" w:cs="Times New Roman"/>
                      <w:color w:val="auto"/>
                      <w:spacing w:val="4"/>
                      <w:sz w:val="20"/>
                      <w:szCs w:val="20"/>
                      <w:u w:val="none" w:color="auto"/>
                    </w:rPr>
                    <w:t>7t</w:t>
                  </w:r>
                  <w:r>
                    <w:rPr>
                      <w:color w:val="auto"/>
                      <w:spacing w:val="4"/>
                      <w:sz w:val="20"/>
                      <w:szCs w:val="20"/>
                      <w:u w:val="none" w:color="auto"/>
                    </w:rPr>
                    <w:t>＜载质量</w:t>
                  </w:r>
                  <w:r>
                    <w:rPr>
                      <w:rFonts w:ascii="Times New Roman" w:hAnsi="Times New Roman" w:eastAsia="Times New Roman" w:cs="Times New Roman"/>
                      <w:color w:val="auto"/>
                      <w:spacing w:val="4"/>
                      <w:sz w:val="20"/>
                      <w:szCs w:val="20"/>
                      <w:u w:val="none" w:color="auto"/>
                    </w:rPr>
                    <w:t>≤20t</w:t>
                  </w:r>
                  <w:r>
                    <w:rPr>
                      <w:rFonts w:ascii="Times New Roman" w:hAnsi="Times New Roman" w:eastAsia="Times New Roman" w:cs="Times New Roman"/>
                      <w:color w:val="auto"/>
                      <w:spacing w:val="34"/>
                      <w:w w:val="101"/>
                      <w:sz w:val="20"/>
                      <w:szCs w:val="20"/>
                      <w:u w:val="none" w:color="auto"/>
                    </w:rPr>
                    <w:t xml:space="preserve"> </w:t>
                  </w:r>
                  <w:r>
                    <w:rPr>
                      <w:color w:val="auto"/>
                      <w:spacing w:val="4"/>
                      <w:sz w:val="20"/>
                      <w:szCs w:val="20"/>
                      <w:u w:val="none" w:color="auto"/>
                    </w:rPr>
                    <w:t>的货车</w:t>
                  </w:r>
                </w:p>
              </w:tc>
            </w:tr>
            <w:tr w14:paraId="3C29BC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768" w:type="dxa"/>
                  <w:vMerge w:val="continue"/>
                  <w:tcBorders>
                    <w:tl2br w:val="nil"/>
                    <w:tr2bl w:val="nil"/>
                  </w:tcBorders>
                  <w:vAlign w:val="top"/>
                </w:tcPr>
                <w:p w14:paraId="0ABA3CD6">
                  <w:pPr>
                    <w:rPr>
                      <w:rFonts w:ascii="Arial"/>
                      <w:color w:val="auto"/>
                      <w:sz w:val="21"/>
                      <w:u w:val="none" w:color="auto"/>
                    </w:rPr>
                  </w:pPr>
                </w:p>
              </w:tc>
              <w:tc>
                <w:tcPr>
                  <w:tcW w:w="1522" w:type="dxa"/>
                  <w:tcBorders>
                    <w:tl2br w:val="nil"/>
                    <w:tr2bl w:val="nil"/>
                  </w:tcBorders>
                  <w:vAlign w:val="top"/>
                </w:tcPr>
                <w:p w14:paraId="3A553C4F">
                  <w:pPr>
                    <w:pStyle w:val="81"/>
                    <w:spacing w:before="71" w:line="228" w:lineRule="auto"/>
                    <w:ind w:left="392"/>
                    <w:rPr>
                      <w:color w:val="auto"/>
                      <w:sz w:val="20"/>
                      <w:szCs w:val="20"/>
                      <w:u w:val="none" w:color="auto"/>
                    </w:rPr>
                  </w:pPr>
                  <w:r>
                    <w:rPr>
                      <w:color w:val="auto"/>
                      <w:spacing w:val="7"/>
                      <w:sz w:val="20"/>
                      <w:szCs w:val="20"/>
                      <w:u w:val="none" w:color="auto"/>
                    </w:rPr>
                    <w:t>汽车列车</w:t>
                  </w:r>
                </w:p>
              </w:tc>
              <w:tc>
                <w:tcPr>
                  <w:tcW w:w="1470" w:type="dxa"/>
                  <w:tcBorders>
                    <w:tl2br w:val="nil"/>
                    <w:tr2bl w:val="nil"/>
                  </w:tcBorders>
                  <w:vAlign w:val="top"/>
                </w:tcPr>
                <w:p w14:paraId="400B76BC">
                  <w:pPr>
                    <w:spacing w:before="109" w:line="195" w:lineRule="auto"/>
                    <w:ind w:left="71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w:t>
                  </w:r>
                </w:p>
              </w:tc>
              <w:tc>
                <w:tcPr>
                  <w:tcW w:w="3978" w:type="dxa"/>
                  <w:tcBorders>
                    <w:tl2br w:val="nil"/>
                    <w:tr2bl w:val="nil"/>
                  </w:tcBorders>
                  <w:vAlign w:val="top"/>
                </w:tcPr>
                <w:p w14:paraId="7007FFAE">
                  <w:pPr>
                    <w:pStyle w:val="81"/>
                    <w:spacing w:before="71" w:line="227" w:lineRule="auto"/>
                    <w:ind w:left="1182"/>
                    <w:rPr>
                      <w:color w:val="auto"/>
                      <w:sz w:val="20"/>
                      <w:szCs w:val="20"/>
                      <w:u w:val="none" w:color="auto"/>
                    </w:rPr>
                  </w:pPr>
                  <w:r>
                    <w:rPr>
                      <w:color w:val="auto"/>
                      <w:spacing w:val="4"/>
                      <w:sz w:val="20"/>
                      <w:szCs w:val="20"/>
                      <w:u w:val="none" w:color="auto"/>
                    </w:rPr>
                    <w:t>载质量＞</w:t>
                  </w:r>
                  <w:r>
                    <w:rPr>
                      <w:rFonts w:ascii="Times New Roman" w:hAnsi="Times New Roman" w:eastAsia="Times New Roman" w:cs="Times New Roman"/>
                      <w:color w:val="auto"/>
                      <w:spacing w:val="4"/>
                      <w:sz w:val="20"/>
                      <w:szCs w:val="20"/>
                      <w:u w:val="none" w:color="auto"/>
                    </w:rPr>
                    <w:t>20t</w:t>
                  </w:r>
                  <w:r>
                    <w:rPr>
                      <w:rFonts w:ascii="Times New Roman" w:hAnsi="Times New Roman" w:eastAsia="Times New Roman" w:cs="Times New Roman"/>
                      <w:color w:val="auto"/>
                      <w:spacing w:val="30"/>
                      <w:sz w:val="20"/>
                      <w:szCs w:val="20"/>
                      <w:u w:val="none" w:color="auto"/>
                    </w:rPr>
                    <w:t xml:space="preserve"> </w:t>
                  </w:r>
                  <w:r>
                    <w:rPr>
                      <w:color w:val="auto"/>
                      <w:spacing w:val="4"/>
                      <w:sz w:val="20"/>
                      <w:szCs w:val="20"/>
                      <w:u w:val="none" w:color="auto"/>
                    </w:rPr>
                    <w:t>的货车</w:t>
                  </w:r>
                </w:p>
              </w:tc>
            </w:tr>
          </w:tbl>
          <w:p w14:paraId="312AAAC3">
            <w:pPr>
              <w:spacing w:before="116" w:line="219" w:lineRule="auto"/>
              <w:ind w:left="514"/>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2</w:t>
            </w:r>
            <w:r>
              <w:rPr>
                <w:rFonts w:ascii="宋体" w:hAnsi="宋体" w:eastAsia="宋体" w:cs="宋体"/>
                <w:color w:val="auto"/>
                <w:spacing w:val="-3"/>
                <w:sz w:val="24"/>
                <w:szCs w:val="24"/>
                <w:u w:val="none" w:color="auto"/>
              </w:rPr>
              <w:t>）车道参数等信息</w:t>
            </w:r>
          </w:p>
          <w:p w14:paraId="4310C728">
            <w:pPr>
              <w:spacing w:before="120" w:line="228" w:lineRule="auto"/>
              <w:ind w:left="3112"/>
              <w:rPr>
                <w:rFonts w:ascii="宋体" w:hAnsi="宋体" w:eastAsia="宋体" w:cs="宋体"/>
                <w:color w:val="auto"/>
                <w:sz w:val="20"/>
                <w:szCs w:val="20"/>
                <w:u w:val="none" w:color="auto"/>
              </w:rPr>
            </w:pPr>
            <w:r>
              <w:rPr>
                <w:rFonts w:ascii="宋体" w:hAnsi="宋体" w:eastAsia="宋体" w:cs="宋体"/>
                <w:b/>
                <w:bCs/>
                <w:color w:val="auto"/>
                <w:spacing w:val="4"/>
                <w:sz w:val="20"/>
                <w:szCs w:val="20"/>
                <w:u w:val="none" w:color="auto"/>
              </w:rPr>
              <w:t>表</w:t>
            </w:r>
            <w:r>
              <w:rPr>
                <w:rFonts w:ascii="宋体" w:hAnsi="宋体" w:eastAsia="宋体" w:cs="宋体"/>
                <w:color w:val="auto"/>
                <w:spacing w:val="-31"/>
                <w:sz w:val="20"/>
                <w:szCs w:val="20"/>
                <w:u w:val="none" w:color="auto"/>
              </w:rPr>
              <w:t xml:space="preserve"> </w:t>
            </w:r>
            <w:r>
              <w:rPr>
                <w:rFonts w:ascii="Times New Roman" w:hAnsi="Times New Roman" w:eastAsia="Times New Roman" w:cs="Times New Roman"/>
                <w:b/>
                <w:bCs/>
                <w:color w:val="auto"/>
                <w:spacing w:val="4"/>
                <w:sz w:val="20"/>
                <w:szCs w:val="20"/>
                <w:u w:val="none" w:color="auto"/>
              </w:rPr>
              <w:t>4-1</w:t>
            </w:r>
            <w:r>
              <w:rPr>
                <w:rFonts w:hint="eastAsia" w:eastAsia="宋体" w:cs="Times New Roman"/>
                <w:b/>
                <w:bCs/>
                <w:color w:val="auto"/>
                <w:spacing w:val="4"/>
                <w:sz w:val="20"/>
                <w:szCs w:val="20"/>
                <w:u w:val="none" w:color="auto"/>
                <w:lang w:val="en-US" w:eastAsia="zh-CN"/>
              </w:rPr>
              <w:t>4</w:t>
            </w:r>
            <w:r>
              <w:rPr>
                <w:rFonts w:ascii="Times New Roman" w:hAnsi="Times New Roman" w:eastAsia="Times New Roman" w:cs="Times New Roman"/>
                <w:b/>
                <w:bCs/>
                <w:color w:val="auto"/>
                <w:spacing w:val="4"/>
                <w:sz w:val="20"/>
                <w:szCs w:val="20"/>
                <w:u w:val="none" w:color="auto"/>
              </w:rPr>
              <w:t xml:space="preserve">    </w:t>
            </w:r>
            <w:r>
              <w:rPr>
                <w:rFonts w:ascii="宋体" w:hAnsi="宋体" w:eastAsia="宋体" w:cs="宋体"/>
                <w:b/>
                <w:bCs/>
                <w:color w:val="auto"/>
                <w:spacing w:val="4"/>
                <w:sz w:val="20"/>
                <w:szCs w:val="20"/>
                <w:u w:val="none" w:color="auto"/>
              </w:rPr>
              <w:t>主线参数设置</w:t>
            </w:r>
          </w:p>
          <w:p w14:paraId="53D04C90">
            <w:pPr>
              <w:spacing w:line="14" w:lineRule="exact"/>
              <w:rPr>
                <w:color w:val="auto"/>
                <w:u w:val="none" w:color="auto"/>
              </w:rPr>
            </w:pPr>
          </w:p>
          <w:tbl>
            <w:tblPr>
              <w:tblStyle w:val="72"/>
              <w:tblW w:w="7818" w:type="dxa"/>
              <w:tblInd w:w="5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858"/>
              <w:gridCol w:w="1790"/>
              <w:gridCol w:w="1890"/>
              <w:gridCol w:w="1280"/>
            </w:tblGrid>
            <w:tr w14:paraId="5048A1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2858" w:type="dxa"/>
                  <w:tcBorders>
                    <w:tl2br w:val="nil"/>
                    <w:tr2bl w:val="nil"/>
                  </w:tcBorders>
                  <w:vAlign w:val="top"/>
                </w:tcPr>
                <w:p w14:paraId="73B27F03">
                  <w:pPr>
                    <w:pStyle w:val="81"/>
                    <w:spacing w:before="55" w:line="225" w:lineRule="auto"/>
                    <w:ind w:left="1080"/>
                    <w:rPr>
                      <w:color w:val="auto"/>
                      <w:sz w:val="20"/>
                      <w:szCs w:val="20"/>
                      <w:u w:val="none" w:color="auto"/>
                    </w:rPr>
                  </w:pPr>
                  <w:r>
                    <w:rPr>
                      <w:color w:val="auto"/>
                      <w:spacing w:val="6"/>
                      <w:sz w:val="20"/>
                      <w:szCs w:val="20"/>
                      <w:u w:val="none" w:color="auto"/>
                    </w:rPr>
                    <w:t>工程范围</w:t>
                  </w:r>
                </w:p>
              </w:tc>
              <w:tc>
                <w:tcPr>
                  <w:tcW w:w="1790" w:type="dxa"/>
                  <w:tcBorders>
                    <w:tl2br w:val="nil"/>
                    <w:tr2bl w:val="nil"/>
                  </w:tcBorders>
                  <w:vAlign w:val="top"/>
                </w:tcPr>
                <w:p w14:paraId="021FD003">
                  <w:pPr>
                    <w:pStyle w:val="81"/>
                    <w:spacing w:before="55" w:line="225" w:lineRule="auto"/>
                    <w:ind w:left="112"/>
                    <w:rPr>
                      <w:color w:val="auto"/>
                      <w:sz w:val="20"/>
                      <w:szCs w:val="20"/>
                      <w:u w:val="none" w:color="auto"/>
                    </w:rPr>
                  </w:pPr>
                  <w:r>
                    <w:rPr>
                      <w:color w:val="auto"/>
                      <w:spacing w:val="7"/>
                      <w:sz w:val="20"/>
                      <w:szCs w:val="20"/>
                      <w:u w:val="none" w:color="auto"/>
                    </w:rPr>
                    <w:t>车道数（标准段）</w:t>
                  </w:r>
                </w:p>
              </w:tc>
              <w:tc>
                <w:tcPr>
                  <w:tcW w:w="1890" w:type="dxa"/>
                  <w:tcBorders>
                    <w:tl2br w:val="nil"/>
                    <w:tr2bl w:val="nil"/>
                  </w:tcBorders>
                  <w:vAlign w:val="top"/>
                </w:tcPr>
                <w:p w14:paraId="30090BD5">
                  <w:pPr>
                    <w:pStyle w:val="81"/>
                    <w:spacing w:before="55" w:line="225" w:lineRule="auto"/>
                    <w:ind w:right="3"/>
                    <w:jc w:val="right"/>
                    <w:rPr>
                      <w:color w:val="auto"/>
                      <w:sz w:val="20"/>
                      <w:szCs w:val="20"/>
                      <w:u w:val="none" w:color="auto"/>
                    </w:rPr>
                  </w:pPr>
                  <w:r>
                    <w:rPr>
                      <w:color w:val="auto"/>
                      <w:spacing w:val="7"/>
                      <w:sz w:val="20"/>
                      <w:szCs w:val="20"/>
                      <w:u w:val="none" w:color="auto"/>
                    </w:rPr>
                    <w:t>车道宽度（标准段）</w:t>
                  </w:r>
                </w:p>
              </w:tc>
              <w:tc>
                <w:tcPr>
                  <w:tcW w:w="1280" w:type="dxa"/>
                  <w:tcBorders>
                    <w:tl2br w:val="nil"/>
                    <w:tr2bl w:val="nil"/>
                  </w:tcBorders>
                  <w:vAlign w:val="top"/>
                </w:tcPr>
                <w:p w14:paraId="01F9748C">
                  <w:pPr>
                    <w:pStyle w:val="81"/>
                    <w:spacing w:before="55" w:line="225" w:lineRule="auto"/>
                    <w:ind w:left="265"/>
                    <w:rPr>
                      <w:color w:val="auto"/>
                      <w:sz w:val="20"/>
                      <w:szCs w:val="20"/>
                      <w:u w:val="none" w:color="auto"/>
                    </w:rPr>
                  </w:pPr>
                  <w:r>
                    <w:rPr>
                      <w:color w:val="auto"/>
                      <w:spacing w:val="6"/>
                      <w:sz w:val="20"/>
                      <w:szCs w:val="20"/>
                      <w:u w:val="none" w:color="auto"/>
                    </w:rPr>
                    <w:t>设计速度</w:t>
                  </w:r>
                </w:p>
              </w:tc>
            </w:tr>
            <w:tr w14:paraId="44BD57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2858" w:type="dxa"/>
                  <w:tcBorders>
                    <w:tl2br w:val="nil"/>
                    <w:tr2bl w:val="nil"/>
                  </w:tcBorders>
                  <w:vAlign w:val="top"/>
                </w:tcPr>
                <w:p w14:paraId="4F12F5A7">
                  <w:pPr>
                    <w:pStyle w:val="81"/>
                    <w:spacing w:before="63" w:line="227" w:lineRule="auto"/>
                    <w:ind w:right="16"/>
                    <w:jc w:val="center"/>
                    <w:rPr>
                      <w:rFonts w:hint="default" w:eastAsia="宋体"/>
                      <w:color w:val="auto"/>
                      <w:sz w:val="20"/>
                      <w:szCs w:val="20"/>
                      <w:u w:val="none" w:color="auto"/>
                      <w:lang w:val="en-US" w:eastAsia="zh-CN"/>
                    </w:rPr>
                  </w:pPr>
                  <w:r>
                    <w:rPr>
                      <w:rFonts w:hint="eastAsia"/>
                      <w:color w:val="auto"/>
                      <w:sz w:val="20"/>
                      <w:szCs w:val="20"/>
                      <w:u w:val="none" w:color="auto"/>
                      <w:lang w:val="en-US" w:eastAsia="zh-CN"/>
                    </w:rPr>
                    <w:t>团胜路</w:t>
                  </w:r>
                </w:p>
              </w:tc>
              <w:tc>
                <w:tcPr>
                  <w:tcW w:w="1790" w:type="dxa"/>
                  <w:tcBorders>
                    <w:tl2br w:val="nil"/>
                    <w:tr2bl w:val="nil"/>
                  </w:tcBorders>
                  <w:vAlign w:val="top"/>
                </w:tcPr>
                <w:p w14:paraId="5CE75E91">
                  <w:pPr>
                    <w:pStyle w:val="81"/>
                    <w:spacing w:before="62" w:line="228" w:lineRule="auto"/>
                    <w:ind w:left="422"/>
                    <w:rPr>
                      <w:color w:val="auto"/>
                      <w:sz w:val="20"/>
                      <w:szCs w:val="20"/>
                      <w:u w:val="none" w:color="auto"/>
                    </w:rPr>
                  </w:pPr>
                  <w:r>
                    <w:rPr>
                      <w:color w:val="auto"/>
                      <w:spacing w:val="2"/>
                      <w:sz w:val="20"/>
                      <w:szCs w:val="20"/>
                      <w:u w:val="none" w:color="auto"/>
                    </w:rPr>
                    <w:t>双向</w:t>
                  </w:r>
                  <w:r>
                    <w:rPr>
                      <w:color w:val="auto"/>
                      <w:spacing w:val="-34"/>
                      <w:sz w:val="20"/>
                      <w:szCs w:val="20"/>
                      <w:u w:val="none" w:color="auto"/>
                    </w:rPr>
                    <w:t xml:space="preserve"> </w:t>
                  </w:r>
                  <w:r>
                    <w:rPr>
                      <w:rFonts w:hint="eastAsia" w:ascii="Times New Roman" w:hAnsi="Times New Roman" w:eastAsia="宋体" w:cs="Times New Roman"/>
                      <w:color w:val="auto"/>
                      <w:spacing w:val="2"/>
                      <w:sz w:val="20"/>
                      <w:szCs w:val="20"/>
                      <w:u w:val="none" w:color="auto"/>
                      <w:lang w:val="en-US" w:eastAsia="zh-CN"/>
                    </w:rPr>
                    <w:t>2</w:t>
                  </w:r>
                  <w:r>
                    <w:rPr>
                      <w:color w:val="auto"/>
                      <w:spacing w:val="2"/>
                      <w:sz w:val="20"/>
                      <w:szCs w:val="20"/>
                      <w:u w:val="none" w:color="auto"/>
                    </w:rPr>
                    <w:t>车道</w:t>
                  </w:r>
                </w:p>
              </w:tc>
              <w:tc>
                <w:tcPr>
                  <w:tcW w:w="1890" w:type="dxa"/>
                  <w:tcBorders>
                    <w:tl2br w:val="nil"/>
                    <w:tr2bl w:val="nil"/>
                  </w:tcBorders>
                  <w:vAlign w:val="top"/>
                </w:tcPr>
                <w:p w14:paraId="6158135F">
                  <w:pPr>
                    <w:spacing w:before="101" w:line="195" w:lineRule="auto"/>
                    <w:ind w:left="813"/>
                    <w:rPr>
                      <w:rFonts w:ascii="Times New Roman" w:hAnsi="Times New Roman" w:eastAsia="Times New Roman" w:cs="Times New Roman"/>
                      <w:color w:val="auto"/>
                      <w:sz w:val="20"/>
                      <w:szCs w:val="20"/>
                      <w:u w:val="none" w:color="auto"/>
                    </w:rPr>
                  </w:pPr>
                  <w:r>
                    <w:rPr>
                      <w:rFonts w:hint="eastAsia" w:ascii="Times New Roman" w:hAnsi="Times New Roman" w:eastAsia="宋体" w:cs="Times New Roman"/>
                      <w:color w:val="auto"/>
                      <w:spacing w:val="4"/>
                      <w:sz w:val="20"/>
                      <w:szCs w:val="20"/>
                      <w:u w:val="none" w:color="auto"/>
                      <w:lang w:val="en-US" w:eastAsia="zh-CN"/>
                    </w:rPr>
                    <w:t>15</w:t>
                  </w:r>
                  <w:r>
                    <w:rPr>
                      <w:rFonts w:ascii="Times New Roman" w:hAnsi="Times New Roman" w:eastAsia="Times New Roman" w:cs="Times New Roman"/>
                      <w:color w:val="auto"/>
                      <w:spacing w:val="4"/>
                      <w:sz w:val="20"/>
                      <w:szCs w:val="20"/>
                      <w:u w:val="none" w:color="auto"/>
                    </w:rPr>
                    <w:t>m</w:t>
                  </w:r>
                </w:p>
              </w:tc>
              <w:tc>
                <w:tcPr>
                  <w:tcW w:w="1280" w:type="dxa"/>
                  <w:tcBorders>
                    <w:tl2br w:val="nil"/>
                    <w:tr2bl w:val="nil"/>
                  </w:tcBorders>
                  <w:vAlign w:val="top"/>
                </w:tcPr>
                <w:p w14:paraId="2B09B8A6">
                  <w:pPr>
                    <w:spacing w:before="97" w:line="199" w:lineRule="auto"/>
                    <w:ind w:left="362"/>
                    <w:rPr>
                      <w:rFonts w:ascii="Times New Roman" w:hAnsi="Times New Roman" w:eastAsia="Times New Roman" w:cs="Times New Roman"/>
                      <w:color w:val="auto"/>
                      <w:sz w:val="20"/>
                      <w:szCs w:val="20"/>
                      <w:u w:val="none" w:color="auto"/>
                    </w:rPr>
                  </w:pPr>
                  <w:r>
                    <w:rPr>
                      <w:rFonts w:hint="eastAsia" w:ascii="Times New Roman" w:hAnsi="Times New Roman" w:eastAsia="宋体" w:cs="Times New Roman"/>
                      <w:color w:val="auto"/>
                      <w:spacing w:val="4"/>
                      <w:sz w:val="20"/>
                      <w:szCs w:val="20"/>
                      <w:u w:val="none" w:color="auto"/>
                      <w:lang w:val="en-US" w:eastAsia="zh-CN"/>
                    </w:rPr>
                    <w:t>4</w:t>
                  </w:r>
                  <w:r>
                    <w:rPr>
                      <w:rFonts w:ascii="Times New Roman" w:hAnsi="Times New Roman" w:eastAsia="Times New Roman" w:cs="Times New Roman"/>
                      <w:color w:val="auto"/>
                      <w:spacing w:val="4"/>
                      <w:sz w:val="20"/>
                      <w:szCs w:val="20"/>
                      <w:u w:val="none" w:color="auto"/>
                    </w:rPr>
                    <w:t>0</w:t>
                  </w:r>
                  <w:r>
                    <w:rPr>
                      <w:rFonts w:ascii="Times New Roman" w:hAnsi="Times New Roman" w:eastAsia="Times New Roman" w:cs="Times New Roman"/>
                      <w:color w:val="auto"/>
                      <w:sz w:val="20"/>
                      <w:szCs w:val="20"/>
                      <w:u w:val="none" w:color="auto"/>
                    </w:rPr>
                    <w:t>km</w:t>
                  </w:r>
                  <w:r>
                    <w:rPr>
                      <w:rFonts w:ascii="Times New Roman" w:hAnsi="Times New Roman" w:eastAsia="Times New Roman" w:cs="Times New Roman"/>
                      <w:color w:val="auto"/>
                      <w:spacing w:val="4"/>
                      <w:sz w:val="20"/>
                      <w:szCs w:val="20"/>
                      <w:u w:val="none" w:color="auto"/>
                    </w:rPr>
                    <w:t>/h</w:t>
                  </w:r>
                </w:p>
              </w:tc>
            </w:tr>
          </w:tbl>
          <w:p w14:paraId="59280458">
            <w:pPr>
              <w:spacing w:before="115" w:line="219" w:lineRule="auto"/>
              <w:ind w:left="514"/>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w:t>
            </w:r>
            <w:r>
              <w:rPr>
                <w:rFonts w:ascii="Times New Roman" w:hAnsi="Times New Roman" w:eastAsia="Times New Roman" w:cs="Times New Roman"/>
                <w:color w:val="auto"/>
                <w:spacing w:val="-4"/>
                <w:sz w:val="24"/>
                <w:szCs w:val="24"/>
                <w:u w:val="none" w:color="auto"/>
              </w:rPr>
              <w:t>3</w:t>
            </w:r>
            <w:r>
              <w:rPr>
                <w:rFonts w:ascii="宋体" w:hAnsi="宋体" w:eastAsia="宋体" w:cs="宋体"/>
                <w:color w:val="auto"/>
                <w:spacing w:val="-4"/>
                <w:sz w:val="24"/>
                <w:szCs w:val="24"/>
                <w:u w:val="none" w:color="auto"/>
              </w:rPr>
              <w:t>）车流量</w:t>
            </w:r>
          </w:p>
          <w:p w14:paraId="14EC8B00">
            <w:pPr>
              <w:spacing w:before="183" w:line="360" w:lineRule="auto"/>
              <w:ind w:left="25" w:right="27" w:firstLine="479"/>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本工程运行近期（</w:t>
            </w:r>
            <w:r>
              <w:rPr>
                <w:rFonts w:ascii="Times New Roman" w:hAnsi="Times New Roman" w:eastAsia="Times New Roman" w:cs="Times New Roman"/>
                <w:color w:val="auto"/>
                <w:spacing w:val="-1"/>
                <w:sz w:val="24"/>
                <w:szCs w:val="24"/>
                <w:u w:val="none" w:color="auto"/>
              </w:rPr>
              <w:t>202</w:t>
            </w:r>
            <w:r>
              <w:rPr>
                <w:rFonts w:hint="eastAsia" w:ascii="Times New Roman" w:hAnsi="Times New Roman" w:eastAsia="宋体" w:cs="Times New Roman"/>
                <w:color w:val="auto"/>
                <w:spacing w:val="-1"/>
                <w:sz w:val="24"/>
                <w:szCs w:val="24"/>
                <w:u w:val="none" w:color="auto"/>
                <w:lang w:val="en-US" w:eastAsia="zh-CN"/>
              </w:rPr>
              <w:t>7</w:t>
            </w:r>
            <w:r>
              <w:rPr>
                <w:rFonts w:ascii="宋体" w:hAnsi="宋体" w:eastAsia="宋体" w:cs="宋体"/>
                <w:color w:val="auto"/>
                <w:spacing w:val="-1"/>
                <w:sz w:val="24"/>
                <w:szCs w:val="24"/>
                <w:u w:val="none" w:color="auto"/>
              </w:rPr>
              <w:t>年）、中期（</w:t>
            </w:r>
            <w:r>
              <w:rPr>
                <w:rFonts w:ascii="Times New Roman" w:hAnsi="Times New Roman" w:eastAsia="Times New Roman" w:cs="Times New Roman"/>
                <w:color w:val="auto"/>
                <w:spacing w:val="-1"/>
                <w:sz w:val="24"/>
                <w:szCs w:val="24"/>
                <w:u w:val="none" w:color="auto"/>
              </w:rPr>
              <w:t>203</w:t>
            </w:r>
            <w:r>
              <w:rPr>
                <w:rFonts w:hint="eastAsia" w:ascii="Times New Roman" w:hAnsi="Times New Roman" w:eastAsia="宋体" w:cs="Times New Roman"/>
                <w:color w:val="auto"/>
                <w:spacing w:val="-1"/>
                <w:sz w:val="24"/>
                <w:szCs w:val="24"/>
                <w:u w:val="none" w:color="auto"/>
                <w:lang w:val="en-US" w:eastAsia="zh-CN"/>
              </w:rPr>
              <w:t>3</w:t>
            </w:r>
            <w:r>
              <w:rPr>
                <w:rFonts w:ascii="宋体" w:hAnsi="宋体" w:eastAsia="宋体" w:cs="宋体"/>
                <w:color w:val="auto"/>
                <w:spacing w:val="-1"/>
                <w:sz w:val="24"/>
                <w:szCs w:val="24"/>
                <w:u w:val="none" w:color="auto"/>
              </w:rPr>
              <w:t>年）和远期（</w:t>
            </w:r>
            <w:r>
              <w:rPr>
                <w:rFonts w:ascii="Times New Roman" w:hAnsi="Times New Roman" w:eastAsia="Times New Roman" w:cs="Times New Roman"/>
                <w:color w:val="auto"/>
                <w:spacing w:val="-1"/>
                <w:sz w:val="24"/>
                <w:szCs w:val="24"/>
                <w:u w:val="none" w:color="auto"/>
              </w:rPr>
              <w:t>204</w:t>
            </w:r>
            <w:r>
              <w:rPr>
                <w:rFonts w:hint="eastAsia" w:ascii="Times New Roman" w:hAnsi="Times New Roman" w:eastAsia="宋体" w:cs="Times New Roman"/>
                <w:color w:val="auto"/>
                <w:spacing w:val="-1"/>
                <w:sz w:val="24"/>
                <w:szCs w:val="24"/>
                <w:u w:val="none" w:color="auto"/>
                <w:lang w:val="en-US" w:eastAsia="zh-CN"/>
              </w:rPr>
              <w:t>1</w:t>
            </w:r>
            <w:r>
              <w:rPr>
                <w:rFonts w:ascii="宋体" w:hAnsi="宋体" w:eastAsia="宋体" w:cs="宋体"/>
                <w:color w:val="auto"/>
                <w:spacing w:val="-1"/>
                <w:sz w:val="24"/>
                <w:szCs w:val="24"/>
                <w:u w:val="none" w:color="auto"/>
              </w:rPr>
              <w:t>年）</w:t>
            </w:r>
            <w:r>
              <w:rPr>
                <w:rFonts w:ascii="宋体" w:hAnsi="宋体" w:eastAsia="宋体" w:cs="宋体"/>
                <w:color w:val="auto"/>
                <w:spacing w:val="-2"/>
                <w:sz w:val="24"/>
                <w:szCs w:val="24"/>
                <w:u w:val="none" w:color="auto"/>
              </w:rPr>
              <w:t>的车流量预测结果见表</w:t>
            </w:r>
            <w:r>
              <w:rPr>
                <w:rFonts w:ascii="宋体" w:hAnsi="宋体" w:eastAsia="宋体" w:cs="宋体"/>
                <w:color w:val="auto"/>
                <w:spacing w:val="-54"/>
                <w:sz w:val="24"/>
                <w:szCs w:val="24"/>
                <w:u w:val="none" w:color="auto"/>
              </w:rPr>
              <w:t xml:space="preserve"> </w:t>
            </w:r>
            <w:r>
              <w:rPr>
                <w:rFonts w:ascii="Times New Roman" w:hAnsi="Times New Roman" w:eastAsia="Times New Roman" w:cs="Times New Roman"/>
                <w:color w:val="auto"/>
                <w:spacing w:val="-2"/>
                <w:sz w:val="24"/>
                <w:szCs w:val="24"/>
                <w:u w:val="none" w:color="auto"/>
              </w:rPr>
              <w:t>4-4</w:t>
            </w:r>
            <w:r>
              <w:rPr>
                <w:rFonts w:ascii="宋体" w:hAnsi="宋体" w:eastAsia="宋体" w:cs="宋体"/>
                <w:color w:val="auto"/>
                <w:spacing w:val="-2"/>
                <w:sz w:val="24"/>
                <w:szCs w:val="24"/>
                <w:u w:val="none" w:color="auto"/>
              </w:rPr>
              <w:t>。</w:t>
            </w:r>
          </w:p>
          <w:p w14:paraId="149C7879">
            <w:pPr>
              <w:spacing w:line="219" w:lineRule="auto"/>
              <w:ind w:left="514"/>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4</w:t>
            </w:r>
            <w:r>
              <w:rPr>
                <w:rFonts w:ascii="宋体" w:hAnsi="宋体" w:eastAsia="宋体" w:cs="宋体"/>
                <w:color w:val="auto"/>
                <w:spacing w:val="-3"/>
                <w:sz w:val="24"/>
                <w:szCs w:val="24"/>
                <w:u w:val="none" w:color="auto"/>
              </w:rPr>
              <w:t>）衰减参数</w:t>
            </w:r>
          </w:p>
          <w:p w14:paraId="57414983">
            <w:pPr>
              <w:spacing w:before="122" w:line="360" w:lineRule="auto"/>
              <w:ind w:left="23" w:right="53"/>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本次评价房屋高度设置：村庄住宅二层、三</w:t>
            </w:r>
            <w:r>
              <w:rPr>
                <w:rFonts w:ascii="宋体" w:hAnsi="宋体" w:eastAsia="宋体" w:cs="宋体"/>
                <w:color w:val="auto"/>
                <w:spacing w:val="1"/>
                <w:sz w:val="24"/>
                <w:szCs w:val="24"/>
                <w:u w:val="none" w:color="auto"/>
              </w:rPr>
              <w:t>层楼房每层高度取</w:t>
            </w:r>
            <w:r>
              <w:rPr>
                <w:rFonts w:ascii="宋体" w:hAnsi="宋体" w:eastAsia="宋体" w:cs="宋体"/>
                <w:color w:val="auto"/>
                <w:spacing w:val="-48"/>
                <w:sz w:val="24"/>
                <w:szCs w:val="24"/>
                <w:u w:val="none" w:color="auto"/>
              </w:rPr>
              <w:t xml:space="preserve"> </w:t>
            </w:r>
            <w:r>
              <w:rPr>
                <w:rFonts w:ascii="Times New Roman" w:hAnsi="Times New Roman" w:eastAsia="Times New Roman" w:cs="Times New Roman"/>
                <w:color w:val="auto"/>
                <w:spacing w:val="1"/>
                <w:sz w:val="24"/>
                <w:szCs w:val="24"/>
                <w:u w:val="none" w:color="auto"/>
              </w:rPr>
              <w:t>3.5m</w:t>
            </w:r>
            <w:r>
              <w:rPr>
                <w:rFonts w:ascii="宋体" w:hAnsi="宋体" w:eastAsia="宋体" w:cs="宋体"/>
                <w:color w:val="auto"/>
                <w:spacing w:val="1"/>
                <w:sz w:val="24"/>
                <w:szCs w:val="24"/>
                <w:u w:val="none" w:color="auto"/>
              </w:rPr>
              <w:t>；高于</w:t>
            </w:r>
            <w:r>
              <w:rPr>
                <w:rFonts w:ascii="宋体" w:hAnsi="宋体" w:eastAsia="宋体" w:cs="宋体"/>
                <w:color w:val="auto"/>
                <w:spacing w:val="3"/>
                <w:sz w:val="24"/>
                <w:szCs w:val="24"/>
                <w:u w:val="none" w:color="auto"/>
              </w:rPr>
              <w:t>三层楼房按每层</w:t>
            </w:r>
            <w:r>
              <w:rPr>
                <w:rFonts w:ascii="宋体" w:hAnsi="宋体" w:eastAsia="宋体" w:cs="宋体"/>
                <w:color w:val="auto"/>
                <w:spacing w:val="-48"/>
                <w:sz w:val="24"/>
                <w:szCs w:val="24"/>
                <w:u w:val="none" w:color="auto"/>
              </w:rPr>
              <w:t xml:space="preserve"> </w:t>
            </w:r>
            <w:r>
              <w:rPr>
                <w:rFonts w:ascii="Times New Roman" w:hAnsi="Times New Roman" w:eastAsia="Times New Roman" w:cs="Times New Roman"/>
                <w:color w:val="auto"/>
                <w:spacing w:val="3"/>
                <w:sz w:val="24"/>
                <w:szCs w:val="24"/>
                <w:u w:val="none" w:color="auto"/>
              </w:rPr>
              <w:t>3m</w:t>
            </w:r>
            <w:r>
              <w:rPr>
                <w:rFonts w:ascii="宋体" w:hAnsi="宋体" w:eastAsia="宋体" w:cs="宋体"/>
                <w:color w:val="auto"/>
                <w:spacing w:val="3"/>
                <w:sz w:val="24"/>
                <w:szCs w:val="24"/>
                <w:u w:val="none" w:color="auto"/>
              </w:rPr>
              <w:t>计；农村住宅围墙取</w:t>
            </w:r>
            <w:r>
              <w:rPr>
                <w:rFonts w:ascii="宋体" w:hAnsi="宋体" w:eastAsia="宋体" w:cs="宋体"/>
                <w:color w:val="auto"/>
                <w:spacing w:val="-50"/>
                <w:sz w:val="24"/>
                <w:szCs w:val="24"/>
                <w:u w:val="none" w:color="auto"/>
              </w:rPr>
              <w:t xml:space="preserve"> </w:t>
            </w:r>
            <w:r>
              <w:rPr>
                <w:rFonts w:ascii="Times New Roman" w:hAnsi="Times New Roman" w:eastAsia="Times New Roman" w:cs="Times New Roman"/>
                <w:color w:val="auto"/>
                <w:spacing w:val="3"/>
                <w:sz w:val="24"/>
                <w:szCs w:val="24"/>
                <w:u w:val="none" w:color="auto"/>
              </w:rPr>
              <w:t>2.5m</w:t>
            </w:r>
            <w:r>
              <w:rPr>
                <w:rFonts w:ascii="宋体" w:hAnsi="宋体" w:eastAsia="宋体" w:cs="宋体"/>
                <w:color w:val="auto"/>
                <w:spacing w:val="3"/>
                <w:sz w:val="24"/>
                <w:szCs w:val="24"/>
                <w:u w:val="none" w:color="auto"/>
              </w:rPr>
              <w:t>；小区</w:t>
            </w:r>
            <w:r>
              <w:rPr>
                <w:rFonts w:ascii="宋体" w:hAnsi="宋体" w:eastAsia="宋体" w:cs="宋体"/>
                <w:color w:val="auto"/>
                <w:spacing w:val="2"/>
                <w:sz w:val="24"/>
                <w:szCs w:val="24"/>
                <w:u w:val="none" w:color="auto"/>
              </w:rPr>
              <w:t>住宅均高于三层，按每层</w:t>
            </w:r>
            <w:r>
              <w:rPr>
                <w:rFonts w:ascii="Times New Roman" w:hAnsi="Times New Roman" w:eastAsia="Times New Roman" w:cs="Times New Roman"/>
                <w:color w:val="auto"/>
                <w:spacing w:val="-5"/>
                <w:sz w:val="24"/>
                <w:szCs w:val="24"/>
                <w:u w:val="none" w:color="auto"/>
              </w:rPr>
              <w:t>3m</w:t>
            </w:r>
            <w:r>
              <w:rPr>
                <w:rFonts w:ascii="宋体" w:hAnsi="宋体" w:eastAsia="宋体" w:cs="宋体"/>
                <w:color w:val="auto"/>
                <w:spacing w:val="-5"/>
                <w:sz w:val="24"/>
                <w:szCs w:val="24"/>
                <w:u w:val="none" w:color="auto"/>
              </w:rPr>
              <w:t>计。</w:t>
            </w:r>
          </w:p>
          <w:p w14:paraId="56171700">
            <w:pPr>
              <w:spacing w:line="219" w:lineRule="auto"/>
              <w:ind w:left="514"/>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5</w:t>
            </w:r>
            <w:r>
              <w:rPr>
                <w:rFonts w:ascii="宋体" w:hAnsi="宋体" w:eastAsia="宋体" w:cs="宋体"/>
                <w:color w:val="auto"/>
                <w:spacing w:val="-3"/>
                <w:sz w:val="24"/>
                <w:szCs w:val="24"/>
                <w:u w:val="none" w:color="auto"/>
              </w:rPr>
              <w:t>）接受点参数设置</w:t>
            </w:r>
          </w:p>
          <w:p w14:paraId="5379C8BB">
            <w:pPr>
              <w:spacing w:before="183" w:line="219" w:lineRule="auto"/>
              <w:ind w:left="502"/>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接受点离地高度为</w:t>
            </w:r>
            <w:r>
              <w:rPr>
                <w:rFonts w:ascii="宋体" w:hAnsi="宋体" w:eastAsia="宋体" w:cs="宋体"/>
                <w:color w:val="auto"/>
                <w:spacing w:val="-31"/>
                <w:sz w:val="24"/>
                <w:szCs w:val="24"/>
                <w:u w:val="none" w:color="auto"/>
              </w:rPr>
              <w:t xml:space="preserve"> </w:t>
            </w:r>
            <w:r>
              <w:rPr>
                <w:rFonts w:ascii="Times New Roman" w:hAnsi="Times New Roman" w:eastAsia="Times New Roman" w:cs="Times New Roman"/>
                <w:color w:val="auto"/>
                <w:spacing w:val="-3"/>
                <w:sz w:val="24"/>
                <w:szCs w:val="24"/>
                <w:u w:val="none" w:color="auto"/>
              </w:rPr>
              <w:t>1.2m</w:t>
            </w:r>
            <w:r>
              <w:rPr>
                <w:rFonts w:ascii="宋体" w:hAnsi="宋体" w:eastAsia="宋体" w:cs="宋体"/>
                <w:color w:val="auto"/>
                <w:spacing w:val="-3"/>
                <w:sz w:val="24"/>
                <w:szCs w:val="24"/>
                <w:u w:val="none" w:color="auto"/>
              </w:rPr>
              <w:t>。</w:t>
            </w:r>
          </w:p>
          <w:p w14:paraId="59426C02">
            <w:pPr>
              <w:spacing w:before="183" w:line="219" w:lineRule="auto"/>
              <w:ind w:left="514"/>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6</w:t>
            </w:r>
            <w:r>
              <w:rPr>
                <w:rFonts w:ascii="宋体" w:hAnsi="宋体" w:eastAsia="宋体" w:cs="宋体"/>
                <w:color w:val="auto"/>
                <w:spacing w:val="-3"/>
                <w:sz w:val="24"/>
                <w:szCs w:val="24"/>
                <w:u w:val="none" w:color="auto"/>
              </w:rPr>
              <w:t>）背景噪声选取</w:t>
            </w:r>
          </w:p>
          <w:p w14:paraId="5413672B">
            <w:pPr>
              <w:spacing w:before="183" w:line="344" w:lineRule="auto"/>
              <w:ind w:left="26" w:right="53" w:firstLine="478"/>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本项目沿线及周边共包括</w:t>
            </w:r>
            <w:r>
              <w:rPr>
                <w:rFonts w:ascii="宋体" w:hAnsi="宋体" w:eastAsia="宋体" w:cs="宋体"/>
                <w:color w:val="auto"/>
                <w:spacing w:val="-50"/>
                <w:sz w:val="24"/>
                <w:szCs w:val="24"/>
                <w:u w:val="none" w:color="auto"/>
              </w:rPr>
              <w:t xml:space="preserve"> </w:t>
            </w:r>
            <w:r>
              <w:rPr>
                <w:rFonts w:hint="eastAsia" w:ascii="Times New Roman" w:hAnsi="Times New Roman" w:eastAsia="宋体" w:cs="Times New Roman"/>
                <w:color w:val="auto"/>
                <w:spacing w:val="-3"/>
                <w:sz w:val="24"/>
                <w:szCs w:val="24"/>
                <w:u w:val="none" w:color="auto"/>
                <w:lang w:val="en-US" w:eastAsia="zh-CN"/>
              </w:rPr>
              <w:t>1</w:t>
            </w:r>
            <w:r>
              <w:rPr>
                <w:rFonts w:ascii="宋体" w:hAnsi="宋体" w:eastAsia="宋体" w:cs="宋体"/>
                <w:color w:val="auto"/>
                <w:spacing w:val="-3"/>
                <w:sz w:val="24"/>
                <w:szCs w:val="24"/>
                <w:u w:val="none" w:color="auto"/>
              </w:rPr>
              <w:t>个声环境敏感点，</w:t>
            </w:r>
            <w:r>
              <w:rPr>
                <w:rFonts w:ascii="宋体" w:hAnsi="宋体" w:eastAsia="宋体" w:cs="宋体"/>
                <w:color w:val="auto"/>
                <w:spacing w:val="-4"/>
                <w:sz w:val="24"/>
                <w:szCs w:val="24"/>
                <w:u w:val="none" w:color="auto"/>
              </w:rPr>
              <w:t>均进行了现状监测，监测时间为</w:t>
            </w:r>
            <w:r>
              <w:rPr>
                <w:rFonts w:ascii="宋体" w:hAnsi="宋体" w:eastAsia="宋体" w:cs="宋体"/>
                <w:color w:val="auto"/>
                <w:spacing w:val="-42"/>
                <w:sz w:val="24"/>
                <w:szCs w:val="24"/>
                <w:u w:val="none" w:color="auto"/>
              </w:rPr>
              <w:t xml:space="preserve"> </w:t>
            </w:r>
            <w:r>
              <w:rPr>
                <w:rFonts w:ascii="Times New Roman" w:hAnsi="Times New Roman" w:eastAsia="Times New Roman" w:cs="Times New Roman"/>
                <w:color w:val="auto"/>
                <w:spacing w:val="-4"/>
                <w:sz w:val="24"/>
                <w:szCs w:val="24"/>
                <w:u w:val="none" w:color="auto"/>
              </w:rPr>
              <w:t>2</w:t>
            </w:r>
            <w:r>
              <w:rPr>
                <w:rFonts w:ascii="宋体" w:hAnsi="宋体" w:eastAsia="宋体" w:cs="宋体"/>
                <w:color w:val="auto"/>
                <w:spacing w:val="-4"/>
                <w:sz w:val="24"/>
                <w:szCs w:val="24"/>
                <w:u w:val="none" w:color="auto"/>
              </w:rPr>
              <w:t>天，为本次背景噪声值，并选择监测结果中最大值进行预测，预测计算过程</w:t>
            </w:r>
            <w:r>
              <w:rPr>
                <w:rFonts w:ascii="宋体" w:hAnsi="宋体" w:eastAsia="宋体" w:cs="宋体"/>
                <w:color w:val="auto"/>
                <w:spacing w:val="-1"/>
                <w:sz w:val="24"/>
                <w:szCs w:val="24"/>
                <w:u w:val="none" w:color="auto"/>
              </w:rPr>
              <w:t>中采用的背景噪声值具体见下表：</w:t>
            </w:r>
          </w:p>
          <w:p w14:paraId="3C35856E">
            <w:pPr>
              <w:spacing w:line="227" w:lineRule="auto"/>
              <w:ind w:left="2373"/>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9"/>
                <w:sz w:val="20"/>
                <w:szCs w:val="20"/>
                <w:u w:val="none" w:color="auto"/>
              </w:rPr>
              <w:t xml:space="preserve"> </w:t>
            </w:r>
            <w:r>
              <w:rPr>
                <w:rFonts w:ascii="Times New Roman" w:hAnsi="Times New Roman" w:eastAsia="Times New Roman" w:cs="Times New Roman"/>
                <w:b/>
                <w:bCs/>
                <w:color w:val="auto"/>
                <w:spacing w:val="6"/>
                <w:sz w:val="20"/>
                <w:szCs w:val="20"/>
                <w:u w:val="none" w:color="auto"/>
              </w:rPr>
              <w:t>4-1</w:t>
            </w:r>
            <w:r>
              <w:rPr>
                <w:rFonts w:hint="eastAsia" w:eastAsia="宋体" w:cs="Times New Roman"/>
                <w:b/>
                <w:bCs/>
                <w:color w:val="auto"/>
                <w:spacing w:val="6"/>
                <w:sz w:val="20"/>
                <w:szCs w:val="20"/>
                <w:u w:val="none" w:color="auto"/>
                <w:lang w:val="en-US" w:eastAsia="zh-CN"/>
              </w:rPr>
              <w:t>4</w:t>
            </w:r>
            <w:r>
              <w:rPr>
                <w:rFonts w:ascii="Times New Roman" w:hAnsi="Times New Roman" w:eastAsia="Times New Roman" w:cs="Times New Roman"/>
                <w:b/>
                <w:bCs/>
                <w:color w:val="auto"/>
                <w:spacing w:val="6"/>
                <w:sz w:val="20"/>
                <w:szCs w:val="20"/>
                <w:u w:val="none" w:color="auto"/>
              </w:rPr>
              <w:t xml:space="preserve">    </w:t>
            </w:r>
            <w:r>
              <w:rPr>
                <w:rFonts w:ascii="宋体" w:hAnsi="宋体" w:eastAsia="宋体" w:cs="宋体"/>
                <w:b/>
                <w:bCs/>
                <w:color w:val="auto"/>
                <w:spacing w:val="6"/>
                <w:sz w:val="20"/>
                <w:szCs w:val="20"/>
                <w:u w:val="none" w:color="auto"/>
              </w:rPr>
              <w:t>声环境敏感点的背景噪声选取</w:t>
            </w:r>
          </w:p>
          <w:p w14:paraId="548B9321">
            <w:pPr>
              <w:spacing w:line="14" w:lineRule="exact"/>
              <w:rPr>
                <w:color w:val="auto"/>
                <w:u w:val="none" w:color="auto"/>
              </w:rPr>
            </w:pPr>
          </w:p>
          <w:tbl>
            <w:tblPr>
              <w:tblStyle w:val="72"/>
              <w:tblW w:w="7818" w:type="dxa"/>
              <w:tblInd w:w="2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49"/>
              <w:gridCol w:w="424"/>
              <w:gridCol w:w="607"/>
              <w:gridCol w:w="621"/>
              <w:gridCol w:w="962"/>
              <w:gridCol w:w="1990"/>
              <w:gridCol w:w="1491"/>
            </w:tblGrid>
            <w:tr w14:paraId="7194E2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74" w:type="dxa"/>
                  <w:vMerge w:val="restart"/>
                  <w:tcBorders>
                    <w:tl2br w:val="nil"/>
                    <w:tr2bl w:val="nil"/>
                  </w:tcBorders>
                  <w:vAlign w:val="center"/>
                </w:tcPr>
                <w:p w14:paraId="1C080ED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p w14:paraId="137433B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5"/>
                      <w:sz w:val="20"/>
                      <w:szCs w:val="20"/>
                      <w:u w:val="none" w:color="auto"/>
                    </w:rPr>
                    <w:t>序号</w:t>
                  </w:r>
                </w:p>
              </w:tc>
              <w:tc>
                <w:tcPr>
                  <w:tcW w:w="1473" w:type="dxa"/>
                  <w:gridSpan w:val="2"/>
                  <w:vMerge w:val="restart"/>
                  <w:tcBorders>
                    <w:tl2br w:val="nil"/>
                    <w:tr2bl w:val="nil"/>
                  </w:tcBorders>
                  <w:vAlign w:val="center"/>
                </w:tcPr>
                <w:p w14:paraId="7987B7F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p w14:paraId="0F6A30E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7"/>
                      <w:sz w:val="20"/>
                      <w:szCs w:val="20"/>
                      <w:u w:val="none" w:color="auto"/>
                    </w:rPr>
                    <w:t>敏感点名称</w:t>
                  </w:r>
                </w:p>
              </w:tc>
              <w:tc>
                <w:tcPr>
                  <w:tcW w:w="1228" w:type="dxa"/>
                  <w:gridSpan w:val="2"/>
                  <w:tcBorders>
                    <w:tl2br w:val="nil"/>
                    <w:tr2bl w:val="nil"/>
                  </w:tcBorders>
                  <w:vAlign w:val="center"/>
                </w:tcPr>
                <w:p w14:paraId="34D0E1A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5"/>
                      <w:sz w:val="20"/>
                      <w:szCs w:val="20"/>
                      <w:u w:val="none" w:color="auto"/>
                    </w:rPr>
                    <w:t>背景值</w:t>
                  </w:r>
                </w:p>
              </w:tc>
              <w:tc>
                <w:tcPr>
                  <w:tcW w:w="962" w:type="dxa"/>
                  <w:vMerge w:val="restart"/>
                  <w:tcBorders>
                    <w:tl2br w:val="nil"/>
                    <w:tr2bl w:val="nil"/>
                  </w:tcBorders>
                  <w:vAlign w:val="center"/>
                </w:tcPr>
                <w:p w14:paraId="7738BFE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6"/>
                      <w:sz w:val="20"/>
                      <w:szCs w:val="20"/>
                      <w:u w:val="none" w:color="auto"/>
                    </w:rPr>
                    <w:t>可代表</w:t>
                  </w:r>
                  <w:r>
                    <w:rPr>
                      <w:color w:val="auto"/>
                      <w:spacing w:val="-1"/>
                      <w:sz w:val="20"/>
                      <w:szCs w:val="20"/>
                      <w:u w:val="none" w:color="auto"/>
                    </w:rPr>
                    <w:t>点位</w:t>
                  </w:r>
                </w:p>
              </w:tc>
              <w:tc>
                <w:tcPr>
                  <w:tcW w:w="1990" w:type="dxa"/>
                  <w:vMerge w:val="restart"/>
                  <w:tcBorders>
                    <w:tl2br w:val="nil"/>
                    <w:tr2bl w:val="nil"/>
                  </w:tcBorders>
                  <w:vAlign w:val="center"/>
                </w:tcPr>
                <w:p w14:paraId="106A7A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p w14:paraId="25FAB2F0">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8"/>
                      <w:sz w:val="20"/>
                      <w:szCs w:val="20"/>
                      <w:u w:val="none" w:color="auto"/>
                    </w:rPr>
                    <w:t>监测点位代表性分析</w:t>
                  </w:r>
                </w:p>
              </w:tc>
              <w:tc>
                <w:tcPr>
                  <w:tcW w:w="1491" w:type="dxa"/>
                  <w:vMerge w:val="restart"/>
                  <w:tcBorders>
                    <w:tl2br w:val="nil"/>
                    <w:tr2bl w:val="nil"/>
                  </w:tcBorders>
                  <w:vAlign w:val="center"/>
                </w:tcPr>
                <w:p w14:paraId="00D7AD3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p w14:paraId="3F86C6F1">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3"/>
                      <w:sz w:val="20"/>
                      <w:szCs w:val="20"/>
                      <w:u w:val="none" w:color="auto"/>
                    </w:rPr>
                    <w:t>备注</w:t>
                  </w:r>
                </w:p>
              </w:tc>
            </w:tr>
            <w:tr w14:paraId="401735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674" w:type="dxa"/>
                  <w:vMerge w:val="continue"/>
                  <w:tcBorders>
                    <w:tl2br w:val="nil"/>
                    <w:tr2bl w:val="nil"/>
                  </w:tcBorders>
                  <w:vAlign w:val="center"/>
                </w:tcPr>
                <w:p w14:paraId="3B33BCE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473" w:type="dxa"/>
                  <w:gridSpan w:val="2"/>
                  <w:vMerge w:val="continue"/>
                  <w:tcBorders>
                    <w:tl2br w:val="nil"/>
                    <w:tr2bl w:val="nil"/>
                  </w:tcBorders>
                  <w:vAlign w:val="center"/>
                </w:tcPr>
                <w:p w14:paraId="3762185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607" w:type="dxa"/>
                  <w:tcBorders>
                    <w:tl2br w:val="nil"/>
                    <w:tr2bl w:val="nil"/>
                  </w:tcBorders>
                  <w:vAlign w:val="center"/>
                </w:tcPr>
                <w:p w14:paraId="3EC449D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5"/>
                      <w:sz w:val="20"/>
                      <w:szCs w:val="20"/>
                      <w:u w:val="none" w:color="auto"/>
                    </w:rPr>
                    <w:t>昼间</w:t>
                  </w:r>
                </w:p>
              </w:tc>
              <w:tc>
                <w:tcPr>
                  <w:tcW w:w="621" w:type="dxa"/>
                  <w:tcBorders>
                    <w:tl2br w:val="nil"/>
                    <w:tr2bl w:val="nil"/>
                  </w:tcBorders>
                  <w:vAlign w:val="center"/>
                </w:tcPr>
                <w:p w14:paraId="4DCB1CCB">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3"/>
                      <w:sz w:val="20"/>
                      <w:szCs w:val="20"/>
                      <w:u w:val="none" w:color="auto"/>
                    </w:rPr>
                    <w:t>夜间</w:t>
                  </w:r>
                </w:p>
              </w:tc>
              <w:tc>
                <w:tcPr>
                  <w:tcW w:w="962" w:type="dxa"/>
                  <w:vMerge w:val="continue"/>
                  <w:tcBorders>
                    <w:tl2br w:val="nil"/>
                    <w:tr2bl w:val="nil"/>
                  </w:tcBorders>
                  <w:vAlign w:val="center"/>
                </w:tcPr>
                <w:p w14:paraId="180BB8F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990" w:type="dxa"/>
                  <w:vMerge w:val="continue"/>
                  <w:tcBorders>
                    <w:tl2br w:val="nil"/>
                    <w:tr2bl w:val="nil"/>
                  </w:tcBorders>
                  <w:vAlign w:val="center"/>
                </w:tcPr>
                <w:p w14:paraId="51728DC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491" w:type="dxa"/>
                  <w:vMerge w:val="continue"/>
                  <w:tcBorders>
                    <w:tl2br w:val="nil"/>
                    <w:tr2bl w:val="nil"/>
                  </w:tcBorders>
                  <w:vAlign w:val="center"/>
                </w:tcPr>
                <w:p w14:paraId="51EA2CF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r>
            <w:tr w14:paraId="613556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74" w:type="dxa"/>
                  <w:vMerge w:val="restart"/>
                  <w:tcBorders>
                    <w:tl2br w:val="nil"/>
                    <w:tr2bl w:val="nil"/>
                  </w:tcBorders>
                  <w:vAlign w:val="center"/>
                </w:tcPr>
                <w:p w14:paraId="78F520B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p w14:paraId="0263FE1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1049" w:type="dxa"/>
                  <w:vMerge w:val="restart"/>
                  <w:tcBorders>
                    <w:tl2br w:val="nil"/>
                    <w:tr2bl w:val="nil"/>
                  </w:tcBorders>
                  <w:vAlign w:val="center"/>
                </w:tcPr>
                <w:p w14:paraId="09CB0C0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eastAsia="宋体"/>
                      <w:color w:val="auto"/>
                      <w:sz w:val="20"/>
                      <w:szCs w:val="20"/>
                      <w:u w:val="none" w:color="auto"/>
                      <w:lang w:val="en-US" w:eastAsia="zh-CN"/>
                    </w:rPr>
                  </w:pPr>
                  <w:r>
                    <w:rPr>
                      <w:rFonts w:hint="eastAsia"/>
                      <w:color w:val="auto"/>
                      <w:spacing w:val="-13"/>
                      <w:sz w:val="20"/>
                      <w:szCs w:val="20"/>
                      <w:u w:val="none" w:color="auto"/>
                      <w:lang w:val="en-US" w:eastAsia="zh-CN"/>
                    </w:rPr>
                    <w:t>安置区三期</w:t>
                  </w:r>
                </w:p>
              </w:tc>
              <w:tc>
                <w:tcPr>
                  <w:tcW w:w="424" w:type="dxa"/>
                  <w:tcBorders>
                    <w:tl2br w:val="nil"/>
                    <w:tr2bl w:val="nil"/>
                  </w:tcBorders>
                  <w:vAlign w:val="center"/>
                </w:tcPr>
                <w:p w14:paraId="2B92D06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7"/>
                      <w:sz w:val="20"/>
                      <w:szCs w:val="20"/>
                      <w:u w:val="none" w:color="auto"/>
                    </w:rPr>
                    <w:t>1F</w:t>
                  </w:r>
                </w:p>
              </w:tc>
              <w:tc>
                <w:tcPr>
                  <w:tcW w:w="607" w:type="dxa"/>
                  <w:tcBorders>
                    <w:tl2br w:val="nil"/>
                    <w:tr2bl w:val="nil"/>
                  </w:tcBorders>
                  <w:vAlign w:val="center"/>
                </w:tcPr>
                <w:p w14:paraId="06FBB2C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51.0</w:t>
                  </w:r>
                </w:p>
              </w:tc>
              <w:tc>
                <w:tcPr>
                  <w:tcW w:w="621" w:type="dxa"/>
                  <w:tcBorders>
                    <w:tl2br w:val="nil"/>
                    <w:tr2bl w:val="nil"/>
                  </w:tcBorders>
                  <w:vAlign w:val="center"/>
                </w:tcPr>
                <w:p w14:paraId="5EABDBD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40.1</w:t>
                  </w:r>
                </w:p>
              </w:tc>
              <w:tc>
                <w:tcPr>
                  <w:tcW w:w="962" w:type="dxa"/>
                  <w:vMerge w:val="restart"/>
                  <w:tcBorders>
                    <w:tl2br w:val="nil"/>
                    <w:tr2bl w:val="nil"/>
                  </w:tcBorders>
                  <w:vAlign w:val="center"/>
                </w:tcPr>
                <w:p w14:paraId="3DFB597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宋体" w:cs="Times New Roman"/>
                      <w:color w:val="auto"/>
                      <w:sz w:val="20"/>
                      <w:szCs w:val="20"/>
                      <w:u w:val="none" w:color="auto"/>
                      <w:lang w:eastAsia="zh-CN"/>
                    </w:rPr>
                  </w:pPr>
                  <w:r>
                    <w:rPr>
                      <w:rFonts w:hint="eastAsia" w:ascii="Times New Roman" w:hAnsi="Times New Roman" w:eastAsia="宋体" w:cs="Times New Roman"/>
                      <w:color w:val="auto"/>
                      <w:spacing w:val="5"/>
                      <w:sz w:val="20"/>
                      <w:szCs w:val="20"/>
                      <w:u w:val="none" w:color="auto"/>
                      <w:lang w:val="en-US" w:eastAsia="zh-CN"/>
                    </w:rPr>
                    <w:t>全线</w:t>
                  </w:r>
                </w:p>
              </w:tc>
              <w:tc>
                <w:tcPr>
                  <w:tcW w:w="1990" w:type="dxa"/>
                  <w:vMerge w:val="restart"/>
                  <w:tcBorders>
                    <w:tl2br w:val="nil"/>
                    <w:tr2bl w:val="nil"/>
                  </w:tcBorders>
                  <w:vAlign w:val="center"/>
                </w:tcPr>
                <w:p w14:paraId="1EF940C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rFonts w:hint="eastAsia"/>
                      <w:color w:val="auto"/>
                      <w:spacing w:val="8"/>
                      <w:sz w:val="20"/>
                      <w:szCs w:val="20"/>
                      <w:u w:val="none" w:color="auto"/>
                      <w:lang w:val="en-US" w:eastAsia="zh-CN"/>
                    </w:rPr>
                    <w:t>农村</w:t>
                  </w:r>
                  <w:r>
                    <w:rPr>
                      <w:color w:val="auto"/>
                      <w:spacing w:val="8"/>
                      <w:sz w:val="20"/>
                      <w:szCs w:val="20"/>
                      <w:u w:val="none" w:color="auto"/>
                    </w:rPr>
                    <w:t>区域，远离交通</w:t>
                  </w:r>
                </w:p>
                <w:p w14:paraId="14C8835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7"/>
                      <w:sz w:val="20"/>
                      <w:szCs w:val="20"/>
                      <w:u w:val="none" w:color="auto"/>
                    </w:rPr>
                    <w:t>干线，无强噪声源，</w:t>
                  </w:r>
                </w:p>
                <w:p w14:paraId="4031FC8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20"/>
                      <w:szCs w:val="20"/>
                      <w:u w:val="none" w:color="auto"/>
                    </w:rPr>
                  </w:pPr>
                  <w:r>
                    <w:rPr>
                      <w:color w:val="auto"/>
                      <w:spacing w:val="8"/>
                      <w:sz w:val="20"/>
                      <w:szCs w:val="20"/>
                      <w:u w:val="none" w:color="auto"/>
                    </w:rPr>
                    <w:t>可作为本地噪声</w:t>
                  </w:r>
                </w:p>
              </w:tc>
              <w:tc>
                <w:tcPr>
                  <w:tcW w:w="1491" w:type="dxa"/>
                  <w:vMerge w:val="restart"/>
                  <w:tcBorders>
                    <w:tl2br w:val="nil"/>
                    <w:tr2bl w:val="nil"/>
                  </w:tcBorders>
                  <w:vAlign w:val="center"/>
                </w:tcPr>
                <w:p w14:paraId="49B919AD">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20"/>
                      <w:szCs w:val="20"/>
                      <w:u w:val="none" w:color="auto"/>
                      <w:lang w:val="en-US" w:eastAsia="zh-CN"/>
                    </w:rPr>
                  </w:pPr>
                  <w:r>
                    <w:rPr>
                      <w:rFonts w:hint="eastAsia" w:eastAsia="宋体"/>
                      <w:color w:val="auto"/>
                      <w:spacing w:val="5"/>
                      <w:sz w:val="20"/>
                      <w:szCs w:val="20"/>
                      <w:u w:val="none" w:color="auto"/>
                      <w:lang w:val="en-US" w:eastAsia="zh-CN"/>
                    </w:rPr>
                    <w:t>本道路穿过安置区三期，距离两侧居民点最近距离为15m</w:t>
                  </w:r>
                </w:p>
              </w:tc>
            </w:tr>
            <w:tr w14:paraId="0FE2A7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74" w:type="dxa"/>
                  <w:vMerge w:val="continue"/>
                  <w:tcBorders>
                    <w:tl2br w:val="nil"/>
                    <w:tr2bl w:val="nil"/>
                  </w:tcBorders>
                  <w:vAlign w:val="center"/>
                </w:tcPr>
                <w:p w14:paraId="3B2E233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049" w:type="dxa"/>
                  <w:vMerge w:val="continue"/>
                  <w:tcBorders>
                    <w:tl2br w:val="nil"/>
                    <w:tr2bl w:val="nil"/>
                  </w:tcBorders>
                  <w:vAlign w:val="center"/>
                </w:tcPr>
                <w:p w14:paraId="4354A03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424" w:type="dxa"/>
                  <w:tcBorders>
                    <w:tl2br w:val="nil"/>
                    <w:tr2bl w:val="nil"/>
                  </w:tcBorders>
                  <w:vAlign w:val="center"/>
                </w:tcPr>
                <w:p w14:paraId="6ADF197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3F</w:t>
                  </w:r>
                </w:p>
              </w:tc>
              <w:tc>
                <w:tcPr>
                  <w:tcW w:w="607" w:type="dxa"/>
                  <w:tcBorders>
                    <w:tl2br w:val="nil"/>
                    <w:tr2bl w:val="nil"/>
                  </w:tcBorders>
                  <w:vAlign w:val="center"/>
                </w:tcPr>
                <w:p w14:paraId="54311DB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51.</w:t>
                  </w:r>
                  <w:r>
                    <w:rPr>
                      <w:rFonts w:ascii="Times New Roman" w:hAnsi="Times New Roman" w:eastAsia="Times New Roman" w:cs="Times New Roman"/>
                      <w:color w:val="auto"/>
                      <w:spacing w:val="-23"/>
                      <w:sz w:val="20"/>
                      <w:szCs w:val="20"/>
                      <w:u w:val="none" w:color="auto"/>
                    </w:rPr>
                    <w:t xml:space="preserve"> </w:t>
                  </w:r>
                  <w:r>
                    <w:rPr>
                      <w:rFonts w:ascii="Times New Roman" w:hAnsi="Times New Roman" w:eastAsia="Times New Roman" w:cs="Times New Roman"/>
                      <w:color w:val="auto"/>
                      <w:sz w:val="20"/>
                      <w:szCs w:val="20"/>
                      <w:u w:val="none" w:color="auto"/>
                    </w:rPr>
                    <w:t>1</w:t>
                  </w:r>
                </w:p>
              </w:tc>
              <w:tc>
                <w:tcPr>
                  <w:tcW w:w="621" w:type="dxa"/>
                  <w:tcBorders>
                    <w:tl2br w:val="nil"/>
                    <w:tr2bl w:val="nil"/>
                  </w:tcBorders>
                  <w:vAlign w:val="center"/>
                </w:tcPr>
                <w:p w14:paraId="09BD465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40.1</w:t>
                  </w:r>
                </w:p>
              </w:tc>
              <w:tc>
                <w:tcPr>
                  <w:tcW w:w="962" w:type="dxa"/>
                  <w:vMerge w:val="continue"/>
                  <w:tcBorders>
                    <w:tl2br w:val="nil"/>
                    <w:tr2bl w:val="nil"/>
                  </w:tcBorders>
                  <w:vAlign w:val="center"/>
                </w:tcPr>
                <w:p w14:paraId="0E865C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990" w:type="dxa"/>
                  <w:vMerge w:val="continue"/>
                  <w:tcBorders>
                    <w:tl2br w:val="nil"/>
                    <w:tr2bl w:val="nil"/>
                  </w:tcBorders>
                  <w:vAlign w:val="center"/>
                </w:tcPr>
                <w:p w14:paraId="272AC6D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491" w:type="dxa"/>
                  <w:vMerge w:val="continue"/>
                  <w:tcBorders>
                    <w:tl2br w:val="nil"/>
                    <w:tr2bl w:val="nil"/>
                  </w:tcBorders>
                  <w:vAlign w:val="center"/>
                </w:tcPr>
                <w:p w14:paraId="75C5343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r>
            <w:tr w14:paraId="2BF796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74" w:type="dxa"/>
                  <w:vMerge w:val="continue"/>
                  <w:tcBorders>
                    <w:tl2br w:val="nil"/>
                    <w:tr2bl w:val="nil"/>
                  </w:tcBorders>
                  <w:vAlign w:val="center"/>
                </w:tcPr>
                <w:p w14:paraId="345924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049" w:type="dxa"/>
                  <w:vMerge w:val="continue"/>
                  <w:tcBorders>
                    <w:tl2br w:val="nil"/>
                    <w:tr2bl w:val="nil"/>
                  </w:tcBorders>
                  <w:vAlign w:val="center"/>
                </w:tcPr>
                <w:p w14:paraId="786AE58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424" w:type="dxa"/>
                  <w:tcBorders>
                    <w:tl2br w:val="nil"/>
                    <w:tr2bl w:val="nil"/>
                  </w:tcBorders>
                  <w:vAlign w:val="center"/>
                </w:tcPr>
                <w:p w14:paraId="39DFE87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hint="eastAsia" w:ascii="Times New Roman" w:hAnsi="Times New Roman" w:eastAsia="宋体" w:cs="Times New Roman"/>
                      <w:color w:val="auto"/>
                      <w:sz w:val="20"/>
                      <w:szCs w:val="20"/>
                      <w:u w:val="none" w:color="auto"/>
                      <w:lang w:val="en-US" w:eastAsia="zh-CN"/>
                    </w:rPr>
                    <w:t>6</w:t>
                  </w:r>
                  <w:r>
                    <w:rPr>
                      <w:rFonts w:ascii="Times New Roman" w:hAnsi="Times New Roman" w:eastAsia="Times New Roman" w:cs="Times New Roman"/>
                      <w:color w:val="auto"/>
                      <w:sz w:val="20"/>
                      <w:szCs w:val="20"/>
                      <w:u w:val="none" w:color="auto"/>
                    </w:rPr>
                    <w:t>F</w:t>
                  </w:r>
                </w:p>
              </w:tc>
              <w:tc>
                <w:tcPr>
                  <w:tcW w:w="607" w:type="dxa"/>
                  <w:tcBorders>
                    <w:tl2br w:val="nil"/>
                    <w:tr2bl w:val="nil"/>
                  </w:tcBorders>
                  <w:vAlign w:val="center"/>
                </w:tcPr>
                <w:p w14:paraId="4CECDA6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49.7</w:t>
                  </w:r>
                </w:p>
              </w:tc>
              <w:tc>
                <w:tcPr>
                  <w:tcW w:w="621" w:type="dxa"/>
                  <w:tcBorders>
                    <w:tl2br w:val="nil"/>
                    <w:tr2bl w:val="nil"/>
                  </w:tcBorders>
                  <w:vAlign w:val="center"/>
                </w:tcPr>
                <w:p w14:paraId="5AB558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39.5</w:t>
                  </w:r>
                </w:p>
              </w:tc>
              <w:tc>
                <w:tcPr>
                  <w:tcW w:w="962" w:type="dxa"/>
                  <w:vMerge w:val="continue"/>
                  <w:tcBorders>
                    <w:tl2br w:val="nil"/>
                    <w:tr2bl w:val="nil"/>
                  </w:tcBorders>
                  <w:vAlign w:val="center"/>
                </w:tcPr>
                <w:p w14:paraId="11FF170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990" w:type="dxa"/>
                  <w:vMerge w:val="continue"/>
                  <w:tcBorders>
                    <w:tl2br w:val="nil"/>
                    <w:tr2bl w:val="nil"/>
                  </w:tcBorders>
                  <w:vAlign w:val="center"/>
                </w:tcPr>
                <w:p w14:paraId="5F55F93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c>
                <w:tcPr>
                  <w:tcW w:w="1491" w:type="dxa"/>
                  <w:vMerge w:val="continue"/>
                  <w:tcBorders>
                    <w:tl2br w:val="nil"/>
                    <w:tr2bl w:val="nil"/>
                  </w:tcBorders>
                  <w:vAlign w:val="center"/>
                </w:tcPr>
                <w:p w14:paraId="2D04067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21"/>
                      <w:u w:val="none" w:color="auto"/>
                    </w:rPr>
                  </w:pPr>
                </w:p>
              </w:tc>
            </w:tr>
          </w:tbl>
          <w:p w14:paraId="7F44E46B">
            <w:pPr>
              <w:keepNext w:val="0"/>
              <w:keepLines w:val="0"/>
              <w:pageBreakBefore w:val="0"/>
              <w:widowControl w:val="0"/>
              <w:kinsoku/>
              <w:wordWrap/>
              <w:overflowPunct/>
              <w:topLinePunct w:val="0"/>
              <w:autoSpaceDE/>
              <w:autoSpaceDN/>
              <w:bidi w:val="0"/>
              <w:adjustRightInd w:val="0"/>
              <w:snapToGrid w:val="0"/>
              <w:spacing w:line="360" w:lineRule="auto"/>
              <w:ind w:right="0" w:firstLine="468" w:firstLineChars="200"/>
              <w:textAlignment w:val="auto"/>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（7）环境噪声增加量、超标值的确定</w:t>
            </w:r>
          </w:p>
          <w:p w14:paraId="044D4824">
            <w:pPr>
              <w:keepNext w:val="0"/>
              <w:keepLines w:val="0"/>
              <w:pageBreakBefore w:val="0"/>
              <w:widowControl w:val="0"/>
              <w:kinsoku/>
              <w:wordWrap/>
              <w:overflowPunct/>
              <w:topLinePunct w:val="0"/>
              <w:autoSpaceDE/>
              <w:autoSpaceDN/>
              <w:bidi w:val="0"/>
              <w:adjustRightInd w:val="0"/>
              <w:snapToGrid w:val="0"/>
              <w:spacing w:line="360" w:lineRule="auto"/>
              <w:ind w:right="0" w:firstLine="468" w:firstLineChars="200"/>
              <w:textAlignment w:val="auto"/>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①增加量：敏感点的噪声预测值，较现状值的变化情况。</w:t>
            </w:r>
          </w:p>
          <w:p w14:paraId="66D98C76">
            <w:pPr>
              <w:keepNext w:val="0"/>
              <w:keepLines w:val="0"/>
              <w:suppressLineNumbers w:val="0"/>
              <w:spacing w:before="0" w:beforeAutospacing="0" w:after="0" w:afterAutospacing="0" w:line="360" w:lineRule="auto"/>
              <w:ind w:left="0" w:right="0" w:firstLine="468" w:firstLineChars="200"/>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②超标值：敏感点的噪声预测值，超出相应声环境功能区划标准的分贝值。</w:t>
            </w:r>
          </w:p>
          <w:p w14:paraId="4D18BE65">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u w:val="none" w:color="auto"/>
                <w:lang w:val="en-US" w:eastAsia="zh-CN" w:bidi="ar-SA"/>
              </w:rPr>
            </w:pPr>
            <w:bookmarkStart w:id="23" w:name="_Toc20883"/>
            <w:bookmarkStart w:id="24" w:name="_Toc29991"/>
            <w:bookmarkStart w:id="25" w:name="_Toc12324"/>
            <w:r>
              <w:rPr>
                <w:rFonts w:hint="eastAsia" w:cs="Times New Roman"/>
                <w:b/>
                <w:bCs/>
                <w:color w:val="auto"/>
                <w:kern w:val="2"/>
                <w:sz w:val="28"/>
                <w:szCs w:val="28"/>
                <w:u w:val="none" w:color="auto"/>
                <w:lang w:val="en-US" w:eastAsia="zh-CN" w:bidi="ar-SA"/>
              </w:rPr>
              <w:t>三、交通噪声环境影响预测与评价</w:t>
            </w:r>
            <w:bookmarkEnd w:id="23"/>
            <w:bookmarkEnd w:id="24"/>
            <w:bookmarkEnd w:id="25"/>
          </w:p>
          <w:p w14:paraId="3A6B27FF">
            <w:pPr>
              <w:spacing w:before="78" w:line="220" w:lineRule="auto"/>
              <w:ind w:left="42"/>
              <w:rPr>
                <w:rFonts w:ascii="宋体" w:hAnsi="宋体" w:eastAsia="宋体" w:cs="宋体"/>
                <w:color w:val="auto"/>
                <w:sz w:val="24"/>
                <w:szCs w:val="24"/>
                <w:u w:val="none" w:color="auto"/>
              </w:rPr>
            </w:pPr>
            <w:r>
              <w:rPr>
                <w:rFonts w:hint="eastAsia" w:eastAsia="宋体" w:cs="Times New Roman"/>
                <w:b/>
                <w:bCs/>
                <w:color w:val="auto"/>
                <w:spacing w:val="-2"/>
                <w:sz w:val="24"/>
                <w:szCs w:val="24"/>
                <w:u w:val="none" w:color="auto"/>
                <w:lang w:val="en-US" w:eastAsia="zh-CN"/>
              </w:rPr>
              <w:t>1）</w:t>
            </w:r>
            <w:r>
              <w:rPr>
                <w:rFonts w:ascii="宋体" w:hAnsi="宋体" w:eastAsia="宋体" w:cs="宋体"/>
                <w:b/>
                <w:bCs/>
                <w:color w:val="auto"/>
                <w:spacing w:val="-2"/>
                <w:sz w:val="24"/>
                <w:szCs w:val="24"/>
                <w:u w:val="none" w:color="auto"/>
              </w:rPr>
              <w:t>交通噪声预测结果</w:t>
            </w:r>
          </w:p>
          <w:p w14:paraId="4BA0446A">
            <w:pPr>
              <w:keepNext w:val="0"/>
              <w:keepLines w:val="0"/>
              <w:suppressLineNumbers w:val="0"/>
              <w:spacing w:before="0" w:beforeAutospacing="0" w:after="0" w:afterAutospacing="0" w:line="360" w:lineRule="auto"/>
              <w:ind w:left="0" w:right="0" w:firstLine="468" w:firstLineChars="200"/>
              <w:rPr>
                <w:rFonts w:hint="default" w:ascii="宋体" w:hAnsi="宋体" w:eastAsia="宋体" w:cs="宋体"/>
                <w:color w:val="auto"/>
                <w:spacing w:val="-3"/>
                <w:sz w:val="24"/>
                <w:szCs w:val="24"/>
                <w:u w:val="none" w:color="auto"/>
                <w:lang w:val="en-US" w:eastAsia="zh-CN"/>
              </w:rPr>
            </w:pPr>
          </w:p>
        </w:tc>
      </w:tr>
    </w:tbl>
    <w:p w14:paraId="7CC7378E">
      <w:pPr>
        <w:adjustRightInd w:val="0"/>
        <w:snapToGrid w:val="0"/>
        <w:spacing w:line="360" w:lineRule="auto"/>
        <w:rPr>
          <w:rFonts w:ascii="宋体" w:cs="宋体"/>
          <w:b/>
          <w:color w:val="auto"/>
          <w:kern w:val="0"/>
          <w:sz w:val="28"/>
          <w:szCs w:val="28"/>
          <w:u w:val="none" w:color="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68A0CB0">
      <w:pPr>
        <w:spacing w:before="117" w:line="221" w:lineRule="auto"/>
        <w:jc w:val="center"/>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7"/>
          <w:sz w:val="20"/>
          <w:szCs w:val="20"/>
          <w:u w:val="none" w:color="auto"/>
        </w:rPr>
        <w:t>表</w:t>
      </w:r>
      <w:r>
        <w:rPr>
          <w:rFonts w:ascii="宋体" w:hAnsi="宋体" w:eastAsia="宋体" w:cs="宋体"/>
          <w:color w:val="auto"/>
          <w:spacing w:val="-31"/>
          <w:sz w:val="20"/>
          <w:szCs w:val="20"/>
          <w:u w:val="none" w:color="auto"/>
        </w:rPr>
        <w:t xml:space="preserve"> </w:t>
      </w:r>
      <w:r>
        <w:rPr>
          <w:rFonts w:ascii="Times New Roman" w:hAnsi="Times New Roman" w:eastAsia="Times New Roman" w:cs="Times New Roman"/>
          <w:b/>
          <w:bCs/>
          <w:color w:val="auto"/>
          <w:spacing w:val="7"/>
          <w:sz w:val="20"/>
          <w:szCs w:val="20"/>
          <w:u w:val="none" w:color="auto"/>
        </w:rPr>
        <w:t xml:space="preserve">4-15    </w:t>
      </w:r>
      <w:r>
        <w:rPr>
          <w:rFonts w:hint="eastAsia" w:ascii="宋体" w:hAnsi="宋体" w:eastAsia="宋体" w:cs="宋体"/>
          <w:b/>
          <w:bCs/>
          <w:color w:val="auto"/>
          <w:spacing w:val="7"/>
          <w:sz w:val="20"/>
          <w:szCs w:val="20"/>
          <w:u w:val="none" w:color="auto"/>
          <w:lang w:val="en-US" w:eastAsia="zh-CN"/>
        </w:rPr>
        <w:t>团胜路</w:t>
      </w:r>
      <w:r>
        <w:rPr>
          <w:rFonts w:ascii="宋体" w:hAnsi="宋体" w:eastAsia="宋体" w:cs="宋体"/>
          <w:b/>
          <w:bCs/>
          <w:color w:val="auto"/>
          <w:spacing w:val="7"/>
          <w:sz w:val="20"/>
          <w:szCs w:val="20"/>
          <w:u w:val="none" w:color="auto"/>
        </w:rPr>
        <w:t>中心线两侧不同距离噪声预测结果</w:t>
      </w:r>
      <w:r>
        <w:rPr>
          <w:rFonts w:ascii="宋体" w:hAnsi="宋体" w:eastAsia="宋体" w:cs="宋体"/>
          <w:color w:val="auto"/>
          <w:spacing w:val="7"/>
          <w:sz w:val="20"/>
          <w:szCs w:val="20"/>
          <w:u w:val="none" w:color="auto"/>
        </w:rPr>
        <w:t xml:space="preserve">    </w:t>
      </w:r>
      <w:r>
        <w:rPr>
          <w:rFonts w:ascii="宋体" w:hAnsi="宋体" w:eastAsia="宋体" w:cs="宋体"/>
          <w:b/>
          <w:bCs/>
          <w:color w:val="auto"/>
          <w:spacing w:val="7"/>
          <w:sz w:val="20"/>
          <w:szCs w:val="20"/>
          <w:u w:val="none" w:color="auto"/>
        </w:rPr>
        <w:t>单位：</w:t>
      </w:r>
      <w:r>
        <w:rPr>
          <w:rFonts w:ascii="Times New Roman" w:hAnsi="Times New Roman" w:eastAsia="Times New Roman" w:cs="Times New Roman"/>
          <w:b/>
          <w:bCs/>
          <w:color w:val="auto"/>
          <w:sz w:val="20"/>
          <w:szCs w:val="20"/>
          <w:u w:val="none" w:color="auto"/>
        </w:rPr>
        <w:t>dB</w:t>
      </w:r>
      <w:r>
        <w:rPr>
          <w:rFonts w:ascii="Times New Roman" w:hAnsi="Times New Roman" w:eastAsia="Times New Roman" w:cs="Times New Roman"/>
          <w:b/>
          <w:bCs/>
          <w:color w:val="auto"/>
          <w:spacing w:val="7"/>
          <w:sz w:val="20"/>
          <w:szCs w:val="20"/>
          <w:u w:val="none" w:color="auto"/>
        </w:rPr>
        <w:t>(A)</w:t>
      </w:r>
    </w:p>
    <w:p w14:paraId="5C8BF063">
      <w:pPr>
        <w:spacing w:line="22" w:lineRule="exact"/>
        <w:rPr>
          <w:color w:val="auto"/>
          <w:u w:val="none" w:color="auto"/>
        </w:rPr>
      </w:pPr>
    </w:p>
    <w:tbl>
      <w:tblPr>
        <w:tblStyle w:val="72"/>
        <w:tblW w:w="1400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02"/>
        <w:gridCol w:w="820"/>
        <w:gridCol w:w="820"/>
        <w:gridCol w:w="820"/>
        <w:gridCol w:w="820"/>
        <w:gridCol w:w="821"/>
        <w:gridCol w:w="821"/>
        <w:gridCol w:w="820"/>
        <w:gridCol w:w="821"/>
        <w:gridCol w:w="821"/>
        <w:gridCol w:w="820"/>
        <w:gridCol w:w="821"/>
        <w:gridCol w:w="820"/>
        <w:gridCol w:w="821"/>
        <w:gridCol w:w="820"/>
        <w:gridCol w:w="863"/>
      </w:tblGrid>
      <w:tr w14:paraId="6BE140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954" w:type="dxa"/>
            <w:vMerge w:val="restart"/>
            <w:tcBorders>
              <w:tl2br w:val="nil"/>
              <w:tr2bl w:val="nil"/>
            </w:tcBorders>
            <w:vAlign w:val="top"/>
          </w:tcPr>
          <w:p w14:paraId="212066C7">
            <w:pPr>
              <w:pStyle w:val="81"/>
              <w:spacing w:before="216" w:line="228" w:lineRule="auto"/>
              <w:ind w:left="153"/>
              <w:rPr>
                <w:color w:val="auto"/>
                <w:sz w:val="20"/>
                <w:szCs w:val="20"/>
                <w:u w:val="none" w:color="auto"/>
              </w:rPr>
            </w:pPr>
            <w:r>
              <w:rPr>
                <w:color w:val="auto"/>
                <w:spacing w:val="6"/>
                <w:sz w:val="20"/>
                <w:szCs w:val="20"/>
                <w:u w:val="none" w:color="auto"/>
              </w:rPr>
              <w:t>预测年</w:t>
            </w:r>
          </w:p>
        </w:tc>
        <w:tc>
          <w:tcPr>
            <w:tcW w:w="702" w:type="dxa"/>
            <w:vMerge w:val="restart"/>
            <w:tcBorders>
              <w:tl2br w:val="nil"/>
              <w:tr2bl w:val="nil"/>
            </w:tcBorders>
            <w:vAlign w:val="top"/>
          </w:tcPr>
          <w:p w14:paraId="6F8440F4">
            <w:pPr>
              <w:pStyle w:val="81"/>
              <w:spacing w:before="217" w:line="229" w:lineRule="auto"/>
              <w:ind w:left="146"/>
              <w:rPr>
                <w:color w:val="auto"/>
                <w:sz w:val="20"/>
                <w:szCs w:val="20"/>
                <w:u w:val="none" w:color="auto"/>
              </w:rPr>
            </w:pPr>
            <w:r>
              <w:rPr>
                <w:color w:val="auto"/>
                <w:spacing w:val="-1"/>
                <w:sz w:val="20"/>
                <w:szCs w:val="20"/>
                <w:u w:val="none" w:color="auto"/>
              </w:rPr>
              <w:t>时段</w:t>
            </w:r>
          </w:p>
        </w:tc>
        <w:tc>
          <w:tcPr>
            <w:tcW w:w="12349" w:type="dxa"/>
            <w:gridSpan w:val="15"/>
            <w:tcBorders>
              <w:tl2br w:val="nil"/>
              <w:tr2bl w:val="nil"/>
            </w:tcBorders>
            <w:vAlign w:val="top"/>
          </w:tcPr>
          <w:p w14:paraId="48748376">
            <w:pPr>
              <w:pStyle w:val="81"/>
              <w:spacing w:before="56" w:line="228" w:lineRule="auto"/>
              <w:ind w:left="5042"/>
              <w:rPr>
                <w:color w:val="auto"/>
                <w:sz w:val="20"/>
                <w:szCs w:val="20"/>
                <w:u w:val="none" w:color="auto"/>
              </w:rPr>
            </w:pPr>
            <w:r>
              <w:rPr>
                <w:color w:val="auto"/>
                <w:spacing w:val="8"/>
                <w:sz w:val="20"/>
                <w:szCs w:val="20"/>
                <w:u w:val="none" w:color="auto"/>
              </w:rPr>
              <w:t>距道路中心线距离（</w:t>
            </w:r>
            <w:r>
              <w:rPr>
                <w:rFonts w:ascii="Times New Roman" w:hAnsi="Times New Roman" w:eastAsia="Times New Roman" w:cs="Times New Roman"/>
                <w:color w:val="auto"/>
                <w:spacing w:val="8"/>
                <w:sz w:val="20"/>
                <w:szCs w:val="20"/>
                <w:u w:val="none" w:color="auto"/>
              </w:rPr>
              <w:t>m</w:t>
            </w:r>
            <w:r>
              <w:rPr>
                <w:color w:val="auto"/>
                <w:spacing w:val="8"/>
                <w:sz w:val="20"/>
                <w:szCs w:val="20"/>
                <w:u w:val="none" w:color="auto"/>
              </w:rPr>
              <w:t>）</w:t>
            </w:r>
          </w:p>
        </w:tc>
      </w:tr>
      <w:tr w14:paraId="702D37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continue"/>
            <w:tcBorders>
              <w:tl2br w:val="nil"/>
              <w:tr2bl w:val="nil"/>
            </w:tcBorders>
            <w:vAlign w:val="top"/>
          </w:tcPr>
          <w:p w14:paraId="5D791596">
            <w:pPr>
              <w:rPr>
                <w:rFonts w:ascii="Arial"/>
                <w:color w:val="auto"/>
                <w:sz w:val="21"/>
                <w:u w:val="none" w:color="auto"/>
              </w:rPr>
            </w:pPr>
          </w:p>
        </w:tc>
        <w:tc>
          <w:tcPr>
            <w:tcW w:w="702" w:type="dxa"/>
            <w:vMerge w:val="continue"/>
            <w:tcBorders>
              <w:tl2br w:val="nil"/>
              <w:tr2bl w:val="nil"/>
            </w:tcBorders>
            <w:vAlign w:val="top"/>
          </w:tcPr>
          <w:p w14:paraId="4BCF0773">
            <w:pPr>
              <w:rPr>
                <w:rFonts w:ascii="Arial"/>
                <w:color w:val="auto"/>
                <w:sz w:val="21"/>
                <w:u w:val="none" w:color="auto"/>
              </w:rPr>
            </w:pPr>
          </w:p>
        </w:tc>
        <w:tc>
          <w:tcPr>
            <w:tcW w:w="820" w:type="dxa"/>
            <w:tcBorders>
              <w:tl2br w:val="nil"/>
              <w:tr2bl w:val="nil"/>
            </w:tcBorders>
            <w:vAlign w:val="top"/>
          </w:tcPr>
          <w:p w14:paraId="4D0E27C6">
            <w:pPr>
              <w:spacing w:before="93" w:line="195" w:lineRule="auto"/>
              <w:ind w:left="31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8"/>
                <w:sz w:val="20"/>
                <w:szCs w:val="20"/>
                <w:u w:val="none" w:color="auto"/>
              </w:rPr>
              <w:t>10</w:t>
            </w:r>
          </w:p>
        </w:tc>
        <w:tc>
          <w:tcPr>
            <w:tcW w:w="820" w:type="dxa"/>
            <w:tcBorders>
              <w:tl2br w:val="nil"/>
              <w:tr2bl w:val="nil"/>
            </w:tcBorders>
            <w:vAlign w:val="top"/>
          </w:tcPr>
          <w:p w14:paraId="4F4FAF15">
            <w:pPr>
              <w:spacing w:before="93" w:line="195" w:lineRule="auto"/>
              <w:ind w:left="30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c>
          <w:tcPr>
            <w:tcW w:w="820" w:type="dxa"/>
            <w:tcBorders>
              <w:tl2br w:val="nil"/>
              <w:tr2bl w:val="nil"/>
            </w:tcBorders>
            <w:vAlign w:val="top"/>
          </w:tcPr>
          <w:p w14:paraId="1C5689DD">
            <w:pPr>
              <w:spacing w:before="93" w:line="195" w:lineRule="auto"/>
              <w:ind w:left="30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30</w:t>
            </w:r>
          </w:p>
        </w:tc>
        <w:tc>
          <w:tcPr>
            <w:tcW w:w="820" w:type="dxa"/>
            <w:tcBorders>
              <w:tl2br w:val="nil"/>
              <w:tr2bl w:val="nil"/>
            </w:tcBorders>
            <w:vAlign w:val="top"/>
          </w:tcPr>
          <w:p w14:paraId="2434BD9C">
            <w:pPr>
              <w:spacing w:before="93" w:line="195" w:lineRule="auto"/>
              <w:ind w:left="30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40</w:t>
            </w:r>
          </w:p>
        </w:tc>
        <w:tc>
          <w:tcPr>
            <w:tcW w:w="821" w:type="dxa"/>
            <w:tcBorders>
              <w:tl2br w:val="nil"/>
              <w:tr2bl w:val="nil"/>
            </w:tcBorders>
            <w:vAlign w:val="top"/>
          </w:tcPr>
          <w:p w14:paraId="703EAFC2">
            <w:pPr>
              <w:spacing w:before="93" w:line="195" w:lineRule="auto"/>
              <w:ind w:left="31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50</w:t>
            </w:r>
          </w:p>
        </w:tc>
        <w:tc>
          <w:tcPr>
            <w:tcW w:w="821" w:type="dxa"/>
            <w:tcBorders>
              <w:tl2br w:val="nil"/>
              <w:tr2bl w:val="nil"/>
            </w:tcBorders>
            <w:vAlign w:val="top"/>
          </w:tcPr>
          <w:p w14:paraId="27865E69">
            <w:pPr>
              <w:spacing w:before="93" w:line="195" w:lineRule="auto"/>
              <w:ind w:left="31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60</w:t>
            </w:r>
          </w:p>
        </w:tc>
        <w:tc>
          <w:tcPr>
            <w:tcW w:w="820" w:type="dxa"/>
            <w:tcBorders>
              <w:tl2br w:val="nil"/>
              <w:tr2bl w:val="nil"/>
            </w:tcBorders>
            <w:vAlign w:val="top"/>
          </w:tcPr>
          <w:p w14:paraId="1BBC2279">
            <w:pPr>
              <w:spacing w:before="93" w:line="195" w:lineRule="auto"/>
              <w:ind w:left="31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1"/>
                <w:sz w:val="20"/>
                <w:szCs w:val="20"/>
                <w:u w:val="none" w:color="auto"/>
              </w:rPr>
              <w:t>70</w:t>
            </w:r>
          </w:p>
        </w:tc>
        <w:tc>
          <w:tcPr>
            <w:tcW w:w="821" w:type="dxa"/>
            <w:tcBorders>
              <w:tl2br w:val="nil"/>
              <w:tr2bl w:val="nil"/>
            </w:tcBorders>
            <w:vAlign w:val="top"/>
          </w:tcPr>
          <w:p w14:paraId="65AC55D5">
            <w:pPr>
              <w:spacing w:before="93" w:line="195" w:lineRule="auto"/>
              <w:ind w:left="31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80</w:t>
            </w:r>
          </w:p>
        </w:tc>
        <w:tc>
          <w:tcPr>
            <w:tcW w:w="821" w:type="dxa"/>
            <w:tcBorders>
              <w:tl2br w:val="nil"/>
              <w:tr2bl w:val="nil"/>
            </w:tcBorders>
            <w:vAlign w:val="top"/>
          </w:tcPr>
          <w:p w14:paraId="7EFC83DE">
            <w:pPr>
              <w:spacing w:before="93" w:line="195" w:lineRule="auto"/>
              <w:ind w:left="31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90</w:t>
            </w:r>
          </w:p>
        </w:tc>
        <w:tc>
          <w:tcPr>
            <w:tcW w:w="820" w:type="dxa"/>
            <w:tcBorders>
              <w:tl2br w:val="nil"/>
              <w:tr2bl w:val="nil"/>
            </w:tcBorders>
            <w:vAlign w:val="top"/>
          </w:tcPr>
          <w:p w14:paraId="76EE6E13">
            <w:pPr>
              <w:spacing w:before="93" w:line="195" w:lineRule="auto"/>
              <w:ind w:left="279"/>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100</w:t>
            </w:r>
          </w:p>
        </w:tc>
        <w:tc>
          <w:tcPr>
            <w:tcW w:w="821" w:type="dxa"/>
            <w:tcBorders>
              <w:tl2br w:val="nil"/>
              <w:tr2bl w:val="nil"/>
            </w:tcBorders>
            <w:vAlign w:val="top"/>
          </w:tcPr>
          <w:p w14:paraId="2B7B4131">
            <w:pPr>
              <w:spacing w:before="93" w:line="195" w:lineRule="auto"/>
              <w:ind w:left="28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120</w:t>
            </w:r>
          </w:p>
        </w:tc>
        <w:tc>
          <w:tcPr>
            <w:tcW w:w="820" w:type="dxa"/>
            <w:tcBorders>
              <w:tl2br w:val="nil"/>
              <w:tr2bl w:val="nil"/>
            </w:tcBorders>
            <w:vAlign w:val="top"/>
          </w:tcPr>
          <w:p w14:paraId="0EE3FE29">
            <w:pPr>
              <w:spacing w:before="93" w:line="195" w:lineRule="auto"/>
              <w:ind w:left="28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140</w:t>
            </w:r>
          </w:p>
        </w:tc>
        <w:tc>
          <w:tcPr>
            <w:tcW w:w="821" w:type="dxa"/>
            <w:tcBorders>
              <w:tl2br w:val="nil"/>
              <w:tr2bl w:val="nil"/>
            </w:tcBorders>
            <w:vAlign w:val="top"/>
          </w:tcPr>
          <w:p w14:paraId="381000C4">
            <w:pPr>
              <w:spacing w:before="93" w:line="195" w:lineRule="auto"/>
              <w:ind w:left="28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160</w:t>
            </w:r>
          </w:p>
        </w:tc>
        <w:tc>
          <w:tcPr>
            <w:tcW w:w="820" w:type="dxa"/>
            <w:tcBorders>
              <w:tl2br w:val="nil"/>
              <w:tr2bl w:val="nil"/>
            </w:tcBorders>
            <w:vAlign w:val="top"/>
          </w:tcPr>
          <w:p w14:paraId="506A7A96">
            <w:pPr>
              <w:spacing w:before="93" w:line="195" w:lineRule="auto"/>
              <w:ind w:left="285"/>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180</w:t>
            </w:r>
          </w:p>
        </w:tc>
        <w:tc>
          <w:tcPr>
            <w:tcW w:w="863" w:type="dxa"/>
            <w:tcBorders>
              <w:tl2br w:val="nil"/>
              <w:tr2bl w:val="nil"/>
            </w:tcBorders>
            <w:vAlign w:val="top"/>
          </w:tcPr>
          <w:p w14:paraId="08FB84D4">
            <w:pPr>
              <w:spacing w:before="93" w:line="195" w:lineRule="auto"/>
              <w:ind w:left="28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3"/>
                <w:sz w:val="20"/>
                <w:szCs w:val="20"/>
                <w:u w:val="none" w:color="auto"/>
              </w:rPr>
              <w:t>200</w:t>
            </w:r>
          </w:p>
        </w:tc>
      </w:tr>
      <w:tr w14:paraId="47B6E3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restart"/>
            <w:tcBorders>
              <w:tl2br w:val="nil"/>
              <w:tr2bl w:val="nil"/>
            </w:tcBorders>
            <w:vAlign w:val="top"/>
          </w:tcPr>
          <w:p w14:paraId="1B05B90E">
            <w:pPr>
              <w:spacing w:before="256"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2026</w:t>
            </w:r>
          </w:p>
        </w:tc>
        <w:tc>
          <w:tcPr>
            <w:tcW w:w="702" w:type="dxa"/>
            <w:tcBorders>
              <w:tl2br w:val="nil"/>
              <w:tr2bl w:val="nil"/>
            </w:tcBorders>
            <w:vAlign w:val="top"/>
          </w:tcPr>
          <w:p w14:paraId="760F74E2">
            <w:pPr>
              <w:pStyle w:val="81"/>
              <w:spacing w:before="58" w:line="227" w:lineRule="auto"/>
              <w:ind w:left="135"/>
              <w:rPr>
                <w:color w:val="auto"/>
                <w:sz w:val="20"/>
                <w:szCs w:val="20"/>
                <w:u w:val="none" w:color="auto"/>
              </w:rPr>
            </w:pPr>
            <w:r>
              <w:rPr>
                <w:color w:val="auto"/>
                <w:spacing w:val="5"/>
                <w:sz w:val="20"/>
                <w:szCs w:val="20"/>
                <w:u w:val="none" w:color="auto"/>
              </w:rPr>
              <w:t>昼间</w:t>
            </w:r>
          </w:p>
        </w:tc>
        <w:tc>
          <w:tcPr>
            <w:tcW w:w="820" w:type="dxa"/>
            <w:tcBorders>
              <w:tl2br w:val="nil"/>
              <w:tr2bl w:val="nil"/>
            </w:tcBorders>
            <w:vAlign w:val="top"/>
          </w:tcPr>
          <w:p w14:paraId="48CE69DF">
            <w:pPr>
              <w:spacing w:before="98" w:line="195" w:lineRule="auto"/>
              <w:ind w:left="23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60.4</w:t>
            </w:r>
          </w:p>
        </w:tc>
        <w:tc>
          <w:tcPr>
            <w:tcW w:w="820" w:type="dxa"/>
            <w:tcBorders>
              <w:tl2br w:val="nil"/>
              <w:tr2bl w:val="nil"/>
            </w:tcBorders>
            <w:vAlign w:val="top"/>
          </w:tcPr>
          <w:p w14:paraId="2E035064">
            <w:pPr>
              <w:spacing w:before="98" w:line="195" w:lineRule="auto"/>
              <w:ind w:left="23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51.2</w:t>
            </w:r>
          </w:p>
        </w:tc>
        <w:tc>
          <w:tcPr>
            <w:tcW w:w="820" w:type="dxa"/>
            <w:tcBorders>
              <w:tl2br w:val="nil"/>
              <w:tr2bl w:val="nil"/>
            </w:tcBorders>
            <w:vAlign w:val="top"/>
          </w:tcPr>
          <w:p w14:paraId="2D176FDD">
            <w:pPr>
              <w:spacing w:before="98" w:line="195" w:lineRule="auto"/>
              <w:ind w:left="20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48.</w:t>
            </w:r>
            <w:r>
              <w:rPr>
                <w:rFonts w:ascii="Times New Roman" w:hAnsi="Times New Roman" w:eastAsia="Times New Roman" w:cs="Times New Roman"/>
                <w:color w:val="auto"/>
                <w:spacing w:val="26"/>
                <w:sz w:val="19"/>
                <w:szCs w:val="19"/>
                <w:u w:val="none" w:color="auto"/>
              </w:rPr>
              <w:t xml:space="preserve"> </w:t>
            </w:r>
            <w:r>
              <w:rPr>
                <w:rFonts w:ascii="Times New Roman" w:hAnsi="Times New Roman" w:eastAsia="Times New Roman" w:cs="Times New Roman"/>
                <w:color w:val="auto"/>
                <w:spacing w:val="2"/>
                <w:sz w:val="19"/>
                <w:szCs w:val="19"/>
                <w:u w:val="none" w:color="auto"/>
              </w:rPr>
              <w:t>1</w:t>
            </w:r>
          </w:p>
        </w:tc>
        <w:tc>
          <w:tcPr>
            <w:tcW w:w="820" w:type="dxa"/>
            <w:tcBorders>
              <w:tl2br w:val="nil"/>
              <w:tr2bl w:val="nil"/>
            </w:tcBorders>
            <w:vAlign w:val="top"/>
          </w:tcPr>
          <w:p w14:paraId="5C62943B">
            <w:pPr>
              <w:spacing w:before="98"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46.2</w:t>
            </w:r>
          </w:p>
        </w:tc>
        <w:tc>
          <w:tcPr>
            <w:tcW w:w="821" w:type="dxa"/>
            <w:tcBorders>
              <w:tl2br w:val="nil"/>
              <w:tr2bl w:val="nil"/>
            </w:tcBorders>
            <w:vAlign w:val="top"/>
          </w:tcPr>
          <w:p w14:paraId="4197B10D">
            <w:pPr>
              <w:spacing w:before="98"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45.0</w:t>
            </w:r>
          </w:p>
        </w:tc>
        <w:tc>
          <w:tcPr>
            <w:tcW w:w="821" w:type="dxa"/>
            <w:tcBorders>
              <w:tl2br w:val="nil"/>
              <w:tr2bl w:val="nil"/>
            </w:tcBorders>
            <w:vAlign w:val="top"/>
          </w:tcPr>
          <w:p w14:paraId="2AEE5724">
            <w:pPr>
              <w:spacing w:before="98"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44.0</w:t>
            </w:r>
          </w:p>
        </w:tc>
        <w:tc>
          <w:tcPr>
            <w:tcW w:w="820" w:type="dxa"/>
            <w:tcBorders>
              <w:tl2br w:val="nil"/>
              <w:tr2bl w:val="nil"/>
            </w:tcBorders>
            <w:vAlign w:val="top"/>
          </w:tcPr>
          <w:p w14:paraId="3BA71995">
            <w:pPr>
              <w:spacing w:before="98"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43.2</w:t>
            </w:r>
          </w:p>
        </w:tc>
        <w:tc>
          <w:tcPr>
            <w:tcW w:w="821" w:type="dxa"/>
            <w:tcBorders>
              <w:tl2br w:val="nil"/>
              <w:tr2bl w:val="nil"/>
            </w:tcBorders>
            <w:vAlign w:val="top"/>
          </w:tcPr>
          <w:p w14:paraId="1E5F9972">
            <w:pPr>
              <w:spacing w:before="98"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42.5</w:t>
            </w:r>
          </w:p>
        </w:tc>
        <w:tc>
          <w:tcPr>
            <w:tcW w:w="821" w:type="dxa"/>
            <w:tcBorders>
              <w:tl2br w:val="nil"/>
              <w:tr2bl w:val="nil"/>
            </w:tcBorders>
            <w:vAlign w:val="top"/>
          </w:tcPr>
          <w:p w14:paraId="618FCE91">
            <w:pPr>
              <w:spacing w:before="98"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41.9</w:t>
            </w:r>
          </w:p>
        </w:tc>
        <w:tc>
          <w:tcPr>
            <w:tcW w:w="820" w:type="dxa"/>
            <w:tcBorders>
              <w:tl2br w:val="nil"/>
              <w:tr2bl w:val="nil"/>
            </w:tcBorders>
            <w:vAlign w:val="top"/>
          </w:tcPr>
          <w:p w14:paraId="254161E4">
            <w:pPr>
              <w:spacing w:before="98" w:line="195" w:lineRule="auto"/>
              <w:ind w:left="24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41.4</w:t>
            </w:r>
          </w:p>
        </w:tc>
        <w:tc>
          <w:tcPr>
            <w:tcW w:w="821" w:type="dxa"/>
            <w:tcBorders>
              <w:tl2br w:val="nil"/>
              <w:tr2bl w:val="nil"/>
            </w:tcBorders>
            <w:vAlign w:val="top"/>
          </w:tcPr>
          <w:p w14:paraId="0927A074">
            <w:pPr>
              <w:spacing w:before="98" w:line="195" w:lineRule="auto"/>
              <w:ind w:left="24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40.6</w:t>
            </w:r>
          </w:p>
        </w:tc>
        <w:tc>
          <w:tcPr>
            <w:tcW w:w="820" w:type="dxa"/>
            <w:tcBorders>
              <w:tl2br w:val="nil"/>
              <w:tr2bl w:val="nil"/>
            </w:tcBorders>
            <w:vAlign w:val="top"/>
          </w:tcPr>
          <w:p w14:paraId="10F23BA2">
            <w:pPr>
              <w:spacing w:before="98" w:line="195" w:lineRule="auto"/>
              <w:ind w:left="24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39.8</w:t>
            </w:r>
          </w:p>
        </w:tc>
        <w:tc>
          <w:tcPr>
            <w:tcW w:w="821" w:type="dxa"/>
            <w:tcBorders>
              <w:tl2br w:val="nil"/>
              <w:tr2bl w:val="nil"/>
            </w:tcBorders>
            <w:vAlign w:val="top"/>
          </w:tcPr>
          <w:p w14:paraId="08C6A80B">
            <w:pPr>
              <w:spacing w:before="98" w:line="195" w:lineRule="auto"/>
              <w:ind w:left="25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39.2</w:t>
            </w:r>
          </w:p>
        </w:tc>
        <w:tc>
          <w:tcPr>
            <w:tcW w:w="820" w:type="dxa"/>
            <w:tcBorders>
              <w:tl2br w:val="nil"/>
              <w:tr2bl w:val="nil"/>
            </w:tcBorders>
            <w:vAlign w:val="top"/>
          </w:tcPr>
          <w:p w14:paraId="1255EBB8">
            <w:pPr>
              <w:spacing w:before="98" w:line="195" w:lineRule="auto"/>
              <w:ind w:left="25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38.7</w:t>
            </w:r>
          </w:p>
        </w:tc>
        <w:tc>
          <w:tcPr>
            <w:tcW w:w="863" w:type="dxa"/>
            <w:tcBorders>
              <w:tl2br w:val="nil"/>
              <w:tr2bl w:val="nil"/>
            </w:tcBorders>
            <w:vAlign w:val="top"/>
          </w:tcPr>
          <w:p w14:paraId="3029CC5D">
            <w:pPr>
              <w:spacing w:before="98" w:line="195" w:lineRule="auto"/>
              <w:ind w:left="26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38.2</w:t>
            </w:r>
          </w:p>
        </w:tc>
      </w:tr>
      <w:tr w14:paraId="4F8A8C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continue"/>
            <w:tcBorders>
              <w:tl2br w:val="nil"/>
              <w:tr2bl w:val="nil"/>
            </w:tcBorders>
            <w:vAlign w:val="top"/>
          </w:tcPr>
          <w:p w14:paraId="2DC93FED">
            <w:pPr>
              <w:rPr>
                <w:rFonts w:ascii="Arial"/>
                <w:color w:val="auto"/>
                <w:sz w:val="21"/>
                <w:u w:val="none" w:color="auto"/>
              </w:rPr>
            </w:pPr>
          </w:p>
        </w:tc>
        <w:tc>
          <w:tcPr>
            <w:tcW w:w="702" w:type="dxa"/>
            <w:tcBorders>
              <w:tl2br w:val="nil"/>
              <w:tr2bl w:val="nil"/>
            </w:tcBorders>
            <w:vAlign w:val="top"/>
          </w:tcPr>
          <w:p w14:paraId="613B9141">
            <w:pPr>
              <w:pStyle w:val="81"/>
              <w:spacing w:before="60" w:line="225" w:lineRule="auto"/>
              <w:ind w:left="139"/>
              <w:rPr>
                <w:color w:val="auto"/>
                <w:sz w:val="20"/>
                <w:szCs w:val="20"/>
                <w:u w:val="none" w:color="auto"/>
              </w:rPr>
            </w:pPr>
            <w:r>
              <w:rPr>
                <w:color w:val="auto"/>
                <w:spacing w:val="3"/>
                <w:sz w:val="20"/>
                <w:szCs w:val="20"/>
                <w:u w:val="none" w:color="auto"/>
              </w:rPr>
              <w:t>夜间</w:t>
            </w:r>
          </w:p>
        </w:tc>
        <w:tc>
          <w:tcPr>
            <w:tcW w:w="820" w:type="dxa"/>
            <w:tcBorders>
              <w:tl2br w:val="nil"/>
              <w:tr2bl w:val="nil"/>
            </w:tcBorders>
            <w:vAlign w:val="top"/>
          </w:tcPr>
          <w:p w14:paraId="0E6E530B">
            <w:pPr>
              <w:spacing w:before="103" w:line="195" w:lineRule="auto"/>
              <w:ind w:left="23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57.6</w:t>
            </w:r>
          </w:p>
        </w:tc>
        <w:tc>
          <w:tcPr>
            <w:tcW w:w="820" w:type="dxa"/>
            <w:tcBorders>
              <w:tl2br w:val="nil"/>
              <w:tr2bl w:val="nil"/>
            </w:tcBorders>
            <w:vAlign w:val="top"/>
          </w:tcPr>
          <w:p w14:paraId="0DF4ADE4">
            <w:pPr>
              <w:spacing w:before="103" w:line="195" w:lineRule="auto"/>
              <w:ind w:left="22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48.4</w:t>
            </w:r>
          </w:p>
        </w:tc>
        <w:tc>
          <w:tcPr>
            <w:tcW w:w="820" w:type="dxa"/>
            <w:tcBorders>
              <w:tl2br w:val="nil"/>
              <w:tr2bl w:val="nil"/>
            </w:tcBorders>
            <w:vAlign w:val="top"/>
          </w:tcPr>
          <w:p w14:paraId="7198AE5A">
            <w:pPr>
              <w:spacing w:before="103" w:line="195" w:lineRule="auto"/>
              <w:ind w:left="23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45.3</w:t>
            </w:r>
          </w:p>
        </w:tc>
        <w:tc>
          <w:tcPr>
            <w:tcW w:w="820" w:type="dxa"/>
            <w:tcBorders>
              <w:tl2br w:val="nil"/>
              <w:tr2bl w:val="nil"/>
            </w:tcBorders>
            <w:vAlign w:val="top"/>
          </w:tcPr>
          <w:p w14:paraId="2C005FFE">
            <w:pPr>
              <w:spacing w:before="103"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43.5</w:t>
            </w:r>
          </w:p>
        </w:tc>
        <w:tc>
          <w:tcPr>
            <w:tcW w:w="821" w:type="dxa"/>
            <w:tcBorders>
              <w:tl2br w:val="nil"/>
              <w:tr2bl w:val="nil"/>
            </w:tcBorders>
            <w:vAlign w:val="top"/>
          </w:tcPr>
          <w:p w14:paraId="2F7C5A5B">
            <w:pPr>
              <w:spacing w:before="103"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42.2</w:t>
            </w:r>
          </w:p>
        </w:tc>
        <w:tc>
          <w:tcPr>
            <w:tcW w:w="821" w:type="dxa"/>
            <w:tcBorders>
              <w:tl2br w:val="nil"/>
              <w:tr2bl w:val="nil"/>
            </w:tcBorders>
            <w:vAlign w:val="top"/>
          </w:tcPr>
          <w:p w14:paraId="6AA0EF21">
            <w:pPr>
              <w:spacing w:before="103"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41.2</w:t>
            </w:r>
          </w:p>
        </w:tc>
        <w:tc>
          <w:tcPr>
            <w:tcW w:w="820" w:type="dxa"/>
            <w:tcBorders>
              <w:tl2br w:val="nil"/>
              <w:tr2bl w:val="nil"/>
            </w:tcBorders>
            <w:vAlign w:val="top"/>
          </w:tcPr>
          <w:p w14:paraId="6CE72205">
            <w:pPr>
              <w:spacing w:before="103"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40.4</w:t>
            </w:r>
          </w:p>
        </w:tc>
        <w:tc>
          <w:tcPr>
            <w:tcW w:w="821" w:type="dxa"/>
            <w:tcBorders>
              <w:tl2br w:val="nil"/>
              <w:tr2bl w:val="nil"/>
            </w:tcBorders>
            <w:vAlign w:val="top"/>
          </w:tcPr>
          <w:p w14:paraId="3BDF2CE3">
            <w:pPr>
              <w:spacing w:before="103" w:line="195" w:lineRule="auto"/>
              <w:ind w:left="24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39.7</w:t>
            </w:r>
          </w:p>
        </w:tc>
        <w:tc>
          <w:tcPr>
            <w:tcW w:w="821" w:type="dxa"/>
            <w:tcBorders>
              <w:tl2br w:val="nil"/>
              <w:tr2bl w:val="nil"/>
            </w:tcBorders>
            <w:vAlign w:val="top"/>
          </w:tcPr>
          <w:p w14:paraId="5FA28771">
            <w:pPr>
              <w:spacing w:before="103" w:line="195" w:lineRule="auto"/>
              <w:ind w:left="24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39.2</w:t>
            </w:r>
          </w:p>
        </w:tc>
        <w:tc>
          <w:tcPr>
            <w:tcW w:w="820" w:type="dxa"/>
            <w:tcBorders>
              <w:tl2br w:val="nil"/>
              <w:tr2bl w:val="nil"/>
            </w:tcBorders>
            <w:vAlign w:val="top"/>
          </w:tcPr>
          <w:p w14:paraId="3B8BA094">
            <w:pPr>
              <w:spacing w:before="103" w:line="195" w:lineRule="auto"/>
              <w:ind w:left="24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38.6</w:t>
            </w:r>
          </w:p>
        </w:tc>
        <w:tc>
          <w:tcPr>
            <w:tcW w:w="821" w:type="dxa"/>
            <w:tcBorders>
              <w:tl2br w:val="nil"/>
              <w:tr2bl w:val="nil"/>
            </w:tcBorders>
            <w:vAlign w:val="top"/>
          </w:tcPr>
          <w:p w14:paraId="522ABA89">
            <w:pPr>
              <w:spacing w:before="103" w:line="195" w:lineRule="auto"/>
              <w:ind w:left="24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37.8</w:t>
            </w:r>
          </w:p>
        </w:tc>
        <w:tc>
          <w:tcPr>
            <w:tcW w:w="820" w:type="dxa"/>
            <w:tcBorders>
              <w:tl2br w:val="nil"/>
              <w:tr2bl w:val="nil"/>
            </w:tcBorders>
            <w:vAlign w:val="top"/>
          </w:tcPr>
          <w:p w14:paraId="50FD60B5">
            <w:pPr>
              <w:spacing w:before="103" w:line="195" w:lineRule="auto"/>
              <w:ind w:left="24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z w:val="19"/>
                <w:szCs w:val="19"/>
                <w:u w:val="none" w:color="auto"/>
              </w:rPr>
              <w:t>37.</w:t>
            </w:r>
            <w:r>
              <w:rPr>
                <w:rFonts w:ascii="Times New Roman" w:hAnsi="Times New Roman" w:eastAsia="Times New Roman" w:cs="Times New Roman"/>
                <w:color w:val="auto"/>
                <w:spacing w:val="-22"/>
                <w:sz w:val="19"/>
                <w:szCs w:val="19"/>
                <w:u w:val="none" w:color="auto"/>
              </w:rPr>
              <w:t xml:space="preserve"> </w:t>
            </w:r>
            <w:r>
              <w:rPr>
                <w:rFonts w:ascii="Times New Roman" w:hAnsi="Times New Roman" w:eastAsia="Times New Roman" w:cs="Times New Roman"/>
                <w:color w:val="auto"/>
                <w:sz w:val="19"/>
                <w:szCs w:val="19"/>
                <w:u w:val="none" w:color="auto"/>
              </w:rPr>
              <w:t>1</w:t>
            </w:r>
          </w:p>
        </w:tc>
        <w:tc>
          <w:tcPr>
            <w:tcW w:w="821" w:type="dxa"/>
            <w:tcBorders>
              <w:tl2br w:val="nil"/>
              <w:tr2bl w:val="nil"/>
            </w:tcBorders>
            <w:vAlign w:val="top"/>
          </w:tcPr>
          <w:p w14:paraId="771771AB">
            <w:pPr>
              <w:spacing w:before="103" w:line="195" w:lineRule="auto"/>
              <w:ind w:left="25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36.4</w:t>
            </w:r>
          </w:p>
        </w:tc>
        <w:tc>
          <w:tcPr>
            <w:tcW w:w="820" w:type="dxa"/>
            <w:tcBorders>
              <w:tl2br w:val="nil"/>
              <w:tr2bl w:val="nil"/>
            </w:tcBorders>
            <w:vAlign w:val="top"/>
          </w:tcPr>
          <w:p w14:paraId="443C6F26">
            <w:pPr>
              <w:spacing w:before="103" w:line="195" w:lineRule="auto"/>
              <w:ind w:left="25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35.9</w:t>
            </w:r>
          </w:p>
        </w:tc>
        <w:tc>
          <w:tcPr>
            <w:tcW w:w="863" w:type="dxa"/>
            <w:tcBorders>
              <w:tl2br w:val="nil"/>
              <w:tr2bl w:val="nil"/>
            </w:tcBorders>
            <w:vAlign w:val="top"/>
          </w:tcPr>
          <w:p w14:paraId="7FC328FF">
            <w:pPr>
              <w:spacing w:before="103" w:line="195" w:lineRule="auto"/>
              <w:ind w:left="26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35.4</w:t>
            </w:r>
          </w:p>
        </w:tc>
      </w:tr>
      <w:tr w14:paraId="27ACD7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restart"/>
            <w:tcBorders>
              <w:tl2br w:val="nil"/>
              <w:tr2bl w:val="nil"/>
            </w:tcBorders>
            <w:vAlign w:val="top"/>
          </w:tcPr>
          <w:p w14:paraId="03BA0FE0">
            <w:pPr>
              <w:spacing w:before="261"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2032</w:t>
            </w:r>
          </w:p>
        </w:tc>
        <w:tc>
          <w:tcPr>
            <w:tcW w:w="702" w:type="dxa"/>
            <w:tcBorders>
              <w:tl2br w:val="nil"/>
              <w:tr2bl w:val="nil"/>
            </w:tcBorders>
            <w:vAlign w:val="top"/>
          </w:tcPr>
          <w:p w14:paraId="5C9F764F">
            <w:pPr>
              <w:pStyle w:val="81"/>
              <w:spacing w:before="65" w:line="220" w:lineRule="auto"/>
              <w:ind w:left="135"/>
              <w:rPr>
                <w:color w:val="auto"/>
                <w:sz w:val="20"/>
                <w:szCs w:val="20"/>
                <w:u w:val="none" w:color="auto"/>
              </w:rPr>
            </w:pPr>
            <w:r>
              <w:rPr>
                <w:color w:val="auto"/>
                <w:spacing w:val="5"/>
                <w:sz w:val="20"/>
                <w:szCs w:val="20"/>
                <w:u w:val="none" w:color="auto"/>
              </w:rPr>
              <w:t>昼间</w:t>
            </w:r>
          </w:p>
        </w:tc>
        <w:tc>
          <w:tcPr>
            <w:tcW w:w="820" w:type="dxa"/>
            <w:tcBorders>
              <w:tl2br w:val="nil"/>
              <w:tr2bl w:val="nil"/>
            </w:tcBorders>
            <w:vAlign w:val="top"/>
          </w:tcPr>
          <w:p w14:paraId="2C5D4C42">
            <w:pPr>
              <w:spacing w:before="105" w:line="195" w:lineRule="auto"/>
              <w:ind w:left="23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61.9</w:t>
            </w:r>
          </w:p>
        </w:tc>
        <w:tc>
          <w:tcPr>
            <w:tcW w:w="820" w:type="dxa"/>
            <w:tcBorders>
              <w:tl2br w:val="nil"/>
              <w:tr2bl w:val="nil"/>
            </w:tcBorders>
            <w:vAlign w:val="top"/>
          </w:tcPr>
          <w:p w14:paraId="36FBE4D7">
            <w:pPr>
              <w:spacing w:before="105" w:line="195" w:lineRule="auto"/>
              <w:ind w:left="23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52.7</w:t>
            </w:r>
          </w:p>
        </w:tc>
        <w:tc>
          <w:tcPr>
            <w:tcW w:w="820" w:type="dxa"/>
            <w:tcBorders>
              <w:tl2br w:val="nil"/>
              <w:tr2bl w:val="nil"/>
            </w:tcBorders>
            <w:vAlign w:val="top"/>
          </w:tcPr>
          <w:p w14:paraId="564CFDC6">
            <w:pPr>
              <w:spacing w:before="105" w:line="195" w:lineRule="auto"/>
              <w:ind w:left="23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49.5</w:t>
            </w:r>
          </w:p>
        </w:tc>
        <w:tc>
          <w:tcPr>
            <w:tcW w:w="820" w:type="dxa"/>
            <w:tcBorders>
              <w:tl2br w:val="nil"/>
              <w:tr2bl w:val="nil"/>
            </w:tcBorders>
            <w:vAlign w:val="top"/>
          </w:tcPr>
          <w:p w14:paraId="7CF12B7E">
            <w:pPr>
              <w:spacing w:before="105"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47.7</w:t>
            </w:r>
          </w:p>
        </w:tc>
        <w:tc>
          <w:tcPr>
            <w:tcW w:w="821" w:type="dxa"/>
            <w:tcBorders>
              <w:tl2br w:val="nil"/>
              <w:tr2bl w:val="nil"/>
            </w:tcBorders>
            <w:vAlign w:val="top"/>
          </w:tcPr>
          <w:p w14:paraId="2DDF3F67">
            <w:pPr>
              <w:spacing w:before="105"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46.4</w:t>
            </w:r>
          </w:p>
        </w:tc>
        <w:tc>
          <w:tcPr>
            <w:tcW w:w="821" w:type="dxa"/>
            <w:tcBorders>
              <w:tl2br w:val="nil"/>
              <w:tr2bl w:val="nil"/>
            </w:tcBorders>
            <w:vAlign w:val="top"/>
          </w:tcPr>
          <w:p w14:paraId="73695A51">
            <w:pPr>
              <w:spacing w:before="105"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45.4</w:t>
            </w:r>
          </w:p>
        </w:tc>
        <w:tc>
          <w:tcPr>
            <w:tcW w:w="820" w:type="dxa"/>
            <w:tcBorders>
              <w:tl2br w:val="nil"/>
              <w:tr2bl w:val="nil"/>
            </w:tcBorders>
            <w:vAlign w:val="top"/>
          </w:tcPr>
          <w:p w14:paraId="097834ED">
            <w:pPr>
              <w:spacing w:before="105"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44.6</w:t>
            </w:r>
          </w:p>
        </w:tc>
        <w:tc>
          <w:tcPr>
            <w:tcW w:w="821" w:type="dxa"/>
            <w:tcBorders>
              <w:tl2br w:val="nil"/>
              <w:tr2bl w:val="nil"/>
            </w:tcBorders>
            <w:vAlign w:val="top"/>
          </w:tcPr>
          <w:p w14:paraId="5D9AF172">
            <w:pPr>
              <w:spacing w:before="105"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44.0</w:t>
            </w:r>
          </w:p>
        </w:tc>
        <w:tc>
          <w:tcPr>
            <w:tcW w:w="821" w:type="dxa"/>
            <w:tcBorders>
              <w:tl2br w:val="nil"/>
              <w:tr2bl w:val="nil"/>
            </w:tcBorders>
            <w:vAlign w:val="top"/>
          </w:tcPr>
          <w:p w14:paraId="24E63207">
            <w:pPr>
              <w:spacing w:before="105"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43.4</w:t>
            </w:r>
          </w:p>
        </w:tc>
        <w:tc>
          <w:tcPr>
            <w:tcW w:w="820" w:type="dxa"/>
            <w:tcBorders>
              <w:tl2br w:val="nil"/>
              <w:tr2bl w:val="nil"/>
            </w:tcBorders>
            <w:vAlign w:val="top"/>
          </w:tcPr>
          <w:p w14:paraId="68349EAE">
            <w:pPr>
              <w:spacing w:before="105" w:line="195" w:lineRule="auto"/>
              <w:ind w:left="24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42.9</w:t>
            </w:r>
          </w:p>
        </w:tc>
        <w:tc>
          <w:tcPr>
            <w:tcW w:w="821" w:type="dxa"/>
            <w:tcBorders>
              <w:tl2br w:val="nil"/>
              <w:tr2bl w:val="nil"/>
            </w:tcBorders>
            <w:vAlign w:val="top"/>
          </w:tcPr>
          <w:p w14:paraId="49ECC5AE">
            <w:pPr>
              <w:spacing w:before="105" w:line="195" w:lineRule="auto"/>
              <w:ind w:left="24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42.0</w:t>
            </w:r>
          </w:p>
        </w:tc>
        <w:tc>
          <w:tcPr>
            <w:tcW w:w="820" w:type="dxa"/>
            <w:tcBorders>
              <w:tl2br w:val="nil"/>
              <w:tr2bl w:val="nil"/>
            </w:tcBorders>
            <w:vAlign w:val="top"/>
          </w:tcPr>
          <w:p w14:paraId="604956DB">
            <w:pPr>
              <w:spacing w:before="105" w:line="195" w:lineRule="auto"/>
              <w:ind w:left="24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41.3</w:t>
            </w:r>
          </w:p>
        </w:tc>
        <w:tc>
          <w:tcPr>
            <w:tcW w:w="821" w:type="dxa"/>
            <w:tcBorders>
              <w:tl2br w:val="nil"/>
              <w:tr2bl w:val="nil"/>
            </w:tcBorders>
            <w:vAlign w:val="top"/>
          </w:tcPr>
          <w:p w14:paraId="2DC10AC4">
            <w:pPr>
              <w:spacing w:before="105" w:line="195" w:lineRule="auto"/>
              <w:ind w:left="24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40.7</w:t>
            </w:r>
          </w:p>
        </w:tc>
        <w:tc>
          <w:tcPr>
            <w:tcW w:w="820" w:type="dxa"/>
            <w:tcBorders>
              <w:tl2br w:val="nil"/>
              <w:tr2bl w:val="nil"/>
            </w:tcBorders>
            <w:vAlign w:val="top"/>
          </w:tcPr>
          <w:p w14:paraId="4EC6B736">
            <w:pPr>
              <w:spacing w:before="105" w:line="195" w:lineRule="auto"/>
              <w:ind w:left="24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40.</w:t>
            </w:r>
            <w:r>
              <w:rPr>
                <w:rFonts w:ascii="Times New Roman" w:hAnsi="Times New Roman" w:eastAsia="Times New Roman" w:cs="Times New Roman"/>
                <w:color w:val="auto"/>
                <w:spacing w:val="-24"/>
                <w:sz w:val="19"/>
                <w:szCs w:val="19"/>
                <w:u w:val="none" w:color="auto"/>
              </w:rPr>
              <w:t xml:space="preserve"> </w:t>
            </w:r>
            <w:r>
              <w:rPr>
                <w:rFonts w:ascii="Times New Roman" w:hAnsi="Times New Roman" w:eastAsia="Times New Roman" w:cs="Times New Roman"/>
                <w:color w:val="auto"/>
                <w:spacing w:val="2"/>
                <w:sz w:val="19"/>
                <w:szCs w:val="19"/>
                <w:u w:val="none" w:color="auto"/>
              </w:rPr>
              <w:t>1</w:t>
            </w:r>
          </w:p>
        </w:tc>
        <w:tc>
          <w:tcPr>
            <w:tcW w:w="863" w:type="dxa"/>
            <w:tcBorders>
              <w:tl2br w:val="nil"/>
              <w:tr2bl w:val="nil"/>
            </w:tcBorders>
            <w:vAlign w:val="top"/>
          </w:tcPr>
          <w:p w14:paraId="1E4CFDF2">
            <w:pPr>
              <w:spacing w:before="105" w:line="195" w:lineRule="auto"/>
              <w:ind w:left="26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39.7</w:t>
            </w:r>
          </w:p>
        </w:tc>
      </w:tr>
      <w:tr w14:paraId="26FCD2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continue"/>
            <w:tcBorders>
              <w:tl2br w:val="nil"/>
              <w:tr2bl w:val="nil"/>
            </w:tcBorders>
            <w:vAlign w:val="top"/>
          </w:tcPr>
          <w:p w14:paraId="2EB6FA85">
            <w:pPr>
              <w:rPr>
                <w:rFonts w:ascii="Arial"/>
                <w:color w:val="auto"/>
                <w:sz w:val="21"/>
                <w:u w:val="none" w:color="auto"/>
              </w:rPr>
            </w:pPr>
          </w:p>
        </w:tc>
        <w:tc>
          <w:tcPr>
            <w:tcW w:w="702" w:type="dxa"/>
            <w:tcBorders>
              <w:tl2br w:val="nil"/>
              <w:tr2bl w:val="nil"/>
            </w:tcBorders>
            <w:vAlign w:val="top"/>
          </w:tcPr>
          <w:p w14:paraId="4BEF7226">
            <w:pPr>
              <w:pStyle w:val="81"/>
              <w:spacing w:before="67" w:line="218" w:lineRule="auto"/>
              <w:ind w:left="139"/>
              <w:rPr>
                <w:color w:val="auto"/>
                <w:sz w:val="20"/>
                <w:szCs w:val="20"/>
                <w:u w:val="none" w:color="auto"/>
              </w:rPr>
            </w:pPr>
            <w:r>
              <w:rPr>
                <w:color w:val="auto"/>
                <w:spacing w:val="3"/>
                <w:sz w:val="20"/>
                <w:szCs w:val="20"/>
                <w:u w:val="none" w:color="auto"/>
              </w:rPr>
              <w:t>夜间</w:t>
            </w:r>
          </w:p>
        </w:tc>
        <w:tc>
          <w:tcPr>
            <w:tcW w:w="820" w:type="dxa"/>
            <w:tcBorders>
              <w:tl2br w:val="nil"/>
              <w:tr2bl w:val="nil"/>
            </w:tcBorders>
            <w:vAlign w:val="top"/>
          </w:tcPr>
          <w:p w14:paraId="00A97AC8">
            <w:pPr>
              <w:spacing w:before="108" w:line="195" w:lineRule="auto"/>
              <w:ind w:left="23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59.3</w:t>
            </w:r>
          </w:p>
        </w:tc>
        <w:tc>
          <w:tcPr>
            <w:tcW w:w="820" w:type="dxa"/>
            <w:tcBorders>
              <w:tl2br w:val="nil"/>
              <w:tr2bl w:val="nil"/>
            </w:tcBorders>
            <w:vAlign w:val="top"/>
          </w:tcPr>
          <w:p w14:paraId="3670CF7C">
            <w:pPr>
              <w:spacing w:before="108" w:line="195" w:lineRule="auto"/>
              <w:ind w:left="23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z w:val="19"/>
                <w:szCs w:val="19"/>
                <w:u w:val="none" w:color="auto"/>
              </w:rPr>
              <w:t>50.</w:t>
            </w:r>
            <w:r>
              <w:rPr>
                <w:rFonts w:ascii="Times New Roman" w:hAnsi="Times New Roman" w:eastAsia="Times New Roman" w:cs="Times New Roman"/>
                <w:color w:val="auto"/>
                <w:spacing w:val="-23"/>
                <w:sz w:val="19"/>
                <w:szCs w:val="19"/>
                <w:u w:val="none" w:color="auto"/>
              </w:rPr>
              <w:t xml:space="preserve"> </w:t>
            </w:r>
            <w:r>
              <w:rPr>
                <w:rFonts w:ascii="Times New Roman" w:hAnsi="Times New Roman" w:eastAsia="Times New Roman" w:cs="Times New Roman"/>
                <w:color w:val="auto"/>
                <w:sz w:val="19"/>
                <w:szCs w:val="19"/>
                <w:u w:val="none" w:color="auto"/>
              </w:rPr>
              <w:t>1</w:t>
            </w:r>
          </w:p>
        </w:tc>
        <w:tc>
          <w:tcPr>
            <w:tcW w:w="820" w:type="dxa"/>
            <w:tcBorders>
              <w:tl2br w:val="nil"/>
              <w:tr2bl w:val="nil"/>
            </w:tcBorders>
            <w:vAlign w:val="top"/>
          </w:tcPr>
          <w:p w14:paraId="1E31696F">
            <w:pPr>
              <w:spacing w:before="108" w:line="195" w:lineRule="auto"/>
              <w:ind w:left="23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46.9</w:t>
            </w:r>
          </w:p>
        </w:tc>
        <w:tc>
          <w:tcPr>
            <w:tcW w:w="820" w:type="dxa"/>
            <w:tcBorders>
              <w:tl2br w:val="nil"/>
              <w:tr2bl w:val="nil"/>
            </w:tcBorders>
            <w:vAlign w:val="top"/>
          </w:tcPr>
          <w:p w14:paraId="0CC149EA">
            <w:pPr>
              <w:spacing w:before="108"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45.</w:t>
            </w:r>
            <w:r>
              <w:rPr>
                <w:rFonts w:ascii="Times New Roman" w:hAnsi="Times New Roman" w:eastAsia="Times New Roman" w:cs="Times New Roman"/>
                <w:color w:val="auto"/>
                <w:spacing w:val="-24"/>
                <w:sz w:val="19"/>
                <w:szCs w:val="19"/>
                <w:u w:val="none" w:color="auto"/>
              </w:rPr>
              <w:t xml:space="preserve"> </w:t>
            </w:r>
            <w:r>
              <w:rPr>
                <w:rFonts w:ascii="Times New Roman" w:hAnsi="Times New Roman" w:eastAsia="Times New Roman" w:cs="Times New Roman"/>
                <w:color w:val="auto"/>
                <w:spacing w:val="2"/>
                <w:sz w:val="19"/>
                <w:szCs w:val="19"/>
                <w:u w:val="none" w:color="auto"/>
              </w:rPr>
              <w:t>1</w:t>
            </w:r>
          </w:p>
        </w:tc>
        <w:tc>
          <w:tcPr>
            <w:tcW w:w="821" w:type="dxa"/>
            <w:tcBorders>
              <w:tl2br w:val="nil"/>
              <w:tr2bl w:val="nil"/>
            </w:tcBorders>
            <w:vAlign w:val="top"/>
          </w:tcPr>
          <w:p w14:paraId="7B7934C4">
            <w:pPr>
              <w:spacing w:before="108"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43.8</w:t>
            </w:r>
          </w:p>
        </w:tc>
        <w:tc>
          <w:tcPr>
            <w:tcW w:w="821" w:type="dxa"/>
            <w:tcBorders>
              <w:tl2br w:val="nil"/>
              <w:tr2bl w:val="nil"/>
            </w:tcBorders>
            <w:vAlign w:val="top"/>
          </w:tcPr>
          <w:p w14:paraId="7D8DFCA4">
            <w:pPr>
              <w:spacing w:before="108"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42.9</w:t>
            </w:r>
          </w:p>
        </w:tc>
        <w:tc>
          <w:tcPr>
            <w:tcW w:w="820" w:type="dxa"/>
            <w:tcBorders>
              <w:tl2br w:val="nil"/>
              <w:tr2bl w:val="nil"/>
            </w:tcBorders>
            <w:vAlign w:val="top"/>
          </w:tcPr>
          <w:p w14:paraId="05B2BEE7">
            <w:pPr>
              <w:spacing w:before="108"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42.</w:t>
            </w:r>
            <w:r>
              <w:rPr>
                <w:rFonts w:ascii="Times New Roman" w:hAnsi="Times New Roman" w:eastAsia="Times New Roman" w:cs="Times New Roman"/>
                <w:color w:val="auto"/>
                <w:spacing w:val="-22"/>
                <w:sz w:val="19"/>
                <w:szCs w:val="19"/>
                <w:u w:val="none" w:color="auto"/>
              </w:rPr>
              <w:t xml:space="preserve"> </w:t>
            </w:r>
            <w:r>
              <w:rPr>
                <w:rFonts w:ascii="Times New Roman" w:hAnsi="Times New Roman" w:eastAsia="Times New Roman" w:cs="Times New Roman"/>
                <w:color w:val="auto"/>
                <w:spacing w:val="2"/>
                <w:sz w:val="19"/>
                <w:szCs w:val="19"/>
                <w:u w:val="none" w:color="auto"/>
              </w:rPr>
              <w:t>1</w:t>
            </w:r>
          </w:p>
        </w:tc>
        <w:tc>
          <w:tcPr>
            <w:tcW w:w="821" w:type="dxa"/>
            <w:tcBorders>
              <w:tl2br w:val="nil"/>
              <w:tr2bl w:val="nil"/>
            </w:tcBorders>
            <w:vAlign w:val="top"/>
          </w:tcPr>
          <w:p w14:paraId="69D7DA8F">
            <w:pPr>
              <w:spacing w:before="108"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41.4</w:t>
            </w:r>
          </w:p>
        </w:tc>
        <w:tc>
          <w:tcPr>
            <w:tcW w:w="821" w:type="dxa"/>
            <w:tcBorders>
              <w:tl2br w:val="nil"/>
              <w:tr2bl w:val="nil"/>
            </w:tcBorders>
            <w:vAlign w:val="top"/>
          </w:tcPr>
          <w:p w14:paraId="28377413">
            <w:pPr>
              <w:spacing w:before="108"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40.8</w:t>
            </w:r>
          </w:p>
        </w:tc>
        <w:tc>
          <w:tcPr>
            <w:tcW w:w="820" w:type="dxa"/>
            <w:tcBorders>
              <w:tl2br w:val="nil"/>
              <w:tr2bl w:val="nil"/>
            </w:tcBorders>
            <w:vAlign w:val="top"/>
          </w:tcPr>
          <w:p w14:paraId="75AD3FE8">
            <w:pPr>
              <w:spacing w:before="108" w:line="195" w:lineRule="auto"/>
              <w:ind w:left="24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40.3</w:t>
            </w:r>
          </w:p>
        </w:tc>
        <w:tc>
          <w:tcPr>
            <w:tcW w:w="821" w:type="dxa"/>
            <w:tcBorders>
              <w:tl2br w:val="nil"/>
              <w:tr2bl w:val="nil"/>
            </w:tcBorders>
            <w:vAlign w:val="top"/>
          </w:tcPr>
          <w:p w14:paraId="63E9D99B">
            <w:pPr>
              <w:spacing w:before="108" w:line="195" w:lineRule="auto"/>
              <w:ind w:left="24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39.4</w:t>
            </w:r>
          </w:p>
        </w:tc>
        <w:tc>
          <w:tcPr>
            <w:tcW w:w="820" w:type="dxa"/>
            <w:tcBorders>
              <w:tl2br w:val="nil"/>
              <w:tr2bl w:val="nil"/>
            </w:tcBorders>
            <w:vAlign w:val="top"/>
          </w:tcPr>
          <w:p w14:paraId="7915A91E">
            <w:pPr>
              <w:spacing w:before="108" w:line="195" w:lineRule="auto"/>
              <w:ind w:left="24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38.7</w:t>
            </w:r>
          </w:p>
        </w:tc>
        <w:tc>
          <w:tcPr>
            <w:tcW w:w="821" w:type="dxa"/>
            <w:tcBorders>
              <w:tl2br w:val="nil"/>
              <w:tr2bl w:val="nil"/>
            </w:tcBorders>
            <w:vAlign w:val="top"/>
          </w:tcPr>
          <w:p w14:paraId="11921E96">
            <w:pPr>
              <w:spacing w:before="108" w:line="195" w:lineRule="auto"/>
              <w:ind w:left="25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38.</w:t>
            </w:r>
            <w:r>
              <w:rPr>
                <w:rFonts w:ascii="Times New Roman" w:hAnsi="Times New Roman" w:eastAsia="Times New Roman" w:cs="Times New Roman"/>
                <w:color w:val="auto"/>
                <w:spacing w:val="-23"/>
                <w:sz w:val="19"/>
                <w:szCs w:val="19"/>
                <w:u w:val="none" w:color="auto"/>
              </w:rPr>
              <w:t xml:space="preserve"> </w:t>
            </w:r>
            <w:r>
              <w:rPr>
                <w:rFonts w:ascii="Times New Roman" w:hAnsi="Times New Roman" w:eastAsia="Times New Roman" w:cs="Times New Roman"/>
                <w:color w:val="auto"/>
                <w:spacing w:val="1"/>
                <w:sz w:val="19"/>
                <w:szCs w:val="19"/>
                <w:u w:val="none" w:color="auto"/>
              </w:rPr>
              <w:t>1</w:t>
            </w:r>
          </w:p>
        </w:tc>
        <w:tc>
          <w:tcPr>
            <w:tcW w:w="820" w:type="dxa"/>
            <w:tcBorders>
              <w:tl2br w:val="nil"/>
              <w:tr2bl w:val="nil"/>
            </w:tcBorders>
            <w:vAlign w:val="top"/>
          </w:tcPr>
          <w:p w14:paraId="1EF883CE">
            <w:pPr>
              <w:spacing w:before="108" w:line="195" w:lineRule="auto"/>
              <w:ind w:left="25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37.6</w:t>
            </w:r>
          </w:p>
        </w:tc>
        <w:tc>
          <w:tcPr>
            <w:tcW w:w="863" w:type="dxa"/>
            <w:tcBorders>
              <w:tl2br w:val="nil"/>
              <w:tr2bl w:val="nil"/>
            </w:tcBorders>
            <w:vAlign w:val="top"/>
          </w:tcPr>
          <w:p w14:paraId="5D38902A">
            <w:pPr>
              <w:spacing w:before="108" w:line="195" w:lineRule="auto"/>
              <w:ind w:left="26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37.</w:t>
            </w:r>
            <w:r>
              <w:rPr>
                <w:rFonts w:ascii="Times New Roman" w:hAnsi="Times New Roman" w:eastAsia="Times New Roman" w:cs="Times New Roman"/>
                <w:color w:val="auto"/>
                <w:spacing w:val="-23"/>
                <w:sz w:val="19"/>
                <w:szCs w:val="19"/>
                <w:u w:val="none" w:color="auto"/>
              </w:rPr>
              <w:t xml:space="preserve"> </w:t>
            </w:r>
            <w:r>
              <w:rPr>
                <w:rFonts w:ascii="Times New Roman" w:hAnsi="Times New Roman" w:eastAsia="Times New Roman" w:cs="Times New Roman"/>
                <w:color w:val="auto"/>
                <w:spacing w:val="1"/>
                <w:sz w:val="19"/>
                <w:szCs w:val="19"/>
                <w:u w:val="none" w:color="auto"/>
              </w:rPr>
              <w:t>1</w:t>
            </w:r>
          </w:p>
        </w:tc>
      </w:tr>
      <w:tr w14:paraId="17C3D0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954" w:type="dxa"/>
            <w:vMerge w:val="restart"/>
            <w:tcBorders>
              <w:tl2br w:val="nil"/>
              <w:tr2bl w:val="nil"/>
            </w:tcBorders>
            <w:vAlign w:val="top"/>
          </w:tcPr>
          <w:p w14:paraId="28550E65">
            <w:pPr>
              <w:spacing w:before="267" w:line="195" w:lineRule="auto"/>
              <w:ind w:left="25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2040</w:t>
            </w:r>
          </w:p>
        </w:tc>
        <w:tc>
          <w:tcPr>
            <w:tcW w:w="702" w:type="dxa"/>
            <w:tcBorders>
              <w:tl2br w:val="nil"/>
              <w:tr2bl w:val="nil"/>
            </w:tcBorders>
            <w:vAlign w:val="top"/>
          </w:tcPr>
          <w:p w14:paraId="1A33269E">
            <w:pPr>
              <w:pStyle w:val="81"/>
              <w:spacing w:before="70" w:line="216" w:lineRule="auto"/>
              <w:ind w:left="135"/>
              <w:rPr>
                <w:color w:val="auto"/>
                <w:sz w:val="20"/>
                <w:szCs w:val="20"/>
                <w:u w:val="none" w:color="auto"/>
              </w:rPr>
            </w:pPr>
            <w:r>
              <w:rPr>
                <w:color w:val="auto"/>
                <w:spacing w:val="5"/>
                <w:sz w:val="20"/>
                <w:szCs w:val="20"/>
                <w:u w:val="none" w:color="auto"/>
              </w:rPr>
              <w:t>昼间</w:t>
            </w:r>
          </w:p>
        </w:tc>
        <w:tc>
          <w:tcPr>
            <w:tcW w:w="820" w:type="dxa"/>
            <w:tcBorders>
              <w:tl2br w:val="nil"/>
              <w:tr2bl w:val="nil"/>
            </w:tcBorders>
            <w:vAlign w:val="top"/>
          </w:tcPr>
          <w:p w14:paraId="179DEB9D">
            <w:pPr>
              <w:spacing w:before="111" w:line="195" w:lineRule="auto"/>
              <w:ind w:left="23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63.0</w:t>
            </w:r>
          </w:p>
        </w:tc>
        <w:tc>
          <w:tcPr>
            <w:tcW w:w="820" w:type="dxa"/>
            <w:tcBorders>
              <w:tl2br w:val="nil"/>
              <w:tr2bl w:val="nil"/>
            </w:tcBorders>
            <w:vAlign w:val="top"/>
          </w:tcPr>
          <w:p w14:paraId="40370387">
            <w:pPr>
              <w:spacing w:before="111" w:line="195" w:lineRule="auto"/>
              <w:ind w:left="23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53.8</w:t>
            </w:r>
          </w:p>
        </w:tc>
        <w:tc>
          <w:tcPr>
            <w:tcW w:w="820" w:type="dxa"/>
            <w:tcBorders>
              <w:tl2br w:val="nil"/>
              <w:tr2bl w:val="nil"/>
            </w:tcBorders>
            <w:vAlign w:val="top"/>
          </w:tcPr>
          <w:p w14:paraId="042D5A53">
            <w:pPr>
              <w:spacing w:before="111"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50.7</w:t>
            </w:r>
          </w:p>
        </w:tc>
        <w:tc>
          <w:tcPr>
            <w:tcW w:w="820" w:type="dxa"/>
            <w:tcBorders>
              <w:tl2br w:val="nil"/>
              <w:tr2bl w:val="nil"/>
            </w:tcBorders>
            <w:vAlign w:val="top"/>
          </w:tcPr>
          <w:p w14:paraId="53968D40">
            <w:pPr>
              <w:spacing w:before="111"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48.8</w:t>
            </w:r>
          </w:p>
        </w:tc>
        <w:tc>
          <w:tcPr>
            <w:tcW w:w="821" w:type="dxa"/>
            <w:tcBorders>
              <w:tl2br w:val="nil"/>
              <w:tr2bl w:val="nil"/>
            </w:tcBorders>
            <w:vAlign w:val="top"/>
          </w:tcPr>
          <w:p w14:paraId="7855F308">
            <w:pPr>
              <w:spacing w:before="111"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47.6</w:t>
            </w:r>
          </w:p>
        </w:tc>
        <w:tc>
          <w:tcPr>
            <w:tcW w:w="821" w:type="dxa"/>
            <w:tcBorders>
              <w:tl2br w:val="nil"/>
              <w:tr2bl w:val="nil"/>
            </w:tcBorders>
            <w:vAlign w:val="top"/>
          </w:tcPr>
          <w:p w14:paraId="1018AA14">
            <w:pPr>
              <w:spacing w:before="111"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46.6</w:t>
            </w:r>
          </w:p>
        </w:tc>
        <w:tc>
          <w:tcPr>
            <w:tcW w:w="820" w:type="dxa"/>
            <w:tcBorders>
              <w:tl2br w:val="nil"/>
              <w:tr2bl w:val="nil"/>
            </w:tcBorders>
            <w:vAlign w:val="top"/>
          </w:tcPr>
          <w:p w14:paraId="527ABAB8">
            <w:pPr>
              <w:spacing w:before="111"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45.8</w:t>
            </w:r>
          </w:p>
        </w:tc>
        <w:tc>
          <w:tcPr>
            <w:tcW w:w="821" w:type="dxa"/>
            <w:tcBorders>
              <w:tl2br w:val="nil"/>
              <w:tr2bl w:val="nil"/>
            </w:tcBorders>
            <w:vAlign w:val="top"/>
          </w:tcPr>
          <w:p w14:paraId="07585856">
            <w:pPr>
              <w:spacing w:before="111"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45.</w:t>
            </w:r>
            <w:r>
              <w:rPr>
                <w:rFonts w:ascii="Times New Roman" w:hAnsi="Times New Roman" w:eastAsia="Times New Roman" w:cs="Times New Roman"/>
                <w:color w:val="auto"/>
                <w:spacing w:val="-24"/>
                <w:sz w:val="19"/>
                <w:szCs w:val="19"/>
                <w:u w:val="none" w:color="auto"/>
              </w:rPr>
              <w:t xml:space="preserve"> </w:t>
            </w:r>
            <w:r>
              <w:rPr>
                <w:rFonts w:ascii="Times New Roman" w:hAnsi="Times New Roman" w:eastAsia="Times New Roman" w:cs="Times New Roman"/>
                <w:color w:val="auto"/>
                <w:spacing w:val="2"/>
                <w:sz w:val="19"/>
                <w:szCs w:val="19"/>
                <w:u w:val="none" w:color="auto"/>
              </w:rPr>
              <w:t>1</w:t>
            </w:r>
          </w:p>
        </w:tc>
        <w:tc>
          <w:tcPr>
            <w:tcW w:w="821" w:type="dxa"/>
            <w:tcBorders>
              <w:tl2br w:val="nil"/>
              <w:tr2bl w:val="nil"/>
            </w:tcBorders>
            <w:vAlign w:val="top"/>
          </w:tcPr>
          <w:p w14:paraId="47BEBDD3">
            <w:pPr>
              <w:spacing w:before="111"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44.5</w:t>
            </w:r>
          </w:p>
        </w:tc>
        <w:tc>
          <w:tcPr>
            <w:tcW w:w="820" w:type="dxa"/>
            <w:tcBorders>
              <w:tl2br w:val="nil"/>
              <w:tr2bl w:val="nil"/>
            </w:tcBorders>
            <w:vAlign w:val="top"/>
          </w:tcPr>
          <w:p w14:paraId="68415096">
            <w:pPr>
              <w:spacing w:before="111" w:line="195" w:lineRule="auto"/>
              <w:ind w:left="24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44.0</w:t>
            </w:r>
          </w:p>
        </w:tc>
        <w:tc>
          <w:tcPr>
            <w:tcW w:w="821" w:type="dxa"/>
            <w:tcBorders>
              <w:tl2br w:val="nil"/>
              <w:tr2bl w:val="nil"/>
            </w:tcBorders>
            <w:vAlign w:val="top"/>
          </w:tcPr>
          <w:p w14:paraId="3573A6C5">
            <w:pPr>
              <w:spacing w:before="111" w:line="195" w:lineRule="auto"/>
              <w:ind w:left="24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43.2</w:t>
            </w:r>
          </w:p>
        </w:tc>
        <w:tc>
          <w:tcPr>
            <w:tcW w:w="820" w:type="dxa"/>
            <w:tcBorders>
              <w:tl2br w:val="nil"/>
              <w:tr2bl w:val="nil"/>
            </w:tcBorders>
            <w:vAlign w:val="top"/>
          </w:tcPr>
          <w:p w14:paraId="7F70EBEE">
            <w:pPr>
              <w:spacing w:before="111" w:line="195" w:lineRule="auto"/>
              <w:ind w:left="24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42.4</w:t>
            </w:r>
          </w:p>
        </w:tc>
        <w:tc>
          <w:tcPr>
            <w:tcW w:w="821" w:type="dxa"/>
            <w:tcBorders>
              <w:tl2br w:val="nil"/>
              <w:tr2bl w:val="nil"/>
            </w:tcBorders>
            <w:vAlign w:val="top"/>
          </w:tcPr>
          <w:p w14:paraId="2C4425E9">
            <w:pPr>
              <w:spacing w:before="111" w:line="195" w:lineRule="auto"/>
              <w:ind w:left="24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41.8</w:t>
            </w:r>
          </w:p>
        </w:tc>
        <w:tc>
          <w:tcPr>
            <w:tcW w:w="820" w:type="dxa"/>
            <w:tcBorders>
              <w:tl2br w:val="nil"/>
              <w:tr2bl w:val="nil"/>
            </w:tcBorders>
            <w:vAlign w:val="top"/>
          </w:tcPr>
          <w:p w14:paraId="63FD5321">
            <w:pPr>
              <w:spacing w:before="111" w:line="195" w:lineRule="auto"/>
              <w:ind w:left="24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41.3</w:t>
            </w:r>
          </w:p>
        </w:tc>
        <w:tc>
          <w:tcPr>
            <w:tcW w:w="863" w:type="dxa"/>
            <w:tcBorders>
              <w:tl2br w:val="nil"/>
              <w:tr2bl w:val="nil"/>
            </w:tcBorders>
            <w:vAlign w:val="top"/>
          </w:tcPr>
          <w:p w14:paraId="5448EAEC">
            <w:pPr>
              <w:spacing w:before="111" w:line="195" w:lineRule="auto"/>
              <w:ind w:left="26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40.8</w:t>
            </w:r>
          </w:p>
        </w:tc>
      </w:tr>
      <w:tr w14:paraId="677F76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954" w:type="dxa"/>
            <w:vMerge w:val="continue"/>
            <w:tcBorders>
              <w:tl2br w:val="nil"/>
              <w:tr2bl w:val="nil"/>
            </w:tcBorders>
            <w:vAlign w:val="top"/>
          </w:tcPr>
          <w:p w14:paraId="58044CBA">
            <w:pPr>
              <w:rPr>
                <w:rFonts w:ascii="Arial"/>
                <w:color w:val="auto"/>
                <w:sz w:val="21"/>
                <w:u w:val="none" w:color="auto"/>
              </w:rPr>
            </w:pPr>
          </w:p>
        </w:tc>
        <w:tc>
          <w:tcPr>
            <w:tcW w:w="702" w:type="dxa"/>
            <w:tcBorders>
              <w:tl2br w:val="nil"/>
              <w:tr2bl w:val="nil"/>
            </w:tcBorders>
            <w:vAlign w:val="top"/>
          </w:tcPr>
          <w:p w14:paraId="217DA4A2">
            <w:pPr>
              <w:pStyle w:val="81"/>
              <w:spacing w:before="72" w:line="228" w:lineRule="auto"/>
              <w:ind w:left="139"/>
              <w:rPr>
                <w:color w:val="auto"/>
                <w:sz w:val="20"/>
                <w:szCs w:val="20"/>
                <w:u w:val="none" w:color="auto"/>
              </w:rPr>
            </w:pPr>
            <w:r>
              <w:rPr>
                <w:color w:val="auto"/>
                <w:spacing w:val="3"/>
                <w:sz w:val="20"/>
                <w:szCs w:val="20"/>
                <w:u w:val="none" w:color="auto"/>
              </w:rPr>
              <w:t>夜间</w:t>
            </w:r>
          </w:p>
        </w:tc>
        <w:tc>
          <w:tcPr>
            <w:tcW w:w="820" w:type="dxa"/>
            <w:tcBorders>
              <w:tl2br w:val="nil"/>
              <w:tr2bl w:val="nil"/>
            </w:tcBorders>
            <w:vAlign w:val="top"/>
          </w:tcPr>
          <w:p w14:paraId="1CDC7E14">
            <w:pPr>
              <w:spacing w:before="113" w:line="195" w:lineRule="auto"/>
              <w:ind w:left="23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60.8</w:t>
            </w:r>
          </w:p>
        </w:tc>
        <w:tc>
          <w:tcPr>
            <w:tcW w:w="820" w:type="dxa"/>
            <w:tcBorders>
              <w:tl2br w:val="nil"/>
              <w:tr2bl w:val="nil"/>
            </w:tcBorders>
            <w:vAlign w:val="top"/>
          </w:tcPr>
          <w:p w14:paraId="5FC98D8D">
            <w:pPr>
              <w:spacing w:before="113" w:line="195" w:lineRule="auto"/>
              <w:ind w:left="235"/>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1"/>
                <w:sz w:val="19"/>
                <w:szCs w:val="19"/>
                <w:u w:val="none" w:color="auto"/>
              </w:rPr>
              <w:t>51.6</w:t>
            </w:r>
          </w:p>
        </w:tc>
        <w:tc>
          <w:tcPr>
            <w:tcW w:w="820" w:type="dxa"/>
            <w:tcBorders>
              <w:tl2br w:val="nil"/>
              <w:tr2bl w:val="nil"/>
            </w:tcBorders>
            <w:vAlign w:val="top"/>
          </w:tcPr>
          <w:p w14:paraId="7FDEE03B">
            <w:pPr>
              <w:spacing w:before="113" w:line="195" w:lineRule="auto"/>
              <w:ind w:left="23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48.5</w:t>
            </w:r>
          </w:p>
        </w:tc>
        <w:tc>
          <w:tcPr>
            <w:tcW w:w="820" w:type="dxa"/>
            <w:tcBorders>
              <w:tl2br w:val="nil"/>
              <w:tr2bl w:val="nil"/>
            </w:tcBorders>
            <w:vAlign w:val="top"/>
          </w:tcPr>
          <w:p w14:paraId="235E4927">
            <w:pPr>
              <w:spacing w:before="113" w:line="195" w:lineRule="auto"/>
              <w:ind w:left="233"/>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46.6</w:t>
            </w:r>
          </w:p>
        </w:tc>
        <w:tc>
          <w:tcPr>
            <w:tcW w:w="821" w:type="dxa"/>
            <w:tcBorders>
              <w:tl2br w:val="nil"/>
              <w:tr2bl w:val="nil"/>
            </w:tcBorders>
            <w:vAlign w:val="top"/>
          </w:tcPr>
          <w:p w14:paraId="1A0985DA">
            <w:pPr>
              <w:spacing w:before="113" w:line="195" w:lineRule="auto"/>
              <w:ind w:left="23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45.4</w:t>
            </w:r>
          </w:p>
        </w:tc>
        <w:tc>
          <w:tcPr>
            <w:tcW w:w="821" w:type="dxa"/>
            <w:tcBorders>
              <w:tl2br w:val="nil"/>
              <w:tr2bl w:val="nil"/>
            </w:tcBorders>
            <w:vAlign w:val="top"/>
          </w:tcPr>
          <w:p w14:paraId="1B62D7E5">
            <w:pPr>
              <w:spacing w:before="113"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44.4</w:t>
            </w:r>
          </w:p>
        </w:tc>
        <w:tc>
          <w:tcPr>
            <w:tcW w:w="820" w:type="dxa"/>
            <w:tcBorders>
              <w:tl2br w:val="nil"/>
              <w:tr2bl w:val="nil"/>
            </w:tcBorders>
            <w:vAlign w:val="top"/>
          </w:tcPr>
          <w:p w14:paraId="333F1E7A">
            <w:pPr>
              <w:spacing w:before="113" w:line="195" w:lineRule="auto"/>
              <w:ind w:left="236"/>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43.6</w:t>
            </w:r>
          </w:p>
        </w:tc>
        <w:tc>
          <w:tcPr>
            <w:tcW w:w="821" w:type="dxa"/>
            <w:tcBorders>
              <w:tl2br w:val="nil"/>
              <w:tr2bl w:val="nil"/>
            </w:tcBorders>
            <w:vAlign w:val="top"/>
          </w:tcPr>
          <w:p w14:paraId="29685086">
            <w:pPr>
              <w:spacing w:before="113"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42.9</w:t>
            </w:r>
          </w:p>
        </w:tc>
        <w:tc>
          <w:tcPr>
            <w:tcW w:w="821" w:type="dxa"/>
            <w:tcBorders>
              <w:tl2br w:val="nil"/>
              <w:tr2bl w:val="nil"/>
            </w:tcBorders>
            <w:vAlign w:val="top"/>
          </w:tcPr>
          <w:p w14:paraId="5B2840AF">
            <w:pPr>
              <w:spacing w:before="113" w:line="195" w:lineRule="auto"/>
              <w:ind w:left="239"/>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42.3</w:t>
            </w:r>
          </w:p>
        </w:tc>
        <w:tc>
          <w:tcPr>
            <w:tcW w:w="820" w:type="dxa"/>
            <w:tcBorders>
              <w:tl2br w:val="nil"/>
              <w:tr2bl w:val="nil"/>
            </w:tcBorders>
            <w:vAlign w:val="top"/>
          </w:tcPr>
          <w:p w14:paraId="5B35A969">
            <w:pPr>
              <w:spacing w:before="113" w:line="195" w:lineRule="auto"/>
              <w:ind w:left="241"/>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41.8</w:t>
            </w:r>
          </w:p>
        </w:tc>
        <w:tc>
          <w:tcPr>
            <w:tcW w:w="821" w:type="dxa"/>
            <w:tcBorders>
              <w:tl2br w:val="nil"/>
              <w:tr2bl w:val="nil"/>
            </w:tcBorders>
            <w:vAlign w:val="top"/>
          </w:tcPr>
          <w:p w14:paraId="2A0E09F5">
            <w:pPr>
              <w:spacing w:before="113" w:line="195" w:lineRule="auto"/>
              <w:ind w:left="24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41.0</w:t>
            </w:r>
          </w:p>
        </w:tc>
        <w:tc>
          <w:tcPr>
            <w:tcW w:w="820" w:type="dxa"/>
            <w:tcBorders>
              <w:tl2br w:val="nil"/>
              <w:tr2bl w:val="nil"/>
            </w:tcBorders>
            <w:vAlign w:val="top"/>
          </w:tcPr>
          <w:p w14:paraId="1A9C20A4">
            <w:pPr>
              <w:spacing w:before="113" w:line="195" w:lineRule="auto"/>
              <w:ind w:left="244"/>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3"/>
                <w:sz w:val="19"/>
                <w:szCs w:val="19"/>
                <w:u w:val="none" w:color="auto"/>
              </w:rPr>
              <w:t>40.2</w:t>
            </w:r>
          </w:p>
        </w:tc>
        <w:tc>
          <w:tcPr>
            <w:tcW w:w="821" w:type="dxa"/>
            <w:tcBorders>
              <w:tl2br w:val="nil"/>
              <w:tr2bl w:val="nil"/>
            </w:tcBorders>
            <w:vAlign w:val="top"/>
          </w:tcPr>
          <w:p w14:paraId="32348A28">
            <w:pPr>
              <w:spacing w:before="113" w:line="195" w:lineRule="auto"/>
              <w:ind w:left="250"/>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39.6</w:t>
            </w:r>
          </w:p>
        </w:tc>
        <w:tc>
          <w:tcPr>
            <w:tcW w:w="820" w:type="dxa"/>
            <w:tcBorders>
              <w:tl2br w:val="nil"/>
              <w:tr2bl w:val="nil"/>
            </w:tcBorders>
            <w:vAlign w:val="top"/>
          </w:tcPr>
          <w:p w14:paraId="53F50A45">
            <w:pPr>
              <w:spacing w:before="113" w:line="195" w:lineRule="auto"/>
              <w:ind w:left="252"/>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z w:val="19"/>
                <w:szCs w:val="19"/>
                <w:u w:val="none" w:color="auto"/>
              </w:rPr>
              <w:t>39.</w:t>
            </w:r>
            <w:r>
              <w:rPr>
                <w:rFonts w:ascii="Times New Roman" w:hAnsi="Times New Roman" w:eastAsia="Times New Roman" w:cs="Times New Roman"/>
                <w:color w:val="auto"/>
                <w:spacing w:val="-22"/>
                <w:sz w:val="19"/>
                <w:szCs w:val="19"/>
                <w:u w:val="none" w:color="auto"/>
              </w:rPr>
              <w:t xml:space="preserve"> </w:t>
            </w:r>
            <w:r>
              <w:rPr>
                <w:rFonts w:ascii="Times New Roman" w:hAnsi="Times New Roman" w:eastAsia="Times New Roman" w:cs="Times New Roman"/>
                <w:color w:val="auto"/>
                <w:sz w:val="19"/>
                <w:szCs w:val="19"/>
                <w:u w:val="none" w:color="auto"/>
              </w:rPr>
              <w:t>1</w:t>
            </w:r>
          </w:p>
        </w:tc>
        <w:tc>
          <w:tcPr>
            <w:tcW w:w="863" w:type="dxa"/>
            <w:tcBorders>
              <w:tl2br w:val="nil"/>
              <w:tr2bl w:val="nil"/>
            </w:tcBorders>
            <w:vAlign w:val="top"/>
          </w:tcPr>
          <w:p w14:paraId="15ABD608">
            <w:pPr>
              <w:spacing w:before="113" w:line="195" w:lineRule="auto"/>
              <w:ind w:left="267"/>
              <w:rPr>
                <w:rFonts w:ascii="Times New Roman" w:hAnsi="Times New Roman" w:eastAsia="Times New Roman" w:cs="Times New Roman"/>
                <w:color w:val="auto"/>
                <w:sz w:val="19"/>
                <w:szCs w:val="19"/>
                <w:u w:val="none" w:color="auto"/>
              </w:rPr>
            </w:pPr>
            <w:r>
              <w:rPr>
                <w:rFonts w:ascii="Times New Roman" w:hAnsi="Times New Roman" w:eastAsia="Times New Roman" w:cs="Times New Roman"/>
                <w:color w:val="auto"/>
                <w:spacing w:val="2"/>
                <w:sz w:val="19"/>
                <w:szCs w:val="19"/>
                <w:u w:val="none" w:color="auto"/>
              </w:rPr>
              <w:t>38.6</w:t>
            </w:r>
          </w:p>
        </w:tc>
      </w:tr>
    </w:tbl>
    <w:p w14:paraId="21337DCD">
      <w:pPr>
        <w:spacing w:before="115" w:line="360" w:lineRule="auto"/>
        <w:ind w:left="47" w:right="103" w:firstLine="480"/>
        <w:rPr>
          <w:rFonts w:ascii="宋体" w:hAnsi="宋体" w:eastAsia="宋体" w:cs="宋体"/>
          <w:color w:val="auto"/>
          <w:sz w:val="24"/>
          <w:szCs w:val="24"/>
          <w:u w:val="none" w:color="auto"/>
        </w:rPr>
      </w:pPr>
      <w:r>
        <w:rPr>
          <w:rFonts w:ascii="宋体" w:hAnsi="宋体" w:eastAsia="宋体" w:cs="宋体"/>
          <w:color w:val="auto"/>
          <w:sz w:val="24"/>
          <w:szCs w:val="24"/>
          <w:u w:val="none" w:color="auto"/>
        </w:rPr>
        <w:t>预测结果表明：拟建道路噪声预测点距离道路中心线越近，交通噪声越大，此外预测点噪</w:t>
      </w:r>
      <w:r>
        <w:rPr>
          <w:rFonts w:ascii="宋体" w:hAnsi="宋体" w:eastAsia="宋体" w:cs="宋体"/>
          <w:color w:val="auto"/>
          <w:spacing w:val="-1"/>
          <w:sz w:val="24"/>
          <w:szCs w:val="24"/>
          <w:u w:val="none" w:color="auto"/>
        </w:rPr>
        <w:t>声声级值的增加也随着运营期的增长、车流量的增加，交通噪声也随之增强。</w:t>
      </w:r>
    </w:p>
    <w:p w14:paraId="79B81996">
      <w:pPr>
        <w:adjustRightInd w:val="0"/>
        <w:snapToGrid w:val="0"/>
        <w:spacing w:line="360" w:lineRule="auto"/>
        <w:rPr>
          <w:rFonts w:ascii="宋体" w:hAnsi="宋体" w:eastAsia="宋体" w:cs="宋体"/>
          <w:color w:val="auto"/>
          <w:spacing w:val="-2"/>
          <w:sz w:val="24"/>
          <w:szCs w:val="24"/>
          <w:u w:val="none" w:color="auto"/>
        </w:rPr>
      </w:pPr>
      <w:r>
        <w:rPr>
          <w:rFonts w:ascii="宋体" w:hAnsi="宋体" w:eastAsia="宋体" w:cs="宋体"/>
          <w:color w:val="auto"/>
          <w:spacing w:val="-4"/>
          <w:sz w:val="24"/>
          <w:szCs w:val="24"/>
          <w:u w:val="none" w:color="auto"/>
        </w:rPr>
        <w:t>按照《声环境质量标准》（</w:t>
      </w:r>
      <w:r>
        <w:rPr>
          <w:rFonts w:ascii="Times New Roman" w:hAnsi="Times New Roman" w:eastAsia="Times New Roman" w:cs="Times New Roman"/>
          <w:color w:val="auto"/>
          <w:spacing w:val="-4"/>
          <w:sz w:val="24"/>
          <w:szCs w:val="24"/>
          <w:u w:val="none" w:color="auto"/>
        </w:rPr>
        <w:t>GB3096-2008</w:t>
      </w:r>
      <w:r>
        <w:rPr>
          <w:rFonts w:ascii="宋体" w:hAnsi="宋体" w:eastAsia="宋体" w:cs="宋体"/>
          <w:color w:val="auto"/>
          <w:spacing w:val="-4"/>
          <w:sz w:val="24"/>
          <w:szCs w:val="24"/>
          <w:u w:val="none" w:color="auto"/>
        </w:rPr>
        <w:t>）</w:t>
      </w:r>
      <w:r>
        <w:rPr>
          <w:rFonts w:ascii="Times New Roman" w:hAnsi="Times New Roman" w:eastAsia="Times New Roman" w:cs="Times New Roman"/>
          <w:color w:val="auto"/>
          <w:spacing w:val="-4"/>
          <w:sz w:val="24"/>
          <w:szCs w:val="24"/>
          <w:u w:val="none" w:color="auto"/>
        </w:rPr>
        <w:t>2</w:t>
      </w:r>
      <w:r>
        <w:rPr>
          <w:rFonts w:ascii="宋体" w:hAnsi="宋体" w:eastAsia="宋体" w:cs="宋体"/>
          <w:color w:val="auto"/>
          <w:spacing w:val="-4"/>
          <w:sz w:val="24"/>
          <w:szCs w:val="24"/>
          <w:u w:val="none" w:color="auto"/>
        </w:rPr>
        <w:t>类标准，项目运营近期、中期、远期昼间达标距离分别</w:t>
      </w:r>
      <w:r>
        <w:rPr>
          <w:rFonts w:ascii="宋体" w:hAnsi="宋体" w:eastAsia="宋体" w:cs="宋体"/>
          <w:color w:val="auto"/>
          <w:spacing w:val="-5"/>
          <w:sz w:val="24"/>
          <w:szCs w:val="24"/>
          <w:u w:val="none" w:color="auto"/>
        </w:rPr>
        <w:t>为距路中心线</w:t>
      </w:r>
      <w:r>
        <w:rPr>
          <w:rFonts w:ascii="Times New Roman" w:hAnsi="Times New Roman" w:eastAsia="Times New Roman" w:cs="Times New Roman"/>
          <w:color w:val="auto"/>
          <w:spacing w:val="-5"/>
          <w:sz w:val="24"/>
          <w:szCs w:val="24"/>
          <w:u w:val="none" w:color="auto"/>
        </w:rPr>
        <w:t>20m</w:t>
      </w:r>
      <w:r>
        <w:rPr>
          <w:rFonts w:ascii="宋体" w:hAnsi="宋体" w:eastAsia="宋体" w:cs="宋体"/>
          <w:color w:val="auto"/>
          <w:spacing w:val="-5"/>
          <w:sz w:val="24"/>
          <w:szCs w:val="24"/>
          <w:u w:val="none" w:color="auto"/>
        </w:rPr>
        <w:t>、</w:t>
      </w:r>
      <w:r>
        <w:rPr>
          <w:rFonts w:ascii="Times New Roman" w:hAnsi="Times New Roman" w:eastAsia="Times New Roman" w:cs="Times New Roman"/>
          <w:color w:val="auto"/>
          <w:spacing w:val="-5"/>
          <w:sz w:val="24"/>
          <w:szCs w:val="24"/>
          <w:u w:val="none" w:color="auto"/>
        </w:rPr>
        <w:t>20m</w:t>
      </w:r>
      <w:r>
        <w:rPr>
          <w:rFonts w:ascii="宋体" w:hAnsi="宋体" w:eastAsia="宋体" w:cs="宋体"/>
          <w:color w:val="auto"/>
          <w:spacing w:val="-5"/>
          <w:sz w:val="24"/>
          <w:szCs w:val="24"/>
          <w:u w:val="none" w:color="auto"/>
        </w:rPr>
        <w:t>、</w:t>
      </w:r>
      <w:r>
        <w:rPr>
          <w:rFonts w:ascii="Times New Roman" w:hAnsi="Times New Roman" w:eastAsia="Times New Roman" w:cs="Times New Roman"/>
          <w:color w:val="auto"/>
          <w:spacing w:val="-5"/>
          <w:sz w:val="24"/>
          <w:szCs w:val="24"/>
          <w:u w:val="none" w:color="auto"/>
        </w:rPr>
        <w:t>20m</w:t>
      </w:r>
      <w:r>
        <w:rPr>
          <w:rFonts w:ascii="宋体" w:hAnsi="宋体" w:eastAsia="宋体" w:cs="宋体"/>
          <w:color w:val="auto"/>
          <w:spacing w:val="-5"/>
          <w:sz w:val="24"/>
          <w:szCs w:val="24"/>
          <w:u w:val="none" w:color="auto"/>
        </w:rPr>
        <w:t>，</w:t>
      </w:r>
      <w:r>
        <w:rPr>
          <w:rFonts w:ascii="宋体" w:hAnsi="宋体" w:eastAsia="宋体" w:cs="宋体"/>
          <w:color w:val="auto"/>
          <w:spacing w:val="-2"/>
          <w:sz w:val="24"/>
          <w:szCs w:val="24"/>
          <w:u w:val="none" w:color="auto"/>
        </w:rPr>
        <w:t>运营近期、中期、远期夜间达标距离分别为距道路中心线</w:t>
      </w:r>
      <w:r>
        <w:rPr>
          <w:rFonts w:ascii="Times New Roman" w:hAnsi="Times New Roman" w:eastAsia="Times New Roman" w:cs="Times New Roman"/>
          <w:color w:val="auto"/>
          <w:spacing w:val="-2"/>
          <w:sz w:val="24"/>
          <w:szCs w:val="24"/>
          <w:u w:val="none" w:color="auto"/>
        </w:rPr>
        <w:t>20m</w:t>
      </w:r>
      <w:r>
        <w:rPr>
          <w:rFonts w:ascii="Times New Roman" w:hAnsi="Times New Roman" w:eastAsia="Times New Roman" w:cs="Times New Roman"/>
          <w:color w:val="auto"/>
          <w:spacing w:val="-25"/>
          <w:sz w:val="24"/>
          <w:szCs w:val="24"/>
          <w:u w:val="none" w:color="auto"/>
        </w:rPr>
        <w:t xml:space="preserve"> </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30m</w:t>
      </w:r>
      <w:r>
        <w:rPr>
          <w:rFonts w:ascii="Times New Roman" w:hAnsi="Times New Roman" w:eastAsia="Times New Roman" w:cs="Times New Roman"/>
          <w:color w:val="auto"/>
          <w:spacing w:val="-33"/>
          <w:sz w:val="24"/>
          <w:szCs w:val="24"/>
          <w:u w:val="none" w:color="auto"/>
        </w:rPr>
        <w:t xml:space="preserve"> </w:t>
      </w: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30m</w:t>
      </w:r>
      <w:r>
        <w:rPr>
          <w:rFonts w:ascii="宋体" w:hAnsi="宋体" w:eastAsia="宋体" w:cs="宋体"/>
          <w:color w:val="auto"/>
          <w:spacing w:val="-2"/>
          <w:sz w:val="24"/>
          <w:szCs w:val="24"/>
          <w:u w:val="none" w:color="auto"/>
        </w:rPr>
        <w:t>。</w:t>
      </w:r>
    </w:p>
    <w:p w14:paraId="29A800B1">
      <w:pPr>
        <w:keepNext w:val="0"/>
        <w:keepLines w:val="0"/>
        <w:pageBreakBefore w:val="0"/>
        <w:widowControl w:val="0"/>
        <w:kinsoku/>
        <w:wordWrap/>
        <w:overflowPunct/>
        <w:topLinePunct w:val="0"/>
        <w:autoSpaceDE/>
        <w:autoSpaceDN/>
        <w:bidi w:val="0"/>
        <w:adjustRightInd w:val="0"/>
        <w:snapToGrid w:val="0"/>
        <w:spacing w:line="240" w:lineRule="auto"/>
        <w:ind w:right="0" w:firstLine="426" w:firstLineChars="200"/>
        <w:jc w:val="center"/>
        <w:textAlignment w:val="auto"/>
        <w:rPr>
          <w:rFonts w:ascii="宋体" w:hAnsi="宋体" w:eastAsia="宋体" w:cs="宋体"/>
          <w:b/>
          <w:bCs/>
          <w:color w:val="auto"/>
          <w:spacing w:val="6"/>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38"/>
          <w:sz w:val="20"/>
          <w:szCs w:val="20"/>
          <w:u w:val="none" w:color="auto"/>
        </w:rPr>
        <w:t xml:space="preserve"> </w:t>
      </w:r>
      <w:r>
        <w:rPr>
          <w:rFonts w:ascii="Times New Roman" w:hAnsi="Times New Roman" w:eastAsia="Times New Roman" w:cs="Times New Roman"/>
          <w:b/>
          <w:bCs/>
          <w:color w:val="auto"/>
          <w:spacing w:val="6"/>
          <w:sz w:val="20"/>
          <w:szCs w:val="20"/>
          <w:u w:val="none" w:color="auto"/>
        </w:rPr>
        <w:t xml:space="preserve">4-16    </w:t>
      </w:r>
      <w:r>
        <w:rPr>
          <w:rFonts w:hint="eastAsia" w:ascii="宋体" w:hAnsi="宋体" w:eastAsia="宋体" w:cs="宋体"/>
          <w:b/>
          <w:bCs/>
          <w:color w:val="auto"/>
          <w:spacing w:val="7"/>
          <w:sz w:val="20"/>
          <w:szCs w:val="20"/>
          <w:u w:val="none" w:color="auto"/>
          <w:lang w:val="en-US" w:eastAsia="zh-CN"/>
        </w:rPr>
        <w:t>团胜路</w:t>
      </w:r>
      <w:r>
        <w:rPr>
          <w:rFonts w:ascii="宋体" w:hAnsi="宋体" w:eastAsia="宋体" w:cs="宋体"/>
          <w:b/>
          <w:bCs/>
          <w:color w:val="auto"/>
          <w:spacing w:val="6"/>
          <w:sz w:val="20"/>
          <w:szCs w:val="20"/>
          <w:u w:val="none" w:color="auto"/>
        </w:rPr>
        <w:t>运营期昼夜间达标距离</w:t>
      </w:r>
    </w:p>
    <w:tbl>
      <w:tblPr>
        <w:tblStyle w:val="72"/>
        <w:tblW w:w="13383"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339"/>
        <w:gridCol w:w="2482"/>
        <w:gridCol w:w="3107"/>
        <w:gridCol w:w="4455"/>
      </w:tblGrid>
      <w:tr w14:paraId="776879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339" w:type="dxa"/>
            <w:vMerge w:val="restart"/>
            <w:tcBorders>
              <w:tl2br w:val="nil"/>
              <w:tr2bl w:val="nil"/>
            </w:tcBorders>
            <w:vAlign w:val="center"/>
          </w:tcPr>
          <w:p w14:paraId="6B7B6360">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3"/>
                <w:sz w:val="20"/>
                <w:szCs w:val="20"/>
                <w:u w:val="none" w:color="auto"/>
              </w:rPr>
              <w:t>路段</w:t>
            </w:r>
          </w:p>
        </w:tc>
        <w:tc>
          <w:tcPr>
            <w:tcW w:w="2482" w:type="dxa"/>
            <w:vMerge w:val="restart"/>
            <w:tcBorders>
              <w:tl2br w:val="nil"/>
              <w:tr2bl w:val="nil"/>
            </w:tcBorders>
            <w:vAlign w:val="center"/>
          </w:tcPr>
          <w:p w14:paraId="7BA4F582">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4"/>
                <w:sz w:val="20"/>
                <w:szCs w:val="20"/>
                <w:u w:val="none" w:color="auto"/>
              </w:rPr>
              <w:t>年份</w:t>
            </w:r>
          </w:p>
        </w:tc>
        <w:tc>
          <w:tcPr>
            <w:tcW w:w="3107" w:type="dxa"/>
            <w:vMerge w:val="restart"/>
            <w:tcBorders>
              <w:tl2br w:val="nil"/>
              <w:tr2bl w:val="nil"/>
            </w:tcBorders>
            <w:vAlign w:val="center"/>
          </w:tcPr>
          <w:p w14:paraId="0AA8F7E4">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1"/>
                <w:sz w:val="20"/>
                <w:szCs w:val="20"/>
                <w:u w:val="none" w:color="auto"/>
              </w:rPr>
              <w:t>时段</w:t>
            </w:r>
          </w:p>
        </w:tc>
        <w:tc>
          <w:tcPr>
            <w:tcW w:w="4455" w:type="dxa"/>
            <w:tcBorders>
              <w:tl2br w:val="nil"/>
              <w:tr2bl w:val="nil"/>
            </w:tcBorders>
            <w:vAlign w:val="center"/>
          </w:tcPr>
          <w:p w14:paraId="6884FD39">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color w:val="auto"/>
                <w:spacing w:val="8"/>
                <w:sz w:val="20"/>
                <w:szCs w:val="20"/>
                <w:u w:val="none" w:color="auto"/>
              </w:rPr>
              <w:t>道路中心线达标距离</w:t>
            </w:r>
            <w:r>
              <w:rPr>
                <w:color w:val="auto"/>
                <w:spacing w:val="-40"/>
                <w:sz w:val="20"/>
                <w:szCs w:val="20"/>
                <w:u w:val="none" w:color="auto"/>
              </w:rPr>
              <w:t xml:space="preserve"> </w:t>
            </w:r>
            <w:r>
              <w:rPr>
                <w:rFonts w:ascii="Times New Roman" w:hAnsi="Times New Roman" w:eastAsia="Times New Roman" w:cs="Times New Roman"/>
                <w:color w:val="auto"/>
                <w:spacing w:val="8"/>
                <w:sz w:val="20"/>
                <w:szCs w:val="20"/>
                <w:u w:val="none" w:color="auto"/>
              </w:rPr>
              <w:t>m</w:t>
            </w:r>
          </w:p>
        </w:tc>
      </w:tr>
      <w:tr w14:paraId="17FEA8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continue"/>
            <w:tcBorders>
              <w:tl2br w:val="nil"/>
              <w:tr2bl w:val="nil"/>
            </w:tcBorders>
            <w:vAlign w:val="center"/>
          </w:tcPr>
          <w:p w14:paraId="59A4285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continue"/>
            <w:tcBorders>
              <w:tl2br w:val="nil"/>
              <w:tr2bl w:val="nil"/>
            </w:tcBorders>
            <w:vAlign w:val="center"/>
          </w:tcPr>
          <w:p w14:paraId="336573A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3107" w:type="dxa"/>
            <w:vMerge w:val="continue"/>
            <w:tcBorders>
              <w:tl2br w:val="nil"/>
              <w:tr2bl w:val="nil"/>
            </w:tcBorders>
            <w:vAlign w:val="center"/>
          </w:tcPr>
          <w:p w14:paraId="016067A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4455" w:type="dxa"/>
            <w:tcBorders>
              <w:tl2br w:val="nil"/>
              <w:tr2bl w:val="nil"/>
            </w:tcBorders>
            <w:vAlign w:val="center"/>
          </w:tcPr>
          <w:p w14:paraId="6AFD8007">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rFonts w:ascii="Times New Roman" w:hAnsi="Times New Roman" w:eastAsia="Times New Roman" w:cs="Times New Roman"/>
                <w:color w:val="auto"/>
                <w:spacing w:val="5"/>
                <w:sz w:val="20"/>
                <w:szCs w:val="20"/>
                <w:u w:val="none" w:color="auto"/>
              </w:rPr>
              <w:t>2</w:t>
            </w:r>
            <w:r>
              <w:rPr>
                <w:rFonts w:ascii="Times New Roman" w:hAnsi="Times New Roman" w:eastAsia="Times New Roman" w:cs="Times New Roman"/>
                <w:color w:val="auto"/>
                <w:spacing w:val="9"/>
                <w:sz w:val="20"/>
                <w:szCs w:val="20"/>
                <w:u w:val="none" w:color="auto"/>
              </w:rPr>
              <w:t xml:space="preserve"> </w:t>
            </w:r>
            <w:r>
              <w:rPr>
                <w:color w:val="auto"/>
                <w:spacing w:val="5"/>
                <w:sz w:val="20"/>
                <w:szCs w:val="20"/>
                <w:u w:val="none" w:color="auto"/>
              </w:rPr>
              <w:t>类标准</w:t>
            </w:r>
          </w:p>
        </w:tc>
      </w:tr>
      <w:tr w14:paraId="4ACF0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restart"/>
            <w:tcBorders>
              <w:tl2br w:val="nil"/>
              <w:tr2bl w:val="nil"/>
            </w:tcBorders>
            <w:vAlign w:val="center"/>
          </w:tcPr>
          <w:p w14:paraId="4E0DDC1F">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eastAsia="宋体"/>
                <w:color w:val="auto"/>
                <w:sz w:val="20"/>
                <w:szCs w:val="20"/>
                <w:u w:val="none" w:color="auto"/>
                <w:lang w:eastAsia="zh-CN"/>
              </w:rPr>
            </w:pPr>
            <w:r>
              <w:rPr>
                <w:rFonts w:hint="eastAsia"/>
                <w:color w:val="auto"/>
                <w:spacing w:val="8"/>
                <w:sz w:val="20"/>
                <w:szCs w:val="20"/>
                <w:u w:val="none" w:color="auto"/>
                <w:lang w:val="en-US" w:eastAsia="zh-CN"/>
              </w:rPr>
              <w:t>团胜路</w:t>
            </w:r>
          </w:p>
        </w:tc>
        <w:tc>
          <w:tcPr>
            <w:tcW w:w="2482" w:type="dxa"/>
            <w:vMerge w:val="restart"/>
            <w:tcBorders>
              <w:tl2br w:val="nil"/>
              <w:tr2bl w:val="nil"/>
            </w:tcBorders>
            <w:vAlign w:val="center"/>
          </w:tcPr>
          <w:p w14:paraId="2BB1DD1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2026</w:t>
            </w:r>
          </w:p>
        </w:tc>
        <w:tc>
          <w:tcPr>
            <w:tcW w:w="3107" w:type="dxa"/>
            <w:tcBorders>
              <w:tl2br w:val="nil"/>
              <w:tr2bl w:val="nil"/>
            </w:tcBorders>
            <w:vAlign w:val="center"/>
          </w:tcPr>
          <w:p w14:paraId="7D33CFEE">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5"/>
                <w:sz w:val="20"/>
                <w:szCs w:val="20"/>
                <w:u w:val="none" w:color="auto"/>
              </w:rPr>
              <w:t>昼间</w:t>
            </w:r>
          </w:p>
        </w:tc>
        <w:tc>
          <w:tcPr>
            <w:tcW w:w="4455" w:type="dxa"/>
            <w:tcBorders>
              <w:tl2br w:val="nil"/>
              <w:tr2bl w:val="nil"/>
            </w:tcBorders>
            <w:vAlign w:val="center"/>
          </w:tcPr>
          <w:p w14:paraId="5F8841B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r>
      <w:tr w14:paraId="2DD11C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continue"/>
            <w:tcBorders>
              <w:tl2br w:val="nil"/>
              <w:tr2bl w:val="nil"/>
            </w:tcBorders>
            <w:vAlign w:val="center"/>
          </w:tcPr>
          <w:p w14:paraId="50067AA6">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continue"/>
            <w:tcBorders>
              <w:tl2br w:val="nil"/>
              <w:tr2bl w:val="nil"/>
            </w:tcBorders>
            <w:vAlign w:val="center"/>
          </w:tcPr>
          <w:p w14:paraId="6A6E1D7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3107" w:type="dxa"/>
            <w:tcBorders>
              <w:tl2br w:val="nil"/>
              <w:tr2bl w:val="nil"/>
            </w:tcBorders>
            <w:vAlign w:val="center"/>
          </w:tcPr>
          <w:p w14:paraId="6D522CE6">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3"/>
                <w:sz w:val="20"/>
                <w:szCs w:val="20"/>
                <w:u w:val="none" w:color="auto"/>
              </w:rPr>
              <w:t>夜间</w:t>
            </w:r>
          </w:p>
        </w:tc>
        <w:tc>
          <w:tcPr>
            <w:tcW w:w="4455" w:type="dxa"/>
            <w:tcBorders>
              <w:tl2br w:val="nil"/>
              <w:tr2bl w:val="nil"/>
            </w:tcBorders>
            <w:vAlign w:val="center"/>
          </w:tcPr>
          <w:p w14:paraId="61917FE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r>
      <w:tr w14:paraId="4030F7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continue"/>
            <w:tcBorders>
              <w:tl2br w:val="nil"/>
              <w:tr2bl w:val="nil"/>
            </w:tcBorders>
            <w:vAlign w:val="center"/>
          </w:tcPr>
          <w:p w14:paraId="71807EE8">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restart"/>
            <w:tcBorders>
              <w:tl2br w:val="nil"/>
              <w:tr2bl w:val="nil"/>
            </w:tcBorders>
            <w:vAlign w:val="center"/>
          </w:tcPr>
          <w:p w14:paraId="47B2585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2032</w:t>
            </w:r>
          </w:p>
        </w:tc>
        <w:tc>
          <w:tcPr>
            <w:tcW w:w="3107" w:type="dxa"/>
            <w:tcBorders>
              <w:tl2br w:val="nil"/>
              <w:tr2bl w:val="nil"/>
            </w:tcBorders>
            <w:vAlign w:val="center"/>
          </w:tcPr>
          <w:p w14:paraId="6E8F3D8B">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5"/>
                <w:sz w:val="20"/>
                <w:szCs w:val="20"/>
                <w:u w:val="none" w:color="auto"/>
              </w:rPr>
              <w:t>昼间</w:t>
            </w:r>
          </w:p>
        </w:tc>
        <w:tc>
          <w:tcPr>
            <w:tcW w:w="4455" w:type="dxa"/>
            <w:tcBorders>
              <w:tl2br w:val="nil"/>
              <w:tr2bl w:val="nil"/>
            </w:tcBorders>
            <w:vAlign w:val="center"/>
          </w:tcPr>
          <w:p w14:paraId="5FF9EAD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r>
      <w:tr w14:paraId="5FD45D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continue"/>
            <w:tcBorders>
              <w:tl2br w:val="nil"/>
              <w:tr2bl w:val="nil"/>
            </w:tcBorders>
            <w:vAlign w:val="center"/>
          </w:tcPr>
          <w:p w14:paraId="167FF16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continue"/>
            <w:tcBorders>
              <w:tl2br w:val="nil"/>
              <w:tr2bl w:val="nil"/>
            </w:tcBorders>
            <w:vAlign w:val="center"/>
          </w:tcPr>
          <w:p w14:paraId="0782373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3107" w:type="dxa"/>
            <w:tcBorders>
              <w:tl2br w:val="nil"/>
              <w:tr2bl w:val="nil"/>
            </w:tcBorders>
            <w:vAlign w:val="center"/>
          </w:tcPr>
          <w:p w14:paraId="13D3E24B">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3"/>
                <w:sz w:val="20"/>
                <w:szCs w:val="20"/>
                <w:u w:val="none" w:color="auto"/>
              </w:rPr>
              <w:t>夜间</w:t>
            </w:r>
          </w:p>
        </w:tc>
        <w:tc>
          <w:tcPr>
            <w:tcW w:w="4455" w:type="dxa"/>
            <w:tcBorders>
              <w:tl2br w:val="nil"/>
              <w:tr2bl w:val="nil"/>
            </w:tcBorders>
            <w:vAlign w:val="center"/>
          </w:tcPr>
          <w:p w14:paraId="3F4F3AA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30</w:t>
            </w:r>
          </w:p>
        </w:tc>
      </w:tr>
      <w:tr w14:paraId="037773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339" w:type="dxa"/>
            <w:vMerge w:val="continue"/>
            <w:tcBorders>
              <w:tl2br w:val="nil"/>
              <w:tr2bl w:val="nil"/>
            </w:tcBorders>
            <w:vAlign w:val="center"/>
          </w:tcPr>
          <w:p w14:paraId="048B108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restart"/>
            <w:tcBorders>
              <w:tl2br w:val="nil"/>
              <w:tr2bl w:val="nil"/>
            </w:tcBorders>
            <w:vAlign w:val="center"/>
          </w:tcPr>
          <w:p w14:paraId="6C2A5C2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2040</w:t>
            </w:r>
          </w:p>
        </w:tc>
        <w:tc>
          <w:tcPr>
            <w:tcW w:w="3107" w:type="dxa"/>
            <w:tcBorders>
              <w:tl2br w:val="nil"/>
              <w:tr2bl w:val="nil"/>
            </w:tcBorders>
            <w:vAlign w:val="center"/>
          </w:tcPr>
          <w:p w14:paraId="73154256">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5"/>
                <w:sz w:val="20"/>
                <w:szCs w:val="20"/>
                <w:u w:val="none" w:color="auto"/>
              </w:rPr>
              <w:t>昼间</w:t>
            </w:r>
          </w:p>
        </w:tc>
        <w:tc>
          <w:tcPr>
            <w:tcW w:w="4455" w:type="dxa"/>
            <w:tcBorders>
              <w:tl2br w:val="nil"/>
              <w:tr2bl w:val="nil"/>
            </w:tcBorders>
            <w:vAlign w:val="center"/>
          </w:tcPr>
          <w:p w14:paraId="0275871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20</w:t>
            </w:r>
          </w:p>
        </w:tc>
      </w:tr>
      <w:tr w14:paraId="760ED1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3339" w:type="dxa"/>
            <w:vMerge w:val="continue"/>
            <w:tcBorders>
              <w:tl2br w:val="nil"/>
              <w:tr2bl w:val="nil"/>
            </w:tcBorders>
            <w:vAlign w:val="center"/>
          </w:tcPr>
          <w:p w14:paraId="1A00A94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2482" w:type="dxa"/>
            <w:vMerge w:val="continue"/>
            <w:tcBorders>
              <w:tl2br w:val="nil"/>
              <w:tr2bl w:val="nil"/>
            </w:tcBorders>
            <w:vAlign w:val="center"/>
          </w:tcPr>
          <w:p w14:paraId="7F03E5D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Arial"/>
                <w:color w:val="auto"/>
                <w:sz w:val="21"/>
                <w:u w:val="none" w:color="auto"/>
              </w:rPr>
            </w:pPr>
          </w:p>
        </w:tc>
        <w:tc>
          <w:tcPr>
            <w:tcW w:w="3107" w:type="dxa"/>
            <w:tcBorders>
              <w:tl2br w:val="nil"/>
              <w:tr2bl w:val="nil"/>
            </w:tcBorders>
            <w:vAlign w:val="center"/>
          </w:tcPr>
          <w:p w14:paraId="1BD5655B">
            <w:pPr>
              <w:pStyle w:val="81"/>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0"/>
                <w:szCs w:val="20"/>
                <w:u w:val="none" w:color="auto"/>
              </w:rPr>
            </w:pPr>
            <w:r>
              <w:rPr>
                <w:color w:val="auto"/>
                <w:spacing w:val="3"/>
                <w:sz w:val="20"/>
                <w:szCs w:val="20"/>
                <w:u w:val="none" w:color="auto"/>
              </w:rPr>
              <w:t>夜间</w:t>
            </w:r>
          </w:p>
        </w:tc>
        <w:tc>
          <w:tcPr>
            <w:tcW w:w="4455" w:type="dxa"/>
            <w:tcBorders>
              <w:tl2br w:val="nil"/>
              <w:tr2bl w:val="nil"/>
            </w:tcBorders>
            <w:vAlign w:val="center"/>
          </w:tcPr>
          <w:p w14:paraId="52B9FBD0">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30</w:t>
            </w:r>
          </w:p>
        </w:tc>
      </w:tr>
    </w:tbl>
    <w:p w14:paraId="6F63E65F">
      <w:pPr>
        <w:spacing w:before="78" w:line="218" w:lineRule="auto"/>
        <w:ind w:left="24"/>
        <w:rPr>
          <w:rFonts w:ascii="宋体" w:hAnsi="宋体" w:eastAsia="宋体" w:cs="宋体"/>
          <w:color w:val="auto"/>
          <w:sz w:val="24"/>
          <w:szCs w:val="24"/>
          <w:u w:val="none" w:color="auto"/>
        </w:rPr>
      </w:pPr>
      <w:r>
        <w:rPr>
          <w:rFonts w:hint="eastAsia" w:eastAsia="宋体" w:cs="Times New Roman"/>
          <w:b/>
          <w:bCs/>
          <w:color w:val="auto"/>
          <w:spacing w:val="-2"/>
          <w:sz w:val="24"/>
          <w:szCs w:val="24"/>
          <w:u w:val="none" w:color="auto"/>
          <w:lang w:val="en-US" w:eastAsia="zh-CN"/>
        </w:rPr>
        <w:t>2）</w:t>
      </w:r>
      <w:r>
        <w:rPr>
          <w:rFonts w:ascii="宋体" w:hAnsi="宋体" w:eastAsia="宋体" w:cs="宋体"/>
          <w:b/>
          <w:bCs/>
          <w:color w:val="auto"/>
          <w:spacing w:val="-2"/>
          <w:sz w:val="24"/>
          <w:szCs w:val="24"/>
          <w:u w:val="none" w:color="auto"/>
        </w:rPr>
        <w:t>敏感点噪声预测与评价</w:t>
      </w:r>
    </w:p>
    <w:p w14:paraId="42E45E77">
      <w:pPr>
        <w:spacing w:before="184" w:line="360" w:lineRule="auto"/>
        <w:ind w:left="30" w:right="61" w:firstLine="478"/>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本项目沿线的声环境敏感点主要为居民点，敏感点环境噪声</w:t>
      </w:r>
      <w:r>
        <w:rPr>
          <w:rFonts w:ascii="宋体" w:hAnsi="宋体" w:eastAsia="宋体" w:cs="宋体"/>
          <w:color w:val="auto"/>
          <w:sz w:val="24"/>
          <w:szCs w:val="24"/>
          <w:u w:val="none" w:color="auto"/>
        </w:rPr>
        <w:t>预测应考虑其所处的路段及所对应的地面覆盖状况、道路结构、路堤或路堑高度、道路有限长声源、地形地物等因素修正，由交通噪声预测值</w:t>
      </w:r>
      <w:r>
        <w:rPr>
          <w:rFonts w:ascii="宋体" w:hAnsi="宋体" w:eastAsia="宋体" w:cs="宋体"/>
          <w:color w:val="auto"/>
          <w:spacing w:val="-1"/>
          <w:sz w:val="24"/>
          <w:szCs w:val="24"/>
          <w:u w:val="none" w:color="auto"/>
        </w:rPr>
        <w:t>叠加相应的声环境背景值得到。</w:t>
      </w:r>
    </w:p>
    <w:p w14:paraId="663CE501">
      <w:pPr>
        <w:spacing w:line="336" w:lineRule="auto"/>
        <w:ind w:left="31" w:firstLine="477"/>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本项目沿线各声环境敏感点背景值确定情况见表</w:t>
      </w:r>
      <w:r>
        <w:rPr>
          <w:rFonts w:ascii="Times New Roman" w:hAnsi="Times New Roman" w:eastAsia="Times New Roman" w:cs="Times New Roman"/>
          <w:color w:val="auto"/>
          <w:spacing w:val="-2"/>
          <w:sz w:val="24"/>
          <w:szCs w:val="24"/>
          <w:u w:val="none" w:color="auto"/>
        </w:rPr>
        <w:t>4-14</w:t>
      </w:r>
      <w:r>
        <w:rPr>
          <w:rFonts w:ascii="Times New Roman" w:hAnsi="Times New Roman" w:eastAsia="Times New Roman" w:cs="Times New Roman"/>
          <w:color w:val="auto"/>
          <w:spacing w:val="-31"/>
          <w:sz w:val="24"/>
          <w:szCs w:val="24"/>
          <w:u w:val="none" w:color="auto"/>
        </w:rPr>
        <w:t xml:space="preserve"> </w:t>
      </w:r>
      <w:r>
        <w:rPr>
          <w:rFonts w:ascii="宋体" w:hAnsi="宋体" w:eastAsia="宋体" w:cs="宋体"/>
          <w:color w:val="auto"/>
          <w:spacing w:val="-2"/>
          <w:sz w:val="24"/>
          <w:szCs w:val="24"/>
          <w:u w:val="none" w:color="auto"/>
        </w:rPr>
        <w:t>，选取声环境现状监测值中的最大值。敏感点预测位置及修正参数见表</w:t>
      </w:r>
      <w:r>
        <w:rPr>
          <w:rFonts w:ascii="Times New Roman" w:hAnsi="Times New Roman" w:eastAsia="Times New Roman" w:cs="Times New Roman"/>
          <w:color w:val="auto"/>
          <w:spacing w:val="-2"/>
          <w:sz w:val="24"/>
          <w:szCs w:val="24"/>
          <w:u w:val="none" w:color="auto"/>
        </w:rPr>
        <w:t>4-17</w:t>
      </w:r>
      <w:r>
        <w:rPr>
          <w:rFonts w:ascii="宋体" w:hAnsi="宋体" w:eastAsia="宋体" w:cs="宋体"/>
          <w:color w:val="auto"/>
          <w:spacing w:val="-2"/>
          <w:sz w:val="24"/>
          <w:szCs w:val="24"/>
          <w:u w:val="none" w:color="auto"/>
        </w:rPr>
        <w:t>，</w:t>
      </w:r>
      <w:r>
        <w:rPr>
          <w:rFonts w:ascii="宋体" w:hAnsi="宋体" w:eastAsia="宋体" w:cs="宋体"/>
          <w:color w:val="auto"/>
          <w:spacing w:val="-1"/>
          <w:sz w:val="24"/>
          <w:szCs w:val="24"/>
          <w:u w:val="none" w:color="auto"/>
        </w:rPr>
        <w:t>项目沿线声环境敏感点交通噪声预测结果见表</w:t>
      </w:r>
      <w:r>
        <w:rPr>
          <w:rFonts w:ascii="Times New Roman" w:hAnsi="Times New Roman" w:eastAsia="Times New Roman" w:cs="Times New Roman"/>
          <w:color w:val="auto"/>
          <w:spacing w:val="-1"/>
          <w:sz w:val="24"/>
          <w:szCs w:val="24"/>
          <w:u w:val="none" w:color="auto"/>
        </w:rPr>
        <w:t>4-18</w:t>
      </w:r>
      <w:r>
        <w:rPr>
          <w:rFonts w:ascii="宋体" w:hAnsi="宋体" w:eastAsia="宋体" w:cs="宋体"/>
          <w:color w:val="auto"/>
          <w:spacing w:val="-1"/>
          <w:sz w:val="24"/>
          <w:szCs w:val="24"/>
          <w:u w:val="none" w:color="auto"/>
        </w:rPr>
        <w:t>。</w:t>
      </w:r>
    </w:p>
    <w:p w14:paraId="3248B485">
      <w:pPr>
        <w:spacing w:line="227" w:lineRule="auto"/>
        <w:ind w:left="5310"/>
        <w:rPr>
          <w:rFonts w:ascii="宋体" w:hAnsi="宋体" w:eastAsia="宋体" w:cs="宋体"/>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40"/>
          <w:sz w:val="20"/>
          <w:szCs w:val="20"/>
          <w:u w:val="none" w:color="auto"/>
        </w:rPr>
        <w:t xml:space="preserve"> </w:t>
      </w:r>
      <w:r>
        <w:rPr>
          <w:rFonts w:ascii="Times New Roman" w:hAnsi="Times New Roman" w:eastAsia="Times New Roman" w:cs="Times New Roman"/>
          <w:b/>
          <w:bCs/>
          <w:color w:val="auto"/>
          <w:spacing w:val="6"/>
          <w:sz w:val="20"/>
          <w:szCs w:val="20"/>
          <w:u w:val="none" w:color="auto"/>
        </w:rPr>
        <w:t xml:space="preserve">4-17    </w:t>
      </w:r>
      <w:r>
        <w:rPr>
          <w:rFonts w:ascii="宋体" w:hAnsi="宋体" w:eastAsia="宋体" w:cs="宋体"/>
          <w:b/>
          <w:bCs/>
          <w:color w:val="auto"/>
          <w:spacing w:val="6"/>
          <w:sz w:val="20"/>
          <w:szCs w:val="20"/>
          <w:u w:val="none" w:color="auto"/>
        </w:rPr>
        <w:t>敏感点预测位置及修正</w:t>
      </w:r>
      <w:r>
        <w:rPr>
          <w:rFonts w:ascii="宋体" w:hAnsi="宋体" w:eastAsia="宋体" w:cs="宋体"/>
          <w:b/>
          <w:bCs/>
          <w:color w:val="auto"/>
          <w:spacing w:val="5"/>
          <w:sz w:val="20"/>
          <w:szCs w:val="20"/>
          <w:u w:val="none" w:color="auto"/>
        </w:rPr>
        <w:t>参数</w:t>
      </w:r>
    </w:p>
    <w:p w14:paraId="5CA0E1DD">
      <w:pPr>
        <w:spacing w:line="14" w:lineRule="exact"/>
        <w:rPr>
          <w:color w:val="auto"/>
          <w:u w:val="none" w:color="auto"/>
        </w:rPr>
      </w:pPr>
    </w:p>
    <w:tbl>
      <w:tblPr>
        <w:tblStyle w:val="72"/>
        <w:tblW w:w="13968"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96"/>
        <w:gridCol w:w="1823"/>
        <w:gridCol w:w="883"/>
        <w:gridCol w:w="1771"/>
        <w:gridCol w:w="1329"/>
        <w:gridCol w:w="734"/>
        <w:gridCol w:w="1239"/>
        <w:gridCol w:w="1361"/>
        <w:gridCol w:w="1361"/>
        <w:gridCol w:w="1361"/>
        <w:gridCol w:w="1410"/>
      </w:tblGrid>
      <w:tr w14:paraId="77D90F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96" w:type="dxa"/>
            <w:tcBorders>
              <w:tl2br w:val="nil"/>
              <w:tr2bl w:val="nil"/>
            </w:tcBorders>
            <w:vAlign w:val="top"/>
          </w:tcPr>
          <w:p w14:paraId="38DC2A89">
            <w:pPr>
              <w:pStyle w:val="81"/>
              <w:spacing w:before="211" w:line="229" w:lineRule="auto"/>
              <w:ind w:left="127"/>
              <w:rPr>
                <w:color w:val="auto"/>
                <w:sz w:val="20"/>
                <w:szCs w:val="20"/>
                <w:u w:val="none" w:color="auto"/>
              </w:rPr>
            </w:pPr>
            <w:r>
              <w:rPr>
                <w:color w:val="auto"/>
                <w:spacing w:val="5"/>
                <w:sz w:val="20"/>
                <w:szCs w:val="20"/>
                <w:u w:val="none" w:color="auto"/>
              </w:rPr>
              <w:t>序号</w:t>
            </w:r>
          </w:p>
        </w:tc>
        <w:tc>
          <w:tcPr>
            <w:tcW w:w="1823" w:type="dxa"/>
            <w:tcBorders>
              <w:tl2br w:val="nil"/>
              <w:tr2bl w:val="nil"/>
            </w:tcBorders>
            <w:vAlign w:val="top"/>
          </w:tcPr>
          <w:p w14:paraId="65F41A4F">
            <w:pPr>
              <w:pStyle w:val="81"/>
              <w:spacing w:before="211" w:line="228" w:lineRule="auto"/>
              <w:ind w:left="384"/>
              <w:rPr>
                <w:color w:val="auto"/>
                <w:sz w:val="20"/>
                <w:szCs w:val="20"/>
                <w:u w:val="none" w:color="auto"/>
              </w:rPr>
            </w:pPr>
            <w:r>
              <w:rPr>
                <w:color w:val="auto"/>
                <w:spacing w:val="7"/>
                <w:sz w:val="20"/>
                <w:szCs w:val="20"/>
                <w:u w:val="none" w:color="auto"/>
              </w:rPr>
              <w:t>敏感点名称</w:t>
            </w:r>
          </w:p>
        </w:tc>
        <w:tc>
          <w:tcPr>
            <w:tcW w:w="883" w:type="dxa"/>
            <w:tcBorders>
              <w:tl2br w:val="nil"/>
              <w:tr2bl w:val="nil"/>
            </w:tcBorders>
            <w:vAlign w:val="top"/>
          </w:tcPr>
          <w:p w14:paraId="5B48F031">
            <w:pPr>
              <w:pStyle w:val="81"/>
              <w:spacing w:before="211" w:line="229" w:lineRule="auto"/>
              <w:ind w:left="229"/>
              <w:rPr>
                <w:color w:val="auto"/>
                <w:sz w:val="20"/>
                <w:szCs w:val="20"/>
                <w:u w:val="none" w:color="auto"/>
              </w:rPr>
            </w:pPr>
            <w:r>
              <w:rPr>
                <w:color w:val="auto"/>
                <w:spacing w:val="4"/>
                <w:sz w:val="20"/>
                <w:szCs w:val="20"/>
                <w:u w:val="none" w:color="auto"/>
              </w:rPr>
              <w:t>方位</w:t>
            </w:r>
          </w:p>
        </w:tc>
        <w:tc>
          <w:tcPr>
            <w:tcW w:w="1771" w:type="dxa"/>
            <w:tcBorders>
              <w:tl2br w:val="nil"/>
              <w:tr2bl w:val="nil"/>
            </w:tcBorders>
            <w:vAlign w:val="top"/>
          </w:tcPr>
          <w:p w14:paraId="01568889">
            <w:pPr>
              <w:pStyle w:val="81"/>
              <w:spacing w:before="55" w:line="259" w:lineRule="auto"/>
              <w:ind w:left="178" w:right="124" w:hanging="56"/>
              <w:rPr>
                <w:color w:val="auto"/>
                <w:sz w:val="20"/>
                <w:szCs w:val="20"/>
                <w:u w:val="none" w:color="auto"/>
              </w:rPr>
            </w:pPr>
            <w:r>
              <w:rPr>
                <w:color w:val="auto"/>
                <w:spacing w:val="7"/>
                <w:sz w:val="20"/>
                <w:szCs w:val="20"/>
                <w:u w:val="none" w:color="auto"/>
              </w:rPr>
              <w:t>距道路中心线</w:t>
            </w:r>
            <w:r>
              <w:rPr>
                <w:rFonts w:ascii="Times New Roman" w:hAnsi="Times New Roman" w:eastAsia="Times New Roman" w:cs="Times New Roman"/>
                <w:color w:val="auto"/>
                <w:spacing w:val="7"/>
                <w:sz w:val="20"/>
                <w:szCs w:val="20"/>
                <w:u w:val="none" w:color="auto"/>
              </w:rPr>
              <w:t>/</w:t>
            </w:r>
            <w:r>
              <w:rPr>
                <w:color w:val="auto"/>
                <w:spacing w:val="7"/>
                <w:sz w:val="20"/>
                <w:szCs w:val="20"/>
                <w:u w:val="none" w:color="auto"/>
              </w:rPr>
              <w:t>边</w:t>
            </w:r>
            <w:r>
              <w:rPr>
                <w:color w:val="auto"/>
                <w:spacing w:val="6"/>
                <w:sz w:val="20"/>
                <w:szCs w:val="20"/>
                <w:u w:val="none" w:color="auto"/>
              </w:rPr>
              <w:t>界线距离（</w:t>
            </w:r>
            <w:r>
              <w:rPr>
                <w:rFonts w:ascii="Times New Roman" w:hAnsi="Times New Roman" w:eastAsia="Times New Roman" w:cs="Times New Roman"/>
                <w:color w:val="auto"/>
                <w:spacing w:val="6"/>
                <w:sz w:val="20"/>
                <w:szCs w:val="20"/>
                <w:u w:val="none" w:color="auto"/>
              </w:rPr>
              <w:t>m</w:t>
            </w:r>
            <w:r>
              <w:rPr>
                <w:color w:val="auto"/>
                <w:spacing w:val="6"/>
                <w:sz w:val="20"/>
                <w:szCs w:val="20"/>
                <w:u w:val="none" w:color="auto"/>
              </w:rPr>
              <w:t>）</w:t>
            </w:r>
          </w:p>
        </w:tc>
        <w:tc>
          <w:tcPr>
            <w:tcW w:w="1329" w:type="dxa"/>
            <w:tcBorders>
              <w:tl2br w:val="nil"/>
              <w:tr2bl w:val="nil"/>
            </w:tcBorders>
            <w:vAlign w:val="top"/>
          </w:tcPr>
          <w:p w14:paraId="22D63636">
            <w:pPr>
              <w:pStyle w:val="81"/>
              <w:spacing w:before="55" w:line="228" w:lineRule="auto"/>
              <w:ind w:left="145"/>
              <w:rPr>
                <w:color w:val="auto"/>
                <w:sz w:val="20"/>
                <w:szCs w:val="20"/>
                <w:u w:val="none" w:color="auto"/>
              </w:rPr>
            </w:pPr>
            <w:r>
              <w:rPr>
                <w:color w:val="auto"/>
                <w:spacing w:val="7"/>
                <w:sz w:val="20"/>
                <w:szCs w:val="20"/>
                <w:u w:val="none" w:color="auto"/>
              </w:rPr>
              <w:t>建筑物高度</w:t>
            </w:r>
          </w:p>
          <w:p w14:paraId="39B00DF9">
            <w:pPr>
              <w:pStyle w:val="81"/>
              <w:spacing w:before="65" w:line="230" w:lineRule="auto"/>
              <w:ind w:left="385"/>
              <w:rPr>
                <w:color w:val="auto"/>
                <w:sz w:val="20"/>
                <w:szCs w:val="20"/>
                <w:u w:val="none" w:color="auto"/>
              </w:rPr>
            </w:pPr>
            <w:r>
              <w:rPr>
                <w:color w:val="auto"/>
                <w:spacing w:val="-1"/>
                <w:sz w:val="20"/>
                <w:szCs w:val="20"/>
                <w:u w:val="none" w:color="auto"/>
              </w:rPr>
              <w:t>（</w:t>
            </w:r>
            <w:r>
              <w:rPr>
                <w:rFonts w:ascii="Times New Roman" w:hAnsi="Times New Roman" w:eastAsia="Times New Roman" w:cs="Times New Roman"/>
                <w:color w:val="auto"/>
                <w:spacing w:val="-1"/>
                <w:sz w:val="20"/>
                <w:szCs w:val="20"/>
                <w:u w:val="none" w:color="auto"/>
              </w:rPr>
              <w:t>m</w:t>
            </w:r>
            <w:r>
              <w:rPr>
                <w:color w:val="auto"/>
                <w:spacing w:val="-1"/>
                <w:sz w:val="20"/>
                <w:szCs w:val="20"/>
                <w:u w:val="none" w:color="auto"/>
              </w:rPr>
              <w:t>）</w:t>
            </w:r>
          </w:p>
        </w:tc>
        <w:tc>
          <w:tcPr>
            <w:tcW w:w="734" w:type="dxa"/>
            <w:tcBorders>
              <w:tl2br w:val="nil"/>
              <w:tr2bl w:val="nil"/>
            </w:tcBorders>
            <w:vAlign w:val="top"/>
          </w:tcPr>
          <w:p w14:paraId="53BE00BB">
            <w:pPr>
              <w:pStyle w:val="81"/>
              <w:spacing w:before="211" w:line="228" w:lineRule="auto"/>
              <w:ind w:left="162"/>
              <w:rPr>
                <w:color w:val="auto"/>
                <w:sz w:val="20"/>
                <w:szCs w:val="20"/>
                <w:u w:val="none" w:color="auto"/>
              </w:rPr>
            </w:pPr>
            <w:r>
              <w:rPr>
                <w:color w:val="auto"/>
                <w:spacing w:val="4"/>
                <w:sz w:val="20"/>
                <w:szCs w:val="20"/>
                <w:u w:val="none" w:color="auto"/>
              </w:rPr>
              <w:t>层数</w:t>
            </w:r>
          </w:p>
        </w:tc>
        <w:tc>
          <w:tcPr>
            <w:tcW w:w="1239" w:type="dxa"/>
            <w:tcBorders>
              <w:tl2br w:val="nil"/>
              <w:tr2bl w:val="nil"/>
            </w:tcBorders>
            <w:vAlign w:val="top"/>
          </w:tcPr>
          <w:p w14:paraId="39F6E512">
            <w:pPr>
              <w:pStyle w:val="81"/>
              <w:spacing w:before="55" w:line="259" w:lineRule="auto"/>
              <w:ind w:left="345" w:right="198" w:hanging="138"/>
              <w:rPr>
                <w:color w:val="auto"/>
                <w:sz w:val="20"/>
                <w:szCs w:val="20"/>
                <w:u w:val="none" w:color="auto"/>
              </w:rPr>
            </w:pPr>
            <w:r>
              <w:rPr>
                <w:color w:val="auto"/>
                <w:spacing w:val="6"/>
                <w:sz w:val="20"/>
                <w:szCs w:val="20"/>
                <w:u w:val="none" w:color="auto"/>
              </w:rPr>
              <w:t>预测高度</w:t>
            </w:r>
            <w:r>
              <w:rPr>
                <w:color w:val="auto"/>
                <w:spacing w:val="-1"/>
                <w:sz w:val="20"/>
                <w:szCs w:val="20"/>
                <w:u w:val="none" w:color="auto"/>
              </w:rPr>
              <w:t>（</w:t>
            </w:r>
            <w:r>
              <w:rPr>
                <w:rFonts w:ascii="Times New Roman" w:hAnsi="Times New Roman" w:eastAsia="Times New Roman" w:cs="Times New Roman"/>
                <w:color w:val="auto"/>
                <w:spacing w:val="-1"/>
                <w:sz w:val="20"/>
                <w:szCs w:val="20"/>
                <w:u w:val="none" w:color="auto"/>
              </w:rPr>
              <w:t>m</w:t>
            </w:r>
            <w:r>
              <w:rPr>
                <w:color w:val="auto"/>
                <w:spacing w:val="-1"/>
                <w:sz w:val="20"/>
                <w:szCs w:val="20"/>
                <w:u w:val="none" w:color="auto"/>
              </w:rPr>
              <w:t>）</w:t>
            </w:r>
          </w:p>
        </w:tc>
        <w:tc>
          <w:tcPr>
            <w:tcW w:w="1361" w:type="dxa"/>
            <w:tcBorders>
              <w:tl2br w:val="nil"/>
              <w:tr2bl w:val="nil"/>
            </w:tcBorders>
            <w:vAlign w:val="top"/>
          </w:tcPr>
          <w:p w14:paraId="3A28EBAF">
            <w:pPr>
              <w:pStyle w:val="81"/>
              <w:spacing w:before="56" w:line="228" w:lineRule="auto"/>
              <w:ind w:left="168"/>
              <w:rPr>
                <w:color w:val="auto"/>
                <w:sz w:val="20"/>
                <w:szCs w:val="20"/>
                <w:u w:val="none" w:color="auto"/>
              </w:rPr>
            </w:pPr>
            <w:r>
              <w:rPr>
                <w:color w:val="auto"/>
                <w:spacing w:val="7"/>
                <w:sz w:val="20"/>
                <w:szCs w:val="20"/>
                <w:u w:val="none" w:color="auto"/>
              </w:rPr>
              <w:t>声影区衰减</w:t>
            </w:r>
          </w:p>
          <w:p w14:paraId="45AE388C">
            <w:pPr>
              <w:pStyle w:val="81"/>
              <w:spacing w:before="64" w:line="230" w:lineRule="auto"/>
              <w:ind w:left="278"/>
              <w:rPr>
                <w:color w:val="auto"/>
                <w:sz w:val="20"/>
                <w:szCs w:val="20"/>
                <w:u w:val="none" w:color="auto"/>
              </w:rPr>
            </w:pPr>
            <w:r>
              <w:rPr>
                <w:rFonts w:ascii="Times New Roman" w:hAnsi="Times New Roman" w:eastAsia="Times New Roman" w:cs="Times New Roman"/>
                <w:color w:val="auto"/>
                <w:sz w:val="20"/>
                <w:szCs w:val="20"/>
                <w:u w:val="none" w:color="auto"/>
              </w:rPr>
              <w:t>dB</w:t>
            </w:r>
            <w:r>
              <w:rPr>
                <w:color w:val="auto"/>
                <w:spacing w:val="7"/>
                <w:sz w:val="20"/>
                <w:szCs w:val="20"/>
                <w:u w:val="none" w:color="auto"/>
              </w:rPr>
              <w:t>（</w:t>
            </w:r>
            <w:r>
              <w:rPr>
                <w:rFonts w:ascii="Times New Roman" w:hAnsi="Times New Roman" w:eastAsia="Times New Roman" w:cs="Times New Roman"/>
                <w:color w:val="auto"/>
                <w:spacing w:val="7"/>
                <w:sz w:val="20"/>
                <w:szCs w:val="20"/>
                <w:u w:val="none" w:color="auto"/>
              </w:rPr>
              <w:t>A</w:t>
            </w:r>
            <w:r>
              <w:rPr>
                <w:color w:val="auto"/>
                <w:spacing w:val="7"/>
                <w:sz w:val="20"/>
                <w:szCs w:val="20"/>
                <w:u w:val="none" w:color="auto"/>
              </w:rPr>
              <w:t>）</w:t>
            </w:r>
          </w:p>
        </w:tc>
        <w:tc>
          <w:tcPr>
            <w:tcW w:w="1361" w:type="dxa"/>
            <w:tcBorders>
              <w:tl2br w:val="nil"/>
              <w:tr2bl w:val="nil"/>
            </w:tcBorders>
            <w:vAlign w:val="top"/>
          </w:tcPr>
          <w:p w14:paraId="601A7FC8">
            <w:pPr>
              <w:pStyle w:val="81"/>
              <w:spacing w:before="56" w:line="228" w:lineRule="auto"/>
              <w:ind w:left="137"/>
              <w:rPr>
                <w:rFonts w:ascii="Times New Roman" w:hAnsi="Times New Roman" w:eastAsia="Times New Roman" w:cs="Times New Roman"/>
                <w:color w:val="auto"/>
                <w:sz w:val="20"/>
                <w:szCs w:val="20"/>
                <w:u w:val="none" w:color="auto"/>
              </w:rPr>
            </w:pPr>
            <w:r>
              <w:rPr>
                <w:color w:val="auto"/>
                <w:spacing w:val="5"/>
                <w:sz w:val="20"/>
                <w:szCs w:val="20"/>
                <w:u w:val="none" w:color="auto"/>
              </w:rPr>
              <w:t>阻隔衰减</w:t>
            </w:r>
            <w:r>
              <w:rPr>
                <w:color w:val="auto"/>
                <w:spacing w:val="-39"/>
                <w:sz w:val="20"/>
                <w:szCs w:val="20"/>
                <w:u w:val="none" w:color="auto"/>
              </w:rPr>
              <w:t xml:space="preserve"> </w:t>
            </w:r>
            <w:r>
              <w:rPr>
                <w:rFonts w:ascii="Times New Roman" w:hAnsi="Times New Roman" w:eastAsia="Times New Roman" w:cs="Times New Roman"/>
                <w:color w:val="auto"/>
                <w:sz w:val="20"/>
                <w:szCs w:val="20"/>
                <w:u w:val="none" w:color="auto"/>
              </w:rPr>
              <w:t>dB</w:t>
            </w:r>
          </w:p>
          <w:p w14:paraId="6C71E7D0">
            <w:pPr>
              <w:pStyle w:val="81"/>
              <w:spacing w:before="64" w:line="230" w:lineRule="auto"/>
              <w:ind w:left="416"/>
              <w:rPr>
                <w:color w:val="auto"/>
                <w:sz w:val="20"/>
                <w:szCs w:val="20"/>
                <w:u w:val="none" w:color="auto"/>
              </w:rPr>
            </w:pPr>
            <w:r>
              <w:rPr>
                <w:color w:val="auto"/>
                <w:spacing w:val="-2"/>
                <w:sz w:val="20"/>
                <w:szCs w:val="20"/>
                <w:u w:val="none" w:color="auto"/>
              </w:rPr>
              <w:t>（</w:t>
            </w:r>
            <w:r>
              <w:rPr>
                <w:rFonts w:ascii="Times New Roman" w:hAnsi="Times New Roman" w:eastAsia="Times New Roman" w:cs="Times New Roman"/>
                <w:color w:val="auto"/>
                <w:spacing w:val="-2"/>
                <w:sz w:val="20"/>
                <w:szCs w:val="20"/>
                <w:u w:val="none" w:color="auto"/>
              </w:rPr>
              <w:t>A</w:t>
            </w:r>
            <w:r>
              <w:rPr>
                <w:color w:val="auto"/>
                <w:spacing w:val="-2"/>
                <w:sz w:val="20"/>
                <w:szCs w:val="20"/>
                <w:u w:val="none" w:color="auto"/>
              </w:rPr>
              <w:t>）</w:t>
            </w:r>
          </w:p>
        </w:tc>
        <w:tc>
          <w:tcPr>
            <w:tcW w:w="1361" w:type="dxa"/>
            <w:tcBorders>
              <w:tl2br w:val="nil"/>
              <w:tr2bl w:val="nil"/>
            </w:tcBorders>
            <w:vAlign w:val="top"/>
          </w:tcPr>
          <w:p w14:paraId="2E2D0602">
            <w:pPr>
              <w:pStyle w:val="81"/>
              <w:spacing w:before="55" w:line="228" w:lineRule="auto"/>
              <w:ind w:left="171"/>
              <w:rPr>
                <w:color w:val="auto"/>
                <w:sz w:val="20"/>
                <w:szCs w:val="20"/>
                <w:u w:val="none" w:color="auto"/>
              </w:rPr>
            </w:pPr>
            <w:r>
              <w:rPr>
                <w:color w:val="auto"/>
                <w:spacing w:val="8"/>
                <w:sz w:val="20"/>
                <w:szCs w:val="20"/>
                <w:u w:val="none" w:color="auto"/>
              </w:rPr>
              <w:t>树林带衰减</w:t>
            </w:r>
          </w:p>
          <w:p w14:paraId="24FFA80D">
            <w:pPr>
              <w:pStyle w:val="81"/>
              <w:spacing w:before="65" w:line="230" w:lineRule="auto"/>
              <w:ind w:left="285"/>
              <w:rPr>
                <w:color w:val="auto"/>
                <w:sz w:val="20"/>
                <w:szCs w:val="20"/>
                <w:u w:val="none" w:color="auto"/>
              </w:rPr>
            </w:pPr>
            <w:r>
              <w:rPr>
                <w:rFonts w:ascii="Times New Roman" w:hAnsi="Times New Roman" w:eastAsia="Times New Roman" w:cs="Times New Roman"/>
                <w:color w:val="auto"/>
                <w:sz w:val="20"/>
                <w:szCs w:val="20"/>
                <w:u w:val="none" w:color="auto"/>
              </w:rPr>
              <w:t>dB</w:t>
            </w:r>
            <w:r>
              <w:rPr>
                <w:color w:val="auto"/>
                <w:spacing w:val="7"/>
                <w:sz w:val="20"/>
                <w:szCs w:val="20"/>
                <w:u w:val="none" w:color="auto"/>
              </w:rPr>
              <w:t>（</w:t>
            </w:r>
            <w:r>
              <w:rPr>
                <w:rFonts w:ascii="Times New Roman" w:hAnsi="Times New Roman" w:eastAsia="Times New Roman" w:cs="Times New Roman"/>
                <w:color w:val="auto"/>
                <w:spacing w:val="7"/>
                <w:sz w:val="20"/>
                <w:szCs w:val="20"/>
                <w:u w:val="none" w:color="auto"/>
              </w:rPr>
              <w:t>A</w:t>
            </w:r>
            <w:r>
              <w:rPr>
                <w:color w:val="auto"/>
                <w:spacing w:val="7"/>
                <w:sz w:val="20"/>
                <w:szCs w:val="20"/>
                <w:u w:val="none" w:color="auto"/>
              </w:rPr>
              <w:t>）</w:t>
            </w:r>
          </w:p>
        </w:tc>
        <w:tc>
          <w:tcPr>
            <w:tcW w:w="1410" w:type="dxa"/>
            <w:tcBorders>
              <w:tl2br w:val="nil"/>
              <w:tr2bl w:val="nil"/>
            </w:tcBorders>
            <w:vAlign w:val="top"/>
          </w:tcPr>
          <w:p w14:paraId="2F02905C">
            <w:pPr>
              <w:pStyle w:val="81"/>
              <w:spacing w:before="56" w:line="228" w:lineRule="auto"/>
              <w:ind w:left="147"/>
              <w:rPr>
                <w:rFonts w:ascii="Times New Roman" w:hAnsi="Times New Roman" w:eastAsia="Times New Roman" w:cs="Times New Roman"/>
                <w:color w:val="auto"/>
                <w:sz w:val="20"/>
                <w:szCs w:val="20"/>
                <w:u w:val="none" w:color="auto"/>
              </w:rPr>
            </w:pPr>
            <w:r>
              <w:rPr>
                <w:color w:val="auto"/>
                <w:spacing w:val="8"/>
                <w:sz w:val="20"/>
                <w:szCs w:val="20"/>
                <w:u w:val="none" w:color="auto"/>
              </w:rPr>
              <w:t>衰减合计</w:t>
            </w:r>
            <w:r>
              <w:rPr>
                <w:color w:val="auto"/>
                <w:spacing w:val="-41"/>
                <w:sz w:val="20"/>
                <w:szCs w:val="20"/>
                <w:u w:val="none" w:color="auto"/>
              </w:rPr>
              <w:t xml:space="preserve"> </w:t>
            </w:r>
            <w:r>
              <w:rPr>
                <w:rFonts w:ascii="Times New Roman" w:hAnsi="Times New Roman" w:eastAsia="Times New Roman" w:cs="Times New Roman"/>
                <w:color w:val="auto"/>
                <w:sz w:val="20"/>
                <w:szCs w:val="20"/>
                <w:u w:val="none" w:color="auto"/>
              </w:rPr>
              <w:t>dB</w:t>
            </w:r>
          </w:p>
          <w:p w14:paraId="708C4B7A">
            <w:pPr>
              <w:pStyle w:val="81"/>
              <w:spacing w:before="64" w:line="230" w:lineRule="auto"/>
              <w:ind w:left="440"/>
              <w:rPr>
                <w:color w:val="auto"/>
                <w:sz w:val="20"/>
                <w:szCs w:val="20"/>
                <w:u w:val="none" w:color="auto"/>
              </w:rPr>
            </w:pPr>
            <w:r>
              <w:rPr>
                <w:color w:val="auto"/>
                <w:spacing w:val="-2"/>
                <w:sz w:val="20"/>
                <w:szCs w:val="20"/>
                <w:u w:val="none" w:color="auto"/>
              </w:rPr>
              <w:t>（</w:t>
            </w:r>
            <w:r>
              <w:rPr>
                <w:rFonts w:ascii="Times New Roman" w:hAnsi="Times New Roman" w:eastAsia="Times New Roman" w:cs="Times New Roman"/>
                <w:color w:val="auto"/>
                <w:spacing w:val="-2"/>
                <w:sz w:val="20"/>
                <w:szCs w:val="20"/>
                <w:u w:val="none" w:color="auto"/>
              </w:rPr>
              <w:t>A</w:t>
            </w:r>
            <w:r>
              <w:rPr>
                <w:color w:val="auto"/>
                <w:spacing w:val="-2"/>
                <w:sz w:val="20"/>
                <w:szCs w:val="20"/>
                <w:u w:val="none" w:color="auto"/>
              </w:rPr>
              <w:t>）</w:t>
            </w:r>
          </w:p>
        </w:tc>
      </w:tr>
      <w:tr w14:paraId="40B253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96" w:type="dxa"/>
            <w:vMerge w:val="restart"/>
            <w:tcBorders>
              <w:tl2br w:val="nil"/>
              <w:tr2bl w:val="nil"/>
            </w:tcBorders>
            <w:vAlign w:val="top"/>
          </w:tcPr>
          <w:p w14:paraId="5183ED6C">
            <w:pPr>
              <w:spacing w:line="357" w:lineRule="auto"/>
              <w:rPr>
                <w:rFonts w:ascii="Arial"/>
                <w:color w:val="auto"/>
                <w:sz w:val="21"/>
                <w:u w:val="none" w:color="auto"/>
              </w:rPr>
            </w:pPr>
          </w:p>
          <w:p w14:paraId="61C360E9">
            <w:pPr>
              <w:spacing w:before="58" w:line="195" w:lineRule="auto"/>
              <w:ind w:left="303"/>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1</w:t>
            </w:r>
          </w:p>
        </w:tc>
        <w:tc>
          <w:tcPr>
            <w:tcW w:w="1823" w:type="dxa"/>
            <w:vMerge w:val="restart"/>
            <w:tcBorders>
              <w:tl2br w:val="nil"/>
              <w:tr2bl w:val="nil"/>
            </w:tcBorders>
            <w:vAlign w:val="top"/>
          </w:tcPr>
          <w:p w14:paraId="534853A5">
            <w:pPr>
              <w:spacing w:line="313" w:lineRule="auto"/>
              <w:rPr>
                <w:rFonts w:ascii="Arial"/>
                <w:color w:val="auto"/>
                <w:sz w:val="21"/>
                <w:u w:val="none" w:color="auto"/>
              </w:rPr>
            </w:pPr>
          </w:p>
          <w:p w14:paraId="10BA72AD">
            <w:pPr>
              <w:pStyle w:val="81"/>
              <w:spacing w:before="65" w:line="228" w:lineRule="auto"/>
              <w:ind w:left="102"/>
              <w:jc w:val="center"/>
              <w:rPr>
                <w:rFonts w:hint="default" w:eastAsia="宋体"/>
                <w:color w:val="auto"/>
                <w:sz w:val="20"/>
                <w:szCs w:val="20"/>
                <w:u w:val="none" w:color="auto"/>
                <w:lang w:val="en-US" w:eastAsia="zh-CN"/>
              </w:rPr>
            </w:pPr>
            <w:r>
              <w:rPr>
                <w:rFonts w:hint="eastAsia"/>
                <w:color w:val="auto"/>
                <w:spacing w:val="-11"/>
                <w:sz w:val="20"/>
                <w:szCs w:val="20"/>
                <w:u w:val="none" w:color="auto"/>
                <w:lang w:val="en-US" w:eastAsia="zh-CN"/>
              </w:rPr>
              <w:t>安置区三期</w:t>
            </w:r>
          </w:p>
        </w:tc>
        <w:tc>
          <w:tcPr>
            <w:tcW w:w="883" w:type="dxa"/>
            <w:vMerge w:val="restart"/>
            <w:tcBorders>
              <w:tl2br w:val="nil"/>
              <w:tr2bl w:val="nil"/>
            </w:tcBorders>
            <w:vAlign w:val="top"/>
          </w:tcPr>
          <w:p w14:paraId="2EE7910D">
            <w:pPr>
              <w:spacing w:line="313" w:lineRule="auto"/>
              <w:rPr>
                <w:rFonts w:ascii="Arial"/>
                <w:color w:val="auto"/>
                <w:sz w:val="21"/>
                <w:u w:val="none" w:color="auto"/>
              </w:rPr>
            </w:pPr>
          </w:p>
          <w:p w14:paraId="7BF33925">
            <w:pPr>
              <w:pStyle w:val="81"/>
              <w:spacing w:before="65" w:line="228" w:lineRule="auto"/>
              <w:ind w:left="235"/>
              <w:rPr>
                <w:rFonts w:hint="eastAsia" w:eastAsia="宋体"/>
                <w:color w:val="auto"/>
                <w:sz w:val="20"/>
                <w:szCs w:val="20"/>
                <w:u w:val="none" w:color="auto"/>
                <w:lang w:eastAsia="zh-CN"/>
              </w:rPr>
            </w:pPr>
            <w:r>
              <w:rPr>
                <w:rFonts w:hint="eastAsia"/>
                <w:color w:val="auto"/>
                <w:spacing w:val="2"/>
                <w:sz w:val="20"/>
                <w:szCs w:val="20"/>
                <w:u w:val="none" w:color="auto"/>
                <w:lang w:val="en-US" w:eastAsia="zh-CN"/>
              </w:rPr>
              <w:t>两侧</w:t>
            </w:r>
          </w:p>
        </w:tc>
        <w:tc>
          <w:tcPr>
            <w:tcW w:w="1771" w:type="dxa"/>
            <w:vMerge w:val="restart"/>
            <w:tcBorders>
              <w:tl2br w:val="nil"/>
              <w:tr2bl w:val="nil"/>
            </w:tcBorders>
            <w:vAlign w:val="top"/>
          </w:tcPr>
          <w:p w14:paraId="2D40AF50">
            <w:pPr>
              <w:spacing w:line="353" w:lineRule="auto"/>
              <w:rPr>
                <w:rFonts w:ascii="Arial"/>
                <w:color w:val="auto"/>
                <w:sz w:val="21"/>
                <w:u w:val="none" w:color="auto"/>
              </w:rPr>
            </w:pPr>
          </w:p>
          <w:p w14:paraId="5C2AC00F">
            <w:pPr>
              <w:spacing w:before="58" w:line="199" w:lineRule="auto"/>
              <w:ind w:left="648"/>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2"/>
                <w:sz w:val="20"/>
                <w:szCs w:val="20"/>
                <w:u w:val="none" w:color="auto"/>
                <w:lang w:val="en-US" w:eastAsia="zh-CN"/>
              </w:rPr>
              <w:t>15</w:t>
            </w:r>
          </w:p>
        </w:tc>
        <w:tc>
          <w:tcPr>
            <w:tcW w:w="1329" w:type="dxa"/>
            <w:vMerge w:val="restart"/>
            <w:tcBorders>
              <w:tl2br w:val="nil"/>
              <w:tr2bl w:val="nil"/>
            </w:tcBorders>
            <w:vAlign w:val="top"/>
          </w:tcPr>
          <w:p w14:paraId="2DDC9E24">
            <w:pPr>
              <w:spacing w:line="357" w:lineRule="auto"/>
              <w:rPr>
                <w:rFonts w:ascii="Arial"/>
                <w:color w:val="auto"/>
                <w:sz w:val="21"/>
                <w:u w:val="none" w:color="auto"/>
              </w:rPr>
            </w:pPr>
          </w:p>
          <w:p w14:paraId="4D27A771">
            <w:pPr>
              <w:spacing w:before="57" w:line="195" w:lineRule="auto"/>
              <w:ind w:left="499"/>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2"/>
                <w:sz w:val="20"/>
                <w:szCs w:val="20"/>
                <w:u w:val="none" w:color="auto"/>
                <w:lang w:val="en-US" w:eastAsia="zh-CN"/>
              </w:rPr>
              <w:t>22.5</w:t>
            </w:r>
          </w:p>
        </w:tc>
        <w:tc>
          <w:tcPr>
            <w:tcW w:w="734" w:type="dxa"/>
            <w:tcBorders>
              <w:tl2br w:val="nil"/>
              <w:tr2bl w:val="nil"/>
            </w:tcBorders>
            <w:vAlign w:val="top"/>
          </w:tcPr>
          <w:p w14:paraId="3896252F">
            <w:pPr>
              <w:spacing w:before="95" w:line="195" w:lineRule="auto"/>
              <w:ind w:left="27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7"/>
                <w:sz w:val="20"/>
                <w:szCs w:val="20"/>
                <w:u w:val="none" w:color="auto"/>
              </w:rPr>
              <w:t>1F</w:t>
            </w:r>
          </w:p>
        </w:tc>
        <w:tc>
          <w:tcPr>
            <w:tcW w:w="1239" w:type="dxa"/>
            <w:tcBorders>
              <w:tl2br w:val="nil"/>
              <w:tr2bl w:val="nil"/>
            </w:tcBorders>
            <w:vAlign w:val="top"/>
          </w:tcPr>
          <w:p w14:paraId="34D398D1">
            <w:pPr>
              <w:spacing w:before="95" w:line="195" w:lineRule="auto"/>
              <w:ind w:left="510"/>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4"/>
                <w:sz w:val="20"/>
                <w:szCs w:val="20"/>
                <w:u w:val="none" w:color="auto"/>
              </w:rPr>
              <w:t>1.2</w:t>
            </w:r>
          </w:p>
        </w:tc>
        <w:tc>
          <w:tcPr>
            <w:tcW w:w="1361" w:type="dxa"/>
            <w:tcBorders>
              <w:tl2br w:val="nil"/>
              <w:tr2bl w:val="nil"/>
            </w:tcBorders>
            <w:vAlign w:val="top"/>
          </w:tcPr>
          <w:p w14:paraId="0C6E99F5">
            <w:pPr>
              <w:spacing w:before="95" w:line="195" w:lineRule="auto"/>
              <w:ind w:left="6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0A5657F2">
            <w:pPr>
              <w:spacing w:before="95" w:line="195" w:lineRule="auto"/>
              <w:ind w:left="63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59D3BACE">
            <w:pPr>
              <w:spacing w:before="95" w:line="195" w:lineRule="auto"/>
              <w:ind w:left="64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410" w:type="dxa"/>
            <w:tcBorders>
              <w:tl2br w:val="nil"/>
              <w:tr2bl w:val="nil"/>
            </w:tcBorders>
            <w:vAlign w:val="top"/>
          </w:tcPr>
          <w:p w14:paraId="1D50A8B5">
            <w:pPr>
              <w:spacing w:before="95" w:line="195" w:lineRule="auto"/>
              <w:ind w:left="66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r>
      <w:tr w14:paraId="0C9379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96" w:type="dxa"/>
            <w:vMerge w:val="continue"/>
            <w:tcBorders>
              <w:tl2br w:val="nil"/>
              <w:tr2bl w:val="nil"/>
            </w:tcBorders>
            <w:vAlign w:val="top"/>
          </w:tcPr>
          <w:p w14:paraId="70181CE2">
            <w:pPr>
              <w:rPr>
                <w:rFonts w:ascii="Arial"/>
                <w:color w:val="auto"/>
                <w:sz w:val="21"/>
                <w:u w:val="none" w:color="auto"/>
              </w:rPr>
            </w:pPr>
          </w:p>
        </w:tc>
        <w:tc>
          <w:tcPr>
            <w:tcW w:w="1823" w:type="dxa"/>
            <w:vMerge w:val="continue"/>
            <w:tcBorders>
              <w:tl2br w:val="nil"/>
              <w:tr2bl w:val="nil"/>
            </w:tcBorders>
            <w:vAlign w:val="top"/>
          </w:tcPr>
          <w:p w14:paraId="086A4D37">
            <w:pPr>
              <w:rPr>
                <w:rFonts w:ascii="Arial"/>
                <w:color w:val="auto"/>
                <w:sz w:val="21"/>
                <w:u w:val="none" w:color="auto"/>
              </w:rPr>
            </w:pPr>
          </w:p>
        </w:tc>
        <w:tc>
          <w:tcPr>
            <w:tcW w:w="883" w:type="dxa"/>
            <w:vMerge w:val="continue"/>
            <w:tcBorders>
              <w:tl2br w:val="nil"/>
              <w:tr2bl w:val="nil"/>
            </w:tcBorders>
            <w:vAlign w:val="top"/>
          </w:tcPr>
          <w:p w14:paraId="6E17EC23">
            <w:pPr>
              <w:rPr>
                <w:rFonts w:ascii="Arial"/>
                <w:color w:val="auto"/>
                <w:sz w:val="21"/>
                <w:u w:val="none" w:color="auto"/>
              </w:rPr>
            </w:pPr>
          </w:p>
        </w:tc>
        <w:tc>
          <w:tcPr>
            <w:tcW w:w="1771" w:type="dxa"/>
            <w:vMerge w:val="continue"/>
            <w:tcBorders>
              <w:tl2br w:val="nil"/>
              <w:tr2bl w:val="nil"/>
            </w:tcBorders>
            <w:vAlign w:val="top"/>
          </w:tcPr>
          <w:p w14:paraId="28FD6000">
            <w:pPr>
              <w:rPr>
                <w:rFonts w:ascii="Arial"/>
                <w:color w:val="auto"/>
                <w:sz w:val="21"/>
                <w:u w:val="none" w:color="auto"/>
              </w:rPr>
            </w:pPr>
          </w:p>
        </w:tc>
        <w:tc>
          <w:tcPr>
            <w:tcW w:w="1329" w:type="dxa"/>
            <w:vMerge w:val="continue"/>
            <w:tcBorders>
              <w:tl2br w:val="nil"/>
              <w:tr2bl w:val="nil"/>
            </w:tcBorders>
            <w:vAlign w:val="top"/>
          </w:tcPr>
          <w:p w14:paraId="62C6E5E2">
            <w:pPr>
              <w:rPr>
                <w:rFonts w:ascii="Arial"/>
                <w:color w:val="auto"/>
                <w:sz w:val="21"/>
                <w:u w:val="none" w:color="auto"/>
              </w:rPr>
            </w:pPr>
          </w:p>
        </w:tc>
        <w:tc>
          <w:tcPr>
            <w:tcW w:w="734" w:type="dxa"/>
            <w:tcBorders>
              <w:tl2br w:val="nil"/>
              <w:tr2bl w:val="nil"/>
            </w:tcBorders>
            <w:vAlign w:val="top"/>
          </w:tcPr>
          <w:p w14:paraId="6A433928">
            <w:pPr>
              <w:spacing w:before="98" w:line="195" w:lineRule="auto"/>
              <w:ind w:left="26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3F</w:t>
            </w:r>
          </w:p>
        </w:tc>
        <w:tc>
          <w:tcPr>
            <w:tcW w:w="1239" w:type="dxa"/>
            <w:tcBorders>
              <w:tl2br w:val="nil"/>
              <w:tr2bl w:val="nil"/>
            </w:tcBorders>
            <w:vAlign w:val="top"/>
          </w:tcPr>
          <w:p w14:paraId="731FC917">
            <w:pPr>
              <w:spacing w:before="98" w:line="195" w:lineRule="auto"/>
              <w:ind w:left="457"/>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pacing w:val="-2"/>
                <w:sz w:val="20"/>
                <w:szCs w:val="20"/>
                <w:u w:val="none" w:color="auto"/>
              </w:rPr>
              <w:t>10.2</w:t>
            </w:r>
          </w:p>
        </w:tc>
        <w:tc>
          <w:tcPr>
            <w:tcW w:w="1361" w:type="dxa"/>
            <w:tcBorders>
              <w:tl2br w:val="nil"/>
              <w:tr2bl w:val="nil"/>
            </w:tcBorders>
            <w:vAlign w:val="top"/>
          </w:tcPr>
          <w:p w14:paraId="28CDE08E">
            <w:pPr>
              <w:spacing w:before="98" w:line="195" w:lineRule="auto"/>
              <w:ind w:left="6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612FDE69">
            <w:pPr>
              <w:spacing w:before="98" w:line="195" w:lineRule="auto"/>
              <w:ind w:left="63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28ACBFCF">
            <w:pPr>
              <w:spacing w:before="98" w:line="195" w:lineRule="auto"/>
              <w:ind w:left="64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410" w:type="dxa"/>
            <w:tcBorders>
              <w:tl2br w:val="nil"/>
              <w:tr2bl w:val="nil"/>
            </w:tcBorders>
            <w:vAlign w:val="top"/>
          </w:tcPr>
          <w:p w14:paraId="67F01B85">
            <w:pPr>
              <w:spacing w:before="98" w:line="195" w:lineRule="auto"/>
              <w:ind w:left="66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r>
      <w:tr w14:paraId="7380B8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96" w:type="dxa"/>
            <w:vMerge w:val="continue"/>
            <w:tcBorders>
              <w:tl2br w:val="nil"/>
              <w:tr2bl w:val="nil"/>
            </w:tcBorders>
            <w:vAlign w:val="top"/>
          </w:tcPr>
          <w:p w14:paraId="5DC2F82C">
            <w:pPr>
              <w:rPr>
                <w:rFonts w:ascii="Arial"/>
                <w:color w:val="auto"/>
                <w:sz w:val="21"/>
                <w:u w:val="none" w:color="auto"/>
              </w:rPr>
            </w:pPr>
          </w:p>
        </w:tc>
        <w:tc>
          <w:tcPr>
            <w:tcW w:w="1823" w:type="dxa"/>
            <w:vMerge w:val="continue"/>
            <w:tcBorders>
              <w:tl2br w:val="nil"/>
              <w:tr2bl w:val="nil"/>
            </w:tcBorders>
            <w:vAlign w:val="top"/>
          </w:tcPr>
          <w:p w14:paraId="58002247">
            <w:pPr>
              <w:rPr>
                <w:rFonts w:ascii="Arial"/>
                <w:color w:val="auto"/>
                <w:sz w:val="21"/>
                <w:u w:val="none" w:color="auto"/>
              </w:rPr>
            </w:pPr>
          </w:p>
        </w:tc>
        <w:tc>
          <w:tcPr>
            <w:tcW w:w="883" w:type="dxa"/>
            <w:vMerge w:val="continue"/>
            <w:tcBorders>
              <w:tl2br w:val="nil"/>
              <w:tr2bl w:val="nil"/>
            </w:tcBorders>
            <w:vAlign w:val="top"/>
          </w:tcPr>
          <w:p w14:paraId="57134CB2">
            <w:pPr>
              <w:rPr>
                <w:rFonts w:ascii="Arial"/>
                <w:color w:val="auto"/>
                <w:sz w:val="21"/>
                <w:u w:val="none" w:color="auto"/>
              </w:rPr>
            </w:pPr>
          </w:p>
        </w:tc>
        <w:tc>
          <w:tcPr>
            <w:tcW w:w="1771" w:type="dxa"/>
            <w:vMerge w:val="continue"/>
            <w:tcBorders>
              <w:tl2br w:val="nil"/>
              <w:tr2bl w:val="nil"/>
            </w:tcBorders>
            <w:vAlign w:val="top"/>
          </w:tcPr>
          <w:p w14:paraId="6307A4AE">
            <w:pPr>
              <w:rPr>
                <w:rFonts w:ascii="Arial"/>
                <w:color w:val="auto"/>
                <w:sz w:val="21"/>
                <w:u w:val="none" w:color="auto"/>
              </w:rPr>
            </w:pPr>
          </w:p>
        </w:tc>
        <w:tc>
          <w:tcPr>
            <w:tcW w:w="1329" w:type="dxa"/>
            <w:vMerge w:val="continue"/>
            <w:tcBorders>
              <w:tl2br w:val="nil"/>
              <w:tr2bl w:val="nil"/>
            </w:tcBorders>
            <w:vAlign w:val="top"/>
          </w:tcPr>
          <w:p w14:paraId="683CEB53">
            <w:pPr>
              <w:rPr>
                <w:rFonts w:ascii="Arial"/>
                <w:color w:val="auto"/>
                <w:sz w:val="21"/>
                <w:u w:val="none" w:color="auto"/>
              </w:rPr>
            </w:pPr>
          </w:p>
        </w:tc>
        <w:tc>
          <w:tcPr>
            <w:tcW w:w="734" w:type="dxa"/>
            <w:tcBorders>
              <w:tl2br w:val="nil"/>
              <w:tr2bl w:val="nil"/>
            </w:tcBorders>
            <w:vAlign w:val="top"/>
          </w:tcPr>
          <w:p w14:paraId="4164B9FA">
            <w:pPr>
              <w:spacing w:before="104" w:line="192" w:lineRule="auto"/>
              <w:ind w:left="262"/>
              <w:rPr>
                <w:rFonts w:ascii="Times New Roman" w:hAnsi="Times New Roman" w:eastAsia="Times New Roman" w:cs="Times New Roman"/>
                <w:color w:val="auto"/>
                <w:sz w:val="20"/>
                <w:szCs w:val="20"/>
                <w:u w:val="none" w:color="auto"/>
              </w:rPr>
            </w:pPr>
            <w:r>
              <w:rPr>
                <w:rFonts w:hint="eastAsia" w:ascii="Times New Roman" w:hAnsi="Times New Roman" w:eastAsia="宋体" w:cs="Times New Roman"/>
                <w:color w:val="auto"/>
                <w:sz w:val="20"/>
                <w:szCs w:val="20"/>
                <w:u w:val="none" w:color="auto"/>
                <w:lang w:val="en-US" w:eastAsia="zh-CN"/>
              </w:rPr>
              <w:t>6</w:t>
            </w:r>
            <w:r>
              <w:rPr>
                <w:rFonts w:ascii="Times New Roman" w:hAnsi="Times New Roman" w:eastAsia="Times New Roman" w:cs="Times New Roman"/>
                <w:color w:val="auto"/>
                <w:sz w:val="20"/>
                <w:szCs w:val="20"/>
                <w:u w:val="none" w:color="auto"/>
              </w:rPr>
              <w:t>F</w:t>
            </w:r>
          </w:p>
        </w:tc>
        <w:tc>
          <w:tcPr>
            <w:tcW w:w="1239" w:type="dxa"/>
            <w:tcBorders>
              <w:tl2br w:val="nil"/>
              <w:tr2bl w:val="nil"/>
            </w:tcBorders>
            <w:vAlign w:val="top"/>
          </w:tcPr>
          <w:p w14:paraId="65949206">
            <w:pPr>
              <w:spacing w:before="101" w:line="195" w:lineRule="auto"/>
              <w:ind w:left="457"/>
              <w:rPr>
                <w:rFonts w:hint="default" w:ascii="Times New Roman" w:hAnsi="Times New Roman" w:eastAsia="宋体" w:cs="Times New Roman"/>
                <w:color w:val="auto"/>
                <w:sz w:val="20"/>
                <w:szCs w:val="20"/>
                <w:u w:val="none" w:color="auto"/>
                <w:lang w:val="en-US" w:eastAsia="zh-CN"/>
              </w:rPr>
            </w:pPr>
            <w:r>
              <w:rPr>
                <w:rFonts w:hint="eastAsia" w:ascii="Times New Roman" w:hAnsi="Times New Roman" w:eastAsia="宋体" w:cs="Times New Roman"/>
                <w:color w:val="auto"/>
                <w:spacing w:val="-2"/>
                <w:sz w:val="20"/>
                <w:szCs w:val="20"/>
                <w:u w:val="none" w:color="auto"/>
                <w:lang w:val="en-US" w:eastAsia="zh-CN"/>
              </w:rPr>
              <w:t>19.2</w:t>
            </w:r>
          </w:p>
        </w:tc>
        <w:tc>
          <w:tcPr>
            <w:tcW w:w="1361" w:type="dxa"/>
            <w:tcBorders>
              <w:tl2br w:val="nil"/>
              <w:tr2bl w:val="nil"/>
            </w:tcBorders>
            <w:vAlign w:val="top"/>
          </w:tcPr>
          <w:p w14:paraId="4C27756D">
            <w:pPr>
              <w:spacing w:before="101" w:line="195" w:lineRule="auto"/>
              <w:ind w:left="636"/>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1C2DB002">
            <w:pPr>
              <w:spacing w:before="101" w:line="195" w:lineRule="auto"/>
              <w:ind w:left="638"/>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361" w:type="dxa"/>
            <w:tcBorders>
              <w:tl2br w:val="nil"/>
              <w:tr2bl w:val="nil"/>
            </w:tcBorders>
            <w:vAlign w:val="top"/>
          </w:tcPr>
          <w:p w14:paraId="26FF181D">
            <w:pPr>
              <w:spacing w:before="101" w:line="195" w:lineRule="auto"/>
              <w:ind w:left="641"/>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c>
          <w:tcPr>
            <w:tcW w:w="1410" w:type="dxa"/>
            <w:tcBorders>
              <w:tl2br w:val="nil"/>
              <w:tr2bl w:val="nil"/>
            </w:tcBorders>
            <w:vAlign w:val="top"/>
          </w:tcPr>
          <w:p w14:paraId="157ED9D4">
            <w:pPr>
              <w:spacing w:before="101" w:line="195" w:lineRule="auto"/>
              <w:ind w:left="662"/>
              <w:rPr>
                <w:rFonts w:ascii="Times New Roman" w:hAnsi="Times New Roman" w:eastAsia="Times New Roman" w:cs="Times New Roman"/>
                <w:color w:val="auto"/>
                <w:sz w:val="20"/>
                <w:szCs w:val="20"/>
                <w:u w:val="none" w:color="auto"/>
              </w:rPr>
            </w:pPr>
            <w:r>
              <w:rPr>
                <w:rFonts w:ascii="Times New Roman" w:hAnsi="Times New Roman" w:eastAsia="Times New Roman" w:cs="Times New Roman"/>
                <w:color w:val="auto"/>
                <w:sz w:val="20"/>
                <w:szCs w:val="20"/>
                <w:u w:val="none" w:color="auto"/>
              </w:rPr>
              <w:t>0</w:t>
            </w:r>
          </w:p>
        </w:tc>
      </w:tr>
    </w:tbl>
    <w:p w14:paraId="750DE427">
      <w:pPr>
        <w:spacing w:line="336" w:lineRule="auto"/>
        <w:ind w:firstLine="416" w:firstLineChars="200"/>
        <w:rPr>
          <w:rFonts w:ascii="宋体" w:hAnsi="宋体" w:eastAsia="宋体" w:cs="宋体"/>
          <w:color w:val="auto"/>
          <w:spacing w:val="-1"/>
          <w:sz w:val="21"/>
          <w:szCs w:val="21"/>
          <w:u w:val="none" w:color="auto"/>
        </w:rPr>
      </w:pPr>
      <w:r>
        <w:rPr>
          <w:rFonts w:ascii="宋体" w:hAnsi="宋体" w:eastAsia="宋体" w:cs="宋体"/>
          <w:color w:val="auto"/>
          <w:spacing w:val="-1"/>
          <w:sz w:val="21"/>
          <w:szCs w:val="21"/>
          <w:u w:val="none" w:color="auto"/>
        </w:rPr>
        <w:t>备注：地面效应衰减和空气吸收衰减已在软件预测中考虑，声影区衰减是根据计算的声程差查表而知，山体阻隔和树林带衰减是根据声环境周边环境情况而来。</w:t>
      </w:r>
    </w:p>
    <w:p w14:paraId="055BA37D">
      <w:pPr>
        <w:spacing w:before="1" w:line="220" w:lineRule="auto"/>
        <w:ind w:left="4213"/>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29"/>
          <w:sz w:val="20"/>
          <w:szCs w:val="20"/>
          <w:u w:val="none" w:color="auto"/>
        </w:rPr>
        <w:t xml:space="preserve"> </w:t>
      </w:r>
      <w:r>
        <w:rPr>
          <w:rFonts w:ascii="Times New Roman" w:hAnsi="Times New Roman" w:eastAsia="Times New Roman" w:cs="Times New Roman"/>
          <w:b/>
          <w:bCs/>
          <w:color w:val="auto"/>
          <w:spacing w:val="6"/>
          <w:sz w:val="20"/>
          <w:szCs w:val="20"/>
          <w:u w:val="none" w:color="auto"/>
        </w:rPr>
        <w:t xml:space="preserve">4-18.1    </w:t>
      </w:r>
      <w:r>
        <w:rPr>
          <w:rFonts w:ascii="宋体" w:hAnsi="宋体" w:eastAsia="宋体" w:cs="宋体"/>
          <w:b/>
          <w:bCs/>
          <w:color w:val="auto"/>
          <w:spacing w:val="6"/>
          <w:sz w:val="20"/>
          <w:szCs w:val="20"/>
          <w:u w:val="none" w:color="auto"/>
        </w:rPr>
        <w:t>本项目沿线声环境敏感点交通噪声预测结果</w:t>
      </w:r>
      <w:r>
        <w:rPr>
          <w:rFonts w:ascii="Times New Roman" w:hAnsi="Times New Roman" w:eastAsia="Times New Roman" w:cs="Times New Roman"/>
          <w:b/>
          <w:bCs/>
          <w:color w:val="auto"/>
          <w:spacing w:val="6"/>
          <w:sz w:val="20"/>
          <w:szCs w:val="20"/>
          <w:u w:val="none" w:color="auto"/>
        </w:rPr>
        <w:t>(</w:t>
      </w:r>
      <w:r>
        <w:rPr>
          <w:rFonts w:ascii="宋体" w:hAnsi="宋体" w:eastAsia="宋体" w:cs="宋体"/>
          <w:b/>
          <w:bCs/>
          <w:color w:val="auto"/>
          <w:spacing w:val="6"/>
          <w:sz w:val="20"/>
          <w:szCs w:val="20"/>
          <w:u w:val="none" w:color="auto"/>
        </w:rPr>
        <w:t>近期</w:t>
      </w:r>
      <w:r>
        <w:rPr>
          <w:rFonts w:ascii="Times New Roman" w:hAnsi="Times New Roman" w:eastAsia="Times New Roman" w:cs="Times New Roman"/>
          <w:b/>
          <w:bCs/>
          <w:color w:val="auto"/>
          <w:spacing w:val="6"/>
          <w:sz w:val="20"/>
          <w:szCs w:val="20"/>
          <w:u w:val="none" w:color="auto"/>
        </w:rPr>
        <w:t>)</w:t>
      </w:r>
    </w:p>
    <w:p w14:paraId="64A6B025">
      <w:pPr>
        <w:spacing w:line="20" w:lineRule="exact"/>
        <w:rPr>
          <w:color w:val="auto"/>
          <w:u w:val="none" w:color="auto"/>
        </w:rPr>
      </w:pPr>
    </w:p>
    <w:tbl>
      <w:tblPr>
        <w:tblStyle w:val="72"/>
        <w:tblW w:w="14000" w:type="dxa"/>
        <w:tblInd w:w="24"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28"/>
        <w:gridCol w:w="979"/>
        <w:gridCol w:w="883"/>
        <w:gridCol w:w="1155"/>
        <w:gridCol w:w="1095"/>
        <w:gridCol w:w="555"/>
        <w:gridCol w:w="705"/>
        <w:gridCol w:w="615"/>
        <w:gridCol w:w="600"/>
        <w:gridCol w:w="660"/>
        <w:gridCol w:w="630"/>
        <w:gridCol w:w="645"/>
        <w:gridCol w:w="600"/>
        <w:gridCol w:w="675"/>
        <w:gridCol w:w="645"/>
        <w:gridCol w:w="630"/>
        <w:gridCol w:w="570"/>
        <w:gridCol w:w="585"/>
        <w:gridCol w:w="570"/>
        <w:gridCol w:w="675"/>
      </w:tblGrid>
      <w:tr w14:paraId="492CE1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528" w:type="dxa"/>
            <w:vMerge w:val="restart"/>
            <w:tcBorders>
              <w:tl2br w:val="nil"/>
              <w:tr2bl w:val="nil"/>
            </w:tcBorders>
            <w:textDirection w:val="tbRlV"/>
            <w:vAlign w:val="center"/>
          </w:tcPr>
          <w:p w14:paraId="1E815056">
            <w:pPr>
              <w:pStyle w:val="81"/>
              <w:keepNext w:val="0"/>
              <w:keepLines w:val="0"/>
              <w:pageBreakBefore w:val="0"/>
              <w:widowControl w:val="0"/>
              <w:kinsoku/>
              <w:wordWrap/>
              <w:overflowPunct/>
              <w:topLinePunct w:val="0"/>
              <w:autoSpaceDE/>
              <w:autoSpaceDN/>
              <w:bidi w:val="0"/>
              <w:adjustRightInd w:val="0"/>
              <w:snapToGrid w:val="0"/>
              <w:spacing w:before="176" w:line="240" w:lineRule="auto"/>
              <w:ind w:left="0" w:right="0" w:firstLine="0"/>
              <w:jc w:val="center"/>
              <w:textAlignment w:val="auto"/>
              <w:rPr>
                <w:color w:val="auto"/>
                <w:sz w:val="18"/>
                <w:szCs w:val="18"/>
                <w:u w:val="none" w:color="auto"/>
              </w:rPr>
            </w:pPr>
            <w:r>
              <w:rPr>
                <w:color w:val="auto"/>
                <w:spacing w:val="-1"/>
                <w:sz w:val="18"/>
                <w:szCs w:val="18"/>
                <w:u w:val="none" w:color="auto"/>
              </w:rPr>
              <w:t>序</w:t>
            </w:r>
            <w:r>
              <w:rPr>
                <w:color w:val="auto"/>
                <w:spacing w:val="43"/>
                <w:sz w:val="18"/>
                <w:szCs w:val="18"/>
                <w:u w:val="none" w:color="auto"/>
              </w:rPr>
              <w:t xml:space="preserve"> </w:t>
            </w:r>
            <w:r>
              <w:rPr>
                <w:color w:val="auto"/>
                <w:spacing w:val="-1"/>
                <w:sz w:val="18"/>
                <w:szCs w:val="18"/>
                <w:u w:val="none" w:color="auto"/>
              </w:rPr>
              <w:t>号</w:t>
            </w:r>
          </w:p>
        </w:tc>
        <w:tc>
          <w:tcPr>
            <w:tcW w:w="979" w:type="dxa"/>
            <w:vMerge w:val="restart"/>
            <w:tcBorders>
              <w:tl2br w:val="nil"/>
              <w:tr2bl w:val="nil"/>
            </w:tcBorders>
            <w:vAlign w:val="center"/>
          </w:tcPr>
          <w:p w14:paraId="5C6DC9A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1ADFD8E0">
            <w:pPr>
              <w:pStyle w:val="81"/>
              <w:keepNext w:val="0"/>
              <w:keepLines w:val="0"/>
              <w:pageBreakBefore w:val="0"/>
              <w:widowControl w:val="0"/>
              <w:kinsoku/>
              <w:wordWrap/>
              <w:overflowPunct/>
              <w:topLinePunct w:val="0"/>
              <w:autoSpaceDE/>
              <w:autoSpaceDN/>
              <w:bidi w:val="0"/>
              <w:adjustRightInd w:val="0"/>
              <w:snapToGrid w:val="0"/>
              <w:spacing w:before="59" w:line="240" w:lineRule="auto"/>
              <w:ind w:left="0" w:right="0" w:firstLine="0"/>
              <w:jc w:val="center"/>
              <w:textAlignment w:val="auto"/>
              <w:rPr>
                <w:color w:val="auto"/>
                <w:sz w:val="18"/>
                <w:szCs w:val="18"/>
                <w:u w:val="none" w:color="auto"/>
              </w:rPr>
            </w:pPr>
            <w:r>
              <w:rPr>
                <w:color w:val="auto"/>
                <w:spacing w:val="-2"/>
                <w:sz w:val="18"/>
                <w:szCs w:val="18"/>
                <w:u w:val="none" w:color="auto"/>
              </w:rPr>
              <w:t>敏感点名</w:t>
            </w:r>
            <w:r>
              <w:rPr>
                <w:color w:val="auto"/>
                <w:sz w:val="18"/>
                <w:szCs w:val="18"/>
                <w:u w:val="none" w:color="auto"/>
              </w:rPr>
              <w:t>称</w:t>
            </w:r>
          </w:p>
        </w:tc>
        <w:tc>
          <w:tcPr>
            <w:tcW w:w="883" w:type="dxa"/>
            <w:vMerge w:val="restart"/>
            <w:tcBorders>
              <w:tl2br w:val="nil"/>
              <w:tr2bl w:val="nil"/>
            </w:tcBorders>
            <w:vAlign w:val="center"/>
          </w:tcPr>
          <w:p w14:paraId="667497A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397CBB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6AF02091">
            <w:pPr>
              <w:pStyle w:val="81"/>
              <w:keepNext w:val="0"/>
              <w:keepLines w:val="0"/>
              <w:pageBreakBefore w:val="0"/>
              <w:widowControl w:val="0"/>
              <w:kinsoku/>
              <w:wordWrap/>
              <w:overflowPunct/>
              <w:topLinePunct w:val="0"/>
              <w:autoSpaceDE/>
              <w:autoSpaceDN/>
              <w:bidi w:val="0"/>
              <w:adjustRightInd w:val="0"/>
              <w:snapToGrid w:val="0"/>
              <w:spacing w:before="58" w:line="240" w:lineRule="auto"/>
              <w:ind w:left="0" w:right="0" w:firstLine="0"/>
              <w:jc w:val="center"/>
              <w:textAlignment w:val="auto"/>
              <w:rPr>
                <w:color w:val="auto"/>
                <w:sz w:val="18"/>
                <w:szCs w:val="18"/>
                <w:u w:val="none" w:color="auto"/>
              </w:rPr>
            </w:pPr>
            <w:r>
              <w:rPr>
                <w:color w:val="auto"/>
                <w:spacing w:val="-4"/>
                <w:sz w:val="18"/>
                <w:szCs w:val="18"/>
                <w:u w:val="none" w:color="auto"/>
              </w:rPr>
              <w:t>方位</w:t>
            </w:r>
          </w:p>
        </w:tc>
        <w:tc>
          <w:tcPr>
            <w:tcW w:w="1155" w:type="dxa"/>
            <w:vMerge w:val="restart"/>
            <w:tcBorders>
              <w:tl2br w:val="nil"/>
              <w:tr2bl w:val="nil"/>
            </w:tcBorders>
            <w:vAlign w:val="center"/>
          </w:tcPr>
          <w:p w14:paraId="0FBDDCEA">
            <w:pPr>
              <w:pStyle w:val="81"/>
              <w:keepNext w:val="0"/>
              <w:keepLines w:val="0"/>
              <w:pageBreakBefore w:val="0"/>
              <w:widowControl w:val="0"/>
              <w:kinsoku/>
              <w:wordWrap/>
              <w:overflowPunct/>
              <w:topLinePunct w:val="0"/>
              <w:autoSpaceDE/>
              <w:autoSpaceDN/>
              <w:bidi w:val="0"/>
              <w:adjustRightInd w:val="0"/>
              <w:snapToGrid w:val="0"/>
              <w:spacing w:before="74" w:line="240" w:lineRule="auto"/>
              <w:ind w:left="0" w:right="0" w:firstLine="0"/>
              <w:jc w:val="center"/>
              <w:textAlignment w:val="auto"/>
              <w:rPr>
                <w:color w:val="auto"/>
                <w:sz w:val="18"/>
                <w:szCs w:val="18"/>
                <w:u w:val="none" w:color="auto"/>
              </w:rPr>
            </w:pPr>
            <w:r>
              <w:rPr>
                <w:color w:val="auto"/>
                <w:spacing w:val="-2"/>
                <w:sz w:val="18"/>
                <w:szCs w:val="18"/>
                <w:u w:val="none" w:color="auto"/>
              </w:rPr>
              <w:t>距道路中</w:t>
            </w:r>
            <w:r>
              <w:rPr>
                <w:color w:val="auto"/>
                <w:spacing w:val="-4"/>
                <w:sz w:val="18"/>
                <w:szCs w:val="18"/>
                <w:u w:val="none" w:color="auto"/>
              </w:rPr>
              <w:t>心线</w:t>
            </w:r>
            <w:r>
              <w:rPr>
                <w:rFonts w:ascii="Times New Roman" w:hAnsi="Times New Roman" w:eastAsia="Times New Roman" w:cs="Times New Roman"/>
                <w:color w:val="auto"/>
                <w:spacing w:val="-4"/>
                <w:sz w:val="18"/>
                <w:szCs w:val="18"/>
                <w:u w:val="none" w:color="auto"/>
              </w:rPr>
              <w:t>/</w:t>
            </w:r>
            <w:r>
              <w:rPr>
                <w:color w:val="auto"/>
                <w:spacing w:val="-4"/>
                <w:sz w:val="18"/>
                <w:szCs w:val="18"/>
                <w:u w:val="none" w:color="auto"/>
              </w:rPr>
              <w:t>边</w:t>
            </w:r>
            <w:r>
              <w:rPr>
                <w:color w:val="auto"/>
                <w:spacing w:val="-3"/>
                <w:sz w:val="18"/>
                <w:szCs w:val="18"/>
                <w:u w:val="none" w:color="auto"/>
              </w:rPr>
              <w:t>界线距离</w:t>
            </w:r>
            <w:r>
              <w:rPr>
                <w:color w:val="auto"/>
                <w:spacing w:val="-6"/>
                <w:sz w:val="18"/>
                <w:szCs w:val="18"/>
                <w:u w:val="none" w:color="auto"/>
              </w:rPr>
              <w:t>（</w:t>
            </w:r>
            <w:r>
              <w:rPr>
                <w:rFonts w:ascii="Times New Roman" w:hAnsi="Times New Roman" w:eastAsia="Times New Roman" w:cs="Times New Roman"/>
                <w:color w:val="auto"/>
                <w:spacing w:val="-6"/>
                <w:sz w:val="18"/>
                <w:szCs w:val="18"/>
                <w:u w:val="none" w:color="auto"/>
              </w:rPr>
              <w:t>m</w:t>
            </w:r>
            <w:r>
              <w:rPr>
                <w:color w:val="auto"/>
                <w:spacing w:val="-6"/>
                <w:sz w:val="18"/>
                <w:szCs w:val="18"/>
                <w:u w:val="none" w:color="auto"/>
              </w:rPr>
              <w:t>）</w:t>
            </w:r>
          </w:p>
        </w:tc>
        <w:tc>
          <w:tcPr>
            <w:tcW w:w="1095" w:type="dxa"/>
            <w:vMerge w:val="restart"/>
            <w:tcBorders>
              <w:tl2br w:val="nil"/>
              <w:tr2bl w:val="nil"/>
            </w:tcBorders>
            <w:vAlign w:val="center"/>
          </w:tcPr>
          <w:p w14:paraId="21E3FA80">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建筑</w:t>
            </w:r>
            <w:r>
              <w:rPr>
                <w:color w:val="auto"/>
                <w:spacing w:val="41"/>
                <w:sz w:val="18"/>
                <w:szCs w:val="18"/>
                <w:u w:val="none" w:color="auto"/>
              </w:rPr>
              <w:t>物高</w:t>
            </w:r>
            <w:r>
              <w:rPr>
                <w:color w:val="auto"/>
                <w:spacing w:val="-20"/>
                <w:sz w:val="18"/>
                <w:szCs w:val="18"/>
                <w:u w:val="none" w:color="auto"/>
              </w:rPr>
              <w:t>度（</w:t>
            </w:r>
            <w:r>
              <w:rPr>
                <w:rFonts w:ascii="Times New Roman" w:hAnsi="Times New Roman" w:eastAsia="Times New Roman" w:cs="Times New Roman"/>
                <w:color w:val="auto"/>
                <w:spacing w:val="-20"/>
                <w:sz w:val="18"/>
                <w:szCs w:val="18"/>
                <w:u w:val="none" w:color="auto"/>
              </w:rPr>
              <w:t>m</w:t>
            </w:r>
            <w:r>
              <w:rPr>
                <w:color w:val="auto"/>
                <w:spacing w:val="-20"/>
                <w:sz w:val="18"/>
                <w:szCs w:val="18"/>
                <w:u w:val="none" w:color="auto"/>
              </w:rPr>
              <w:t>）</w:t>
            </w:r>
          </w:p>
        </w:tc>
        <w:tc>
          <w:tcPr>
            <w:tcW w:w="555" w:type="dxa"/>
            <w:vMerge w:val="restart"/>
            <w:tcBorders>
              <w:tl2br w:val="nil"/>
              <w:tr2bl w:val="nil"/>
            </w:tcBorders>
            <w:textDirection w:val="tbRlV"/>
            <w:vAlign w:val="center"/>
          </w:tcPr>
          <w:p w14:paraId="702542E1">
            <w:pPr>
              <w:pStyle w:val="81"/>
              <w:keepNext w:val="0"/>
              <w:keepLines w:val="0"/>
              <w:pageBreakBefore w:val="0"/>
              <w:widowControl w:val="0"/>
              <w:kinsoku/>
              <w:wordWrap/>
              <w:overflowPunct/>
              <w:topLinePunct w:val="0"/>
              <w:autoSpaceDE/>
              <w:autoSpaceDN/>
              <w:bidi w:val="0"/>
              <w:adjustRightInd w:val="0"/>
              <w:snapToGrid w:val="0"/>
              <w:spacing w:before="179" w:line="240" w:lineRule="auto"/>
              <w:ind w:left="0" w:right="0" w:firstLine="0"/>
              <w:jc w:val="center"/>
              <w:textAlignment w:val="auto"/>
              <w:rPr>
                <w:color w:val="auto"/>
                <w:sz w:val="18"/>
                <w:szCs w:val="18"/>
                <w:u w:val="none" w:color="auto"/>
              </w:rPr>
            </w:pPr>
            <w:r>
              <w:rPr>
                <w:color w:val="auto"/>
                <w:spacing w:val="-1"/>
                <w:sz w:val="18"/>
                <w:szCs w:val="18"/>
                <w:u w:val="none" w:color="auto"/>
              </w:rPr>
              <w:t>层数</w:t>
            </w:r>
          </w:p>
        </w:tc>
        <w:tc>
          <w:tcPr>
            <w:tcW w:w="1320" w:type="dxa"/>
            <w:gridSpan w:val="2"/>
            <w:tcBorders>
              <w:tl2br w:val="nil"/>
              <w:tr2bl w:val="nil"/>
            </w:tcBorders>
            <w:vAlign w:val="center"/>
          </w:tcPr>
          <w:p w14:paraId="08BD3C62">
            <w:pPr>
              <w:pStyle w:val="81"/>
              <w:keepNext w:val="0"/>
              <w:keepLines w:val="0"/>
              <w:pageBreakBefore w:val="0"/>
              <w:widowControl w:val="0"/>
              <w:kinsoku/>
              <w:wordWrap/>
              <w:overflowPunct/>
              <w:topLinePunct w:val="0"/>
              <w:autoSpaceDE/>
              <w:autoSpaceDN/>
              <w:bidi w:val="0"/>
              <w:adjustRightInd w:val="0"/>
              <w:snapToGrid w:val="0"/>
              <w:spacing w:before="71"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噪声现状值</w:t>
            </w:r>
            <w:r>
              <w:rPr>
                <w:rFonts w:ascii="Times New Roman" w:hAnsi="Times New Roman" w:eastAsia="Times New Roman" w:cs="Times New Roman"/>
                <w:color w:val="auto"/>
                <w:sz w:val="18"/>
                <w:szCs w:val="18"/>
                <w:u w:val="none" w:color="auto"/>
              </w:rPr>
              <w:t>/dB(A)</w:t>
            </w:r>
          </w:p>
        </w:tc>
        <w:tc>
          <w:tcPr>
            <w:tcW w:w="1260" w:type="dxa"/>
            <w:gridSpan w:val="2"/>
            <w:tcBorders>
              <w:tl2br w:val="nil"/>
              <w:tr2bl w:val="nil"/>
            </w:tcBorders>
            <w:vAlign w:val="center"/>
          </w:tcPr>
          <w:p w14:paraId="39D6F246">
            <w:pPr>
              <w:pStyle w:val="81"/>
              <w:keepNext w:val="0"/>
              <w:keepLines w:val="0"/>
              <w:pageBreakBefore w:val="0"/>
              <w:widowControl w:val="0"/>
              <w:kinsoku/>
              <w:wordWrap/>
              <w:overflowPunct/>
              <w:topLinePunct w:val="0"/>
              <w:autoSpaceDE/>
              <w:autoSpaceDN/>
              <w:bidi w:val="0"/>
              <w:adjustRightInd w:val="0"/>
              <w:snapToGrid w:val="0"/>
              <w:spacing w:before="71"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噪声贡献值</w:t>
            </w:r>
            <w:r>
              <w:rPr>
                <w:rFonts w:ascii="Times New Roman" w:hAnsi="Times New Roman" w:eastAsia="Times New Roman" w:cs="Times New Roman"/>
                <w:color w:val="auto"/>
                <w:sz w:val="18"/>
                <w:szCs w:val="18"/>
                <w:u w:val="none" w:color="auto"/>
              </w:rPr>
              <w:t>/dB(A)</w:t>
            </w:r>
          </w:p>
        </w:tc>
        <w:tc>
          <w:tcPr>
            <w:tcW w:w="1275" w:type="dxa"/>
            <w:gridSpan w:val="2"/>
            <w:tcBorders>
              <w:tl2br w:val="nil"/>
              <w:tr2bl w:val="nil"/>
            </w:tcBorders>
            <w:vAlign w:val="center"/>
          </w:tcPr>
          <w:p w14:paraId="48B652E0">
            <w:pPr>
              <w:pStyle w:val="81"/>
              <w:keepNext w:val="0"/>
              <w:keepLines w:val="0"/>
              <w:pageBreakBefore w:val="0"/>
              <w:widowControl w:val="0"/>
              <w:kinsoku/>
              <w:wordWrap/>
              <w:overflowPunct/>
              <w:topLinePunct w:val="0"/>
              <w:autoSpaceDE/>
              <w:autoSpaceDN/>
              <w:bidi w:val="0"/>
              <w:adjustRightInd w:val="0"/>
              <w:snapToGrid w:val="0"/>
              <w:spacing w:before="70" w:line="240" w:lineRule="auto"/>
              <w:ind w:left="0" w:right="0" w:firstLine="0"/>
              <w:jc w:val="center"/>
              <w:textAlignment w:val="auto"/>
              <w:rPr>
                <w:color w:val="auto"/>
                <w:sz w:val="18"/>
                <w:szCs w:val="18"/>
                <w:u w:val="none" w:color="auto"/>
              </w:rPr>
            </w:pPr>
            <w:r>
              <w:rPr>
                <w:color w:val="auto"/>
                <w:spacing w:val="-4"/>
                <w:sz w:val="18"/>
                <w:szCs w:val="18"/>
                <w:u w:val="none" w:color="auto"/>
              </w:rPr>
              <w:t>噪声预测值</w:t>
            </w:r>
            <w:r>
              <w:rPr>
                <w:rFonts w:ascii="Times New Roman" w:hAnsi="Times New Roman" w:eastAsia="Times New Roman" w:cs="Times New Roman"/>
                <w:color w:val="auto"/>
                <w:spacing w:val="-1"/>
                <w:sz w:val="18"/>
                <w:szCs w:val="18"/>
                <w:u w:val="none" w:color="auto"/>
              </w:rPr>
              <w:t>/dB(A)</w:t>
            </w:r>
            <w:r>
              <w:rPr>
                <w:color w:val="auto"/>
                <w:spacing w:val="-1"/>
                <w:sz w:val="18"/>
                <w:szCs w:val="18"/>
                <w:u w:val="none" w:color="auto"/>
              </w:rPr>
              <w:t>）</w:t>
            </w:r>
          </w:p>
        </w:tc>
        <w:tc>
          <w:tcPr>
            <w:tcW w:w="1275" w:type="dxa"/>
            <w:gridSpan w:val="2"/>
            <w:tcBorders>
              <w:tl2br w:val="nil"/>
              <w:tr2bl w:val="nil"/>
            </w:tcBorders>
            <w:vAlign w:val="center"/>
          </w:tcPr>
          <w:p w14:paraId="0AE7854F">
            <w:pPr>
              <w:pStyle w:val="81"/>
              <w:keepNext w:val="0"/>
              <w:keepLines w:val="0"/>
              <w:pageBreakBefore w:val="0"/>
              <w:widowControl w:val="0"/>
              <w:kinsoku/>
              <w:wordWrap/>
              <w:overflowPunct/>
              <w:topLinePunct w:val="0"/>
              <w:autoSpaceDE/>
              <w:autoSpaceDN/>
              <w:bidi w:val="0"/>
              <w:adjustRightInd w:val="0"/>
              <w:snapToGrid w:val="0"/>
              <w:spacing w:before="71"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2"/>
                <w:sz w:val="18"/>
                <w:szCs w:val="18"/>
                <w:u w:val="none" w:color="auto"/>
              </w:rPr>
              <w:t>较现状增量</w:t>
            </w:r>
            <w:r>
              <w:rPr>
                <w:rFonts w:ascii="Times New Roman" w:hAnsi="Times New Roman" w:eastAsia="Times New Roman" w:cs="Times New Roman"/>
                <w:color w:val="auto"/>
                <w:sz w:val="18"/>
                <w:szCs w:val="18"/>
                <w:u w:val="none" w:color="auto"/>
              </w:rPr>
              <w:t>/dB(A)</w:t>
            </w:r>
          </w:p>
        </w:tc>
        <w:tc>
          <w:tcPr>
            <w:tcW w:w="1275" w:type="dxa"/>
            <w:gridSpan w:val="2"/>
            <w:tcBorders>
              <w:tl2br w:val="nil"/>
              <w:tr2bl w:val="nil"/>
            </w:tcBorders>
            <w:vAlign w:val="center"/>
          </w:tcPr>
          <w:p w14:paraId="563B8493">
            <w:pPr>
              <w:pStyle w:val="81"/>
              <w:keepNext w:val="0"/>
              <w:keepLines w:val="0"/>
              <w:pageBreakBefore w:val="0"/>
              <w:widowControl w:val="0"/>
              <w:kinsoku/>
              <w:wordWrap/>
              <w:overflowPunct/>
              <w:topLinePunct w:val="0"/>
              <w:autoSpaceDE/>
              <w:autoSpaceDN/>
              <w:bidi w:val="0"/>
              <w:adjustRightInd w:val="0"/>
              <w:snapToGrid w:val="0"/>
              <w:spacing w:before="227"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155" w:type="dxa"/>
            <w:gridSpan w:val="2"/>
            <w:tcBorders>
              <w:tl2br w:val="nil"/>
              <w:tr2bl w:val="nil"/>
            </w:tcBorders>
            <w:vAlign w:val="center"/>
          </w:tcPr>
          <w:p w14:paraId="0EA459D1">
            <w:pPr>
              <w:pStyle w:val="81"/>
              <w:keepNext w:val="0"/>
              <w:keepLines w:val="0"/>
              <w:pageBreakBefore w:val="0"/>
              <w:widowControl w:val="0"/>
              <w:kinsoku/>
              <w:wordWrap/>
              <w:overflowPunct/>
              <w:topLinePunct w:val="0"/>
              <w:autoSpaceDE/>
              <w:autoSpaceDN/>
              <w:bidi w:val="0"/>
              <w:adjustRightInd w:val="0"/>
              <w:snapToGrid w:val="0"/>
              <w:spacing w:before="227"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245" w:type="dxa"/>
            <w:gridSpan w:val="2"/>
            <w:tcBorders>
              <w:tl2br w:val="nil"/>
              <w:tr2bl w:val="nil"/>
            </w:tcBorders>
            <w:vAlign w:val="center"/>
          </w:tcPr>
          <w:p w14:paraId="694E605C">
            <w:pPr>
              <w:pStyle w:val="81"/>
              <w:keepNext w:val="0"/>
              <w:keepLines w:val="0"/>
              <w:pageBreakBefore w:val="0"/>
              <w:widowControl w:val="0"/>
              <w:kinsoku/>
              <w:wordWrap/>
              <w:overflowPunct/>
              <w:topLinePunct w:val="0"/>
              <w:autoSpaceDE/>
              <w:autoSpaceDN/>
              <w:bidi w:val="0"/>
              <w:adjustRightInd w:val="0"/>
              <w:snapToGrid w:val="0"/>
              <w:spacing w:before="71"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2</w:t>
            </w:r>
            <w:r>
              <w:rPr>
                <w:color w:val="auto"/>
                <w:spacing w:val="-3"/>
                <w:sz w:val="18"/>
                <w:szCs w:val="18"/>
                <w:u w:val="none" w:color="auto"/>
              </w:rPr>
              <w:t>类标</w:t>
            </w:r>
            <w:r>
              <w:rPr>
                <w:rFonts w:hint="eastAsia"/>
                <w:color w:val="auto"/>
                <w:spacing w:val="-3"/>
                <w:sz w:val="18"/>
                <w:szCs w:val="18"/>
                <w:u w:val="none" w:color="auto"/>
                <w:lang w:val="en-US" w:eastAsia="zh-CN"/>
              </w:rPr>
              <w:t>准</w:t>
            </w:r>
            <w:r>
              <w:rPr>
                <w:rFonts w:ascii="Times New Roman" w:hAnsi="Times New Roman" w:eastAsia="Times New Roman" w:cs="Times New Roman"/>
                <w:color w:val="auto"/>
                <w:sz w:val="18"/>
                <w:szCs w:val="18"/>
                <w:u w:val="none" w:color="auto"/>
              </w:rPr>
              <w:t>/dB(A)</w:t>
            </w:r>
          </w:p>
        </w:tc>
      </w:tr>
      <w:tr w14:paraId="351D6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528" w:type="dxa"/>
            <w:vMerge w:val="continue"/>
            <w:tcBorders>
              <w:tl2br w:val="nil"/>
              <w:tr2bl w:val="nil"/>
            </w:tcBorders>
            <w:textDirection w:val="tbRlV"/>
            <w:vAlign w:val="center"/>
          </w:tcPr>
          <w:p w14:paraId="2F7B7B9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078075E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883" w:type="dxa"/>
            <w:vMerge w:val="continue"/>
            <w:tcBorders>
              <w:tl2br w:val="nil"/>
              <w:tr2bl w:val="nil"/>
            </w:tcBorders>
            <w:vAlign w:val="center"/>
          </w:tcPr>
          <w:p w14:paraId="2C54CC8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3103A56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095" w:type="dxa"/>
            <w:vMerge w:val="continue"/>
            <w:tcBorders>
              <w:tl2br w:val="nil"/>
              <w:tr2bl w:val="nil"/>
            </w:tcBorders>
            <w:vAlign w:val="center"/>
          </w:tcPr>
          <w:p w14:paraId="0D3789A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vMerge w:val="continue"/>
            <w:tcBorders>
              <w:tl2br w:val="nil"/>
              <w:tr2bl w:val="nil"/>
            </w:tcBorders>
            <w:textDirection w:val="tbRlV"/>
            <w:vAlign w:val="center"/>
          </w:tcPr>
          <w:p w14:paraId="0A00431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705" w:type="dxa"/>
            <w:tcBorders>
              <w:tl2br w:val="nil"/>
              <w:tr2bl w:val="nil"/>
            </w:tcBorders>
            <w:vAlign w:val="center"/>
          </w:tcPr>
          <w:p w14:paraId="2AEE82C4">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15" w:type="dxa"/>
            <w:tcBorders>
              <w:tl2br w:val="nil"/>
              <w:tr2bl w:val="nil"/>
            </w:tcBorders>
            <w:vAlign w:val="center"/>
          </w:tcPr>
          <w:p w14:paraId="48B3E7C3">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00" w:type="dxa"/>
            <w:tcBorders>
              <w:tl2br w:val="nil"/>
              <w:tr2bl w:val="nil"/>
            </w:tcBorders>
            <w:vAlign w:val="center"/>
          </w:tcPr>
          <w:p w14:paraId="04BD9A12">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60" w:type="dxa"/>
            <w:tcBorders>
              <w:tl2br w:val="nil"/>
              <w:tr2bl w:val="nil"/>
            </w:tcBorders>
            <w:vAlign w:val="center"/>
          </w:tcPr>
          <w:p w14:paraId="6AD3CD74">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30" w:type="dxa"/>
            <w:tcBorders>
              <w:tl2br w:val="nil"/>
              <w:tr2bl w:val="nil"/>
            </w:tcBorders>
            <w:vAlign w:val="center"/>
          </w:tcPr>
          <w:p w14:paraId="685A2A20">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45" w:type="dxa"/>
            <w:tcBorders>
              <w:tl2br w:val="nil"/>
              <w:tr2bl w:val="nil"/>
            </w:tcBorders>
            <w:vAlign w:val="center"/>
          </w:tcPr>
          <w:p w14:paraId="349D692C">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00" w:type="dxa"/>
            <w:tcBorders>
              <w:tl2br w:val="nil"/>
              <w:tr2bl w:val="nil"/>
            </w:tcBorders>
            <w:vAlign w:val="center"/>
          </w:tcPr>
          <w:p w14:paraId="27942D73">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75" w:type="dxa"/>
            <w:tcBorders>
              <w:tl2br w:val="nil"/>
              <w:tr2bl w:val="nil"/>
            </w:tcBorders>
            <w:vAlign w:val="center"/>
          </w:tcPr>
          <w:p w14:paraId="4167C2F8">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45" w:type="dxa"/>
            <w:tcBorders>
              <w:tl2br w:val="nil"/>
              <w:tr2bl w:val="nil"/>
            </w:tcBorders>
            <w:vAlign w:val="center"/>
          </w:tcPr>
          <w:p w14:paraId="0906716F">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30" w:type="dxa"/>
            <w:tcBorders>
              <w:tl2br w:val="nil"/>
              <w:tr2bl w:val="nil"/>
            </w:tcBorders>
            <w:vAlign w:val="center"/>
          </w:tcPr>
          <w:p w14:paraId="6AA5A252">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70" w:type="dxa"/>
            <w:tcBorders>
              <w:tl2br w:val="nil"/>
              <w:tr2bl w:val="nil"/>
            </w:tcBorders>
            <w:vAlign w:val="center"/>
          </w:tcPr>
          <w:p w14:paraId="4EDCE048">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585" w:type="dxa"/>
            <w:tcBorders>
              <w:tl2br w:val="nil"/>
              <w:tr2bl w:val="nil"/>
            </w:tcBorders>
            <w:vAlign w:val="center"/>
          </w:tcPr>
          <w:p w14:paraId="16718162">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70" w:type="dxa"/>
            <w:tcBorders>
              <w:tl2br w:val="nil"/>
              <w:tr2bl w:val="nil"/>
            </w:tcBorders>
            <w:vAlign w:val="center"/>
          </w:tcPr>
          <w:p w14:paraId="41233591">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75" w:type="dxa"/>
            <w:tcBorders>
              <w:tl2br w:val="nil"/>
              <w:tr2bl w:val="nil"/>
            </w:tcBorders>
            <w:vAlign w:val="center"/>
          </w:tcPr>
          <w:p w14:paraId="54ADB6F7">
            <w:pPr>
              <w:pStyle w:val="81"/>
              <w:keepNext w:val="0"/>
              <w:keepLines w:val="0"/>
              <w:pageBreakBefore w:val="0"/>
              <w:widowControl w:val="0"/>
              <w:kinsoku/>
              <w:wordWrap/>
              <w:overflowPunct/>
              <w:topLinePunct w:val="0"/>
              <w:autoSpaceDE/>
              <w:autoSpaceDN/>
              <w:bidi w:val="0"/>
              <w:adjustRightInd w:val="0"/>
              <w:snapToGrid w:val="0"/>
              <w:spacing w:before="228"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r>
      <w:tr w14:paraId="059B14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28" w:type="dxa"/>
            <w:vMerge w:val="restart"/>
            <w:tcBorders>
              <w:tl2br w:val="nil"/>
              <w:tr2bl w:val="nil"/>
            </w:tcBorders>
            <w:vAlign w:val="center"/>
          </w:tcPr>
          <w:p w14:paraId="487C591A">
            <w:pPr>
              <w:keepNext w:val="0"/>
              <w:keepLines w:val="0"/>
              <w:pageBreakBefore w:val="0"/>
              <w:widowControl w:val="0"/>
              <w:kinsoku/>
              <w:wordWrap/>
              <w:overflowPunct/>
              <w:topLinePunct w:val="0"/>
              <w:autoSpaceDE/>
              <w:autoSpaceDN/>
              <w:bidi w:val="0"/>
              <w:adjustRightInd w:val="0"/>
              <w:snapToGrid w:val="0"/>
              <w:spacing w:before="27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z w:val="18"/>
                <w:szCs w:val="18"/>
                <w:u w:val="none" w:color="auto"/>
              </w:rPr>
              <w:t>1</w:t>
            </w:r>
          </w:p>
        </w:tc>
        <w:tc>
          <w:tcPr>
            <w:tcW w:w="979" w:type="dxa"/>
            <w:vMerge w:val="restart"/>
            <w:tcBorders>
              <w:tl2br w:val="nil"/>
              <w:tr2bl w:val="nil"/>
            </w:tcBorders>
            <w:vAlign w:val="center"/>
          </w:tcPr>
          <w:p w14:paraId="35153AD2">
            <w:pPr>
              <w:pStyle w:val="81"/>
              <w:keepNext w:val="0"/>
              <w:keepLines w:val="0"/>
              <w:pageBreakBefore w:val="0"/>
              <w:widowControl w:val="0"/>
              <w:kinsoku/>
              <w:wordWrap/>
              <w:overflowPunct/>
              <w:topLinePunct w:val="0"/>
              <w:autoSpaceDE/>
              <w:autoSpaceDN/>
              <w:bidi w:val="0"/>
              <w:adjustRightInd w:val="0"/>
              <w:snapToGrid w:val="0"/>
              <w:spacing w:before="97" w:line="240" w:lineRule="auto"/>
              <w:ind w:left="0" w:right="0" w:firstLine="0"/>
              <w:jc w:val="center"/>
              <w:textAlignment w:val="auto"/>
              <w:rPr>
                <w:color w:val="auto"/>
                <w:sz w:val="18"/>
                <w:szCs w:val="18"/>
                <w:u w:val="none" w:color="auto"/>
              </w:rPr>
            </w:pPr>
            <w:r>
              <w:rPr>
                <w:rFonts w:hint="eastAsia"/>
                <w:color w:val="auto"/>
                <w:spacing w:val="-11"/>
                <w:sz w:val="18"/>
                <w:szCs w:val="18"/>
                <w:u w:val="none" w:color="auto"/>
                <w:lang w:val="en-US" w:eastAsia="zh-CN"/>
              </w:rPr>
              <w:t>安置区三期</w:t>
            </w:r>
          </w:p>
        </w:tc>
        <w:tc>
          <w:tcPr>
            <w:tcW w:w="883" w:type="dxa"/>
            <w:vMerge w:val="restart"/>
            <w:tcBorders>
              <w:tl2br w:val="nil"/>
              <w:tr2bl w:val="nil"/>
            </w:tcBorders>
            <w:vAlign w:val="center"/>
          </w:tcPr>
          <w:p w14:paraId="16A0E523">
            <w:pPr>
              <w:pStyle w:val="81"/>
              <w:keepNext w:val="0"/>
              <w:keepLines w:val="0"/>
              <w:pageBreakBefore w:val="0"/>
              <w:widowControl w:val="0"/>
              <w:kinsoku/>
              <w:wordWrap/>
              <w:overflowPunct/>
              <w:topLinePunct w:val="0"/>
              <w:autoSpaceDE/>
              <w:autoSpaceDN/>
              <w:bidi w:val="0"/>
              <w:adjustRightInd w:val="0"/>
              <w:snapToGrid w:val="0"/>
              <w:spacing w:before="246" w:line="240" w:lineRule="auto"/>
              <w:ind w:left="0" w:right="0" w:firstLine="0"/>
              <w:jc w:val="center"/>
              <w:textAlignment w:val="auto"/>
              <w:rPr>
                <w:color w:val="auto"/>
                <w:sz w:val="18"/>
                <w:szCs w:val="18"/>
                <w:u w:val="none" w:color="auto"/>
              </w:rPr>
            </w:pPr>
            <w:r>
              <w:rPr>
                <w:rFonts w:hint="eastAsia"/>
                <w:color w:val="auto"/>
                <w:spacing w:val="2"/>
                <w:sz w:val="18"/>
                <w:szCs w:val="18"/>
                <w:u w:val="none" w:color="auto"/>
                <w:lang w:val="en-US" w:eastAsia="zh-CN"/>
              </w:rPr>
              <w:t>两侧</w:t>
            </w:r>
          </w:p>
        </w:tc>
        <w:tc>
          <w:tcPr>
            <w:tcW w:w="1155" w:type="dxa"/>
            <w:vMerge w:val="restart"/>
            <w:tcBorders>
              <w:tl2br w:val="nil"/>
              <w:tr2bl w:val="nil"/>
            </w:tcBorders>
            <w:vAlign w:val="center"/>
          </w:tcPr>
          <w:p w14:paraId="6E1E6731">
            <w:pPr>
              <w:keepNext w:val="0"/>
              <w:keepLines w:val="0"/>
              <w:pageBreakBefore w:val="0"/>
              <w:widowControl w:val="0"/>
              <w:kinsoku/>
              <w:wordWrap/>
              <w:overflowPunct/>
              <w:topLinePunct w:val="0"/>
              <w:autoSpaceDE/>
              <w:autoSpaceDN/>
              <w:bidi w:val="0"/>
              <w:adjustRightInd w:val="0"/>
              <w:snapToGrid w:val="0"/>
              <w:spacing w:before="271"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2"/>
                <w:sz w:val="18"/>
                <w:szCs w:val="18"/>
                <w:u w:val="none" w:color="auto"/>
                <w:lang w:val="en-US" w:eastAsia="zh-CN"/>
              </w:rPr>
              <w:t>15</w:t>
            </w:r>
          </w:p>
        </w:tc>
        <w:tc>
          <w:tcPr>
            <w:tcW w:w="1095" w:type="dxa"/>
            <w:vMerge w:val="restart"/>
            <w:tcBorders>
              <w:tl2br w:val="nil"/>
              <w:tr2bl w:val="nil"/>
            </w:tcBorders>
            <w:vAlign w:val="center"/>
          </w:tcPr>
          <w:p w14:paraId="529D4B4D">
            <w:pPr>
              <w:keepNext w:val="0"/>
              <w:keepLines w:val="0"/>
              <w:pageBreakBefore w:val="0"/>
              <w:widowControl w:val="0"/>
              <w:kinsoku/>
              <w:wordWrap/>
              <w:overflowPunct/>
              <w:topLinePunct w:val="0"/>
              <w:autoSpaceDE/>
              <w:autoSpaceDN/>
              <w:bidi w:val="0"/>
              <w:adjustRightInd w:val="0"/>
              <w:snapToGrid w:val="0"/>
              <w:spacing w:before="274"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22.5</w:t>
            </w:r>
          </w:p>
        </w:tc>
        <w:tc>
          <w:tcPr>
            <w:tcW w:w="555" w:type="dxa"/>
            <w:tcBorders>
              <w:tl2br w:val="nil"/>
              <w:tr2bl w:val="nil"/>
            </w:tcBorders>
            <w:vAlign w:val="center"/>
          </w:tcPr>
          <w:p w14:paraId="63FC4B6B">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0"/>
                <w:sz w:val="18"/>
                <w:szCs w:val="18"/>
                <w:u w:val="none" w:color="auto"/>
              </w:rPr>
              <w:t>1F</w:t>
            </w:r>
          </w:p>
        </w:tc>
        <w:tc>
          <w:tcPr>
            <w:tcW w:w="705" w:type="dxa"/>
            <w:tcBorders>
              <w:tl2br w:val="nil"/>
              <w:tr2bl w:val="nil"/>
            </w:tcBorders>
            <w:vAlign w:val="center"/>
          </w:tcPr>
          <w:p w14:paraId="5D0AFC72">
            <w:pPr>
              <w:keepNext w:val="0"/>
              <w:keepLines w:val="0"/>
              <w:pageBreakBefore w:val="0"/>
              <w:widowControl w:val="0"/>
              <w:kinsoku/>
              <w:wordWrap/>
              <w:overflowPunct/>
              <w:topLinePunct w:val="0"/>
              <w:autoSpaceDE/>
              <w:autoSpaceDN/>
              <w:bidi w:val="0"/>
              <w:adjustRightInd w:val="0"/>
              <w:snapToGrid w:val="0"/>
              <w:spacing w:before="105"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.0</w:t>
            </w:r>
          </w:p>
        </w:tc>
        <w:tc>
          <w:tcPr>
            <w:tcW w:w="615" w:type="dxa"/>
            <w:tcBorders>
              <w:tl2br w:val="nil"/>
              <w:tr2bl w:val="nil"/>
            </w:tcBorders>
            <w:vAlign w:val="center"/>
          </w:tcPr>
          <w:p w14:paraId="2B22D04E">
            <w:pPr>
              <w:keepNext w:val="0"/>
              <w:keepLines w:val="0"/>
              <w:pageBreakBefore w:val="0"/>
              <w:widowControl w:val="0"/>
              <w:kinsoku/>
              <w:wordWrap/>
              <w:overflowPunct/>
              <w:topLinePunct w:val="0"/>
              <w:autoSpaceDE/>
              <w:autoSpaceDN/>
              <w:bidi w:val="0"/>
              <w:adjustRightInd w:val="0"/>
              <w:snapToGrid w:val="0"/>
              <w:spacing w:before="105"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00" w:type="dxa"/>
            <w:tcBorders>
              <w:tl2br w:val="nil"/>
              <w:tr2bl w:val="nil"/>
            </w:tcBorders>
            <w:vAlign w:val="center"/>
          </w:tcPr>
          <w:p w14:paraId="48FCAD09">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44.5</w:t>
            </w:r>
          </w:p>
        </w:tc>
        <w:tc>
          <w:tcPr>
            <w:tcW w:w="660" w:type="dxa"/>
            <w:tcBorders>
              <w:tl2br w:val="nil"/>
              <w:tr2bl w:val="nil"/>
            </w:tcBorders>
            <w:vAlign w:val="center"/>
          </w:tcPr>
          <w:p w14:paraId="12D3E9BD">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40.7</w:t>
            </w:r>
          </w:p>
        </w:tc>
        <w:tc>
          <w:tcPr>
            <w:tcW w:w="630" w:type="dxa"/>
            <w:tcBorders>
              <w:tl2br w:val="nil"/>
              <w:tr2bl w:val="nil"/>
            </w:tcBorders>
            <w:vAlign w:val="center"/>
          </w:tcPr>
          <w:p w14:paraId="4046E002">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3"/>
                <w:sz w:val="18"/>
                <w:szCs w:val="18"/>
                <w:u w:val="none" w:color="auto"/>
                <w:lang w:val="en-US" w:eastAsia="zh-CN"/>
              </w:rPr>
              <w:t>54.5</w:t>
            </w:r>
          </w:p>
        </w:tc>
        <w:tc>
          <w:tcPr>
            <w:tcW w:w="645" w:type="dxa"/>
            <w:tcBorders>
              <w:tl2br w:val="nil"/>
              <w:tr2bl w:val="nil"/>
            </w:tcBorders>
            <w:vAlign w:val="center"/>
          </w:tcPr>
          <w:p w14:paraId="72039307">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hint="eastAsia" w:ascii="Times New Roman" w:hAnsi="Times New Roman" w:eastAsia="宋体" w:cs="Times New Roman"/>
                <w:color w:val="auto"/>
                <w:sz w:val="18"/>
                <w:szCs w:val="18"/>
                <w:u w:val="none" w:color="auto"/>
                <w:lang w:eastAsia="zh-CN"/>
              </w:rPr>
            </w:pPr>
            <w:r>
              <w:rPr>
                <w:rFonts w:ascii="Times New Roman" w:hAnsi="Times New Roman" w:eastAsia="Times New Roman" w:cs="Times New Roman"/>
                <w:color w:val="auto"/>
                <w:spacing w:val="-1"/>
                <w:sz w:val="18"/>
                <w:szCs w:val="18"/>
                <w:u w:val="none" w:color="auto"/>
              </w:rPr>
              <w:t>43.</w:t>
            </w:r>
            <w:r>
              <w:rPr>
                <w:rFonts w:hint="eastAsia" w:ascii="Times New Roman" w:hAnsi="Times New Roman" w:eastAsia="宋体" w:cs="Times New Roman"/>
                <w:color w:val="auto"/>
                <w:spacing w:val="-1"/>
                <w:sz w:val="18"/>
                <w:szCs w:val="18"/>
                <w:u w:val="none" w:color="auto"/>
                <w:lang w:val="en-US" w:eastAsia="zh-CN"/>
              </w:rPr>
              <w:t>9</w:t>
            </w:r>
          </w:p>
        </w:tc>
        <w:tc>
          <w:tcPr>
            <w:tcW w:w="600" w:type="dxa"/>
            <w:tcBorders>
              <w:tl2br w:val="nil"/>
              <w:tr2bl w:val="nil"/>
            </w:tcBorders>
            <w:vAlign w:val="center"/>
          </w:tcPr>
          <w:p w14:paraId="40C315F9">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hint="eastAsia" w:ascii="Times New Roman" w:hAnsi="Times New Roman" w:eastAsia="宋体" w:cs="Times New Roman"/>
                <w:color w:val="auto"/>
                <w:sz w:val="18"/>
                <w:szCs w:val="18"/>
                <w:u w:val="none" w:color="auto"/>
                <w:lang w:eastAsia="zh-CN"/>
              </w:rPr>
            </w:pPr>
            <w:r>
              <w:rPr>
                <w:rFonts w:ascii="Times New Roman" w:hAnsi="Times New Roman" w:eastAsia="Times New Roman" w:cs="Times New Roman"/>
                <w:color w:val="auto"/>
                <w:spacing w:val="-2"/>
                <w:sz w:val="18"/>
                <w:szCs w:val="18"/>
                <w:u w:val="none" w:color="auto"/>
              </w:rPr>
              <w:t>0.</w:t>
            </w:r>
            <w:r>
              <w:rPr>
                <w:rFonts w:hint="eastAsia" w:ascii="Times New Roman" w:hAnsi="Times New Roman" w:eastAsia="宋体" w:cs="Times New Roman"/>
                <w:color w:val="auto"/>
                <w:spacing w:val="-2"/>
                <w:sz w:val="18"/>
                <w:szCs w:val="18"/>
                <w:u w:val="none" w:color="auto"/>
                <w:lang w:val="en-US" w:eastAsia="zh-CN"/>
              </w:rPr>
              <w:t>5</w:t>
            </w:r>
          </w:p>
        </w:tc>
        <w:tc>
          <w:tcPr>
            <w:tcW w:w="675" w:type="dxa"/>
            <w:tcBorders>
              <w:tl2br w:val="nil"/>
              <w:tr2bl w:val="nil"/>
            </w:tcBorders>
            <w:vAlign w:val="center"/>
          </w:tcPr>
          <w:p w14:paraId="7B037468">
            <w:pPr>
              <w:keepNext w:val="0"/>
              <w:keepLines w:val="0"/>
              <w:pageBreakBefore w:val="0"/>
              <w:widowControl w:val="0"/>
              <w:kinsoku/>
              <w:wordWrap/>
              <w:overflowPunct/>
              <w:topLinePunct w:val="0"/>
              <w:autoSpaceDE/>
              <w:autoSpaceDN/>
              <w:bidi w:val="0"/>
              <w:adjustRightInd w:val="0"/>
              <w:snapToGrid w:val="0"/>
              <w:spacing w:before="114"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3"/>
                <w:sz w:val="18"/>
                <w:szCs w:val="18"/>
                <w:u w:val="none" w:color="auto"/>
                <w:lang w:val="en-US" w:eastAsia="zh-CN"/>
              </w:rPr>
              <w:t>2.9</w:t>
            </w:r>
          </w:p>
        </w:tc>
        <w:tc>
          <w:tcPr>
            <w:tcW w:w="645" w:type="dxa"/>
            <w:vMerge w:val="restart"/>
            <w:tcBorders>
              <w:tl2br w:val="nil"/>
              <w:tr2bl w:val="nil"/>
            </w:tcBorders>
            <w:vAlign w:val="center"/>
          </w:tcPr>
          <w:p w14:paraId="5C1F5E3D">
            <w:pPr>
              <w:pStyle w:val="81"/>
              <w:keepNext w:val="0"/>
              <w:keepLines w:val="0"/>
              <w:pageBreakBefore w:val="0"/>
              <w:widowControl w:val="0"/>
              <w:kinsoku/>
              <w:wordWrap/>
              <w:overflowPunct/>
              <w:topLinePunct w:val="0"/>
              <w:autoSpaceDE/>
              <w:autoSpaceDN/>
              <w:bidi w:val="0"/>
              <w:adjustRightInd w:val="0"/>
              <w:snapToGrid w:val="0"/>
              <w:spacing w:before="243"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630" w:type="dxa"/>
            <w:vMerge w:val="restart"/>
            <w:tcBorders>
              <w:tl2br w:val="nil"/>
              <w:tr2bl w:val="nil"/>
            </w:tcBorders>
            <w:vAlign w:val="center"/>
          </w:tcPr>
          <w:p w14:paraId="57B681DB">
            <w:pPr>
              <w:pStyle w:val="81"/>
              <w:keepNext w:val="0"/>
              <w:keepLines w:val="0"/>
              <w:pageBreakBefore w:val="0"/>
              <w:widowControl w:val="0"/>
              <w:kinsoku/>
              <w:wordWrap/>
              <w:overflowPunct/>
              <w:topLinePunct w:val="0"/>
              <w:autoSpaceDE/>
              <w:autoSpaceDN/>
              <w:bidi w:val="0"/>
              <w:adjustRightInd w:val="0"/>
              <w:snapToGrid w:val="0"/>
              <w:spacing w:before="243"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70" w:type="dxa"/>
            <w:vMerge w:val="restart"/>
            <w:tcBorders>
              <w:tl2br w:val="nil"/>
              <w:tr2bl w:val="nil"/>
            </w:tcBorders>
            <w:vAlign w:val="center"/>
          </w:tcPr>
          <w:p w14:paraId="1D9169A4">
            <w:pPr>
              <w:pStyle w:val="81"/>
              <w:keepNext w:val="0"/>
              <w:keepLines w:val="0"/>
              <w:pageBreakBefore w:val="0"/>
              <w:widowControl w:val="0"/>
              <w:kinsoku/>
              <w:wordWrap/>
              <w:overflowPunct/>
              <w:topLinePunct w:val="0"/>
              <w:autoSpaceDE/>
              <w:autoSpaceDN/>
              <w:bidi w:val="0"/>
              <w:adjustRightInd w:val="0"/>
              <w:snapToGrid w:val="0"/>
              <w:spacing w:before="243"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85" w:type="dxa"/>
            <w:vMerge w:val="restart"/>
            <w:tcBorders>
              <w:tl2br w:val="nil"/>
              <w:tr2bl w:val="nil"/>
            </w:tcBorders>
            <w:vAlign w:val="center"/>
          </w:tcPr>
          <w:p w14:paraId="61C02A97">
            <w:pPr>
              <w:pStyle w:val="81"/>
              <w:keepNext w:val="0"/>
              <w:keepLines w:val="0"/>
              <w:pageBreakBefore w:val="0"/>
              <w:widowControl w:val="0"/>
              <w:kinsoku/>
              <w:wordWrap/>
              <w:overflowPunct/>
              <w:topLinePunct w:val="0"/>
              <w:autoSpaceDE/>
              <w:autoSpaceDN/>
              <w:bidi w:val="0"/>
              <w:adjustRightInd w:val="0"/>
              <w:snapToGrid w:val="0"/>
              <w:spacing w:before="243"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70" w:type="dxa"/>
            <w:vMerge w:val="restart"/>
            <w:tcBorders>
              <w:tl2br w:val="nil"/>
              <w:tr2bl w:val="nil"/>
            </w:tcBorders>
            <w:vAlign w:val="center"/>
          </w:tcPr>
          <w:p w14:paraId="3A02B393">
            <w:pPr>
              <w:keepNext w:val="0"/>
              <w:keepLines w:val="0"/>
              <w:pageBreakBefore w:val="0"/>
              <w:widowControl w:val="0"/>
              <w:kinsoku/>
              <w:wordWrap/>
              <w:overflowPunct/>
              <w:topLinePunct w:val="0"/>
              <w:autoSpaceDE/>
              <w:autoSpaceDN/>
              <w:bidi w:val="0"/>
              <w:adjustRightInd w:val="0"/>
              <w:snapToGrid w:val="0"/>
              <w:spacing w:before="27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60</w:t>
            </w:r>
          </w:p>
        </w:tc>
        <w:tc>
          <w:tcPr>
            <w:tcW w:w="675" w:type="dxa"/>
            <w:vMerge w:val="restart"/>
            <w:tcBorders>
              <w:tl2br w:val="nil"/>
              <w:tr2bl w:val="nil"/>
            </w:tcBorders>
            <w:vAlign w:val="center"/>
          </w:tcPr>
          <w:p w14:paraId="0D5FF14A">
            <w:pPr>
              <w:keepNext w:val="0"/>
              <w:keepLines w:val="0"/>
              <w:pageBreakBefore w:val="0"/>
              <w:widowControl w:val="0"/>
              <w:kinsoku/>
              <w:wordWrap/>
              <w:overflowPunct/>
              <w:topLinePunct w:val="0"/>
              <w:autoSpaceDE/>
              <w:autoSpaceDN/>
              <w:bidi w:val="0"/>
              <w:adjustRightInd w:val="0"/>
              <w:snapToGrid w:val="0"/>
              <w:spacing w:before="274"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50</w:t>
            </w:r>
          </w:p>
        </w:tc>
      </w:tr>
      <w:tr w14:paraId="2232E1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528" w:type="dxa"/>
            <w:vMerge w:val="continue"/>
            <w:tcBorders>
              <w:tl2br w:val="nil"/>
              <w:tr2bl w:val="nil"/>
            </w:tcBorders>
            <w:vAlign w:val="center"/>
          </w:tcPr>
          <w:p w14:paraId="1F17A4D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15DDA9E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883" w:type="dxa"/>
            <w:vMerge w:val="continue"/>
            <w:tcBorders>
              <w:tl2br w:val="nil"/>
              <w:tr2bl w:val="nil"/>
            </w:tcBorders>
            <w:vAlign w:val="center"/>
          </w:tcPr>
          <w:p w14:paraId="153473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1087E44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095" w:type="dxa"/>
            <w:vMerge w:val="continue"/>
            <w:tcBorders>
              <w:tl2br w:val="nil"/>
              <w:tr2bl w:val="nil"/>
            </w:tcBorders>
            <w:vAlign w:val="center"/>
          </w:tcPr>
          <w:p w14:paraId="6B6EAE3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tcBorders>
              <w:tl2br w:val="nil"/>
              <w:tr2bl w:val="nil"/>
            </w:tcBorders>
            <w:vAlign w:val="center"/>
          </w:tcPr>
          <w:p w14:paraId="1FB48763">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3F</w:t>
            </w:r>
          </w:p>
        </w:tc>
        <w:tc>
          <w:tcPr>
            <w:tcW w:w="705" w:type="dxa"/>
            <w:tcBorders>
              <w:tl2br w:val="nil"/>
              <w:tr2bl w:val="nil"/>
            </w:tcBorders>
            <w:vAlign w:val="center"/>
          </w:tcPr>
          <w:p w14:paraId="475ACCF1">
            <w:pPr>
              <w:keepNext w:val="0"/>
              <w:keepLines w:val="0"/>
              <w:pageBreakBefore w:val="0"/>
              <w:widowControl w:val="0"/>
              <w:kinsoku/>
              <w:wordWrap/>
              <w:overflowPunct/>
              <w:topLinePunct w:val="0"/>
              <w:autoSpaceDE/>
              <w:autoSpaceDN/>
              <w:bidi w:val="0"/>
              <w:adjustRightInd w:val="0"/>
              <w:snapToGrid w:val="0"/>
              <w:spacing w:before="107"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w:t>
            </w:r>
            <w:r>
              <w:rPr>
                <w:rFonts w:ascii="Times New Roman" w:hAnsi="Times New Roman" w:eastAsia="Times New Roman" w:cs="Times New Roman"/>
                <w:color w:val="auto"/>
                <w:spacing w:val="-22"/>
                <w:sz w:val="18"/>
                <w:szCs w:val="18"/>
                <w:u w:val="none" w:color="auto"/>
              </w:rPr>
              <w:t xml:space="preserve"> </w:t>
            </w:r>
            <w:r>
              <w:rPr>
                <w:rFonts w:ascii="Times New Roman" w:hAnsi="Times New Roman" w:eastAsia="Times New Roman" w:cs="Times New Roman"/>
                <w:color w:val="auto"/>
                <w:spacing w:val="-3"/>
                <w:sz w:val="18"/>
                <w:szCs w:val="18"/>
                <w:u w:val="none" w:color="auto"/>
              </w:rPr>
              <w:t>1</w:t>
            </w:r>
          </w:p>
        </w:tc>
        <w:tc>
          <w:tcPr>
            <w:tcW w:w="615" w:type="dxa"/>
            <w:tcBorders>
              <w:tl2br w:val="nil"/>
              <w:tr2bl w:val="nil"/>
            </w:tcBorders>
            <w:vAlign w:val="center"/>
          </w:tcPr>
          <w:p w14:paraId="13CAD0B6">
            <w:pPr>
              <w:keepNext w:val="0"/>
              <w:keepLines w:val="0"/>
              <w:pageBreakBefore w:val="0"/>
              <w:widowControl w:val="0"/>
              <w:kinsoku/>
              <w:wordWrap/>
              <w:overflowPunct/>
              <w:topLinePunct w:val="0"/>
              <w:autoSpaceDE/>
              <w:autoSpaceDN/>
              <w:bidi w:val="0"/>
              <w:adjustRightInd w:val="0"/>
              <w:snapToGrid w:val="0"/>
              <w:spacing w:before="107"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00" w:type="dxa"/>
            <w:tcBorders>
              <w:tl2br w:val="nil"/>
              <w:tr2bl w:val="nil"/>
            </w:tcBorders>
            <w:vAlign w:val="center"/>
          </w:tcPr>
          <w:p w14:paraId="5426B94B">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43.2</w:t>
            </w:r>
          </w:p>
        </w:tc>
        <w:tc>
          <w:tcPr>
            <w:tcW w:w="660" w:type="dxa"/>
            <w:tcBorders>
              <w:tl2br w:val="nil"/>
              <w:tr2bl w:val="nil"/>
            </w:tcBorders>
            <w:vAlign w:val="center"/>
          </w:tcPr>
          <w:p w14:paraId="4B838D82">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2"/>
                <w:sz w:val="18"/>
                <w:szCs w:val="18"/>
                <w:u w:val="none" w:color="auto"/>
              </w:rPr>
              <w:t>39.4</w:t>
            </w:r>
          </w:p>
        </w:tc>
        <w:tc>
          <w:tcPr>
            <w:tcW w:w="630" w:type="dxa"/>
            <w:tcBorders>
              <w:tl2br w:val="nil"/>
              <w:tr2bl w:val="nil"/>
            </w:tcBorders>
            <w:vAlign w:val="center"/>
          </w:tcPr>
          <w:p w14:paraId="25457D54">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3"/>
                <w:sz w:val="18"/>
                <w:szCs w:val="18"/>
                <w:u w:val="none" w:color="auto"/>
                <w:lang w:val="en-US" w:eastAsia="zh-CN"/>
              </w:rPr>
              <w:t>54.4</w:t>
            </w:r>
          </w:p>
        </w:tc>
        <w:tc>
          <w:tcPr>
            <w:tcW w:w="645" w:type="dxa"/>
            <w:tcBorders>
              <w:tl2br w:val="nil"/>
              <w:tr2bl w:val="nil"/>
            </w:tcBorders>
            <w:vAlign w:val="center"/>
          </w:tcPr>
          <w:p w14:paraId="3904C18B">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3.3</w:t>
            </w:r>
          </w:p>
        </w:tc>
        <w:tc>
          <w:tcPr>
            <w:tcW w:w="600" w:type="dxa"/>
            <w:tcBorders>
              <w:tl2br w:val="nil"/>
              <w:tr2bl w:val="nil"/>
            </w:tcBorders>
            <w:vAlign w:val="center"/>
          </w:tcPr>
          <w:p w14:paraId="7824F8A1">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2"/>
                <w:sz w:val="18"/>
                <w:szCs w:val="18"/>
                <w:u w:val="none" w:color="auto"/>
                <w:lang w:val="en-US" w:eastAsia="zh-CN"/>
              </w:rPr>
              <w:t>0.3</w:t>
            </w:r>
          </w:p>
        </w:tc>
        <w:tc>
          <w:tcPr>
            <w:tcW w:w="675" w:type="dxa"/>
            <w:tcBorders>
              <w:tl2br w:val="nil"/>
              <w:tr2bl w:val="nil"/>
            </w:tcBorders>
            <w:vAlign w:val="center"/>
          </w:tcPr>
          <w:p w14:paraId="25076DD2">
            <w:pPr>
              <w:keepNext w:val="0"/>
              <w:keepLines w:val="0"/>
              <w:pageBreakBefore w:val="0"/>
              <w:widowControl w:val="0"/>
              <w:kinsoku/>
              <w:wordWrap/>
              <w:overflowPunct/>
              <w:topLinePunct w:val="0"/>
              <w:autoSpaceDE/>
              <w:autoSpaceDN/>
              <w:bidi w:val="0"/>
              <w:adjustRightInd w:val="0"/>
              <w:snapToGrid w:val="0"/>
              <w:spacing w:before="117"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1"/>
                <w:sz w:val="18"/>
                <w:szCs w:val="18"/>
                <w:u w:val="none" w:color="auto"/>
                <w:lang w:val="en-US" w:eastAsia="zh-CN"/>
              </w:rPr>
              <w:t>2.3</w:t>
            </w:r>
          </w:p>
        </w:tc>
        <w:tc>
          <w:tcPr>
            <w:tcW w:w="645" w:type="dxa"/>
            <w:vMerge w:val="continue"/>
            <w:tcBorders>
              <w:tl2br w:val="nil"/>
              <w:tr2bl w:val="nil"/>
            </w:tcBorders>
            <w:vAlign w:val="center"/>
          </w:tcPr>
          <w:p w14:paraId="13BEE8F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30" w:type="dxa"/>
            <w:vMerge w:val="continue"/>
            <w:tcBorders>
              <w:tl2br w:val="nil"/>
              <w:tr2bl w:val="nil"/>
            </w:tcBorders>
            <w:vAlign w:val="center"/>
          </w:tcPr>
          <w:p w14:paraId="295E7F4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5082A68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85" w:type="dxa"/>
            <w:vMerge w:val="continue"/>
            <w:tcBorders>
              <w:tl2br w:val="nil"/>
              <w:tr2bl w:val="nil"/>
            </w:tcBorders>
            <w:vAlign w:val="center"/>
          </w:tcPr>
          <w:p w14:paraId="19A6E41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3CD9E81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75" w:type="dxa"/>
            <w:vMerge w:val="continue"/>
            <w:tcBorders>
              <w:tl2br w:val="nil"/>
              <w:tr2bl w:val="nil"/>
            </w:tcBorders>
            <w:vAlign w:val="center"/>
          </w:tcPr>
          <w:p w14:paraId="3E3F70C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r w14:paraId="686E0E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528" w:type="dxa"/>
            <w:vMerge w:val="continue"/>
            <w:tcBorders>
              <w:tl2br w:val="nil"/>
              <w:tr2bl w:val="nil"/>
            </w:tcBorders>
            <w:vAlign w:val="center"/>
          </w:tcPr>
          <w:p w14:paraId="05C46C6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6C8768A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883" w:type="dxa"/>
            <w:vMerge w:val="continue"/>
            <w:tcBorders>
              <w:tl2br w:val="nil"/>
              <w:tr2bl w:val="nil"/>
            </w:tcBorders>
            <w:vAlign w:val="center"/>
          </w:tcPr>
          <w:p w14:paraId="11AF2A0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4498A7F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095" w:type="dxa"/>
            <w:vMerge w:val="continue"/>
            <w:tcBorders>
              <w:tl2br w:val="nil"/>
              <w:tr2bl w:val="nil"/>
            </w:tcBorders>
            <w:vAlign w:val="center"/>
          </w:tcPr>
          <w:p w14:paraId="364754D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tcBorders>
              <w:tl2br w:val="nil"/>
              <w:tr2bl w:val="nil"/>
            </w:tcBorders>
            <w:vAlign w:val="center"/>
          </w:tcPr>
          <w:p w14:paraId="4DCC8D42">
            <w:pPr>
              <w:keepNext w:val="0"/>
              <w:keepLines w:val="0"/>
              <w:pageBreakBefore w:val="0"/>
              <w:widowControl w:val="0"/>
              <w:kinsoku/>
              <w:wordWrap/>
              <w:overflowPunct/>
              <w:topLinePunct w:val="0"/>
              <w:autoSpaceDE/>
              <w:autoSpaceDN/>
              <w:bidi w:val="0"/>
              <w:adjustRightInd w:val="0"/>
              <w:snapToGrid w:val="0"/>
              <w:spacing w:before="104" w:line="240" w:lineRule="auto"/>
              <w:ind w:left="0" w:leftChars="0" w:right="0" w:firstLine="0"/>
              <w:jc w:val="center"/>
              <w:textAlignment w:val="auto"/>
              <w:rPr>
                <w:rFonts w:ascii="Times New Roman" w:hAnsi="Times New Roman" w:eastAsia="Times New Roman" w:cs="Times New Roman"/>
                <w:color w:val="auto"/>
                <w:spacing w:val="-4"/>
                <w:sz w:val="18"/>
                <w:szCs w:val="18"/>
                <w:u w:val="none" w:color="auto"/>
              </w:rPr>
            </w:pPr>
            <w:r>
              <w:rPr>
                <w:rFonts w:hint="eastAsia" w:ascii="Times New Roman" w:hAnsi="Times New Roman" w:eastAsia="宋体" w:cs="Times New Roman"/>
                <w:color w:val="auto"/>
                <w:spacing w:val="-4"/>
                <w:sz w:val="18"/>
                <w:szCs w:val="18"/>
                <w:u w:val="none" w:color="auto"/>
                <w:lang w:val="en-US" w:eastAsia="zh-CN"/>
              </w:rPr>
              <w:t>6</w:t>
            </w:r>
            <w:r>
              <w:rPr>
                <w:rFonts w:ascii="Times New Roman" w:hAnsi="Times New Roman" w:eastAsia="Times New Roman" w:cs="Times New Roman"/>
                <w:color w:val="auto"/>
                <w:spacing w:val="-4"/>
                <w:sz w:val="18"/>
                <w:szCs w:val="18"/>
                <w:u w:val="none" w:color="auto"/>
              </w:rPr>
              <w:t>F</w:t>
            </w:r>
          </w:p>
        </w:tc>
        <w:tc>
          <w:tcPr>
            <w:tcW w:w="705" w:type="dxa"/>
            <w:tcBorders>
              <w:tl2br w:val="nil"/>
              <w:tr2bl w:val="nil"/>
            </w:tcBorders>
            <w:vAlign w:val="center"/>
          </w:tcPr>
          <w:p w14:paraId="4AD81CC4">
            <w:pPr>
              <w:keepNext w:val="0"/>
              <w:keepLines w:val="0"/>
              <w:pageBreakBefore w:val="0"/>
              <w:widowControl w:val="0"/>
              <w:kinsoku/>
              <w:wordWrap/>
              <w:overflowPunct/>
              <w:topLinePunct w:val="0"/>
              <w:autoSpaceDE/>
              <w:autoSpaceDN/>
              <w:bidi w:val="0"/>
              <w:adjustRightInd w:val="0"/>
              <w:snapToGrid w:val="0"/>
              <w:spacing w:before="111" w:line="240" w:lineRule="auto"/>
              <w:ind w:left="0" w:leftChars="0" w:right="0" w:firstLine="0"/>
              <w:jc w:val="center"/>
              <w:textAlignment w:val="auto"/>
              <w:rPr>
                <w:rFonts w:ascii="Times New Roman" w:hAnsi="Times New Roman" w:eastAsia="Times New Roman" w:cs="Times New Roman"/>
                <w:color w:val="auto"/>
                <w:spacing w:val="-3"/>
                <w:sz w:val="18"/>
                <w:szCs w:val="18"/>
                <w:u w:val="none" w:color="auto"/>
              </w:rPr>
            </w:pPr>
            <w:r>
              <w:rPr>
                <w:rFonts w:hint="eastAsia" w:ascii="Times New Roman" w:hAnsi="Times New Roman" w:eastAsia="宋体" w:cs="Times New Roman"/>
                <w:color w:val="auto"/>
                <w:spacing w:val="-1"/>
                <w:sz w:val="18"/>
                <w:szCs w:val="18"/>
                <w:u w:val="none" w:color="auto"/>
                <w:lang w:val="en-US" w:eastAsia="zh-CN"/>
              </w:rPr>
              <w:t>52</w:t>
            </w:r>
            <w:r>
              <w:rPr>
                <w:rFonts w:ascii="Times New Roman" w:hAnsi="Times New Roman" w:eastAsia="Times New Roman" w:cs="Times New Roman"/>
                <w:color w:val="auto"/>
                <w:spacing w:val="-1"/>
                <w:sz w:val="18"/>
                <w:szCs w:val="18"/>
                <w:u w:val="none" w:color="auto"/>
              </w:rPr>
              <w:t>.7</w:t>
            </w:r>
          </w:p>
        </w:tc>
        <w:tc>
          <w:tcPr>
            <w:tcW w:w="615" w:type="dxa"/>
            <w:tcBorders>
              <w:tl2br w:val="nil"/>
              <w:tr2bl w:val="nil"/>
            </w:tcBorders>
            <w:vAlign w:val="center"/>
          </w:tcPr>
          <w:p w14:paraId="073E22F2">
            <w:pPr>
              <w:keepNext w:val="0"/>
              <w:keepLines w:val="0"/>
              <w:pageBreakBefore w:val="0"/>
              <w:widowControl w:val="0"/>
              <w:kinsoku/>
              <w:wordWrap/>
              <w:overflowPunct/>
              <w:topLinePunct w:val="0"/>
              <w:autoSpaceDE/>
              <w:autoSpaceDN/>
              <w:bidi w:val="0"/>
              <w:adjustRightInd w:val="0"/>
              <w:snapToGrid w:val="0"/>
              <w:spacing w:before="111" w:line="240" w:lineRule="auto"/>
              <w:ind w:left="0" w:leftChars="0" w:right="0" w:firstLine="0"/>
              <w:jc w:val="center"/>
              <w:textAlignment w:val="auto"/>
              <w:rPr>
                <w:rFonts w:ascii="Times New Roman" w:hAnsi="Times New Roman" w:eastAsia="Times New Roman" w:cs="Times New Roman"/>
                <w:color w:val="auto"/>
                <w:spacing w:val="-1"/>
                <w:sz w:val="18"/>
                <w:szCs w:val="18"/>
                <w:u w:val="none" w:color="auto"/>
              </w:rPr>
            </w:pPr>
            <w:r>
              <w:rPr>
                <w:rFonts w:hint="eastAsia" w:ascii="Times New Roman" w:hAnsi="Times New Roman" w:eastAsia="宋体" w:cs="Times New Roman"/>
                <w:color w:val="auto"/>
                <w:spacing w:val="-2"/>
                <w:sz w:val="18"/>
                <w:szCs w:val="18"/>
                <w:u w:val="none" w:color="auto"/>
                <w:lang w:val="en-US" w:eastAsia="zh-CN"/>
              </w:rPr>
              <w:t>40.4</w:t>
            </w:r>
          </w:p>
        </w:tc>
        <w:tc>
          <w:tcPr>
            <w:tcW w:w="600" w:type="dxa"/>
            <w:tcBorders>
              <w:tl2br w:val="nil"/>
              <w:tr2bl w:val="nil"/>
            </w:tcBorders>
            <w:vAlign w:val="center"/>
          </w:tcPr>
          <w:p w14:paraId="200D2DE5">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ascii="Times New Roman" w:hAnsi="Times New Roman" w:eastAsia="Times New Roman" w:cs="Times New Roman"/>
                <w:color w:val="auto"/>
                <w:spacing w:val="-1"/>
                <w:sz w:val="18"/>
                <w:szCs w:val="18"/>
                <w:u w:val="none" w:color="auto"/>
              </w:rPr>
            </w:pPr>
            <w:r>
              <w:rPr>
                <w:rFonts w:ascii="Times New Roman" w:hAnsi="Times New Roman" w:eastAsia="Times New Roman" w:cs="Times New Roman"/>
                <w:color w:val="auto"/>
                <w:spacing w:val="-1"/>
                <w:sz w:val="18"/>
                <w:szCs w:val="18"/>
                <w:u w:val="none" w:color="auto"/>
              </w:rPr>
              <w:t>42.5</w:t>
            </w:r>
          </w:p>
        </w:tc>
        <w:tc>
          <w:tcPr>
            <w:tcW w:w="660" w:type="dxa"/>
            <w:tcBorders>
              <w:tl2br w:val="nil"/>
              <w:tr2bl w:val="nil"/>
            </w:tcBorders>
            <w:vAlign w:val="center"/>
          </w:tcPr>
          <w:p w14:paraId="6528B264">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ascii="Times New Roman" w:hAnsi="Times New Roman" w:eastAsia="Times New Roman" w:cs="Times New Roman"/>
                <w:color w:val="auto"/>
                <w:spacing w:val="-2"/>
                <w:sz w:val="18"/>
                <w:szCs w:val="18"/>
                <w:u w:val="none" w:color="auto"/>
              </w:rPr>
            </w:pPr>
            <w:r>
              <w:rPr>
                <w:rFonts w:ascii="Times New Roman" w:hAnsi="Times New Roman" w:eastAsia="Times New Roman" w:cs="Times New Roman"/>
                <w:color w:val="auto"/>
                <w:spacing w:val="-2"/>
                <w:sz w:val="18"/>
                <w:szCs w:val="18"/>
                <w:u w:val="none" w:color="auto"/>
              </w:rPr>
              <w:t>38.8</w:t>
            </w:r>
          </w:p>
        </w:tc>
        <w:tc>
          <w:tcPr>
            <w:tcW w:w="630" w:type="dxa"/>
            <w:tcBorders>
              <w:tl2br w:val="nil"/>
              <w:tr2bl w:val="nil"/>
            </w:tcBorders>
            <w:vAlign w:val="center"/>
          </w:tcPr>
          <w:p w14:paraId="63D63DC4">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hint="default" w:ascii="Times New Roman" w:hAnsi="Times New Roman" w:eastAsia="宋体" w:cs="Times New Roman"/>
                <w:color w:val="auto"/>
                <w:spacing w:val="-3"/>
                <w:sz w:val="18"/>
                <w:szCs w:val="18"/>
                <w:u w:val="none" w:color="auto"/>
                <w:lang w:val="en-US" w:eastAsia="zh-CN"/>
              </w:rPr>
            </w:pPr>
            <w:r>
              <w:rPr>
                <w:rFonts w:ascii="Times New Roman" w:hAnsi="Times New Roman" w:eastAsia="Times New Roman" w:cs="Times New Roman"/>
                <w:color w:val="auto"/>
                <w:spacing w:val="-3"/>
                <w:sz w:val="18"/>
                <w:szCs w:val="18"/>
                <w:u w:val="none" w:color="auto"/>
              </w:rPr>
              <w:t>5</w:t>
            </w:r>
            <w:r>
              <w:rPr>
                <w:rFonts w:hint="eastAsia" w:eastAsia="宋体" w:cs="Times New Roman"/>
                <w:color w:val="auto"/>
                <w:spacing w:val="-3"/>
                <w:sz w:val="18"/>
                <w:szCs w:val="18"/>
                <w:u w:val="none" w:color="auto"/>
                <w:lang w:val="en-US" w:eastAsia="zh-CN"/>
              </w:rPr>
              <w:t>3.1</w:t>
            </w:r>
          </w:p>
        </w:tc>
        <w:tc>
          <w:tcPr>
            <w:tcW w:w="645" w:type="dxa"/>
            <w:tcBorders>
              <w:tl2br w:val="nil"/>
              <w:tr2bl w:val="nil"/>
            </w:tcBorders>
            <w:vAlign w:val="center"/>
          </w:tcPr>
          <w:p w14:paraId="6D07BA78">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hint="eastAsia" w:ascii="Times New Roman" w:hAnsi="Times New Roman" w:eastAsia="宋体" w:cs="Times New Roman"/>
                <w:color w:val="auto"/>
                <w:spacing w:val="-1"/>
                <w:sz w:val="18"/>
                <w:szCs w:val="18"/>
                <w:u w:val="none" w:color="auto"/>
                <w:lang w:val="en-US" w:eastAsia="zh-CN"/>
              </w:rPr>
            </w:pPr>
            <w:r>
              <w:rPr>
                <w:rFonts w:ascii="Times New Roman" w:hAnsi="Times New Roman" w:eastAsia="Times New Roman" w:cs="Times New Roman"/>
                <w:color w:val="auto"/>
                <w:spacing w:val="-1"/>
                <w:sz w:val="18"/>
                <w:szCs w:val="18"/>
                <w:u w:val="none" w:color="auto"/>
              </w:rPr>
              <w:t>42.</w:t>
            </w:r>
            <w:r>
              <w:rPr>
                <w:rFonts w:hint="eastAsia" w:eastAsia="宋体" w:cs="Times New Roman"/>
                <w:color w:val="auto"/>
                <w:spacing w:val="-1"/>
                <w:sz w:val="18"/>
                <w:szCs w:val="18"/>
                <w:u w:val="none" w:color="auto"/>
                <w:lang w:val="en-US" w:eastAsia="zh-CN"/>
              </w:rPr>
              <w:t>7</w:t>
            </w:r>
          </w:p>
        </w:tc>
        <w:tc>
          <w:tcPr>
            <w:tcW w:w="600" w:type="dxa"/>
            <w:tcBorders>
              <w:tl2br w:val="nil"/>
              <w:tr2bl w:val="nil"/>
            </w:tcBorders>
            <w:vAlign w:val="center"/>
          </w:tcPr>
          <w:p w14:paraId="05AE33FE">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hint="default" w:ascii="Times New Roman" w:hAnsi="Times New Roman" w:eastAsia="宋体" w:cs="Times New Roman"/>
                <w:color w:val="auto"/>
                <w:spacing w:val="-2"/>
                <w:sz w:val="18"/>
                <w:szCs w:val="18"/>
                <w:u w:val="none" w:color="auto"/>
                <w:lang w:val="en-US" w:eastAsia="zh-CN"/>
              </w:rPr>
            </w:pPr>
            <w:r>
              <w:rPr>
                <w:rFonts w:hint="eastAsia" w:eastAsia="宋体" w:cs="Times New Roman"/>
                <w:color w:val="auto"/>
                <w:spacing w:val="-2"/>
                <w:sz w:val="18"/>
                <w:szCs w:val="18"/>
                <w:u w:val="none" w:color="auto"/>
                <w:lang w:val="en-US" w:eastAsia="zh-CN"/>
              </w:rPr>
              <w:t>0.4</w:t>
            </w:r>
          </w:p>
        </w:tc>
        <w:tc>
          <w:tcPr>
            <w:tcW w:w="675" w:type="dxa"/>
            <w:tcBorders>
              <w:tl2br w:val="nil"/>
              <w:tr2bl w:val="nil"/>
            </w:tcBorders>
            <w:vAlign w:val="center"/>
          </w:tcPr>
          <w:p w14:paraId="23132630">
            <w:pPr>
              <w:keepNext w:val="0"/>
              <w:keepLines w:val="0"/>
              <w:pageBreakBefore w:val="0"/>
              <w:widowControl w:val="0"/>
              <w:kinsoku/>
              <w:wordWrap/>
              <w:overflowPunct/>
              <w:topLinePunct w:val="0"/>
              <w:autoSpaceDE/>
              <w:autoSpaceDN/>
              <w:bidi w:val="0"/>
              <w:adjustRightInd w:val="0"/>
              <w:snapToGrid w:val="0"/>
              <w:spacing w:before="102" w:line="240" w:lineRule="auto"/>
              <w:ind w:left="0" w:leftChars="0" w:right="0" w:firstLine="0"/>
              <w:jc w:val="center"/>
              <w:textAlignment w:val="auto"/>
              <w:rPr>
                <w:rFonts w:hint="default" w:ascii="Times New Roman" w:hAnsi="Times New Roman" w:eastAsia="宋体" w:cs="Times New Roman"/>
                <w:color w:val="auto"/>
                <w:spacing w:val="-1"/>
                <w:sz w:val="18"/>
                <w:szCs w:val="18"/>
                <w:u w:val="none" w:color="auto"/>
                <w:lang w:val="en-US" w:eastAsia="zh-CN"/>
              </w:rPr>
            </w:pPr>
            <w:r>
              <w:rPr>
                <w:rFonts w:hint="eastAsia" w:eastAsia="宋体" w:cs="Times New Roman"/>
                <w:color w:val="auto"/>
                <w:spacing w:val="-1"/>
                <w:sz w:val="18"/>
                <w:szCs w:val="18"/>
                <w:u w:val="none" w:color="auto"/>
                <w:lang w:val="en-US" w:eastAsia="zh-CN"/>
              </w:rPr>
              <w:t>2.3</w:t>
            </w:r>
          </w:p>
        </w:tc>
        <w:tc>
          <w:tcPr>
            <w:tcW w:w="645" w:type="dxa"/>
            <w:vMerge w:val="continue"/>
            <w:tcBorders>
              <w:tl2br w:val="nil"/>
              <w:tr2bl w:val="nil"/>
            </w:tcBorders>
            <w:vAlign w:val="center"/>
          </w:tcPr>
          <w:p w14:paraId="42946D1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30" w:type="dxa"/>
            <w:vMerge w:val="continue"/>
            <w:tcBorders>
              <w:tl2br w:val="nil"/>
              <w:tr2bl w:val="nil"/>
            </w:tcBorders>
            <w:vAlign w:val="center"/>
          </w:tcPr>
          <w:p w14:paraId="1716C45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6034C6B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85" w:type="dxa"/>
            <w:vMerge w:val="continue"/>
            <w:tcBorders>
              <w:tl2br w:val="nil"/>
              <w:tr2bl w:val="nil"/>
            </w:tcBorders>
            <w:vAlign w:val="center"/>
          </w:tcPr>
          <w:p w14:paraId="58A3334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5B10815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75" w:type="dxa"/>
            <w:vMerge w:val="continue"/>
            <w:tcBorders>
              <w:tl2br w:val="nil"/>
              <w:tr2bl w:val="nil"/>
            </w:tcBorders>
            <w:vAlign w:val="center"/>
          </w:tcPr>
          <w:p w14:paraId="161B9EE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bl>
    <w:p w14:paraId="5BE2C326">
      <w:pPr>
        <w:spacing w:before="52" w:line="221" w:lineRule="auto"/>
        <w:ind w:left="4201"/>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29"/>
          <w:sz w:val="20"/>
          <w:szCs w:val="20"/>
          <w:u w:val="none" w:color="auto"/>
        </w:rPr>
        <w:t xml:space="preserve"> </w:t>
      </w:r>
      <w:r>
        <w:rPr>
          <w:rFonts w:ascii="Times New Roman" w:hAnsi="Times New Roman" w:eastAsia="Times New Roman" w:cs="Times New Roman"/>
          <w:b/>
          <w:bCs/>
          <w:color w:val="auto"/>
          <w:spacing w:val="6"/>
          <w:sz w:val="20"/>
          <w:szCs w:val="20"/>
          <w:u w:val="none" w:color="auto"/>
        </w:rPr>
        <w:t xml:space="preserve">4-18.2    </w:t>
      </w:r>
      <w:r>
        <w:rPr>
          <w:rFonts w:ascii="宋体" w:hAnsi="宋体" w:eastAsia="宋体" w:cs="宋体"/>
          <w:b/>
          <w:bCs/>
          <w:color w:val="auto"/>
          <w:spacing w:val="6"/>
          <w:sz w:val="20"/>
          <w:szCs w:val="20"/>
          <w:u w:val="none" w:color="auto"/>
        </w:rPr>
        <w:t>本项目沿线声环境敏感点交通噪声预测结果</w:t>
      </w:r>
      <w:r>
        <w:rPr>
          <w:rFonts w:ascii="Times New Roman" w:hAnsi="Times New Roman" w:eastAsia="Times New Roman" w:cs="Times New Roman"/>
          <w:b/>
          <w:bCs/>
          <w:color w:val="auto"/>
          <w:spacing w:val="6"/>
          <w:sz w:val="20"/>
          <w:szCs w:val="20"/>
          <w:u w:val="none" w:color="auto"/>
        </w:rPr>
        <w:t>(</w:t>
      </w:r>
      <w:r>
        <w:rPr>
          <w:rFonts w:ascii="宋体" w:hAnsi="宋体" w:eastAsia="宋体" w:cs="宋体"/>
          <w:b/>
          <w:bCs/>
          <w:color w:val="auto"/>
          <w:spacing w:val="6"/>
          <w:sz w:val="20"/>
          <w:szCs w:val="20"/>
          <w:u w:val="none" w:color="auto"/>
        </w:rPr>
        <w:t>中期</w:t>
      </w:r>
      <w:r>
        <w:rPr>
          <w:rFonts w:ascii="Times New Roman" w:hAnsi="Times New Roman" w:eastAsia="Times New Roman" w:cs="Times New Roman"/>
          <w:b/>
          <w:bCs/>
          <w:color w:val="auto"/>
          <w:spacing w:val="6"/>
          <w:sz w:val="20"/>
          <w:szCs w:val="20"/>
          <w:u w:val="none" w:color="auto"/>
        </w:rPr>
        <w:t>)</w:t>
      </w:r>
    </w:p>
    <w:p w14:paraId="368DE90D">
      <w:pPr>
        <w:spacing w:line="21" w:lineRule="exact"/>
        <w:rPr>
          <w:color w:val="auto"/>
          <w:u w:val="none" w:color="auto"/>
        </w:rPr>
      </w:pPr>
    </w:p>
    <w:tbl>
      <w:tblPr>
        <w:tblStyle w:val="72"/>
        <w:tblW w:w="13997"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28"/>
        <w:gridCol w:w="964"/>
        <w:gridCol w:w="955"/>
        <w:gridCol w:w="1155"/>
        <w:gridCol w:w="1365"/>
        <w:gridCol w:w="465"/>
        <w:gridCol w:w="630"/>
        <w:gridCol w:w="570"/>
        <w:gridCol w:w="690"/>
        <w:gridCol w:w="645"/>
        <w:gridCol w:w="570"/>
        <w:gridCol w:w="645"/>
        <w:gridCol w:w="720"/>
        <w:gridCol w:w="630"/>
        <w:gridCol w:w="510"/>
        <w:gridCol w:w="555"/>
        <w:gridCol w:w="555"/>
        <w:gridCol w:w="570"/>
        <w:gridCol w:w="675"/>
        <w:gridCol w:w="600"/>
      </w:tblGrid>
      <w:tr w14:paraId="0E22B9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28" w:type="dxa"/>
            <w:vMerge w:val="restart"/>
            <w:tcBorders>
              <w:tl2br w:val="nil"/>
              <w:tr2bl w:val="nil"/>
            </w:tcBorders>
            <w:textDirection w:val="tbRlV"/>
            <w:vAlign w:val="center"/>
          </w:tcPr>
          <w:p w14:paraId="7EC6195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1"/>
                <w:sz w:val="18"/>
                <w:szCs w:val="18"/>
                <w:u w:val="none" w:color="auto"/>
              </w:rPr>
              <w:t>序</w:t>
            </w:r>
            <w:r>
              <w:rPr>
                <w:color w:val="auto"/>
                <w:spacing w:val="43"/>
                <w:sz w:val="18"/>
                <w:szCs w:val="18"/>
                <w:u w:val="none" w:color="auto"/>
              </w:rPr>
              <w:t xml:space="preserve"> </w:t>
            </w:r>
            <w:r>
              <w:rPr>
                <w:color w:val="auto"/>
                <w:spacing w:val="-1"/>
                <w:sz w:val="18"/>
                <w:szCs w:val="18"/>
                <w:u w:val="none" w:color="auto"/>
              </w:rPr>
              <w:t>号</w:t>
            </w:r>
          </w:p>
        </w:tc>
        <w:tc>
          <w:tcPr>
            <w:tcW w:w="964" w:type="dxa"/>
            <w:vMerge w:val="restart"/>
            <w:tcBorders>
              <w:tl2br w:val="nil"/>
              <w:tr2bl w:val="nil"/>
            </w:tcBorders>
            <w:vAlign w:val="center"/>
          </w:tcPr>
          <w:p w14:paraId="52C26EF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44D9807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敏感点名</w:t>
            </w:r>
            <w:r>
              <w:rPr>
                <w:color w:val="auto"/>
                <w:sz w:val="18"/>
                <w:szCs w:val="18"/>
                <w:u w:val="none" w:color="auto"/>
              </w:rPr>
              <w:t>称</w:t>
            </w:r>
          </w:p>
        </w:tc>
        <w:tc>
          <w:tcPr>
            <w:tcW w:w="955" w:type="dxa"/>
            <w:vMerge w:val="restart"/>
            <w:tcBorders>
              <w:tl2br w:val="nil"/>
              <w:tr2bl w:val="nil"/>
            </w:tcBorders>
            <w:vAlign w:val="center"/>
          </w:tcPr>
          <w:p w14:paraId="5EBBF10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3765C98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方位</w:t>
            </w:r>
          </w:p>
        </w:tc>
        <w:tc>
          <w:tcPr>
            <w:tcW w:w="1155" w:type="dxa"/>
            <w:vMerge w:val="restart"/>
            <w:tcBorders>
              <w:tl2br w:val="nil"/>
              <w:tr2bl w:val="nil"/>
            </w:tcBorders>
            <w:vAlign w:val="center"/>
          </w:tcPr>
          <w:p w14:paraId="62A3E5B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距道路中</w:t>
            </w:r>
            <w:r>
              <w:rPr>
                <w:color w:val="auto"/>
                <w:spacing w:val="-4"/>
                <w:sz w:val="18"/>
                <w:szCs w:val="18"/>
                <w:u w:val="none" w:color="auto"/>
              </w:rPr>
              <w:t>心线</w:t>
            </w:r>
            <w:r>
              <w:rPr>
                <w:rFonts w:ascii="Times New Roman" w:hAnsi="Times New Roman" w:eastAsia="Times New Roman" w:cs="Times New Roman"/>
                <w:color w:val="auto"/>
                <w:spacing w:val="-4"/>
                <w:sz w:val="18"/>
                <w:szCs w:val="18"/>
                <w:u w:val="none" w:color="auto"/>
              </w:rPr>
              <w:t>/</w:t>
            </w:r>
            <w:r>
              <w:rPr>
                <w:color w:val="auto"/>
                <w:spacing w:val="-4"/>
                <w:sz w:val="18"/>
                <w:szCs w:val="18"/>
                <w:u w:val="none" w:color="auto"/>
              </w:rPr>
              <w:t>边</w:t>
            </w:r>
            <w:r>
              <w:rPr>
                <w:color w:val="auto"/>
                <w:spacing w:val="-3"/>
                <w:sz w:val="18"/>
                <w:szCs w:val="18"/>
                <w:u w:val="none" w:color="auto"/>
              </w:rPr>
              <w:t>界线距离</w:t>
            </w:r>
            <w:r>
              <w:rPr>
                <w:color w:val="auto"/>
                <w:spacing w:val="-6"/>
                <w:sz w:val="18"/>
                <w:szCs w:val="18"/>
                <w:u w:val="none" w:color="auto"/>
              </w:rPr>
              <w:t>（</w:t>
            </w:r>
            <w:r>
              <w:rPr>
                <w:rFonts w:ascii="Times New Roman" w:hAnsi="Times New Roman" w:eastAsia="Times New Roman" w:cs="Times New Roman"/>
                <w:color w:val="auto"/>
                <w:spacing w:val="-6"/>
                <w:sz w:val="18"/>
                <w:szCs w:val="18"/>
                <w:u w:val="none" w:color="auto"/>
              </w:rPr>
              <w:t>m</w:t>
            </w:r>
            <w:r>
              <w:rPr>
                <w:color w:val="auto"/>
                <w:spacing w:val="-6"/>
                <w:sz w:val="18"/>
                <w:szCs w:val="18"/>
                <w:u w:val="none" w:color="auto"/>
              </w:rPr>
              <w:t>）</w:t>
            </w:r>
          </w:p>
        </w:tc>
        <w:tc>
          <w:tcPr>
            <w:tcW w:w="1365" w:type="dxa"/>
            <w:vMerge w:val="restart"/>
            <w:tcBorders>
              <w:tl2br w:val="nil"/>
              <w:tr2bl w:val="nil"/>
            </w:tcBorders>
            <w:vAlign w:val="center"/>
          </w:tcPr>
          <w:p w14:paraId="683D762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建筑</w:t>
            </w:r>
            <w:r>
              <w:rPr>
                <w:color w:val="auto"/>
                <w:spacing w:val="41"/>
                <w:sz w:val="18"/>
                <w:szCs w:val="18"/>
                <w:u w:val="none" w:color="auto"/>
              </w:rPr>
              <w:t>物高</w:t>
            </w:r>
            <w:r>
              <w:rPr>
                <w:color w:val="auto"/>
                <w:spacing w:val="-20"/>
                <w:sz w:val="18"/>
                <w:szCs w:val="18"/>
                <w:u w:val="none" w:color="auto"/>
              </w:rPr>
              <w:t>度（</w:t>
            </w:r>
            <w:r>
              <w:rPr>
                <w:rFonts w:ascii="Times New Roman" w:hAnsi="Times New Roman" w:eastAsia="Times New Roman" w:cs="Times New Roman"/>
                <w:color w:val="auto"/>
                <w:spacing w:val="-20"/>
                <w:sz w:val="18"/>
                <w:szCs w:val="18"/>
                <w:u w:val="none" w:color="auto"/>
              </w:rPr>
              <w:t>m</w:t>
            </w:r>
            <w:r>
              <w:rPr>
                <w:color w:val="auto"/>
                <w:spacing w:val="-20"/>
                <w:sz w:val="18"/>
                <w:szCs w:val="18"/>
                <w:u w:val="none" w:color="auto"/>
              </w:rPr>
              <w:t>）</w:t>
            </w:r>
          </w:p>
        </w:tc>
        <w:tc>
          <w:tcPr>
            <w:tcW w:w="465" w:type="dxa"/>
            <w:vMerge w:val="restart"/>
            <w:tcBorders>
              <w:tl2br w:val="nil"/>
              <w:tr2bl w:val="nil"/>
            </w:tcBorders>
            <w:textDirection w:val="tbRlV"/>
            <w:vAlign w:val="center"/>
          </w:tcPr>
          <w:p w14:paraId="7A71F5AB">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1"/>
                <w:sz w:val="18"/>
                <w:szCs w:val="18"/>
                <w:u w:val="none" w:color="auto"/>
              </w:rPr>
              <w:t>层</w:t>
            </w:r>
            <w:r>
              <w:rPr>
                <w:color w:val="auto"/>
                <w:spacing w:val="43"/>
                <w:sz w:val="18"/>
                <w:szCs w:val="18"/>
                <w:u w:val="none" w:color="auto"/>
              </w:rPr>
              <w:t xml:space="preserve"> </w:t>
            </w:r>
            <w:r>
              <w:rPr>
                <w:color w:val="auto"/>
                <w:spacing w:val="-1"/>
                <w:sz w:val="18"/>
                <w:szCs w:val="18"/>
                <w:u w:val="none" w:color="auto"/>
              </w:rPr>
              <w:t>数</w:t>
            </w:r>
          </w:p>
        </w:tc>
        <w:tc>
          <w:tcPr>
            <w:tcW w:w="1200" w:type="dxa"/>
            <w:gridSpan w:val="2"/>
            <w:tcBorders>
              <w:tl2br w:val="nil"/>
              <w:tr2bl w:val="nil"/>
            </w:tcBorders>
            <w:vAlign w:val="center"/>
          </w:tcPr>
          <w:p w14:paraId="5D4DA2D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噪声现状值</w:t>
            </w:r>
            <w:r>
              <w:rPr>
                <w:rFonts w:ascii="Times New Roman" w:hAnsi="Times New Roman" w:eastAsia="Times New Roman" w:cs="Times New Roman"/>
                <w:color w:val="auto"/>
                <w:sz w:val="18"/>
                <w:szCs w:val="18"/>
                <w:u w:val="none" w:color="auto"/>
              </w:rPr>
              <w:t>/dB(A)</w:t>
            </w:r>
          </w:p>
        </w:tc>
        <w:tc>
          <w:tcPr>
            <w:tcW w:w="1335" w:type="dxa"/>
            <w:gridSpan w:val="2"/>
            <w:tcBorders>
              <w:tl2br w:val="nil"/>
              <w:tr2bl w:val="nil"/>
            </w:tcBorders>
            <w:vAlign w:val="center"/>
          </w:tcPr>
          <w:p w14:paraId="03D41BB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噪声贡献值</w:t>
            </w:r>
            <w:r>
              <w:rPr>
                <w:rFonts w:ascii="Times New Roman" w:hAnsi="Times New Roman" w:eastAsia="Times New Roman" w:cs="Times New Roman"/>
                <w:color w:val="auto"/>
                <w:sz w:val="18"/>
                <w:szCs w:val="18"/>
                <w:u w:val="none" w:color="auto"/>
              </w:rPr>
              <w:t>/dB(A)</w:t>
            </w:r>
          </w:p>
        </w:tc>
        <w:tc>
          <w:tcPr>
            <w:tcW w:w="1215" w:type="dxa"/>
            <w:gridSpan w:val="2"/>
            <w:tcBorders>
              <w:tl2br w:val="nil"/>
              <w:tr2bl w:val="nil"/>
            </w:tcBorders>
            <w:vAlign w:val="center"/>
          </w:tcPr>
          <w:p w14:paraId="4BA013CB">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噪声预测值</w:t>
            </w:r>
            <w:r>
              <w:rPr>
                <w:rFonts w:ascii="Times New Roman" w:hAnsi="Times New Roman" w:eastAsia="Times New Roman" w:cs="Times New Roman"/>
                <w:color w:val="auto"/>
                <w:spacing w:val="-1"/>
                <w:sz w:val="18"/>
                <w:szCs w:val="18"/>
                <w:u w:val="none" w:color="auto"/>
              </w:rPr>
              <w:t>/dB(A)</w:t>
            </w:r>
            <w:r>
              <w:rPr>
                <w:color w:val="auto"/>
                <w:spacing w:val="-1"/>
                <w:sz w:val="18"/>
                <w:szCs w:val="18"/>
                <w:u w:val="none" w:color="auto"/>
              </w:rPr>
              <w:t>）</w:t>
            </w:r>
          </w:p>
        </w:tc>
        <w:tc>
          <w:tcPr>
            <w:tcW w:w="1350" w:type="dxa"/>
            <w:gridSpan w:val="2"/>
            <w:tcBorders>
              <w:tl2br w:val="nil"/>
              <w:tr2bl w:val="nil"/>
            </w:tcBorders>
            <w:vAlign w:val="center"/>
          </w:tcPr>
          <w:p w14:paraId="7D2A662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2"/>
                <w:sz w:val="18"/>
                <w:szCs w:val="18"/>
                <w:u w:val="none" w:color="auto"/>
              </w:rPr>
              <w:t>较现状增</w:t>
            </w:r>
            <w:r>
              <w:rPr>
                <w:color w:val="auto"/>
                <w:spacing w:val="-1"/>
                <w:sz w:val="18"/>
                <w:szCs w:val="18"/>
                <w:u w:val="none" w:color="auto"/>
              </w:rPr>
              <w:t>量</w:t>
            </w:r>
            <w:r>
              <w:rPr>
                <w:rFonts w:ascii="Times New Roman" w:hAnsi="Times New Roman" w:eastAsia="Times New Roman" w:cs="Times New Roman"/>
                <w:color w:val="auto"/>
                <w:spacing w:val="-1"/>
                <w:sz w:val="18"/>
                <w:szCs w:val="18"/>
                <w:u w:val="none" w:color="auto"/>
              </w:rPr>
              <w:t>/dB(A)</w:t>
            </w:r>
          </w:p>
        </w:tc>
        <w:tc>
          <w:tcPr>
            <w:tcW w:w="1065" w:type="dxa"/>
            <w:gridSpan w:val="2"/>
            <w:tcBorders>
              <w:tl2br w:val="nil"/>
              <w:tr2bl w:val="nil"/>
            </w:tcBorders>
            <w:vAlign w:val="center"/>
          </w:tcPr>
          <w:p w14:paraId="7059018B">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125" w:type="dxa"/>
            <w:gridSpan w:val="2"/>
            <w:tcBorders>
              <w:tl2br w:val="nil"/>
              <w:tr2bl w:val="nil"/>
            </w:tcBorders>
            <w:vAlign w:val="center"/>
          </w:tcPr>
          <w:p w14:paraId="1A8687A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275" w:type="dxa"/>
            <w:gridSpan w:val="2"/>
            <w:tcBorders>
              <w:tl2br w:val="nil"/>
              <w:tr2bl w:val="nil"/>
            </w:tcBorders>
            <w:vAlign w:val="center"/>
          </w:tcPr>
          <w:p w14:paraId="09920D30">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2</w:t>
            </w:r>
            <w:r>
              <w:rPr>
                <w:color w:val="auto"/>
                <w:spacing w:val="-3"/>
                <w:sz w:val="18"/>
                <w:szCs w:val="18"/>
                <w:u w:val="none" w:color="auto"/>
              </w:rPr>
              <w:t>类标准</w:t>
            </w:r>
            <w:r>
              <w:rPr>
                <w:rFonts w:ascii="Times New Roman" w:hAnsi="Times New Roman" w:eastAsia="Times New Roman" w:cs="Times New Roman"/>
                <w:color w:val="auto"/>
                <w:sz w:val="18"/>
                <w:szCs w:val="18"/>
                <w:u w:val="none" w:color="auto"/>
              </w:rPr>
              <w:t>/dB(A)</w:t>
            </w:r>
          </w:p>
        </w:tc>
      </w:tr>
      <w:tr w14:paraId="52C5C5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28" w:type="dxa"/>
            <w:vMerge w:val="continue"/>
            <w:tcBorders>
              <w:tl2br w:val="nil"/>
              <w:tr2bl w:val="nil"/>
            </w:tcBorders>
            <w:textDirection w:val="tbRlV"/>
            <w:vAlign w:val="center"/>
          </w:tcPr>
          <w:p w14:paraId="46D3C90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64" w:type="dxa"/>
            <w:vMerge w:val="continue"/>
            <w:tcBorders>
              <w:tl2br w:val="nil"/>
              <w:tr2bl w:val="nil"/>
            </w:tcBorders>
            <w:vAlign w:val="center"/>
          </w:tcPr>
          <w:p w14:paraId="067CE1F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5F24183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5563E08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65" w:type="dxa"/>
            <w:vMerge w:val="continue"/>
            <w:tcBorders>
              <w:tl2br w:val="nil"/>
              <w:tr2bl w:val="nil"/>
            </w:tcBorders>
            <w:vAlign w:val="center"/>
          </w:tcPr>
          <w:p w14:paraId="5D65E38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65" w:type="dxa"/>
            <w:vMerge w:val="continue"/>
            <w:tcBorders>
              <w:tl2br w:val="nil"/>
              <w:tr2bl w:val="nil"/>
            </w:tcBorders>
            <w:textDirection w:val="tbRlV"/>
            <w:vAlign w:val="center"/>
          </w:tcPr>
          <w:p w14:paraId="521A740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30" w:type="dxa"/>
            <w:tcBorders>
              <w:tl2br w:val="nil"/>
              <w:tr2bl w:val="nil"/>
            </w:tcBorders>
            <w:vAlign w:val="center"/>
          </w:tcPr>
          <w:p w14:paraId="2EE6F7F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570" w:type="dxa"/>
            <w:tcBorders>
              <w:tl2br w:val="nil"/>
              <w:tr2bl w:val="nil"/>
            </w:tcBorders>
            <w:vAlign w:val="center"/>
          </w:tcPr>
          <w:p w14:paraId="2AE8CD5E">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90" w:type="dxa"/>
            <w:tcBorders>
              <w:tl2br w:val="nil"/>
              <w:tr2bl w:val="nil"/>
            </w:tcBorders>
            <w:vAlign w:val="center"/>
          </w:tcPr>
          <w:p w14:paraId="4F4EB6D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45" w:type="dxa"/>
            <w:tcBorders>
              <w:tl2br w:val="nil"/>
              <w:tr2bl w:val="nil"/>
            </w:tcBorders>
            <w:vAlign w:val="center"/>
          </w:tcPr>
          <w:p w14:paraId="187893C0">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70" w:type="dxa"/>
            <w:tcBorders>
              <w:tl2br w:val="nil"/>
              <w:tr2bl w:val="nil"/>
            </w:tcBorders>
            <w:vAlign w:val="center"/>
          </w:tcPr>
          <w:p w14:paraId="67717611">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45" w:type="dxa"/>
            <w:tcBorders>
              <w:tl2br w:val="nil"/>
              <w:tr2bl w:val="nil"/>
            </w:tcBorders>
            <w:vAlign w:val="center"/>
          </w:tcPr>
          <w:p w14:paraId="747096C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720" w:type="dxa"/>
            <w:tcBorders>
              <w:tl2br w:val="nil"/>
              <w:tr2bl w:val="nil"/>
            </w:tcBorders>
            <w:vAlign w:val="center"/>
          </w:tcPr>
          <w:p w14:paraId="1688219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30" w:type="dxa"/>
            <w:tcBorders>
              <w:tl2br w:val="nil"/>
              <w:tr2bl w:val="nil"/>
            </w:tcBorders>
            <w:vAlign w:val="center"/>
          </w:tcPr>
          <w:p w14:paraId="33CF790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10" w:type="dxa"/>
            <w:tcBorders>
              <w:tl2br w:val="nil"/>
              <w:tr2bl w:val="nil"/>
            </w:tcBorders>
            <w:vAlign w:val="center"/>
          </w:tcPr>
          <w:p w14:paraId="09AB16A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555" w:type="dxa"/>
            <w:tcBorders>
              <w:tl2br w:val="nil"/>
              <w:tr2bl w:val="nil"/>
            </w:tcBorders>
            <w:vAlign w:val="center"/>
          </w:tcPr>
          <w:p w14:paraId="205B790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55" w:type="dxa"/>
            <w:tcBorders>
              <w:tl2br w:val="nil"/>
              <w:tr2bl w:val="nil"/>
            </w:tcBorders>
            <w:vAlign w:val="center"/>
          </w:tcPr>
          <w:p w14:paraId="234541B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570" w:type="dxa"/>
            <w:tcBorders>
              <w:tl2br w:val="nil"/>
              <w:tr2bl w:val="nil"/>
            </w:tcBorders>
            <w:vAlign w:val="center"/>
          </w:tcPr>
          <w:p w14:paraId="58EE0EDD">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75" w:type="dxa"/>
            <w:tcBorders>
              <w:tl2br w:val="nil"/>
              <w:tr2bl w:val="nil"/>
            </w:tcBorders>
            <w:vAlign w:val="center"/>
          </w:tcPr>
          <w:p w14:paraId="657E808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00" w:type="dxa"/>
            <w:tcBorders>
              <w:tl2br w:val="nil"/>
              <w:tr2bl w:val="nil"/>
            </w:tcBorders>
            <w:vAlign w:val="center"/>
          </w:tcPr>
          <w:p w14:paraId="3B89B3B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r>
      <w:tr w14:paraId="29661E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28" w:type="dxa"/>
            <w:vMerge w:val="restart"/>
            <w:tcBorders>
              <w:tl2br w:val="nil"/>
              <w:tr2bl w:val="nil"/>
            </w:tcBorders>
            <w:vAlign w:val="center"/>
          </w:tcPr>
          <w:p w14:paraId="3D02D2D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06ADBAB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z w:val="18"/>
                <w:szCs w:val="18"/>
                <w:u w:val="none" w:color="auto"/>
              </w:rPr>
              <w:t>1</w:t>
            </w:r>
          </w:p>
        </w:tc>
        <w:tc>
          <w:tcPr>
            <w:tcW w:w="964" w:type="dxa"/>
            <w:vMerge w:val="restart"/>
            <w:tcBorders>
              <w:tl2br w:val="nil"/>
              <w:tr2bl w:val="nil"/>
            </w:tcBorders>
            <w:vAlign w:val="center"/>
          </w:tcPr>
          <w:p w14:paraId="67430EA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rFonts w:hint="eastAsia"/>
                <w:color w:val="auto"/>
                <w:spacing w:val="-11"/>
                <w:sz w:val="18"/>
                <w:szCs w:val="18"/>
                <w:u w:val="none" w:color="auto"/>
                <w:lang w:val="en-US" w:eastAsia="zh-CN"/>
              </w:rPr>
              <w:t>安置区三期</w:t>
            </w:r>
          </w:p>
        </w:tc>
        <w:tc>
          <w:tcPr>
            <w:tcW w:w="955" w:type="dxa"/>
            <w:vMerge w:val="restart"/>
            <w:tcBorders>
              <w:tl2br w:val="nil"/>
              <w:tr2bl w:val="nil"/>
            </w:tcBorders>
            <w:vAlign w:val="center"/>
          </w:tcPr>
          <w:p w14:paraId="57002F1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2266E87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7"/>
                <w:sz w:val="18"/>
                <w:szCs w:val="18"/>
                <w:u w:val="none" w:color="auto"/>
              </w:rPr>
              <w:t>东侧</w:t>
            </w:r>
          </w:p>
        </w:tc>
        <w:tc>
          <w:tcPr>
            <w:tcW w:w="1155" w:type="dxa"/>
            <w:vMerge w:val="restart"/>
            <w:tcBorders>
              <w:tl2br w:val="nil"/>
              <w:tr2bl w:val="nil"/>
            </w:tcBorders>
            <w:vAlign w:val="center"/>
          </w:tcPr>
          <w:p w14:paraId="0D2553C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03C2BFF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2"/>
                <w:sz w:val="18"/>
                <w:szCs w:val="18"/>
                <w:u w:val="none" w:color="auto"/>
                <w:lang w:val="en-US" w:eastAsia="zh-CN"/>
              </w:rPr>
              <w:t>15</w:t>
            </w:r>
          </w:p>
        </w:tc>
        <w:tc>
          <w:tcPr>
            <w:tcW w:w="1365" w:type="dxa"/>
            <w:vMerge w:val="restart"/>
            <w:tcBorders>
              <w:tl2br w:val="nil"/>
              <w:tr2bl w:val="nil"/>
            </w:tcBorders>
            <w:vAlign w:val="center"/>
          </w:tcPr>
          <w:p w14:paraId="62B8B87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5A2AA96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6"/>
                <w:sz w:val="18"/>
                <w:szCs w:val="18"/>
                <w:u w:val="none" w:color="auto"/>
                <w:lang w:val="en-US" w:eastAsia="zh-CN"/>
              </w:rPr>
              <w:t>22.5</w:t>
            </w:r>
          </w:p>
        </w:tc>
        <w:tc>
          <w:tcPr>
            <w:tcW w:w="465" w:type="dxa"/>
            <w:tcBorders>
              <w:tl2br w:val="nil"/>
              <w:tr2bl w:val="nil"/>
            </w:tcBorders>
            <w:vAlign w:val="center"/>
          </w:tcPr>
          <w:p w14:paraId="317839F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0"/>
                <w:sz w:val="18"/>
                <w:szCs w:val="18"/>
                <w:u w:val="none" w:color="auto"/>
              </w:rPr>
              <w:t>1F</w:t>
            </w:r>
          </w:p>
        </w:tc>
        <w:tc>
          <w:tcPr>
            <w:tcW w:w="630" w:type="dxa"/>
            <w:tcBorders>
              <w:tl2br w:val="nil"/>
              <w:tr2bl w:val="nil"/>
            </w:tcBorders>
            <w:vAlign w:val="center"/>
          </w:tcPr>
          <w:p w14:paraId="50CA56B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.0</w:t>
            </w:r>
          </w:p>
        </w:tc>
        <w:tc>
          <w:tcPr>
            <w:tcW w:w="570" w:type="dxa"/>
            <w:tcBorders>
              <w:tl2br w:val="nil"/>
              <w:tr2bl w:val="nil"/>
            </w:tcBorders>
            <w:vAlign w:val="center"/>
          </w:tcPr>
          <w:p w14:paraId="05B3D56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宋体" w:cs="Times New Roman"/>
                <w:color w:val="auto"/>
                <w:sz w:val="18"/>
                <w:szCs w:val="18"/>
                <w:u w:val="none" w:color="auto"/>
                <w:lang w:eastAsia="zh-CN"/>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90" w:type="dxa"/>
            <w:tcBorders>
              <w:tl2br w:val="nil"/>
              <w:tr2bl w:val="nil"/>
            </w:tcBorders>
            <w:vAlign w:val="center"/>
          </w:tcPr>
          <w:p w14:paraId="56A2832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45.9</w:t>
            </w:r>
          </w:p>
        </w:tc>
        <w:tc>
          <w:tcPr>
            <w:tcW w:w="645" w:type="dxa"/>
            <w:tcBorders>
              <w:tl2br w:val="nil"/>
              <w:tr2bl w:val="nil"/>
            </w:tcBorders>
            <w:vAlign w:val="center"/>
          </w:tcPr>
          <w:p w14:paraId="307E6A9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42.</w:t>
            </w:r>
            <w:r>
              <w:rPr>
                <w:rFonts w:ascii="Times New Roman" w:hAnsi="Times New Roman" w:eastAsia="Times New Roman" w:cs="Times New Roman"/>
                <w:color w:val="auto"/>
                <w:spacing w:val="-24"/>
                <w:sz w:val="18"/>
                <w:szCs w:val="18"/>
                <w:u w:val="none" w:color="auto"/>
              </w:rPr>
              <w:t xml:space="preserve"> </w:t>
            </w:r>
            <w:r>
              <w:rPr>
                <w:rFonts w:ascii="Times New Roman" w:hAnsi="Times New Roman" w:eastAsia="Times New Roman" w:cs="Times New Roman"/>
                <w:color w:val="auto"/>
                <w:spacing w:val="-1"/>
                <w:sz w:val="18"/>
                <w:szCs w:val="18"/>
                <w:u w:val="none" w:color="auto"/>
              </w:rPr>
              <w:t>1</w:t>
            </w:r>
          </w:p>
        </w:tc>
        <w:tc>
          <w:tcPr>
            <w:tcW w:w="570" w:type="dxa"/>
            <w:tcBorders>
              <w:tl2br w:val="nil"/>
              <w:tr2bl w:val="nil"/>
            </w:tcBorders>
            <w:vAlign w:val="center"/>
          </w:tcPr>
          <w:p w14:paraId="171B78D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54.6</w:t>
            </w:r>
          </w:p>
        </w:tc>
        <w:tc>
          <w:tcPr>
            <w:tcW w:w="645" w:type="dxa"/>
            <w:tcBorders>
              <w:tl2br w:val="nil"/>
              <w:tr2bl w:val="nil"/>
            </w:tcBorders>
            <w:vAlign w:val="center"/>
          </w:tcPr>
          <w:p w14:paraId="6AFF7D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44.6</w:t>
            </w:r>
          </w:p>
        </w:tc>
        <w:tc>
          <w:tcPr>
            <w:tcW w:w="720" w:type="dxa"/>
            <w:tcBorders>
              <w:tl2br w:val="nil"/>
              <w:tr2bl w:val="nil"/>
            </w:tcBorders>
            <w:vAlign w:val="center"/>
          </w:tcPr>
          <w:p w14:paraId="2CFB45C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0.6</w:t>
            </w:r>
          </w:p>
        </w:tc>
        <w:tc>
          <w:tcPr>
            <w:tcW w:w="630" w:type="dxa"/>
            <w:tcBorders>
              <w:tl2br w:val="nil"/>
              <w:tr2bl w:val="nil"/>
            </w:tcBorders>
            <w:vAlign w:val="center"/>
          </w:tcPr>
          <w:p w14:paraId="41CDEA1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3.6</w:t>
            </w:r>
          </w:p>
        </w:tc>
        <w:tc>
          <w:tcPr>
            <w:tcW w:w="510" w:type="dxa"/>
            <w:vMerge w:val="restart"/>
            <w:tcBorders>
              <w:tl2br w:val="nil"/>
              <w:tr2bl w:val="nil"/>
            </w:tcBorders>
            <w:vAlign w:val="center"/>
          </w:tcPr>
          <w:p w14:paraId="62F1C48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444917D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55" w:type="dxa"/>
            <w:vMerge w:val="restart"/>
            <w:tcBorders>
              <w:tl2br w:val="nil"/>
              <w:tr2bl w:val="nil"/>
            </w:tcBorders>
            <w:vAlign w:val="center"/>
          </w:tcPr>
          <w:p w14:paraId="5549705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5ECCF6D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55" w:type="dxa"/>
            <w:vMerge w:val="restart"/>
            <w:tcBorders>
              <w:tl2br w:val="nil"/>
              <w:tr2bl w:val="nil"/>
            </w:tcBorders>
            <w:vAlign w:val="center"/>
          </w:tcPr>
          <w:p w14:paraId="7B2A848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54050A6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70" w:type="dxa"/>
            <w:vMerge w:val="restart"/>
            <w:tcBorders>
              <w:tl2br w:val="nil"/>
              <w:tr2bl w:val="nil"/>
            </w:tcBorders>
            <w:vAlign w:val="center"/>
          </w:tcPr>
          <w:p w14:paraId="5948D8C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0FAEDE3E">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675" w:type="dxa"/>
            <w:vMerge w:val="restart"/>
            <w:tcBorders>
              <w:tl2br w:val="nil"/>
              <w:tr2bl w:val="nil"/>
            </w:tcBorders>
            <w:vAlign w:val="center"/>
          </w:tcPr>
          <w:p w14:paraId="09EF01D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4EEE781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60</w:t>
            </w:r>
          </w:p>
        </w:tc>
        <w:tc>
          <w:tcPr>
            <w:tcW w:w="600" w:type="dxa"/>
            <w:vMerge w:val="restart"/>
            <w:tcBorders>
              <w:tl2br w:val="nil"/>
              <w:tr2bl w:val="nil"/>
            </w:tcBorders>
            <w:vAlign w:val="center"/>
          </w:tcPr>
          <w:p w14:paraId="23105ED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27A7521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50</w:t>
            </w:r>
          </w:p>
        </w:tc>
      </w:tr>
      <w:tr w14:paraId="63B4CE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28" w:type="dxa"/>
            <w:vMerge w:val="continue"/>
            <w:tcBorders>
              <w:tl2br w:val="nil"/>
              <w:tr2bl w:val="nil"/>
            </w:tcBorders>
            <w:vAlign w:val="center"/>
          </w:tcPr>
          <w:p w14:paraId="2FC8A82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64" w:type="dxa"/>
            <w:vMerge w:val="continue"/>
            <w:tcBorders>
              <w:tl2br w:val="nil"/>
              <w:tr2bl w:val="nil"/>
            </w:tcBorders>
            <w:vAlign w:val="center"/>
          </w:tcPr>
          <w:p w14:paraId="446B1D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21A5731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3FE77BC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65" w:type="dxa"/>
            <w:vMerge w:val="continue"/>
            <w:tcBorders>
              <w:tl2br w:val="nil"/>
              <w:tr2bl w:val="nil"/>
            </w:tcBorders>
            <w:vAlign w:val="center"/>
          </w:tcPr>
          <w:p w14:paraId="1968C1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65" w:type="dxa"/>
            <w:tcBorders>
              <w:tl2br w:val="nil"/>
              <w:tr2bl w:val="nil"/>
            </w:tcBorders>
            <w:vAlign w:val="center"/>
          </w:tcPr>
          <w:p w14:paraId="098B98D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3F</w:t>
            </w:r>
          </w:p>
        </w:tc>
        <w:tc>
          <w:tcPr>
            <w:tcW w:w="630" w:type="dxa"/>
            <w:tcBorders>
              <w:tl2br w:val="nil"/>
              <w:tr2bl w:val="nil"/>
            </w:tcBorders>
            <w:vAlign w:val="center"/>
          </w:tcPr>
          <w:p w14:paraId="69E69C7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w:t>
            </w:r>
            <w:r>
              <w:rPr>
                <w:rFonts w:ascii="Times New Roman" w:hAnsi="Times New Roman" w:eastAsia="Times New Roman" w:cs="Times New Roman"/>
                <w:color w:val="auto"/>
                <w:spacing w:val="-22"/>
                <w:sz w:val="18"/>
                <w:szCs w:val="18"/>
                <w:u w:val="none" w:color="auto"/>
              </w:rPr>
              <w:t xml:space="preserve"> </w:t>
            </w:r>
            <w:r>
              <w:rPr>
                <w:rFonts w:ascii="Times New Roman" w:hAnsi="Times New Roman" w:eastAsia="Times New Roman" w:cs="Times New Roman"/>
                <w:color w:val="auto"/>
                <w:spacing w:val="-3"/>
                <w:sz w:val="18"/>
                <w:szCs w:val="18"/>
                <w:u w:val="none" w:color="auto"/>
              </w:rPr>
              <w:t>1</w:t>
            </w:r>
          </w:p>
        </w:tc>
        <w:tc>
          <w:tcPr>
            <w:tcW w:w="570" w:type="dxa"/>
            <w:tcBorders>
              <w:tl2br w:val="nil"/>
              <w:tr2bl w:val="nil"/>
            </w:tcBorders>
            <w:vAlign w:val="center"/>
          </w:tcPr>
          <w:p w14:paraId="46F59E9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宋体" w:cs="Times New Roman"/>
                <w:color w:val="auto"/>
                <w:sz w:val="18"/>
                <w:szCs w:val="18"/>
                <w:u w:val="none" w:color="auto"/>
                <w:lang w:eastAsia="zh-CN"/>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90" w:type="dxa"/>
            <w:tcBorders>
              <w:tl2br w:val="nil"/>
              <w:tr2bl w:val="nil"/>
            </w:tcBorders>
            <w:vAlign w:val="center"/>
          </w:tcPr>
          <w:p w14:paraId="0E2EBD8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44.6</w:t>
            </w:r>
          </w:p>
        </w:tc>
        <w:tc>
          <w:tcPr>
            <w:tcW w:w="645" w:type="dxa"/>
            <w:tcBorders>
              <w:tl2br w:val="nil"/>
              <w:tr2bl w:val="nil"/>
            </w:tcBorders>
            <w:vAlign w:val="center"/>
          </w:tcPr>
          <w:p w14:paraId="0DE48B5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41.4</w:t>
            </w:r>
          </w:p>
        </w:tc>
        <w:tc>
          <w:tcPr>
            <w:tcW w:w="570" w:type="dxa"/>
            <w:tcBorders>
              <w:tl2br w:val="nil"/>
              <w:tr2bl w:val="nil"/>
            </w:tcBorders>
            <w:vAlign w:val="center"/>
          </w:tcPr>
          <w:p w14:paraId="5B39412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54.6</w:t>
            </w:r>
          </w:p>
        </w:tc>
        <w:tc>
          <w:tcPr>
            <w:tcW w:w="645" w:type="dxa"/>
            <w:tcBorders>
              <w:tl2br w:val="nil"/>
              <w:tr2bl w:val="nil"/>
            </w:tcBorders>
            <w:vAlign w:val="center"/>
          </w:tcPr>
          <w:p w14:paraId="787E889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44.2</w:t>
            </w:r>
          </w:p>
        </w:tc>
        <w:tc>
          <w:tcPr>
            <w:tcW w:w="720" w:type="dxa"/>
            <w:tcBorders>
              <w:tl2br w:val="nil"/>
              <w:tr2bl w:val="nil"/>
            </w:tcBorders>
            <w:vAlign w:val="center"/>
          </w:tcPr>
          <w:p w14:paraId="72DEE8B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0.5</w:t>
            </w:r>
          </w:p>
        </w:tc>
        <w:tc>
          <w:tcPr>
            <w:tcW w:w="630" w:type="dxa"/>
            <w:tcBorders>
              <w:tl2br w:val="nil"/>
              <w:tr2bl w:val="nil"/>
            </w:tcBorders>
            <w:vAlign w:val="center"/>
          </w:tcPr>
          <w:p w14:paraId="71E12A7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3.2</w:t>
            </w:r>
          </w:p>
        </w:tc>
        <w:tc>
          <w:tcPr>
            <w:tcW w:w="510" w:type="dxa"/>
            <w:vMerge w:val="continue"/>
            <w:tcBorders>
              <w:tl2br w:val="nil"/>
              <w:tr2bl w:val="nil"/>
            </w:tcBorders>
            <w:vAlign w:val="center"/>
          </w:tcPr>
          <w:p w14:paraId="6E79E1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vMerge w:val="continue"/>
            <w:tcBorders>
              <w:tl2br w:val="nil"/>
              <w:tr2bl w:val="nil"/>
            </w:tcBorders>
            <w:vAlign w:val="center"/>
          </w:tcPr>
          <w:p w14:paraId="27E935F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vMerge w:val="continue"/>
            <w:tcBorders>
              <w:tl2br w:val="nil"/>
              <w:tr2bl w:val="nil"/>
            </w:tcBorders>
            <w:vAlign w:val="center"/>
          </w:tcPr>
          <w:p w14:paraId="03E5C0F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456B3C2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75" w:type="dxa"/>
            <w:vMerge w:val="continue"/>
            <w:tcBorders>
              <w:tl2br w:val="nil"/>
              <w:tr2bl w:val="nil"/>
            </w:tcBorders>
            <w:vAlign w:val="center"/>
          </w:tcPr>
          <w:p w14:paraId="17D10D3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00" w:type="dxa"/>
            <w:vMerge w:val="continue"/>
            <w:tcBorders>
              <w:tl2br w:val="nil"/>
              <w:tr2bl w:val="nil"/>
            </w:tcBorders>
            <w:vAlign w:val="center"/>
          </w:tcPr>
          <w:p w14:paraId="0BF3E33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r w14:paraId="442D14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28" w:type="dxa"/>
            <w:vMerge w:val="continue"/>
            <w:tcBorders>
              <w:tl2br w:val="nil"/>
              <w:tr2bl w:val="nil"/>
            </w:tcBorders>
            <w:vAlign w:val="center"/>
          </w:tcPr>
          <w:p w14:paraId="06B247B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64" w:type="dxa"/>
            <w:vMerge w:val="continue"/>
            <w:tcBorders>
              <w:tl2br w:val="nil"/>
              <w:tr2bl w:val="nil"/>
            </w:tcBorders>
            <w:vAlign w:val="center"/>
          </w:tcPr>
          <w:p w14:paraId="284E36D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218DE1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55" w:type="dxa"/>
            <w:vMerge w:val="continue"/>
            <w:tcBorders>
              <w:tl2br w:val="nil"/>
              <w:tr2bl w:val="nil"/>
            </w:tcBorders>
            <w:vAlign w:val="center"/>
          </w:tcPr>
          <w:p w14:paraId="6D9B4B9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65" w:type="dxa"/>
            <w:vMerge w:val="continue"/>
            <w:tcBorders>
              <w:tl2br w:val="nil"/>
              <w:tr2bl w:val="nil"/>
            </w:tcBorders>
            <w:vAlign w:val="center"/>
          </w:tcPr>
          <w:p w14:paraId="56FC37A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65" w:type="dxa"/>
            <w:tcBorders>
              <w:tl2br w:val="nil"/>
              <w:tr2bl w:val="nil"/>
            </w:tcBorders>
            <w:vAlign w:val="center"/>
          </w:tcPr>
          <w:p w14:paraId="41CC300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pacing w:val="-4"/>
                <w:sz w:val="18"/>
                <w:szCs w:val="18"/>
                <w:u w:val="none" w:color="auto"/>
                <w:lang w:val="en-US" w:eastAsia="zh-CN"/>
              </w:rPr>
              <w:t>6</w:t>
            </w:r>
            <w:r>
              <w:rPr>
                <w:rFonts w:ascii="Times New Roman" w:hAnsi="Times New Roman" w:eastAsia="Times New Roman" w:cs="Times New Roman"/>
                <w:color w:val="auto"/>
                <w:spacing w:val="-4"/>
                <w:sz w:val="18"/>
                <w:szCs w:val="18"/>
                <w:u w:val="none" w:color="auto"/>
              </w:rPr>
              <w:t>F</w:t>
            </w:r>
          </w:p>
        </w:tc>
        <w:tc>
          <w:tcPr>
            <w:tcW w:w="630" w:type="dxa"/>
            <w:tcBorders>
              <w:tl2br w:val="nil"/>
              <w:tr2bl w:val="nil"/>
            </w:tcBorders>
            <w:vAlign w:val="center"/>
          </w:tcPr>
          <w:p w14:paraId="512061C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pacing w:val="-1"/>
                <w:sz w:val="18"/>
                <w:szCs w:val="18"/>
                <w:u w:val="none" w:color="auto"/>
                <w:lang w:val="en-US" w:eastAsia="zh-CN"/>
              </w:rPr>
              <w:t>52</w:t>
            </w:r>
            <w:r>
              <w:rPr>
                <w:rFonts w:ascii="Times New Roman" w:hAnsi="Times New Roman" w:eastAsia="Times New Roman" w:cs="Times New Roman"/>
                <w:color w:val="auto"/>
                <w:spacing w:val="-1"/>
                <w:sz w:val="18"/>
                <w:szCs w:val="18"/>
                <w:u w:val="none" w:color="auto"/>
              </w:rPr>
              <w:t>.7</w:t>
            </w:r>
          </w:p>
        </w:tc>
        <w:tc>
          <w:tcPr>
            <w:tcW w:w="570" w:type="dxa"/>
            <w:tcBorders>
              <w:tl2br w:val="nil"/>
              <w:tr2bl w:val="nil"/>
            </w:tcBorders>
            <w:vAlign w:val="center"/>
          </w:tcPr>
          <w:p w14:paraId="6B97035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2"/>
                <w:sz w:val="18"/>
                <w:szCs w:val="18"/>
                <w:u w:val="none" w:color="auto"/>
                <w:lang w:val="en-US" w:eastAsia="zh-CN"/>
              </w:rPr>
              <w:t>40.4</w:t>
            </w:r>
          </w:p>
        </w:tc>
        <w:tc>
          <w:tcPr>
            <w:tcW w:w="690" w:type="dxa"/>
            <w:tcBorders>
              <w:tl2br w:val="nil"/>
              <w:tr2bl w:val="nil"/>
            </w:tcBorders>
            <w:vAlign w:val="center"/>
          </w:tcPr>
          <w:p w14:paraId="7BF02A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43.9</w:t>
            </w:r>
          </w:p>
        </w:tc>
        <w:tc>
          <w:tcPr>
            <w:tcW w:w="645" w:type="dxa"/>
            <w:tcBorders>
              <w:tl2br w:val="nil"/>
              <w:tr2bl w:val="nil"/>
            </w:tcBorders>
            <w:vAlign w:val="center"/>
          </w:tcPr>
          <w:p w14:paraId="2641201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40.8</w:t>
            </w:r>
          </w:p>
        </w:tc>
        <w:tc>
          <w:tcPr>
            <w:tcW w:w="570" w:type="dxa"/>
            <w:tcBorders>
              <w:tl2br w:val="nil"/>
              <w:tr2bl w:val="nil"/>
            </w:tcBorders>
            <w:vAlign w:val="center"/>
          </w:tcPr>
          <w:p w14:paraId="1A7C4BE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53.2</w:t>
            </w:r>
          </w:p>
        </w:tc>
        <w:tc>
          <w:tcPr>
            <w:tcW w:w="645" w:type="dxa"/>
            <w:tcBorders>
              <w:tl2br w:val="nil"/>
              <w:tr2bl w:val="nil"/>
            </w:tcBorders>
            <w:vAlign w:val="center"/>
          </w:tcPr>
          <w:p w14:paraId="266EA05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43.6</w:t>
            </w:r>
          </w:p>
        </w:tc>
        <w:tc>
          <w:tcPr>
            <w:tcW w:w="720" w:type="dxa"/>
            <w:tcBorders>
              <w:tl2br w:val="nil"/>
              <w:tr2bl w:val="nil"/>
            </w:tcBorders>
            <w:vAlign w:val="center"/>
          </w:tcPr>
          <w:p w14:paraId="6CA7FA4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0.5</w:t>
            </w:r>
          </w:p>
        </w:tc>
        <w:tc>
          <w:tcPr>
            <w:tcW w:w="630" w:type="dxa"/>
            <w:tcBorders>
              <w:tl2br w:val="nil"/>
              <w:tr2bl w:val="nil"/>
            </w:tcBorders>
            <w:vAlign w:val="center"/>
          </w:tcPr>
          <w:p w14:paraId="7F513AA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3.2</w:t>
            </w:r>
          </w:p>
        </w:tc>
        <w:tc>
          <w:tcPr>
            <w:tcW w:w="510" w:type="dxa"/>
            <w:vMerge w:val="continue"/>
            <w:tcBorders>
              <w:tl2br w:val="nil"/>
              <w:tr2bl w:val="nil"/>
            </w:tcBorders>
            <w:vAlign w:val="center"/>
          </w:tcPr>
          <w:p w14:paraId="717A2DD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vMerge w:val="continue"/>
            <w:tcBorders>
              <w:tl2br w:val="nil"/>
              <w:tr2bl w:val="nil"/>
            </w:tcBorders>
            <w:vAlign w:val="center"/>
          </w:tcPr>
          <w:p w14:paraId="01D50E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55" w:type="dxa"/>
            <w:vMerge w:val="continue"/>
            <w:tcBorders>
              <w:tl2br w:val="nil"/>
              <w:tr2bl w:val="nil"/>
            </w:tcBorders>
            <w:vAlign w:val="center"/>
          </w:tcPr>
          <w:p w14:paraId="3E858B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70" w:type="dxa"/>
            <w:vMerge w:val="continue"/>
            <w:tcBorders>
              <w:tl2br w:val="nil"/>
              <w:tr2bl w:val="nil"/>
            </w:tcBorders>
            <w:vAlign w:val="center"/>
          </w:tcPr>
          <w:p w14:paraId="44FFA12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75" w:type="dxa"/>
            <w:vMerge w:val="continue"/>
            <w:tcBorders>
              <w:tl2br w:val="nil"/>
              <w:tr2bl w:val="nil"/>
            </w:tcBorders>
            <w:vAlign w:val="center"/>
          </w:tcPr>
          <w:p w14:paraId="79F2546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00" w:type="dxa"/>
            <w:vMerge w:val="continue"/>
            <w:tcBorders>
              <w:tl2br w:val="nil"/>
              <w:tr2bl w:val="nil"/>
            </w:tcBorders>
            <w:vAlign w:val="center"/>
          </w:tcPr>
          <w:p w14:paraId="0730374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bl>
    <w:p w14:paraId="60707D15">
      <w:pPr>
        <w:spacing w:before="52" w:line="221" w:lineRule="auto"/>
        <w:ind w:left="4201"/>
        <w:rPr>
          <w:rFonts w:ascii="Times New Roman" w:hAnsi="Times New Roman" w:eastAsia="Times New Roman" w:cs="Times New Roman"/>
          <w:color w:val="auto"/>
          <w:sz w:val="20"/>
          <w:szCs w:val="20"/>
          <w:u w:val="none" w:color="auto"/>
        </w:rPr>
      </w:pPr>
      <w:r>
        <w:rPr>
          <w:rFonts w:ascii="宋体" w:hAnsi="宋体" w:eastAsia="宋体" w:cs="宋体"/>
          <w:b/>
          <w:bCs/>
          <w:color w:val="auto"/>
          <w:spacing w:val="6"/>
          <w:sz w:val="20"/>
          <w:szCs w:val="20"/>
          <w:u w:val="none" w:color="auto"/>
        </w:rPr>
        <w:t>表</w:t>
      </w:r>
      <w:r>
        <w:rPr>
          <w:rFonts w:ascii="宋体" w:hAnsi="宋体" w:eastAsia="宋体" w:cs="宋体"/>
          <w:color w:val="auto"/>
          <w:spacing w:val="-29"/>
          <w:sz w:val="20"/>
          <w:szCs w:val="20"/>
          <w:u w:val="none" w:color="auto"/>
        </w:rPr>
        <w:t xml:space="preserve"> </w:t>
      </w:r>
      <w:r>
        <w:rPr>
          <w:rFonts w:ascii="Times New Roman" w:hAnsi="Times New Roman" w:eastAsia="Times New Roman" w:cs="Times New Roman"/>
          <w:b/>
          <w:bCs/>
          <w:color w:val="auto"/>
          <w:spacing w:val="6"/>
          <w:sz w:val="20"/>
          <w:szCs w:val="20"/>
          <w:u w:val="none" w:color="auto"/>
        </w:rPr>
        <w:t xml:space="preserve">4-18.3    </w:t>
      </w:r>
      <w:r>
        <w:rPr>
          <w:rFonts w:ascii="宋体" w:hAnsi="宋体" w:eastAsia="宋体" w:cs="宋体"/>
          <w:b/>
          <w:bCs/>
          <w:color w:val="auto"/>
          <w:spacing w:val="6"/>
          <w:sz w:val="20"/>
          <w:szCs w:val="20"/>
          <w:u w:val="none" w:color="auto"/>
        </w:rPr>
        <w:t>本项目沿线声环境敏感点交通噪声预测结果</w:t>
      </w:r>
      <w:r>
        <w:rPr>
          <w:rFonts w:ascii="Times New Roman" w:hAnsi="Times New Roman" w:eastAsia="Times New Roman" w:cs="Times New Roman"/>
          <w:b/>
          <w:bCs/>
          <w:color w:val="auto"/>
          <w:spacing w:val="6"/>
          <w:sz w:val="20"/>
          <w:szCs w:val="20"/>
          <w:u w:val="none" w:color="auto"/>
        </w:rPr>
        <w:t>(</w:t>
      </w:r>
      <w:r>
        <w:rPr>
          <w:rFonts w:ascii="宋体" w:hAnsi="宋体" w:eastAsia="宋体" w:cs="宋体"/>
          <w:b/>
          <w:bCs/>
          <w:color w:val="auto"/>
          <w:spacing w:val="6"/>
          <w:sz w:val="20"/>
          <w:szCs w:val="20"/>
          <w:u w:val="none" w:color="auto"/>
        </w:rPr>
        <w:t>远期</w:t>
      </w:r>
      <w:r>
        <w:rPr>
          <w:rFonts w:ascii="Times New Roman" w:hAnsi="Times New Roman" w:eastAsia="Times New Roman" w:cs="Times New Roman"/>
          <w:b/>
          <w:bCs/>
          <w:color w:val="auto"/>
          <w:spacing w:val="6"/>
          <w:sz w:val="20"/>
          <w:szCs w:val="20"/>
          <w:u w:val="none" w:color="auto"/>
        </w:rPr>
        <w:t>)</w:t>
      </w:r>
    </w:p>
    <w:p w14:paraId="5D41794E">
      <w:pPr>
        <w:spacing w:line="21" w:lineRule="exact"/>
        <w:rPr>
          <w:color w:val="auto"/>
          <w:u w:val="none" w:color="auto"/>
        </w:rPr>
      </w:pPr>
    </w:p>
    <w:tbl>
      <w:tblPr>
        <w:tblStyle w:val="72"/>
        <w:tblW w:w="14042"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28"/>
        <w:gridCol w:w="979"/>
        <w:gridCol w:w="955"/>
        <w:gridCol w:w="1140"/>
        <w:gridCol w:w="1395"/>
        <w:gridCol w:w="480"/>
        <w:gridCol w:w="585"/>
        <w:gridCol w:w="600"/>
        <w:gridCol w:w="660"/>
        <w:gridCol w:w="645"/>
        <w:gridCol w:w="585"/>
        <w:gridCol w:w="720"/>
        <w:gridCol w:w="570"/>
        <w:gridCol w:w="630"/>
        <w:gridCol w:w="510"/>
        <w:gridCol w:w="525"/>
        <w:gridCol w:w="585"/>
        <w:gridCol w:w="645"/>
        <w:gridCol w:w="705"/>
        <w:gridCol w:w="600"/>
      </w:tblGrid>
      <w:tr w14:paraId="651B79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28" w:type="dxa"/>
            <w:vMerge w:val="restart"/>
            <w:tcBorders>
              <w:tl2br w:val="nil"/>
              <w:tr2bl w:val="nil"/>
            </w:tcBorders>
            <w:textDirection w:val="tbRlV"/>
            <w:vAlign w:val="center"/>
          </w:tcPr>
          <w:p w14:paraId="513E3D08">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1"/>
                <w:sz w:val="18"/>
                <w:szCs w:val="18"/>
                <w:u w:val="none" w:color="auto"/>
              </w:rPr>
              <w:t>序</w:t>
            </w:r>
            <w:r>
              <w:rPr>
                <w:color w:val="auto"/>
                <w:spacing w:val="43"/>
                <w:sz w:val="18"/>
                <w:szCs w:val="18"/>
                <w:u w:val="none" w:color="auto"/>
              </w:rPr>
              <w:t xml:space="preserve"> </w:t>
            </w:r>
            <w:r>
              <w:rPr>
                <w:color w:val="auto"/>
                <w:spacing w:val="-1"/>
                <w:sz w:val="18"/>
                <w:szCs w:val="18"/>
                <w:u w:val="none" w:color="auto"/>
              </w:rPr>
              <w:t>号</w:t>
            </w:r>
          </w:p>
        </w:tc>
        <w:tc>
          <w:tcPr>
            <w:tcW w:w="979" w:type="dxa"/>
            <w:vMerge w:val="restart"/>
            <w:tcBorders>
              <w:tl2br w:val="nil"/>
              <w:tr2bl w:val="nil"/>
            </w:tcBorders>
            <w:vAlign w:val="center"/>
          </w:tcPr>
          <w:p w14:paraId="473A596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114A022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敏感点名</w:t>
            </w:r>
            <w:r>
              <w:rPr>
                <w:color w:val="auto"/>
                <w:sz w:val="18"/>
                <w:szCs w:val="18"/>
                <w:u w:val="none" w:color="auto"/>
              </w:rPr>
              <w:t>称</w:t>
            </w:r>
          </w:p>
        </w:tc>
        <w:tc>
          <w:tcPr>
            <w:tcW w:w="955" w:type="dxa"/>
            <w:vMerge w:val="restart"/>
            <w:tcBorders>
              <w:tl2br w:val="nil"/>
              <w:tr2bl w:val="nil"/>
            </w:tcBorders>
            <w:vAlign w:val="center"/>
          </w:tcPr>
          <w:p w14:paraId="2CFDE5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3532EBA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方位</w:t>
            </w:r>
          </w:p>
        </w:tc>
        <w:tc>
          <w:tcPr>
            <w:tcW w:w="1140" w:type="dxa"/>
            <w:vMerge w:val="restart"/>
            <w:tcBorders>
              <w:tl2br w:val="nil"/>
              <w:tr2bl w:val="nil"/>
            </w:tcBorders>
            <w:vAlign w:val="center"/>
          </w:tcPr>
          <w:p w14:paraId="69BE3BF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距道路中</w:t>
            </w:r>
            <w:r>
              <w:rPr>
                <w:color w:val="auto"/>
                <w:spacing w:val="-4"/>
                <w:sz w:val="18"/>
                <w:szCs w:val="18"/>
                <w:u w:val="none" w:color="auto"/>
              </w:rPr>
              <w:t>心线</w:t>
            </w:r>
            <w:r>
              <w:rPr>
                <w:rFonts w:ascii="Times New Roman" w:hAnsi="Times New Roman" w:eastAsia="Times New Roman" w:cs="Times New Roman"/>
                <w:color w:val="auto"/>
                <w:spacing w:val="-4"/>
                <w:sz w:val="18"/>
                <w:szCs w:val="18"/>
                <w:u w:val="none" w:color="auto"/>
              </w:rPr>
              <w:t>/</w:t>
            </w:r>
            <w:r>
              <w:rPr>
                <w:color w:val="auto"/>
                <w:spacing w:val="-4"/>
                <w:sz w:val="18"/>
                <w:szCs w:val="18"/>
                <w:u w:val="none" w:color="auto"/>
              </w:rPr>
              <w:t>边</w:t>
            </w:r>
            <w:r>
              <w:rPr>
                <w:color w:val="auto"/>
                <w:spacing w:val="-3"/>
                <w:sz w:val="18"/>
                <w:szCs w:val="18"/>
                <w:u w:val="none" w:color="auto"/>
              </w:rPr>
              <w:t>界线距离</w:t>
            </w:r>
            <w:r>
              <w:rPr>
                <w:color w:val="auto"/>
                <w:spacing w:val="-6"/>
                <w:sz w:val="18"/>
                <w:szCs w:val="18"/>
                <w:u w:val="none" w:color="auto"/>
              </w:rPr>
              <w:t>（</w:t>
            </w:r>
            <w:r>
              <w:rPr>
                <w:rFonts w:ascii="Times New Roman" w:hAnsi="Times New Roman" w:eastAsia="Times New Roman" w:cs="Times New Roman"/>
                <w:color w:val="auto"/>
                <w:spacing w:val="-6"/>
                <w:sz w:val="18"/>
                <w:szCs w:val="18"/>
                <w:u w:val="none" w:color="auto"/>
              </w:rPr>
              <w:t>m</w:t>
            </w:r>
            <w:r>
              <w:rPr>
                <w:color w:val="auto"/>
                <w:spacing w:val="-6"/>
                <w:sz w:val="18"/>
                <w:szCs w:val="18"/>
                <w:u w:val="none" w:color="auto"/>
              </w:rPr>
              <w:t>）</w:t>
            </w:r>
          </w:p>
        </w:tc>
        <w:tc>
          <w:tcPr>
            <w:tcW w:w="1395" w:type="dxa"/>
            <w:vMerge w:val="restart"/>
            <w:tcBorders>
              <w:tl2br w:val="nil"/>
              <w:tr2bl w:val="nil"/>
            </w:tcBorders>
            <w:vAlign w:val="center"/>
          </w:tcPr>
          <w:p w14:paraId="04A8CDC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建筑</w:t>
            </w:r>
            <w:r>
              <w:rPr>
                <w:color w:val="auto"/>
                <w:spacing w:val="41"/>
                <w:sz w:val="18"/>
                <w:szCs w:val="18"/>
                <w:u w:val="none" w:color="auto"/>
              </w:rPr>
              <w:t>物高</w:t>
            </w:r>
            <w:r>
              <w:rPr>
                <w:color w:val="auto"/>
                <w:spacing w:val="-20"/>
                <w:sz w:val="18"/>
                <w:szCs w:val="18"/>
                <w:u w:val="none" w:color="auto"/>
              </w:rPr>
              <w:t>度（</w:t>
            </w:r>
            <w:r>
              <w:rPr>
                <w:rFonts w:ascii="Times New Roman" w:hAnsi="Times New Roman" w:eastAsia="Times New Roman" w:cs="Times New Roman"/>
                <w:color w:val="auto"/>
                <w:spacing w:val="-20"/>
                <w:sz w:val="18"/>
                <w:szCs w:val="18"/>
                <w:u w:val="none" w:color="auto"/>
              </w:rPr>
              <w:t>m</w:t>
            </w:r>
            <w:r>
              <w:rPr>
                <w:color w:val="auto"/>
                <w:spacing w:val="-20"/>
                <w:sz w:val="18"/>
                <w:szCs w:val="18"/>
                <w:u w:val="none" w:color="auto"/>
              </w:rPr>
              <w:t>）</w:t>
            </w:r>
          </w:p>
        </w:tc>
        <w:tc>
          <w:tcPr>
            <w:tcW w:w="480" w:type="dxa"/>
            <w:vMerge w:val="restart"/>
            <w:tcBorders>
              <w:tl2br w:val="nil"/>
              <w:tr2bl w:val="nil"/>
            </w:tcBorders>
            <w:textDirection w:val="tbRlV"/>
            <w:vAlign w:val="center"/>
          </w:tcPr>
          <w:p w14:paraId="6972300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1"/>
                <w:sz w:val="18"/>
                <w:szCs w:val="18"/>
                <w:u w:val="none" w:color="auto"/>
              </w:rPr>
              <w:t>层</w:t>
            </w:r>
            <w:r>
              <w:rPr>
                <w:color w:val="auto"/>
                <w:spacing w:val="43"/>
                <w:sz w:val="18"/>
                <w:szCs w:val="18"/>
                <w:u w:val="none" w:color="auto"/>
              </w:rPr>
              <w:t xml:space="preserve"> </w:t>
            </w:r>
            <w:r>
              <w:rPr>
                <w:color w:val="auto"/>
                <w:spacing w:val="-1"/>
                <w:sz w:val="18"/>
                <w:szCs w:val="18"/>
                <w:u w:val="none" w:color="auto"/>
              </w:rPr>
              <w:t>数</w:t>
            </w:r>
          </w:p>
        </w:tc>
        <w:tc>
          <w:tcPr>
            <w:tcW w:w="1185" w:type="dxa"/>
            <w:gridSpan w:val="2"/>
            <w:tcBorders>
              <w:tl2br w:val="nil"/>
              <w:tr2bl w:val="nil"/>
            </w:tcBorders>
            <w:vAlign w:val="center"/>
          </w:tcPr>
          <w:p w14:paraId="3C06428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噪声现状值</w:t>
            </w:r>
            <w:r>
              <w:rPr>
                <w:rFonts w:ascii="Times New Roman" w:hAnsi="Times New Roman" w:eastAsia="Times New Roman" w:cs="Times New Roman"/>
                <w:color w:val="auto"/>
                <w:sz w:val="18"/>
                <w:szCs w:val="18"/>
                <w:u w:val="none" w:color="auto"/>
              </w:rPr>
              <w:t>/dB(A)</w:t>
            </w:r>
          </w:p>
        </w:tc>
        <w:tc>
          <w:tcPr>
            <w:tcW w:w="1305" w:type="dxa"/>
            <w:gridSpan w:val="2"/>
            <w:tcBorders>
              <w:tl2br w:val="nil"/>
              <w:tr2bl w:val="nil"/>
            </w:tcBorders>
            <w:vAlign w:val="center"/>
          </w:tcPr>
          <w:p w14:paraId="2094A712">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4"/>
                <w:sz w:val="18"/>
                <w:szCs w:val="18"/>
                <w:u w:val="none" w:color="auto"/>
              </w:rPr>
              <w:t>噪声贡献值</w:t>
            </w:r>
            <w:r>
              <w:rPr>
                <w:rFonts w:ascii="Times New Roman" w:hAnsi="Times New Roman" w:eastAsia="Times New Roman" w:cs="Times New Roman"/>
                <w:color w:val="auto"/>
                <w:sz w:val="18"/>
                <w:szCs w:val="18"/>
                <w:u w:val="none" w:color="auto"/>
              </w:rPr>
              <w:t>/dB(A)</w:t>
            </w:r>
          </w:p>
        </w:tc>
        <w:tc>
          <w:tcPr>
            <w:tcW w:w="1305" w:type="dxa"/>
            <w:gridSpan w:val="2"/>
            <w:tcBorders>
              <w:tl2br w:val="nil"/>
              <w:tr2bl w:val="nil"/>
            </w:tcBorders>
            <w:vAlign w:val="center"/>
          </w:tcPr>
          <w:p w14:paraId="2E004C7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噪声预测值</w:t>
            </w:r>
            <w:r>
              <w:rPr>
                <w:rFonts w:ascii="Times New Roman" w:hAnsi="Times New Roman" w:eastAsia="Times New Roman" w:cs="Times New Roman"/>
                <w:color w:val="auto"/>
                <w:spacing w:val="-1"/>
                <w:sz w:val="18"/>
                <w:szCs w:val="18"/>
                <w:u w:val="none" w:color="auto"/>
              </w:rPr>
              <w:t>/dB(A)</w:t>
            </w:r>
            <w:r>
              <w:rPr>
                <w:color w:val="auto"/>
                <w:spacing w:val="-1"/>
                <w:sz w:val="18"/>
                <w:szCs w:val="18"/>
                <w:u w:val="none" w:color="auto"/>
              </w:rPr>
              <w:t>）</w:t>
            </w:r>
          </w:p>
        </w:tc>
        <w:tc>
          <w:tcPr>
            <w:tcW w:w="1200" w:type="dxa"/>
            <w:gridSpan w:val="2"/>
            <w:tcBorders>
              <w:tl2br w:val="nil"/>
              <w:tr2bl w:val="nil"/>
            </w:tcBorders>
            <w:vAlign w:val="center"/>
          </w:tcPr>
          <w:p w14:paraId="0B15F7EC">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color w:val="auto"/>
                <w:spacing w:val="-2"/>
                <w:sz w:val="18"/>
                <w:szCs w:val="18"/>
                <w:u w:val="none" w:color="auto"/>
              </w:rPr>
              <w:t>较现状增量</w:t>
            </w:r>
            <w:r>
              <w:rPr>
                <w:rFonts w:ascii="Times New Roman" w:hAnsi="Times New Roman" w:eastAsia="Times New Roman" w:cs="Times New Roman"/>
                <w:color w:val="auto"/>
                <w:sz w:val="18"/>
                <w:szCs w:val="18"/>
                <w:u w:val="none" w:color="auto"/>
              </w:rPr>
              <w:t>/dB(A)</w:t>
            </w:r>
          </w:p>
        </w:tc>
        <w:tc>
          <w:tcPr>
            <w:tcW w:w="1035" w:type="dxa"/>
            <w:gridSpan w:val="2"/>
            <w:tcBorders>
              <w:tl2br w:val="nil"/>
              <w:tr2bl w:val="nil"/>
            </w:tcBorders>
            <w:vAlign w:val="center"/>
          </w:tcPr>
          <w:p w14:paraId="354BC1C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230" w:type="dxa"/>
            <w:gridSpan w:val="2"/>
            <w:tcBorders>
              <w:tl2br w:val="nil"/>
              <w:tr2bl w:val="nil"/>
            </w:tcBorders>
            <w:vAlign w:val="center"/>
          </w:tcPr>
          <w:p w14:paraId="3BBDC8C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2"/>
                <w:sz w:val="18"/>
                <w:szCs w:val="18"/>
                <w:u w:val="none" w:color="auto"/>
              </w:rPr>
              <w:t>达标情况</w:t>
            </w:r>
          </w:p>
        </w:tc>
        <w:tc>
          <w:tcPr>
            <w:tcW w:w="1305" w:type="dxa"/>
            <w:gridSpan w:val="2"/>
            <w:tcBorders>
              <w:tl2br w:val="nil"/>
              <w:tr2bl w:val="nil"/>
            </w:tcBorders>
            <w:vAlign w:val="center"/>
          </w:tcPr>
          <w:p w14:paraId="14A35EB2">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2</w:t>
            </w:r>
            <w:r>
              <w:rPr>
                <w:color w:val="auto"/>
                <w:spacing w:val="-3"/>
                <w:sz w:val="18"/>
                <w:szCs w:val="18"/>
                <w:u w:val="none" w:color="auto"/>
              </w:rPr>
              <w:t>类标准</w:t>
            </w:r>
            <w:r>
              <w:rPr>
                <w:rFonts w:ascii="Times New Roman" w:hAnsi="Times New Roman" w:eastAsia="Times New Roman" w:cs="Times New Roman"/>
                <w:color w:val="auto"/>
                <w:sz w:val="18"/>
                <w:szCs w:val="18"/>
                <w:u w:val="none" w:color="auto"/>
              </w:rPr>
              <w:t>/dB(A)</w:t>
            </w:r>
          </w:p>
        </w:tc>
      </w:tr>
      <w:tr w14:paraId="123FE8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528" w:type="dxa"/>
            <w:vMerge w:val="continue"/>
            <w:tcBorders>
              <w:tl2br w:val="nil"/>
              <w:tr2bl w:val="nil"/>
            </w:tcBorders>
            <w:textDirection w:val="tbRlV"/>
            <w:vAlign w:val="center"/>
          </w:tcPr>
          <w:p w14:paraId="11D7611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630BF7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1C9B519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40" w:type="dxa"/>
            <w:vMerge w:val="continue"/>
            <w:tcBorders>
              <w:tl2br w:val="nil"/>
              <w:tr2bl w:val="nil"/>
            </w:tcBorders>
            <w:vAlign w:val="center"/>
          </w:tcPr>
          <w:p w14:paraId="65EE0AC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95" w:type="dxa"/>
            <w:vMerge w:val="continue"/>
            <w:tcBorders>
              <w:tl2br w:val="nil"/>
              <w:tr2bl w:val="nil"/>
            </w:tcBorders>
            <w:vAlign w:val="center"/>
          </w:tcPr>
          <w:p w14:paraId="0984145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80" w:type="dxa"/>
            <w:vMerge w:val="continue"/>
            <w:tcBorders>
              <w:tl2br w:val="nil"/>
              <w:tr2bl w:val="nil"/>
            </w:tcBorders>
            <w:textDirection w:val="tbRlV"/>
            <w:vAlign w:val="center"/>
          </w:tcPr>
          <w:p w14:paraId="18A6FA9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85" w:type="dxa"/>
            <w:tcBorders>
              <w:tl2br w:val="nil"/>
              <w:tr2bl w:val="nil"/>
            </w:tcBorders>
            <w:vAlign w:val="center"/>
          </w:tcPr>
          <w:p w14:paraId="4CC98B8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00" w:type="dxa"/>
            <w:tcBorders>
              <w:tl2br w:val="nil"/>
              <w:tr2bl w:val="nil"/>
            </w:tcBorders>
            <w:vAlign w:val="center"/>
          </w:tcPr>
          <w:p w14:paraId="07F1D89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660" w:type="dxa"/>
            <w:tcBorders>
              <w:tl2br w:val="nil"/>
              <w:tr2bl w:val="nil"/>
            </w:tcBorders>
            <w:vAlign w:val="center"/>
          </w:tcPr>
          <w:p w14:paraId="5011E64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45" w:type="dxa"/>
            <w:tcBorders>
              <w:tl2br w:val="nil"/>
              <w:tr2bl w:val="nil"/>
            </w:tcBorders>
            <w:vAlign w:val="center"/>
          </w:tcPr>
          <w:p w14:paraId="42A2A37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85" w:type="dxa"/>
            <w:tcBorders>
              <w:tl2br w:val="nil"/>
              <w:tr2bl w:val="nil"/>
            </w:tcBorders>
            <w:vAlign w:val="center"/>
          </w:tcPr>
          <w:p w14:paraId="67310F75">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720" w:type="dxa"/>
            <w:tcBorders>
              <w:tl2br w:val="nil"/>
              <w:tr2bl w:val="nil"/>
            </w:tcBorders>
            <w:vAlign w:val="center"/>
          </w:tcPr>
          <w:p w14:paraId="613E7D3E">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70" w:type="dxa"/>
            <w:tcBorders>
              <w:tl2br w:val="nil"/>
              <w:tr2bl w:val="nil"/>
            </w:tcBorders>
            <w:vAlign w:val="center"/>
          </w:tcPr>
          <w:p w14:paraId="74BCE98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30" w:type="dxa"/>
            <w:tcBorders>
              <w:tl2br w:val="nil"/>
              <w:tr2bl w:val="nil"/>
            </w:tcBorders>
            <w:vAlign w:val="center"/>
          </w:tcPr>
          <w:p w14:paraId="22E98926">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10" w:type="dxa"/>
            <w:tcBorders>
              <w:tl2br w:val="nil"/>
              <w:tr2bl w:val="nil"/>
            </w:tcBorders>
            <w:vAlign w:val="center"/>
          </w:tcPr>
          <w:p w14:paraId="6D80104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525" w:type="dxa"/>
            <w:tcBorders>
              <w:tl2br w:val="nil"/>
              <w:tr2bl w:val="nil"/>
            </w:tcBorders>
            <w:vAlign w:val="center"/>
          </w:tcPr>
          <w:p w14:paraId="5ECE657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585" w:type="dxa"/>
            <w:tcBorders>
              <w:tl2br w:val="nil"/>
              <w:tr2bl w:val="nil"/>
            </w:tcBorders>
            <w:vAlign w:val="center"/>
          </w:tcPr>
          <w:p w14:paraId="3E7F52F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45" w:type="dxa"/>
            <w:tcBorders>
              <w:tl2br w:val="nil"/>
              <w:tr2bl w:val="nil"/>
            </w:tcBorders>
            <w:vAlign w:val="center"/>
          </w:tcPr>
          <w:p w14:paraId="741E72F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c>
          <w:tcPr>
            <w:tcW w:w="705" w:type="dxa"/>
            <w:tcBorders>
              <w:tl2br w:val="nil"/>
              <w:tr2bl w:val="nil"/>
            </w:tcBorders>
            <w:vAlign w:val="center"/>
          </w:tcPr>
          <w:p w14:paraId="27CF9764">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昼间</w:t>
            </w:r>
          </w:p>
        </w:tc>
        <w:tc>
          <w:tcPr>
            <w:tcW w:w="600" w:type="dxa"/>
            <w:tcBorders>
              <w:tl2br w:val="nil"/>
              <w:tr2bl w:val="nil"/>
            </w:tcBorders>
            <w:vAlign w:val="center"/>
          </w:tcPr>
          <w:p w14:paraId="7E85932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5"/>
                <w:sz w:val="18"/>
                <w:szCs w:val="18"/>
                <w:u w:val="none" w:color="auto"/>
              </w:rPr>
              <w:t>夜间</w:t>
            </w:r>
          </w:p>
        </w:tc>
      </w:tr>
      <w:tr w14:paraId="166A9F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28" w:type="dxa"/>
            <w:vMerge w:val="restart"/>
            <w:tcBorders>
              <w:tl2br w:val="nil"/>
              <w:tr2bl w:val="nil"/>
            </w:tcBorders>
            <w:vAlign w:val="center"/>
          </w:tcPr>
          <w:p w14:paraId="06F22D4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14B0DFA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z w:val="18"/>
                <w:szCs w:val="18"/>
                <w:u w:val="none" w:color="auto"/>
              </w:rPr>
              <w:t>1</w:t>
            </w:r>
          </w:p>
        </w:tc>
        <w:tc>
          <w:tcPr>
            <w:tcW w:w="979" w:type="dxa"/>
            <w:vMerge w:val="restart"/>
            <w:tcBorders>
              <w:tl2br w:val="nil"/>
              <w:tr2bl w:val="nil"/>
            </w:tcBorders>
            <w:vAlign w:val="center"/>
          </w:tcPr>
          <w:p w14:paraId="3587B0F0">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rFonts w:hint="eastAsia"/>
                <w:color w:val="auto"/>
                <w:spacing w:val="-11"/>
                <w:sz w:val="18"/>
                <w:szCs w:val="18"/>
                <w:u w:val="none" w:color="auto"/>
                <w:lang w:val="en-US" w:eastAsia="zh-CN"/>
              </w:rPr>
              <w:t>安置区三期</w:t>
            </w:r>
          </w:p>
        </w:tc>
        <w:tc>
          <w:tcPr>
            <w:tcW w:w="955" w:type="dxa"/>
            <w:vMerge w:val="restart"/>
            <w:tcBorders>
              <w:tl2br w:val="nil"/>
              <w:tr2bl w:val="nil"/>
            </w:tcBorders>
            <w:vAlign w:val="center"/>
          </w:tcPr>
          <w:p w14:paraId="62A6A2D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46927127">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7"/>
                <w:sz w:val="18"/>
                <w:szCs w:val="18"/>
                <w:u w:val="none" w:color="auto"/>
              </w:rPr>
              <w:t>东侧</w:t>
            </w:r>
          </w:p>
        </w:tc>
        <w:tc>
          <w:tcPr>
            <w:tcW w:w="1140" w:type="dxa"/>
            <w:vMerge w:val="restart"/>
            <w:tcBorders>
              <w:tl2br w:val="nil"/>
              <w:tr2bl w:val="nil"/>
            </w:tcBorders>
            <w:vAlign w:val="center"/>
          </w:tcPr>
          <w:p w14:paraId="08B9D53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20A2A6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2"/>
                <w:sz w:val="18"/>
                <w:szCs w:val="18"/>
                <w:u w:val="none" w:color="auto"/>
                <w:lang w:val="en-US" w:eastAsia="zh-CN"/>
              </w:rPr>
              <w:t>15</w:t>
            </w:r>
          </w:p>
        </w:tc>
        <w:tc>
          <w:tcPr>
            <w:tcW w:w="1395" w:type="dxa"/>
            <w:vMerge w:val="restart"/>
            <w:tcBorders>
              <w:tl2br w:val="nil"/>
              <w:tr2bl w:val="nil"/>
            </w:tcBorders>
            <w:vAlign w:val="center"/>
          </w:tcPr>
          <w:p w14:paraId="53237D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3A4F6D0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pacing w:val="-6"/>
                <w:sz w:val="18"/>
                <w:szCs w:val="18"/>
                <w:u w:val="none" w:color="auto"/>
                <w:lang w:val="en-US" w:eastAsia="zh-CN"/>
              </w:rPr>
              <w:t>22.5</w:t>
            </w:r>
          </w:p>
        </w:tc>
        <w:tc>
          <w:tcPr>
            <w:tcW w:w="480" w:type="dxa"/>
            <w:tcBorders>
              <w:tl2br w:val="nil"/>
              <w:tr2bl w:val="nil"/>
            </w:tcBorders>
            <w:vAlign w:val="center"/>
          </w:tcPr>
          <w:p w14:paraId="71F0640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0"/>
                <w:sz w:val="18"/>
                <w:szCs w:val="18"/>
                <w:u w:val="none" w:color="auto"/>
              </w:rPr>
              <w:t>1F</w:t>
            </w:r>
          </w:p>
        </w:tc>
        <w:tc>
          <w:tcPr>
            <w:tcW w:w="585" w:type="dxa"/>
            <w:tcBorders>
              <w:tl2br w:val="nil"/>
              <w:tr2bl w:val="nil"/>
            </w:tcBorders>
            <w:vAlign w:val="center"/>
          </w:tcPr>
          <w:p w14:paraId="7F4D4F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.0</w:t>
            </w:r>
          </w:p>
        </w:tc>
        <w:tc>
          <w:tcPr>
            <w:tcW w:w="600" w:type="dxa"/>
            <w:tcBorders>
              <w:tl2br w:val="nil"/>
              <w:tr2bl w:val="nil"/>
            </w:tcBorders>
            <w:vAlign w:val="center"/>
          </w:tcPr>
          <w:p w14:paraId="0F9C94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60" w:type="dxa"/>
            <w:tcBorders>
              <w:tl2br w:val="nil"/>
              <w:tr2bl w:val="nil"/>
            </w:tcBorders>
            <w:vAlign w:val="center"/>
          </w:tcPr>
          <w:p w14:paraId="555AFA4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47.</w:t>
            </w:r>
            <w:r>
              <w:rPr>
                <w:rFonts w:ascii="Times New Roman" w:hAnsi="Times New Roman" w:eastAsia="Times New Roman" w:cs="Times New Roman"/>
                <w:color w:val="auto"/>
                <w:spacing w:val="-24"/>
                <w:sz w:val="18"/>
                <w:szCs w:val="18"/>
                <w:u w:val="none" w:color="auto"/>
              </w:rPr>
              <w:t xml:space="preserve"> </w:t>
            </w:r>
            <w:r>
              <w:rPr>
                <w:rFonts w:ascii="Times New Roman" w:hAnsi="Times New Roman" w:eastAsia="Times New Roman" w:cs="Times New Roman"/>
                <w:color w:val="auto"/>
                <w:spacing w:val="-1"/>
                <w:sz w:val="18"/>
                <w:szCs w:val="18"/>
                <w:u w:val="none" w:color="auto"/>
              </w:rPr>
              <w:t>1</w:t>
            </w:r>
          </w:p>
        </w:tc>
        <w:tc>
          <w:tcPr>
            <w:tcW w:w="645" w:type="dxa"/>
            <w:tcBorders>
              <w:tl2br w:val="nil"/>
              <w:tr2bl w:val="nil"/>
            </w:tcBorders>
            <w:vAlign w:val="center"/>
          </w:tcPr>
          <w:p w14:paraId="22A768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43.2</w:t>
            </w:r>
          </w:p>
        </w:tc>
        <w:tc>
          <w:tcPr>
            <w:tcW w:w="585" w:type="dxa"/>
            <w:tcBorders>
              <w:tl2br w:val="nil"/>
              <w:tr2bl w:val="nil"/>
            </w:tcBorders>
            <w:vAlign w:val="center"/>
          </w:tcPr>
          <w:p w14:paraId="1F08378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54.8</w:t>
            </w:r>
          </w:p>
        </w:tc>
        <w:tc>
          <w:tcPr>
            <w:tcW w:w="720" w:type="dxa"/>
            <w:tcBorders>
              <w:tl2br w:val="nil"/>
              <w:tr2bl w:val="nil"/>
            </w:tcBorders>
            <w:vAlign w:val="center"/>
          </w:tcPr>
          <w:p w14:paraId="58B390F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45.3</w:t>
            </w:r>
          </w:p>
        </w:tc>
        <w:tc>
          <w:tcPr>
            <w:tcW w:w="570" w:type="dxa"/>
            <w:tcBorders>
              <w:tl2br w:val="nil"/>
              <w:tr2bl w:val="nil"/>
            </w:tcBorders>
            <w:vAlign w:val="center"/>
          </w:tcPr>
          <w:p w14:paraId="0EBA84C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0.8</w:t>
            </w:r>
          </w:p>
        </w:tc>
        <w:tc>
          <w:tcPr>
            <w:tcW w:w="630" w:type="dxa"/>
            <w:tcBorders>
              <w:tl2br w:val="nil"/>
              <w:tr2bl w:val="nil"/>
            </w:tcBorders>
            <w:vAlign w:val="center"/>
          </w:tcPr>
          <w:p w14:paraId="18FD2E7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4.3</w:t>
            </w:r>
          </w:p>
        </w:tc>
        <w:tc>
          <w:tcPr>
            <w:tcW w:w="510" w:type="dxa"/>
            <w:vMerge w:val="restart"/>
            <w:tcBorders>
              <w:tl2br w:val="nil"/>
              <w:tr2bl w:val="nil"/>
            </w:tcBorders>
            <w:vAlign w:val="center"/>
          </w:tcPr>
          <w:p w14:paraId="4AF30E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329A99FF">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25" w:type="dxa"/>
            <w:vMerge w:val="restart"/>
            <w:tcBorders>
              <w:tl2br w:val="nil"/>
              <w:tr2bl w:val="nil"/>
            </w:tcBorders>
            <w:vAlign w:val="center"/>
          </w:tcPr>
          <w:p w14:paraId="608EA7D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0FED9139">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585" w:type="dxa"/>
            <w:vMerge w:val="restart"/>
            <w:tcBorders>
              <w:tl2br w:val="nil"/>
              <w:tr2bl w:val="nil"/>
            </w:tcBorders>
            <w:vAlign w:val="center"/>
          </w:tcPr>
          <w:p w14:paraId="06DC22E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6330E153">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645" w:type="dxa"/>
            <w:vMerge w:val="restart"/>
            <w:tcBorders>
              <w:tl2br w:val="nil"/>
              <w:tr2bl w:val="nil"/>
            </w:tcBorders>
            <w:vAlign w:val="center"/>
          </w:tcPr>
          <w:p w14:paraId="2B5C791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5017DDDA">
            <w:pPr>
              <w:pStyle w:val="81"/>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color w:val="auto"/>
                <w:sz w:val="18"/>
                <w:szCs w:val="18"/>
                <w:u w:val="none" w:color="auto"/>
              </w:rPr>
            </w:pPr>
            <w:r>
              <w:rPr>
                <w:color w:val="auto"/>
                <w:spacing w:val="-4"/>
                <w:sz w:val="18"/>
                <w:szCs w:val="18"/>
                <w:u w:val="none" w:color="auto"/>
              </w:rPr>
              <w:t>达标</w:t>
            </w:r>
          </w:p>
        </w:tc>
        <w:tc>
          <w:tcPr>
            <w:tcW w:w="705" w:type="dxa"/>
            <w:vMerge w:val="restart"/>
            <w:tcBorders>
              <w:tl2br w:val="nil"/>
              <w:tr2bl w:val="nil"/>
            </w:tcBorders>
            <w:vAlign w:val="center"/>
          </w:tcPr>
          <w:p w14:paraId="0B12EA7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741D14B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60</w:t>
            </w:r>
          </w:p>
        </w:tc>
        <w:tc>
          <w:tcPr>
            <w:tcW w:w="600" w:type="dxa"/>
            <w:vMerge w:val="restart"/>
            <w:tcBorders>
              <w:tl2br w:val="nil"/>
              <w:tr2bl w:val="nil"/>
            </w:tcBorders>
            <w:vAlign w:val="center"/>
          </w:tcPr>
          <w:p w14:paraId="5CC3E20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p w14:paraId="4855515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50</w:t>
            </w:r>
          </w:p>
        </w:tc>
      </w:tr>
      <w:tr w14:paraId="27935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28" w:type="dxa"/>
            <w:vMerge w:val="continue"/>
            <w:tcBorders>
              <w:tl2br w:val="nil"/>
              <w:tr2bl w:val="nil"/>
            </w:tcBorders>
            <w:vAlign w:val="center"/>
          </w:tcPr>
          <w:p w14:paraId="2D86692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6FDACD5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5D5449A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40" w:type="dxa"/>
            <w:vMerge w:val="continue"/>
            <w:tcBorders>
              <w:tl2br w:val="nil"/>
              <w:tr2bl w:val="nil"/>
            </w:tcBorders>
            <w:vAlign w:val="center"/>
          </w:tcPr>
          <w:p w14:paraId="2C9A549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95" w:type="dxa"/>
            <w:vMerge w:val="continue"/>
            <w:tcBorders>
              <w:tl2br w:val="nil"/>
              <w:tr2bl w:val="nil"/>
            </w:tcBorders>
            <w:vAlign w:val="center"/>
          </w:tcPr>
          <w:p w14:paraId="25865F7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80" w:type="dxa"/>
            <w:tcBorders>
              <w:tl2br w:val="nil"/>
              <w:tr2bl w:val="nil"/>
            </w:tcBorders>
            <w:vAlign w:val="center"/>
          </w:tcPr>
          <w:p w14:paraId="6A729C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4"/>
                <w:sz w:val="18"/>
                <w:szCs w:val="18"/>
                <w:u w:val="none" w:color="auto"/>
              </w:rPr>
              <w:t>3F</w:t>
            </w:r>
          </w:p>
        </w:tc>
        <w:tc>
          <w:tcPr>
            <w:tcW w:w="585" w:type="dxa"/>
            <w:tcBorders>
              <w:tl2br w:val="nil"/>
              <w:tr2bl w:val="nil"/>
            </w:tcBorders>
            <w:vAlign w:val="center"/>
          </w:tcPr>
          <w:p w14:paraId="1433E41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5</w:t>
            </w:r>
            <w:r>
              <w:rPr>
                <w:rFonts w:hint="eastAsia" w:ascii="Times New Roman" w:hAnsi="Times New Roman" w:eastAsia="宋体" w:cs="Times New Roman"/>
                <w:color w:val="auto"/>
                <w:spacing w:val="-3"/>
                <w:sz w:val="18"/>
                <w:szCs w:val="18"/>
                <w:u w:val="none" w:color="auto"/>
                <w:lang w:val="en-US" w:eastAsia="zh-CN"/>
              </w:rPr>
              <w:t>4</w:t>
            </w:r>
            <w:r>
              <w:rPr>
                <w:rFonts w:ascii="Times New Roman" w:hAnsi="Times New Roman" w:eastAsia="Times New Roman" w:cs="Times New Roman"/>
                <w:color w:val="auto"/>
                <w:spacing w:val="-3"/>
                <w:sz w:val="18"/>
                <w:szCs w:val="18"/>
                <w:u w:val="none" w:color="auto"/>
              </w:rPr>
              <w:t>.</w:t>
            </w:r>
            <w:r>
              <w:rPr>
                <w:rFonts w:ascii="Times New Roman" w:hAnsi="Times New Roman" w:eastAsia="Times New Roman" w:cs="Times New Roman"/>
                <w:color w:val="auto"/>
                <w:spacing w:val="-22"/>
                <w:sz w:val="18"/>
                <w:szCs w:val="18"/>
                <w:u w:val="none" w:color="auto"/>
              </w:rPr>
              <w:t xml:space="preserve"> </w:t>
            </w:r>
            <w:r>
              <w:rPr>
                <w:rFonts w:ascii="Times New Roman" w:hAnsi="Times New Roman" w:eastAsia="Times New Roman" w:cs="Times New Roman"/>
                <w:color w:val="auto"/>
                <w:spacing w:val="-3"/>
                <w:sz w:val="18"/>
                <w:szCs w:val="18"/>
                <w:u w:val="none" w:color="auto"/>
              </w:rPr>
              <w:t>1</w:t>
            </w:r>
          </w:p>
        </w:tc>
        <w:tc>
          <w:tcPr>
            <w:tcW w:w="600" w:type="dxa"/>
            <w:tcBorders>
              <w:tl2br w:val="nil"/>
              <w:tr2bl w:val="nil"/>
            </w:tcBorders>
            <w:vAlign w:val="center"/>
          </w:tcPr>
          <w:p w14:paraId="05AD70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w:t>
            </w:r>
            <w:r>
              <w:rPr>
                <w:rFonts w:hint="eastAsia" w:ascii="Times New Roman" w:hAnsi="Times New Roman" w:eastAsia="宋体" w:cs="Times New Roman"/>
                <w:color w:val="auto"/>
                <w:spacing w:val="-1"/>
                <w:sz w:val="18"/>
                <w:szCs w:val="18"/>
                <w:u w:val="none" w:color="auto"/>
                <w:lang w:val="en-US" w:eastAsia="zh-CN"/>
              </w:rPr>
              <w:t>1</w:t>
            </w:r>
          </w:p>
        </w:tc>
        <w:tc>
          <w:tcPr>
            <w:tcW w:w="660" w:type="dxa"/>
            <w:tcBorders>
              <w:tl2br w:val="nil"/>
              <w:tr2bl w:val="nil"/>
            </w:tcBorders>
            <w:vAlign w:val="center"/>
          </w:tcPr>
          <w:p w14:paraId="5C1DED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45.8</w:t>
            </w:r>
          </w:p>
        </w:tc>
        <w:tc>
          <w:tcPr>
            <w:tcW w:w="645" w:type="dxa"/>
            <w:tcBorders>
              <w:tl2br w:val="nil"/>
              <w:tr2bl w:val="nil"/>
            </w:tcBorders>
            <w:vAlign w:val="center"/>
          </w:tcPr>
          <w:p w14:paraId="7D151D5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42.5</w:t>
            </w:r>
          </w:p>
        </w:tc>
        <w:tc>
          <w:tcPr>
            <w:tcW w:w="585" w:type="dxa"/>
            <w:tcBorders>
              <w:tl2br w:val="nil"/>
              <w:tr2bl w:val="nil"/>
            </w:tcBorders>
            <w:vAlign w:val="center"/>
          </w:tcPr>
          <w:p w14:paraId="2FF1DA8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54.7</w:t>
            </w:r>
          </w:p>
        </w:tc>
        <w:tc>
          <w:tcPr>
            <w:tcW w:w="720" w:type="dxa"/>
            <w:tcBorders>
              <w:tl2br w:val="nil"/>
              <w:tr2bl w:val="nil"/>
            </w:tcBorders>
            <w:vAlign w:val="center"/>
          </w:tcPr>
          <w:p w14:paraId="23C5934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44.8</w:t>
            </w:r>
          </w:p>
        </w:tc>
        <w:tc>
          <w:tcPr>
            <w:tcW w:w="570" w:type="dxa"/>
            <w:tcBorders>
              <w:tl2br w:val="nil"/>
              <w:tr2bl w:val="nil"/>
            </w:tcBorders>
            <w:vAlign w:val="center"/>
          </w:tcPr>
          <w:p w14:paraId="607420D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0.6</w:t>
            </w:r>
          </w:p>
        </w:tc>
        <w:tc>
          <w:tcPr>
            <w:tcW w:w="630" w:type="dxa"/>
            <w:tcBorders>
              <w:tl2br w:val="nil"/>
              <w:tr2bl w:val="nil"/>
            </w:tcBorders>
            <w:vAlign w:val="center"/>
          </w:tcPr>
          <w:p w14:paraId="761A4E4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3.8</w:t>
            </w:r>
          </w:p>
        </w:tc>
        <w:tc>
          <w:tcPr>
            <w:tcW w:w="510" w:type="dxa"/>
            <w:vMerge w:val="continue"/>
            <w:tcBorders>
              <w:tl2br w:val="nil"/>
              <w:tr2bl w:val="nil"/>
            </w:tcBorders>
            <w:vAlign w:val="center"/>
          </w:tcPr>
          <w:p w14:paraId="50E1F6C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25" w:type="dxa"/>
            <w:vMerge w:val="continue"/>
            <w:tcBorders>
              <w:tl2br w:val="nil"/>
              <w:tr2bl w:val="nil"/>
            </w:tcBorders>
            <w:vAlign w:val="center"/>
          </w:tcPr>
          <w:p w14:paraId="2A38D49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85" w:type="dxa"/>
            <w:vMerge w:val="continue"/>
            <w:tcBorders>
              <w:tl2br w:val="nil"/>
              <w:tr2bl w:val="nil"/>
            </w:tcBorders>
            <w:vAlign w:val="center"/>
          </w:tcPr>
          <w:p w14:paraId="7697F05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45" w:type="dxa"/>
            <w:vMerge w:val="continue"/>
            <w:tcBorders>
              <w:tl2br w:val="nil"/>
              <w:tr2bl w:val="nil"/>
            </w:tcBorders>
            <w:vAlign w:val="center"/>
          </w:tcPr>
          <w:p w14:paraId="28973D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705" w:type="dxa"/>
            <w:vMerge w:val="continue"/>
            <w:tcBorders>
              <w:tl2br w:val="nil"/>
              <w:tr2bl w:val="nil"/>
            </w:tcBorders>
            <w:vAlign w:val="center"/>
          </w:tcPr>
          <w:p w14:paraId="6E959BA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00" w:type="dxa"/>
            <w:vMerge w:val="continue"/>
            <w:tcBorders>
              <w:tl2br w:val="nil"/>
              <w:tr2bl w:val="nil"/>
            </w:tcBorders>
            <w:vAlign w:val="center"/>
          </w:tcPr>
          <w:p w14:paraId="6EEAA14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r w14:paraId="7518E6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528" w:type="dxa"/>
            <w:vMerge w:val="continue"/>
            <w:tcBorders>
              <w:tl2br w:val="nil"/>
              <w:tr2bl w:val="nil"/>
            </w:tcBorders>
            <w:vAlign w:val="center"/>
          </w:tcPr>
          <w:p w14:paraId="71DDAB2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79" w:type="dxa"/>
            <w:vMerge w:val="continue"/>
            <w:tcBorders>
              <w:tl2br w:val="nil"/>
              <w:tr2bl w:val="nil"/>
            </w:tcBorders>
            <w:vAlign w:val="center"/>
          </w:tcPr>
          <w:p w14:paraId="553C984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955" w:type="dxa"/>
            <w:vMerge w:val="continue"/>
            <w:tcBorders>
              <w:tl2br w:val="nil"/>
              <w:tr2bl w:val="nil"/>
            </w:tcBorders>
            <w:vAlign w:val="center"/>
          </w:tcPr>
          <w:p w14:paraId="30B9A6A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140" w:type="dxa"/>
            <w:vMerge w:val="continue"/>
            <w:tcBorders>
              <w:tl2br w:val="nil"/>
              <w:tr2bl w:val="nil"/>
            </w:tcBorders>
            <w:vAlign w:val="center"/>
          </w:tcPr>
          <w:p w14:paraId="2A3B9B1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1395" w:type="dxa"/>
            <w:vMerge w:val="continue"/>
            <w:tcBorders>
              <w:tl2br w:val="nil"/>
              <w:tr2bl w:val="nil"/>
            </w:tcBorders>
            <w:vAlign w:val="center"/>
          </w:tcPr>
          <w:p w14:paraId="529FA8E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480" w:type="dxa"/>
            <w:tcBorders>
              <w:tl2br w:val="nil"/>
              <w:tr2bl w:val="nil"/>
            </w:tcBorders>
            <w:vAlign w:val="center"/>
          </w:tcPr>
          <w:p w14:paraId="770EC78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pacing w:val="-4"/>
                <w:sz w:val="18"/>
                <w:szCs w:val="18"/>
                <w:u w:val="none" w:color="auto"/>
                <w:lang w:val="en-US" w:eastAsia="zh-CN"/>
              </w:rPr>
              <w:t>6</w:t>
            </w:r>
            <w:r>
              <w:rPr>
                <w:rFonts w:ascii="Times New Roman" w:hAnsi="Times New Roman" w:eastAsia="Times New Roman" w:cs="Times New Roman"/>
                <w:color w:val="auto"/>
                <w:spacing w:val="-4"/>
                <w:sz w:val="18"/>
                <w:szCs w:val="18"/>
                <w:u w:val="none" w:color="auto"/>
              </w:rPr>
              <w:t>F</w:t>
            </w:r>
          </w:p>
        </w:tc>
        <w:tc>
          <w:tcPr>
            <w:tcW w:w="585" w:type="dxa"/>
            <w:tcBorders>
              <w:tl2br w:val="nil"/>
              <w:tr2bl w:val="nil"/>
            </w:tcBorders>
            <w:vAlign w:val="center"/>
          </w:tcPr>
          <w:p w14:paraId="7442BD5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pacing w:val="-1"/>
                <w:sz w:val="18"/>
                <w:szCs w:val="18"/>
                <w:u w:val="none" w:color="auto"/>
                <w:lang w:val="en-US" w:eastAsia="zh-CN"/>
              </w:rPr>
              <w:t>52</w:t>
            </w:r>
            <w:r>
              <w:rPr>
                <w:rFonts w:ascii="Times New Roman" w:hAnsi="Times New Roman" w:eastAsia="Times New Roman" w:cs="Times New Roman"/>
                <w:color w:val="auto"/>
                <w:spacing w:val="-1"/>
                <w:sz w:val="18"/>
                <w:szCs w:val="18"/>
                <w:u w:val="none" w:color="auto"/>
              </w:rPr>
              <w:t>.7</w:t>
            </w:r>
          </w:p>
        </w:tc>
        <w:tc>
          <w:tcPr>
            <w:tcW w:w="600" w:type="dxa"/>
            <w:tcBorders>
              <w:tl2br w:val="nil"/>
              <w:tr2bl w:val="nil"/>
            </w:tcBorders>
            <w:vAlign w:val="center"/>
          </w:tcPr>
          <w:p w14:paraId="0C09931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jc w:val="center"/>
              <w:textAlignment w:val="auto"/>
              <w:rPr>
                <w:rFonts w:ascii="Times New Roman" w:hAnsi="Times New Roman" w:eastAsia="Times New Roman" w:cs="Times New Roman"/>
                <w:color w:val="auto"/>
                <w:sz w:val="18"/>
                <w:szCs w:val="18"/>
                <w:u w:val="none" w:color="auto"/>
              </w:rPr>
            </w:pPr>
            <w:r>
              <w:rPr>
                <w:rFonts w:hint="eastAsia" w:ascii="Times New Roman" w:hAnsi="Times New Roman" w:eastAsia="宋体" w:cs="Times New Roman"/>
                <w:color w:val="auto"/>
                <w:spacing w:val="-2"/>
                <w:sz w:val="18"/>
                <w:szCs w:val="18"/>
                <w:u w:val="none" w:color="auto"/>
                <w:lang w:val="en-US" w:eastAsia="zh-CN"/>
              </w:rPr>
              <w:t>40.4</w:t>
            </w:r>
          </w:p>
        </w:tc>
        <w:tc>
          <w:tcPr>
            <w:tcW w:w="660" w:type="dxa"/>
            <w:tcBorders>
              <w:tl2br w:val="nil"/>
              <w:tr2bl w:val="nil"/>
            </w:tcBorders>
            <w:vAlign w:val="center"/>
          </w:tcPr>
          <w:p w14:paraId="79CA04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45.0</w:t>
            </w:r>
          </w:p>
        </w:tc>
        <w:tc>
          <w:tcPr>
            <w:tcW w:w="645" w:type="dxa"/>
            <w:tcBorders>
              <w:tl2br w:val="nil"/>
              <w:tr2bl w:val="nil"/>
            </w:tcBorders>
            <w:vAlign w:val="center"/>
          </w:tcPr>
          <w:p w14:paraId="11D7FC4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41.9</w:t>
            </w:r>
          </w:p>
        </w:tc>
        <w:tc>
          <w:tcPr>
            <w:tcW w:w="585" w:type="dxa"/>
            <w:tcBorders>
              <w:tl2br w:val="nil"/>
              <w:tr2bl w:val="nil"/>
            </w:tcBorders>
            <w:vAlign w:val="center"/>
          </w:tcPr>
          <w:p w14:paraId="7038717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53.4</w:t>
            </w:r>
          </w:p>
        </w:tc>
        <w:tc>
          <w:tcPr>
            <w:tcW w:w="720" w:type="dxa"/>
            <w:tcBorders>
              <w:tl2br w:val="nil"/>
              <w:tr2bl w:val="nil"/>
            </w:tcBorders>
            <w:vAlign w:val="center"/>
          </w:tcPr>
          <w:p w14:paraId="39533AC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44.2</w:t>
            </w:r>
          </w:p>
        </w:tc>
        <w:tc>
          <w:tcPr>
            <w:tcW w:w="570" w:type="dxa"/>
            <w:tcBorders>
              <w:tl2br w:val="nil"/>
              <w:tr2bl w:val="nil"/>
            </w:tcBorders>
            <w:vAlign w:val="center"/>
          </w:tcPr>
          <w:p w14:paraId="0F28939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0.7</w:t>
            </w:r>
          </w:p>
        </w:tc>
        <w:tc>
          <w:tcPr>
            <w:tcW w:w="630" w:type="dxa"/>
            <w:tcBorders>
              <w:tl2br w:val="nil"/>
              <w:tr2bl w:val="nil"/>
            </w:tcBorders>
            <w:vAlign w:val="center"/>
          </w:tcPr>
          <w:p w14:paraId="2BD28E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3.8</w:t>
            </w:r>
          </w:p>
        </w:tc>
        <w:tc>
          <w:tcPr>
            <w:tcW w:w="510" w:type="dxa"/>
            <w:vMerge w:val="continue"/>
            <w:tcBorders>
              <w:tl2br w:val="nil"/>
              <w:tr2bl w:val="nil"/>
            </w:tcBorders>
            <w:vAlign w:val="center"/>
          </w:tcPr>
          <w:p w14:paraId="16DE3B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25" w:type="dxa"/>
            <w:vMerge w:val="continue"/>
            <w:tcBorders>
              <w:tl2br w:val="nil"/>
              <w:tr2bl w:val="nil"/>
            </w:tcBorders>
            <w:vAlign w:val="center"/>
          </w:tcPr>
          <w:p w14:paraId="263F61B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585" w:type="dxa"/>
            <w:vMerge w:val="continue"/>
            <w:tcBorders>
              <w:tl2br w:val="nil"/>
              <w:tr2bl w:val="nil"/>
            </w:tcBorders>
            <w:vAlign w:val="center"/>
          </w:tcPr>
          <w:p w14:paraId="063FADE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45" w:type="dxa"/>
            <w:vMerge w:val="continue"/>
            <w:tcBorders>
              <w:tl2br w:val="nil"/>
              <w:tr2bl w:val="nil"/>
            </w:tcBorders>
            <w:vAlign w:val="center"/>
          </w:tcPr>
          <w:p w14:paraId="3A7724A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705" w:type="dxa"/>
            <w:vMerge w:val="continue"/>
            <w:tcBorders>
              <w:tl2br w:val="nil"/>
              <w:tr2bl w:val="nil"/>
            </w:tcBorders>
            <w:vAlign w:val="center"/>
          </w:tcPr>
          <w:p w14:paraId="045DBF0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c>
          <w:tcPr>
            <w:tcW w:w="600" w:type="dxa"/>
            <w:vMerge w:val="continue"/>
            <w:tcBorders>
              <w:tl2br w:val="nil"/>
              <w:tr2bl w:val="nil"/>
            </w:tcBorders>
            <w:vAlign w:val="center"/>
          </w:tcPr>
          <w:p w14:paraId="5BBB8A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Arial"/>
                <w:color w:val="auto"/>
                <w:sz w:val="18"/>
                <w:szCs w:val="18"/>
                <w:u w:val="none" w:color="auto"/>
              </w:rPr>
            </w:pPr>
          </w:p>
        </w:tc>
      </w:tr>
    </w:tbl>
    <w:p w14:paraId="09DFCDDF">
      <w:pPr>
        <w:adjustRightInd w:val="0"/>
        <w:snapToGrid w:val="0"/>
        <w:spacing w:line="360" w:lineRule="auto"/>
        <w:ind w:firstLine="488" w:firstLineChars="200"/>
        <w:rPr>
          <w:rFonts w:ascii="宋体" w:hAnsi="宋体" w:eastAsia="宋体" w:cs="宋体"/>
          <w:color w:val="auto"/>
          <w:spacing w:val="-2"/>
          <w:sz w:val="24"/>
          <w:szCs w:val="24"/>
          <w:u w:val="none" w:color="auto"/>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宋体" w:hAnsi="宋体" w:eastAsia="宋体" w:cs="宋体"/>
          <w:color w:val="auto"/>
          <w:spacing w:val="2"/>
          <w:sz w:val="24"/>
          <w:szCs w:val="24"/>
          <w:u w:val="none" w:color="auto"/>
        </w:rPr>
        <w:t>根据以上预测结果可知，项目沿线敏感点按</w:t>
      </w:r>
      <w:r>
        <w:rPr>
          <w:rFonts w:ascii="Times New Roman" w:hAnsi="Times New Roman" w:eastAsia="Times New Roman" w:cs="Times New Roman"/>
          <w:color w:val="auto"/>
          <w:spacing w:val="2"/>
          <w:sz w:val="24"/>
          <w:szCs w:val="24"/>
          <w:u w:val="none" w:color="auto"/>
        </w:rPr>
        <w:t>2</w:t>
      </w:r>
      <w:r>
        <w:rPr>
          <w:rFonts w:ascii="宋体" w:hAnsi="宋体" w:eastAsia="宋体" w:cs="宋体"/>
          <w:color w:val="auto"/>
          <w:spacing w:val="2"/>
          <w:sz w:val="24"/>
          <w:szCs w:val="24"/>
          <w:u w:val="none" w:color="auto"/>
        </w:rPr>
        <w:t>类标准评价，</w:t>
      </w:r>
      <w:r>
        <w:rPr>
          <w:rFonts w:ascii="宋体" w:hAnsi="宋体" w:eastAsia="宋体" w:cs="宋体"/>
          <w:color w:val="auto"/>
          <w:spacing w:val="2"/>
          <w:sz w:val="24"/>
          <w:szCs w:val="24"/>
          <w:u w:val="none" w:color="auto"/>
        </w:rPr>
        <w:t>道路两侧运营</w:t>
      </w:r>
      <w:r>
        <w:rPr>
          <w:rFonts w:ascii="宋体" w:hAnsi="宋体" w:eastAsia="宋体" w:cs="宋体"/>
          <w:color w:val="auto"/>
          <w:spacing w:val="1"/>
          <w:sz w:val="24"/>
          <w:szCs w:val="24"/>
          <w:u w:val="none" w:color="auto"/>
        </w:rPr>
        <w:t>期近期、中期、远期的昼间</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夜间各路段的交通噪</w:t>
      </w:r>
      <w:r>
        <w:rPr>
          <w:rFonts w:ascii="宋体" w:hAnsi="宋体" w:eastAsia="宋体" w:cs="宋体"/>
          <w:color w:val="auto"/>
          <w:spacing w:val="-2"/>
          <w:sz w:val="24"/>
          <w:szCs w:val="24"/>
          <w:u w:val="none" w:color="auto"/>
        </w:rPr>
        <w:t>声在敏感点处均能达标。</w:t>
      </w:r>
    </w:p>
    <w:tbl>
      <w:tblPr>
        <w:tblStyle w:val="25"/>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800"/>
        <w:gridCol w:w="8190"/>
      </w:tblGrid>
      <w:tr w14:paraId="6D3D0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14:paraId="5C47D75E">
            <w:pPr>
              <w:adjustRightInd w:val="0"/>
              <w:snapToGrid w:val="0"/>
              <w:jc w:val="center"/>
              <w:rPr>
                <w:rFonts w:hint="default" w:eastAsia="宋体" w:cs="宋体"/>
                <w:color w:val="auto"/>
                <w:kern w:val="0"/>
                <w:sz w:val="24"/>
                <w:szCs w:val="21"/>
                <w:u w:val="none" w:color="auto"/>
                <w:lang w:val="en-US" w:eastAsia="zh-CN"/>
              </w:rPr>
            </w:pPr>
          </w:p>
        </w:tc>
        <w:tc>
          <w:tcPr>
            <w:tcW w:w="8190" w:type="dxa"/>
            <w:vAlign w:val="center"/>
          </w:tcPr>
          <w:p w14:paraId="60DABB7C">
            <w:pPr>
              <w:numPr>
                <w:ilvl w:val="0"/>
                <w:numId w:val="3"/>
              </w:numPr>
              <w:adjustRightInd w:val="0"/>
              <w:snapToGrid w:val="0"/>
              <w:spacing w:line="360" w:lineRule="auto"/>
              <w:jc w:val="left"/>
              <w:rPr>
                <w:rFonts w:hint="default"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营运期大气环境影响分析</w:t>
            </w:r>
          </w:p>
          <w:p w14:paraId="7D43D71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1</w:t>
            </w:r>
            <w:r>
              <w:rPr>
                <w:rFonts w:hint="eastAsia" w:ascii="Times New Roman" w:hAnsi="Times New Roman" w:eastAsia="宋体" w:cs="Times New Roman"/>
                <w:color w:val="auto"/>
                <w:sz w:val="24"/>
                <w:u w:val="none" w:color="auto"/>
                <w:lang w:val="en-US" w:eastAsia="zh-CN"/>
              </w:rPr>
              <w:t>）汽车尾气排放影响分析</w:t>
            </w:r>
          </w:p>
          <w:p w14:paraId="4BBBA8E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u w:val="none" w:color="auto"/>
                <w:lang w:val="en-US" w:eastAsia="zh-CN"/>
              </w:rPr>
              <w:t>项目主要是新建</w:t>
            </w:r>
            <w:r>
              <w:rPr>
                <w:rFonts w:hint="eastAsia" w:cs="Times New Roman"/>
                <w:color w:val="auto"/>
                <w:sz w:val="24"/>
                <w:u w:val="none" w:color="auto"/>
                <w:lang w:val="en-US" w:eastAsia="zh-CN"/>
              </w:rPr>
              <w:t>和改造道路工程</w:t>
            </w:r>
            <w:r>
              <w:rPr>
                <w:rFonts w:hint="eastAsia" w:ascii="Times New Roman" w:hAnsi="Times New Roman" w:eastAsia="宋体" w:cs="Times New Roman"/>
                <w:color w:val="auto"/>
                <w:sz w:val="24"/>
                <w:u w:val="none" w:color="auto"/>
                <w:lang w:val="en-US" w:eastAsia="zh-CN"/>
              </w:rPr>
              <w:t>、雨污水管网</w:t>
            </w:r>
            <w:r>
              <w:rPr>
                <w:rFonts w:hint="eastAsia" w:cs="Times New Roman"/>
                <w:color w:val="auto"/>
                <w:sz w:val="24"/>
                <w:u w:val="none" w:color="auto"/>
                <w:lang w:val="en-US" w:eastAsia="zh-CN"/>
              </w:rPr>
              <w:t>新</w:t>
            </w:r>
            <w:r>
              <w:rPr>
                <w:rFonts w:hint="eastAsia" w:ascii="Times New Roman" w:hAnsi="Times New Roman" w:eastAsia="宋体" w:cs="Times New Roman"/>
                <w:color w:val="auto"/>
                <w:sz w:val="24"/>
                <w:u w:val="none" w:color="auto"/>
                <w:lang w:val="en-US" w:eastAsia="zh-CN"/>
              </w:rPr>
              <w:t>建，营运期对大气的污染主要来源于车辆运行中</w:t>
            </w:r>
            <w:r>
              <w:rPr>
                <w:rFonts w:hint="eastAsia" w:ascii="Times New Roman" w:hAnsi="Times New Roman" w:eastAsia="宋体" w:cs="Times New Roman"/>
                <w:color w:val="auto"/>
                <w:sz w:val="24"/>
                <w:szCs w:val="24"/>
                <w:u w:val="none" w:color="auto"/>
                <w:lang w:val="en-US" w:eastAsia="zh-CN"/>
              </w:rPr>
              <w:t>汽车尾气的排放，主要特征污染物为</w:t>
            </w:r>
            <w:r>
              <w:rPr>
                <w:rFonts w:hint="default" w:ascii="Times New Roman" w:hAnsi="Times New Roman" w:eastAsia="宋体" w:cs="Times New Roman"/>
                <w:color w:val="auto"/>
                <w:sz w:val="24"/>
                <w:szCs w:val="24"/>
                <w:u w:val="none" w:color="auto"/>
                <w:lang w:val="en-US" w:eastAsia="zh-CN"/>
              </w:rPr>
              <w:t>CO</w:t>
            </w:r>
            <w:r>
              <w:rPr>
                <w:rFonts w:hint="eastAsia" w:ascii="Times New Roman" w:hAnsi="Times New Roman" w:eastAsia="宋体" w:cs="Times New Roman"/>
                <w:color w:val="auto"/>
                <w:sz w:val="24"/>
                <w:szCs w:val="24"/>
                <w:u w:val="none" w:color="auto"/>
                <w:lang w:val="en-US" w:eastAsia="zh-CN"/>
              </w:rPr>
              <w:t>、</w:t>
            </w:r>
            <w:r>
              <w:rPr>
                <w:rFonts w:hint="default" w:ascii="Times New Roman" w:hAnsi="Times New Roman" w:eastAsia="宋体" w:cs="Times New Roman"/>
                <w:color w:val="auto"/>
                <w:sz w:val="24"/>
                <w:szCs w:val="24"/>
                <w:u w:val="none" w:color="auto"/>
                <w:lang w:val="en-US" w:eastAsia="zh-CN"/>
              </w:rPr>
              <w:t>NO</w:t>
            </w:r>
            <w:r>
              <w:rPr>
                <w:rFonts w:hint="default" w:ascii="Times New Roman" w:hAnsi="Times New Roman" w:eastAsia="宋体" w:cs="Times New Roman"/>
                <w:color w:val="auto"/>
                <w:sz w:val="24"/>
                <w:szCs w:val="24"/>
                <w:u w:val="none" w:color="auto"/>
                <w:vertAlign w:val="subscript"/>
                <w:lang w:val="en-US" w:eastAsia="zh-CN"/>
              </w:rPr>
              <w:t>X</w:t>
            </w:r>
            <w:r>
              <w:rPr>
                <w:rFonts w:hint="eastAsia" w:ascii="Times New Roman" w:hAnsi="Times New Roman" w:eastAsia="宋体" w:cs="Times New Roman"/>
                <w:color w:val="auto"/>
                <w:sz w:val="24"/>
                <w:szCs w:val="24"/>
                <w:u w:val="none" w:color="auto"/>
                <w:lang w:val="en-US" w:eastAsia="zh-CN"/>
              </w:rPr>
              <w:t>、</w:t>
            </w:r>
            <w:r>
              <w:rPr>
                <w:rFonts w:hint="default" w:ascii="Times New Roman" w:hAnsi="Times New Roman" w:eastAsia="宋体" w:cs="Times New Roman"/>
                <w:color w:val="auto"/>
                <w:sz w:val="24"/>
                <w:szCs w:val="24"/>
                <w:u w:val="none" w:color="auto"/>
                <w:lang w:val="en-US" w:eastAsia="zh-CN"/>
              </w:rPr>
              <w:t>THC</w:t>
            </w:r>
            <w:r>
              <w:rPr>
                <w:rFonts w:hint="eastAsia" w:ascii="Times New Roman" w:hAnsi="Times New Roman" w:eastAsia="宋体" w:cs="Times New Roman"/>
                <w:color w:val="auto"/>
                <w:sz w:val="24"/>
                <w:szCs w:val="24"/>
                <w:u w:val="none" w:color="auto"/>
                <w:lang w:val="en-US" w:eastAsia="zh-CN"/>
              </w:rPr>
              <w:t>。道路工程建成通车后，汽车尾气成为影响沿线环境空气质量的主要污染物。汽车尾气污染源可模拟为一条连续排放的线性污染源。机动车尾气污染物的排放过程十分复杂，与多种因素有关，不仅取决于机动车型号、年代、行驶里程、保养状态和有无尾气净化装置，而且还取决于燃料、环境温度、负载和驾驶方式等外部因素。各类型机动车在不同行驶速度下的台驾模拟试验表明，不同类型机动车的尾气污染物排放有不同的规律。目前我国汽车行业正逐渐跟国际接轨，全国机动车尾气排放标准已于</w:t>
            </w:r>
            <w:r>
              <w:rPr>
                <w:rFonts w:hint="default" w:ascii="Times New Roman" w:hAnsi="Times New Roman" w:eastAsia="宋体" w:cs="Times New Roman"/>
                <w:color w:val="auto"/>
                <w:sz w:val="24"/>
                <w:szCs w:val="24"/>
                <w:u w:val="none" w:color="auto"/>
                <w:lang w:val="en-US" w:eastAsia="zh-CN"/>
              </w:rPr>
              <w:t>2020</w:t>
            </w:r>
            <w:r>
              <w:rPr>
                <w:rFonts w:hint="eastAsia" w:ascii="Times New Roman" w:hAnsi="Times New Roman" w:eastAsia="宋体" w:cs="Times New Roman"/>
                <w:color w:val="auto"/>
                <w:sz w:val="24"/>
                <w:szCs w:val="24"/>
                <w:u w:val="none" w:color="auto"/>
                <w:lang w:val="en-US" w:eastAsia="zh-CN"/>
              </w:rPr>
              <w:t>年</w:t>
            </w:r>
            <w:r>
              <w:rPr>
                <w:rFonts w:hint="default" w:ascii="Times New Roman" w:hAnsi="Times New Roman" w:eastAsia="宋体" w:cs="Times New Roman"/>
                <w:color w:val="auto"/>
                <w:sz w:val="24"/>
                <w:szCs w:val="24"/>
                <w:u w:val="none" w:color="auto"/>
                <w:lang w:val="en-US" w:eastAsia="zh-CN"/>
              </w:rPr>
              <w:t>7</w:t>
            </w:r>
            <w:r>
              <w:rPr>
                <w:rFonts w:hint="eastAsia" w:ascii="Times New Roman" w:hAnsi="Times New Roman" w:eastAsia="宋体" w:cs="Times New Roman"/>
                <w:color w:val="auto"/>
                <w:sz w:val="24"/>
                <w:szCs w:val="24"/>
                <w:u w:val="none" w:color="auto"/>
                <w:lang w:val="en-US" w:eastAsia="zh-CN"/>
              </w:rPr>
              <w:t>月</w:t>
            </w:r>
            <w:r>
              <w:rPr>
                <w:rFonts w:hint="default" w:ascii="Times New Roman" w:hAnsi="Times New Roman" w:eastAsia="宋体" w:cs="Times New Roman"/>
                <w:color w:val="auto"/>
                <w:sz w:val="24"/>
                <w:szCs w:val="24"/>
                <w:u w:val="none" w:color="auto"/>
                <w:lang w:val="en-US" w:eastAsia="zh-CN"/>
              </w:rPr>
              <w:t>1</w:t>
            </w:r>
            <w:r>
              <w:rPr>
                <w:rFonts w:hint="eastAsia" w:ascii="Times New Roman" w:hAnsi="Times New Roman" w:eastAsia="宋体" w:cs="Times New Roman"/>
                <w:color w:val="auto"/>
                <w:sz w:val="24"/>
                <w:szCs w:val="24"/>
                <w:u w:val="none" w:color="auto"/>
                <w:lang w:val="en-US" w:eastAsia="zh-CN"/>
              </w:rPr>
              <w:t>日起实施国</w:t>
            </w:r>
            <w:r>
              <w:rPr>
                <w:rFonts w:hint="default" w:ascii="Times New Roman" w:hAnsi="Times New Roman" w:eastAsia="宋体" w:cs="Times New Roman"/>
                <w:color w:val="auto"/>
                <w:sz w:val="24"/>
                <w:szCs w:val="24"/>
                <w:u w:val="none" w:color="auto"/>
                <w:lang w:val="en-US" w:eastAsia="zh-CN"/>
              </w:rPr>
              <w:t>VI</w:t>
            </w:r>
            <w:r>
              <w:rPr>
                <w:rFonts w:hint="eastAsia" w:ascii="Times New Roman" w:hAnsi="Times New Roman" w:eastAsia="宋体" w:cs="Times New Roman"/>
                <w:color w:val="auto"/>
                <w:sz w:val="24"/>
                <w:szCs w:val="24"/>
                <w:u w:val="none" w:color="auto"/>
                <w:lang w:val="en-US" w:eastAsia="zh-CN"/>
              </w:rPr>
              <w:t xml:space="preserve">标准。项目道路为开放式的广域扩散空间，且单辆汽车为移动式污染源，整个工程可看作很长路段的线状污染源，汽车尾气相对于长路段来说，扩散至工程两侧一定距离，各项目污染物浓度较低。根据近几年已建成地方道路工程的竣工环境保护验收调查报告，汽车尾气对环境的影响范围和程度十分有限。 </w:t>
            </w:r>
          </w:p>
          <w:p w14:paraId="3C730B8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w:t>
            </w:r>
            <w:r>
              <w:rPr>
                <w:rFonts w:hint="default" w:ascii="Times New Roman" w:hAnsi="Times New Roman" w:eastAsia="宋体" w:cs="Times New Roman"/>
                <w:color w:val="auto"/>
                <w:sz w:val="24"/>
                <w:szCs w:val="24"/>
                <w:u w:val="none" w:color="auto"/>
                <w:lang w:val="en-US" w:eastAsia="zh-CN"/>
              </w:rPr>
              <w:t>2</w:t>
            </w:r>
            <w:r>
              <w:rPr>
                <w:rFonts w:hint="eastAsia" w:ascii="Times New Roman" w:hAnsi="Times New Roman" w:eastAsia="宋体" w:cs="Times New Roman"/>
                <w:color w:val="auto"/>
                <w:sz w:val="24"/>
                <w:szCs w:val="24"/>
                <w:u w:val="none" w:color="auto"/>
                <w:lang w:val="en-US" w:eastAsia="zh-CN"/>
              </w:rPr>
              <w:t xml:space="preserve">）扬尘排放影响分析 </w:t>
            </w:r>
          </w:p>
          <w:p w14:paraId="3F4AE30D">
            <w:pPr>
              <w:pStyle w:val="68"/>
              <w:ind w:firstLine="480"/>
              <w:rPr>
                <w:color w:val="auto"/>
                <w:szCs w:val="24"/>
                <w:u w:val="none" w:color="auto"/>
              </w:rPr>
            </w:pPr>
            <w:r>
              <w:rPr>
                <w:rFonts w:hint="eastAsia" w:ascii="Times New Roman" w:hAnsi="Times New Roman" w:eastAsia="宋体" w:cs="Times New Roman"/>
                <w:color w:val="auto"/>
                <w:sz w:val="24"/>
                <w:szCs w:val="24"/>
                <w:u w:val="none" w:color="auto"/>
                <w:lang w:val="en-US" w:eastAsia="zh-CN"/>
              </w:rPr>
              <w:t>道路营运期扬尘污染主要来源于：①行驶车辆轮胎接触路面，使路面积尘扬起，产生的二次污染；②运输车辆在运送物料时，由于洒落、风吹等原因，产生扬尘污染。本次评价类比近几年已建成市政道路的竣工环境保护验收调查报告，汽车尾气及路面扬尘对环境的影响范围和程度十分有限，污染影响较低。综上所述，工程运行期间对区域环境空气的影响较小，在可接受范围内。</w:t>
            </w:r>
          </w:p>
        </w:tc>
      </w:tr>
      <w:tr w14:paraId="0A597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14:paraId="47A4CC46">
            <w:pPr>
              <w:adjustRightInd w:val="0"/>
              <w:snapToGrid w:val="0"/>
              <w:jc w:val="center"/>
              <w:rPr>
                <w:rFonts w:hint="eastAsia" w:cs="宋体"/>
                <w:color w:val="auto"/>
                <w:kern w:val="0"/>
                <w:sz w:val="24"/>
                <w:szCs w:val="21"/>
                <w:u w:val="none" w:color="auto"/>
              </w:rPr>
            </w:pPr>
            <w:r>
              <w:rPr>
                <w:rFonts w:hint="eastAsia" w:ascii="宋体" w:hAnsi="宋体" w:eastAsia="宋体" w:cs="宋体"/>
                <w:bCs/>
                <w:color w:val="auto"/>
                <w:spacing w:val="10"/>
                <w:kern w:val="2"/>
                <w:sz w:val="21"/>
                <w:szCs w:val="21"/>
                <w:u w:val="none" w:color="auto"/>
                <w:lang w:val="en-US" w:eastAsia="zh-CN"/>
              </w:rPr>
              <w:t>选址选线环境合理性分析</w:t>
            </w:r>
          </w:p>
        </w:tc>
        <w:tc>
          <w:tcPr>
            <w:tcW w:w="8190" w:type="dxa"/>
            <w:vAlign w:val="center"/>
          </w:tcPr>
          <w:p w14:paraId="005AEC4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本项目为</w:t>
            </w:r>
            <w:r>
              <w:rPr>
                <w:rFonts w:hint="default" w:ascii="Times New Roman" w:hAnsi="Times New Roman" w:eastAsia="宋体" w:cs="Times New Roman"/>
                <w:color w:val="auto"/>
                <w:sz w:val="24"/>
                <w:szCs w:val="24"/>
                <w:u w:val="none" w:color="auto"/>
                <w:lang w:val="en-US" w:eastAsia="zh-CN"/>
              </w:rPr>
              <w:t>团洲垸灾后重建安置房配套基础设施建设</w:t>
            </w:r>
            <w:r>
              <w:rPr>
                <w:rFonts w:hint="eastAsia" w:ascii="Times New Roman" w:hAnsi="Times New Roman" w:eastAsia="宋体" w:cs="Times New Roman"/>
                <w:color w:val="auto"/>
                <w:sz w:val="24"/>
                <w:szCs w:val="24"/>
                <w:u w:val="none" w:color="auto"/>
                <w:lang w:val="en-US" w:eastAsia="zh-CN"/>
              </w:rPr>
              <w:t>项目</w:t>
            </w:r>
            <w:r>
              <w:rPr>
                <w:rFonts w:hint="default" w:ascii="Times New Roman" w:hAnsi="Times New Roman" w:eastAsia="宋体" w:cs="Times New Roman"/>
                <w:color w:val="auto"/>
                <w:sz w:val="24"/>
                <w:szCs w:val="24"/>
                <w:u w:val="none" w:color="auto"/>
                <w:lang w:val="en-US" w:eastAsia="zh-CN"/>
              </w:rPr>
              <w:t>，选址于</w:t>
            </w:r>
            <w:r>
              <w:rPr>
                <w:rFonts w:hint="eastAsia" w:ascii="Times New Roman" w:hAnsi="Times New Roman" w:eastAsia="宋体" w:cs="Times New Roman"/>
                <w:color w:val="auto"/>
                <w:sz w:val="24"/>
                <w:szCs w:val="24"/>
                <w:u w:val="none" w:color="auto"/>
                <w:lang w:val="en-US" w:eastAsia="zh-CN"/>
              </w:rPr>
              <w:t>华容县团洲乡</w:t>
            </w:r>
            <w:r>
              <w:rPr>
                <w:rFonts w:hint="default" w:ascii="Times New Roman" w:hAnsi="Times New Roman" w:eastAsia="宋体" w:cs="Times New Roman"/>
                <w:color w:val="auto"/>
                <w:sz w:val="24"/>
                <w:szCs w:val="24"/>
                <w:u w:val="none" w:color="auto"/>
                <w:lang w:val="en-US" w:eastAsia="zh-CN"/>
              </w:rPr>
              <w:t>团洲新村，</w:t>
            </w:r>
            <w:r>
              <w:rPr>
                <w:rFonts w:hint="eastAsia" w:ascii="Times New Roman" w:hAnsi="Times New Roman" w:eastAsia="宋体" w:cs="Times New Roman"/>
                <w:color w:val="auto"/>
                <w:sz w:val="24"/>
                <w:szCs w:val="24"/>
                <w:u w:val="none" w:color="auto"/>
                <w:lang w:val="en-US" w:eastAsia="zh-CN"/>
              </w:rPr>
              <w:t>项目位于调规前湖南东洞庭湖国家级自然保护区实验区范围内，建设项目符合《中华人民共和国自然保护区条例》等的对项目选址、功能、规模及建设控制要求，也符合《岳阳市东洞庭湖国家级自然保护区条例》中的相关要求。</w:t>
            </w:r>
          </w:p>
          <w:p w14:paraId="2C852B3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项目建设中的市政设施建设（包括污水、雨水管道铺设、道路重建、供水供气管网建设等）是直接满足居民日常生活需求的核心内容。除了安置房小区的基础设施配套，其他公用设施（如燃气、照明、排水等）将极大地提高当地居民的生活质量</w:t>
            </w:r>
            <w:r>
              <w:rPr>
                <w:rFonts w:hint="eastAsia" w:cs="Times New Roman"/>
                <w:color w:val="auto"/>
                <w:sz w:val="24"/>
                <w:szCs w:val="24"/>
                <w:u w:val="none" w:color="auto"/>
                <w:lang w:val="en-US" w:eastAsia="zh-CN"/>
              </w:rPr>
              <w:t>。</w:t>
            </w:r>
          </w:p>
          <w:p w14:paraId="33C0DF9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建设项目对地表土壤、植被和野生动物几乎没有影响，不涉及野生动植物的重要生境，不会导致物种灭绝和种群数量减少，对植物、野生动物及生态环境的影响主要为建筑材料的运输和施工，较为轻微。在施工期及运营期通过采取相应的保护措施，可将影响降至最低程度。</w:t>
            </w:r>
          </w:p>
          <w:p w14:paraId="5D111D8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建设项目应按本报告提出的要求，加强环境保护措施，确保生态修复工程、绿化工程、环境工程与主体工程同步开展，以降低对风景名胜区的影响。</w:t>
            </w:r>
          </w:p>
          <w:p w14:paraId="14D8A1BB">
            <w:pPr>
              <w:adjustRightInd w:val="0"/>
              <w:snapToGrid w:val="0"/>
              <w:spacing w:line="360" w:lineRule="auto"/>
              <w:ind w:firstLine="480" w:firstLineChars="200"/>
              <w:jc w:val="left"/>
              <w:rPr>
                <w:rFonts w:hint="eastAsia" w:cs="Times New Roman"/>
                <w:color w:val="auto"/>
                <w:szCs w:val="22"/>
                <w:u w:val="none" w:color="auto"/>
                <w:lang w:val="en-US" w:eastAsia="zh-CN"/>
              </w:rPr>
            </w:pPr>
            <w:r>
              <w:rPr>
                <w:rFonts w:hint="eastAsia" w:ascii="Times New Roman" w:hAnsi="Times New Roman" w:eastAsia="宋体" w:cs="Times New Roman"/>
                <w:color w:val="auto"/>
                <w:sz w:val="24"/>
                <w:szCs w:val="24"/>
                <w:u w:val="none" w:color="auto"/>
                <w:lang w:val="en-US" w:eastAsia="zh-CN"/>
              </w:rPr>
              <w:t>综合以上分析，建设项目总体符合景区的相关管理、规划要求，建设方案注重对生态环境保护，工程方案选址可行，项目建设选址合理。</w:t>
            </w:r>
          </w:p>
        </w:tc>
      </w:tr>
    </w:tbl>
    <w:p w14:paraId="4E3B6A83">
      <w:pPr>
        <w:adjustRightInd w:val="0"/>
        <w:snapToGrid w:val="0"/>
        <w:spacing w:line="360" w:lineRule="auto"/>
        <w:rPr>
          <w:rFonts w:ascii="宋体" w:cs="宋体"/>
          <w:b/>
          <w:color w:val="auto"/>
          <w:kern w:val="0"/>
          <w:sz w:val="28"/>
          <w:szCs w:val="28"/>
          <w:u w:val="none" w:color="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FA8C320">
      <w:pPr>
        <w:pStyle w:val="21"/>
        <w:jc w:val="center"/>
        <w:outlineLvl w:val="0"/>
        <w:rPr>
          <w:rFonts w:hint="default" w:ascii="黑体" w:hAnsi="黑体" w:eastAsia="黑体"/>
          <w:snapToGrid w:val="0"/>
          <w:color w:val="auto"/>
          <w:sz w:val="30"/>
          <w:szCs w:val="30"/>
          <w:u w:val="none" w:color="auto"/>
          <w:lang w:val="en-US" w:eastAsia="zh-CN"/>
        </w:rPr>
      </w:pPr>
      <w:bookmarkStart w:id="26" w:name="_Toc27403"/>
      <w:bookmarkStart w:id="27" w:name="_Toc11834"/>
      <w:bookmarkStart w:id="28" w:name="_Toc18186"/>
      <w:bookmarkStart w:id="29" w:name="_Toc15561"/>
      <w:r>
        <w:rPr>
          <w:rFonts w:hint="eastAsia" w:ascii="黑体" w:hAnsi="黑体" w:eastAsia="黑体"/>
          <w:snapToGrid w:val="0"/>
          <w:color w:val="auto"/>
          <w:sz w:val="30"/>
          <w:szCs w:val="30"/>
          <w:u w:val="none" w:color="auto"/>
        </w:rPr>
        <w:t>五、</w:t>
      </w:r>
      <w:r>
        <w:rPr>
          <w:rFonts w:hint="eastAsia" w:ascii="黑体" w:hAnsi="黑体" w:eastAsia="黑体"/>
          <w:snapToGrid w:val="0"/>
          <w:color w:val="auto"/>
          <w:sz w:val="30"/>
          <w:szCs w:val="30"/>
          <w:u w:val="none" w:color="auto"/>
          <w:lang w:val="en-US" w:eastAsia="zh-CN"/>
        </w:rPr>
        <w:t>主要生态环境保护措施</w:t>
      </w:r>
      <w:bookmarkEnd w:id="26"/>
      <w:bookmarkEnd w:id="27"/>
      <w:bookmarkEnd w:id="28"/>
    </w:p>
    <w:tbl>
      <w:tblPr>
        <w:tblStyle w:val="25"/>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583"/>
      </w:tblGrid>
      <w:tr w14:paraId="0E392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76" w:type="pct"/>
            <w:noWrap w:val="0"/>
            <w:tcMar>
              <w:left w:w="28" w:type="dxa"/>
              <w:right w:w="28" w:type="dxa"/>
            </w:tcMar>
            <w:vAlign w:val="center"/>
          </w:tcPr>
          <w:p w14:paraId="0BD2A5E0">
            <w:pPr>
              <w:adjustRightInd w:val="0"/>
              <w:snapToGrid w:val="0"/>
              <w:jc w:val="center"/>
              <w:rPr>
                <w:rFonts w:hint="default" w:ascii="Times New Roman" w:hAnsi="Times New Roman" w:cs="Times New Roman"/>
                <w:color w:val="auto"/>
                <w:sz w:val="24"/>
                <w:szCs w:val="24"/>
                <w:u w:val="none" w:color="auto"/>
              </w:rPr>
            </w:pPr>
            <w:r>
              <w:rPr>
                <w:rFonts w:hint="default" w:ascii="宋体" w:hAnsi="宋体" w:eastAsia="宋体" w:cs="宋体"/>
                <w:bCs/>
                <w:color w:val="auto"/>
                <w:sz w:val="24"/>
                <w:szCs w:val="24"/>
                <w:u w:val="none" w:color="auto"/>
              </w:rPr>
              <w:t>施工期生态环境保护措施</w:t>
            </w:r>
          </w:p>
        </w:tc>
        <w:tc>
          <w:tcPr>
            <w:tcW w:w="4523" w:type="pct"/>
            <w:noWrap w:val="0"/>
            <w:vAlign w:val="top"/>
          </w:tcPr>
          <w:p w14:paraId="0926B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1</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施工期水环境保护措施</w:t>
            </w:r>
          </w:p>
          <w:p w14:paraId="0804CC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本项目施工必须严禁未经任何处理将水排放，同时做好建筑材料和建筑废料的管理，施工原材料堆放场需配套防风、防雨、防扬散措施，避免地面水体二次污染，同时设置隔油沉淀池，施工废水经隔油沉淀处理后，循环使用，用于生产、路面养护或洒水抑尘，不外</w:t>
            </w:r>
            <w:r>
              <w:rPr>
                <w:rFonts w:hint="eastAsia" w:ascii="Times New Roman" w:hAnsi="Times New Roman" w:eastAsia="宋体" w:cs="Times New Roman"/>
                <w:color w:val="auto"/>
                <w:sz w:val="24"/>
                <w:highlight w:val="none"/>
                <w:u w:val="none" w:color="auto"/>
                <w:lang w:val="en-US" w:eastAsia="zh-CN"/>
              </w:rPr>
              <w:t>排。</w:t>
            </w:r>
          </w:p>
          <w:p w14:paraId="5860AB1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在施工过程中采取如下措施来减少对水环境的影响：</w:t>
            </w:r>
          </w:p>
          <w:p w14:paraId="1986109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color="auto"/>
              </w:rPr>
            </w:pPr>
            <w:r>
              <w:rPr>
                <w:rFonts w:hint="eastAsia" w:ascii="Times New Roman" w:hAnsi="Times New Roman" w:cs="Times New Roman"/>
                <w:color w:val="auto"/>
                <w:sz w:val="24"/>
                <w:u w:val="none" w:color="auto"/>
              </w:rPr>
              <w:t>①</w:t>
            </w:r>
            <w:r>
              <w:rPr>
                <w:rFonts w:hint="default" w:ascii="Times New Roman" w:hAnsi="Times New Roman" w:cs="Times New Roman"/>
                <w:color w:val="auto"/>
                <w:sz w:val="24"/>
                <w:u w:val="none" w:color="auto"/>
              </w:rPr>
              <w:t>建设单位必须在施工前向当地主管部门</w:t>
            </w:r>
            <w:r>
              <w:rPr>
                <w:rFonts w:hint="eastAsia" w:ascii="Times New Roman" w:hAnsi="Times New Roman" w:cs="Times New Roman"/>
                <w:color w:val="auto"/>
                <w:sz w:val="24"/>
                <w:u w:val="none" w:color="auto"/>
              </w:rPr>
              <w:t>提</w:t>
            </w:r>
            <w:r>
              <w:rPr>
                <w:rFonts w:hint="default" w:ascii="Times New Roman" w:hAnsi="Times New Roman" w:cs="Times New Roman"/>
                <w:color w:val="auto"/>
                <w:sz w:val="24"/>
                <w:u w:val="none" w:color="auto"/>
              </w:rPr>
              <w:t>出申报。工程施工期间，对地面水的排</w:t>
            </w:r>
            <w:r>
              <w:rPr>
                <w:rFonts w:hint="eastAsia" w:ascii="Times New Roman" w:hAnsi="Times New Roman" w:cs="Times New Roman"/>
                <w:color w:val="auto"/>
                <w:sz w:val="24"/>
                <w:u w:val="none" w:color="auto"/>
              </w:rPr>
              <w:t>、挡</w:t>
            </w:r>
            <w:r>
              <w:rPr>
                <w:rFonts w:hint="default" w:ascii="Times New Roman" w:hAnsi="Times New Roman" w:cs="Times New Roman"/>
                <w:color w:val="auto"/>
                <w:sz w:val="24"/>
                <w:u w:val="none" w:color="auto"/>
              </w:rPr>
              <w:t>进行组织设计，严禁乱排、乱流污染道路、环境。</w:t>
            </w:r>
          </w:p>
          <w:p w14:paraId="40C5C6F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color="auto"/>
              </w:rPr>
            </w:pPr>
            <w:r>
              <w:rPr>
                <w:rFonts w:hint="eastAsia" w:ascii="Times New Roman" w:hAnsi="Times New Roman" w:cs="Times New Roman"/>
                <w:color w:val="auto"/>
                <w:sz w:val="24"/>
                <w:u w:val="none" w:color="auto"/>
              </w:rPr>
              <w:t>②</w:t>
            </w:r>
            <w:r>
              <w:rPr>
                <w:rFonts w:hint="default" w:ascii="Times New Roman" w:hAnsi="Times New Roman" w:cs="Times New Roman"/>
                <w:color w:val="auto"/>
                <w:sz w:val="24"/>
                <w:u w:val="none" w:color="auto"/>
              </w:rPr>
              <w:t>施工过程要尽量减少弃土，做好各项排水、截水、防止水土流失的设计，做好必要的截水沟和沉砂池，防止雨天水土流失，禁止就近直接排入地表水体或平地漫流。</w:t>
            </w:r>
          </w:p>
          <w:p w14:paraId="3ABB71C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color="auto"/>
              </w:rPr>
            </w:pPr>
            <w:r>
              <w:rPr>
                <w:rFonts w:hint="eastAsia" w:ascii="Times New Roman" w:hAnsi="Times New Roman" w:cs="Times New Roman"/>
                <w:color w:val="auto"/>
                <w:sz w:val="24"/>
                <w:u w:val="none" w:color="auto"/>
              </w:rPr>
              <w:t>③</w:t>
            </w:r>
            <w:r>
              <w:rPr>
                <w:rFonts w:hint="default" w:ascii="Times New Roman" w:hAnsi="Times New Roman" w:cs="Times New Roman"/>
                <w:color w:val="auto"/>
                <w:sz w:val="24"/>
                <w:u w:val="none" w:color="auto"/>
              </w:rPr>
              <w:t>在施工过程中，应合理安排施工计划、施工程序，协调好各个施工步骤。雨季中尽量减少地面坡度，减少开挖面，并争取土料随挖、随运，减少推土裸土的暴露时间，以避免受降雨的直接冲刷。暴雨</w:t>
            </w:r>
            <w:r>
              <w:rPr>
                <w:rFonts w:hint="eastAsia" w:ascii="Times New Roman" w:hAnsi="Times New Roman" w:cs="Times New Roman"/>
                <w:color w:val="auto"/>
                <w:sz w:val="24"/>
                <w:u w:val="none" w:color="auto"/>
              </w:rPr>
              <w:t>期间</w:t>
            </w:r>
            <w:r>
              <w:rPr>
                <w:rFonts w:hint="default" w:ascii="Times New Roman" w:hAnsi="Times New Roman" w:cs="Times New Roman"/>
                <w:color w:val="auto"/>
                <w:sz w:val="24"/>
                <w:u w:val="none" w:color="auto"/>
              </w:rPr>
              <w:t>还应采取应急措施，尽量用覆盖物覆盖新开挖的陡坡，防止冲刷和崩塌。</w:t>
            </w:r>
          </w:p>
          <w:p w14:paraId="43C26775">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color="auto"/>
              </w:rPr>
            </w:pPr>
            <w:r>
              <w:rPr>
                <w:rFonts w:hint="eastAsia" w:ascii="Times New Roman" w:hAnsi="Times New Roman" w:cs="Times New Roman"/>
                <w:color w:val="auto"/>
                <w:sz w:val="24"/>
                <w:u w:val="none" w:color="auto"/>
              </w:rPr>
              <w:t>④增加专职或兼职施工环保管理人员及兼职环保监理工程师以加强具体的环保措施的制定和执行，做到预防为主，防止对</w:t>
            </w:r>
            <w:r>
              <w:rPr>
                <w:rFonts w:hint="eastAsia" w:cs="Times New Roman"/>
                <w:color w:val="auto"/>
                <w:sz w:val="24"/>
                <w:u w:val="none" w:color="auto"/>
                <w:lang w:val="en-US" w:eastAsia="zh-CN"/>
              </w:rPr>
              <w:t>周边</w:t>
            </w:r>
            <w:r>
              <w:rPr>
                <w:rFonts w:hint="eastAsia" w:ascii="Times New Roman" w:hAnsi="Times New Roman" w:cs="Times New Roman"/>
                <w:color w:val="auto"/>
                <w:sz w:val="24"/>
                <w:u w:val="none" w:color="auto"/>
              </w:rPr>
              <w:t>水体造成污染。施工前要对施工人员进行环保培训，加强施工人员的环境保护意识，规范施工行为，避免不必要的污染环节，加强施工期环境保护及水土保持措施的落实。</w:t>
            </w:r>
          </w:p>
          <w:p w14:paraId="419F6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2</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施工期大气环境保护措施</w:t>
            </w:r>
          </w:p>
          <w:p w14:paraId="32F227F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eastAsia="zh-CN"/>
              </w:rPr>
              <w:t>（</w:t>
            </w:r>
            <w:r>
              <w:rPr>
                <w:rFonts w:hint="eastAsia" w:ascii="Times New Roman" w:hAnsi="Times New Roman" w:eastAsia="宋体" w:cs="Times New Roman"/>
                <w:color w:val="auto"/>
                <w:sz w:val="24"/>
                <w:u w:val="none" w:color="auto"/>
                <w:lang w:val="en-US" w:eastAsia="zh-CN"/>
              </w:rPr>
              <w:t>1</w:t>
            </w:r>
            <w:r>
              <w:rPr>
                <w:rFonts w:hint="eastAsia" w:ascii="Times New Roman" w:hAnsi="Times New Roman" w:eastAsia="宋体" w:cs="Times New Roman"/>
                <w:color w:val="auto"/>
                <w:sz w:val="24"/>
                <w:u w:val="none" w:color="auto"/>
                <w:lang w:eastAsia="zh-CN"/>
              </w:rPr>
              <w:t>）</w:t>
            </w:r>
            <w:r>
              <w:rPr>
                <w:rFonts w:hint="eastAsia" w:ascii="Times New Roman" w:hAnsi="Times New Roman" w:eastAsia="宋体" w:cs="Times New Roman"/>
                <w:color w:val="auto"/>
                <w:sz w:val="24"/>
                <w:u w:val="none" w:color="auto"/>
                <w:lang w:val="en-US" w:eastAsia="zh-CN"/>
              </w:rPr>
              <w:t>施工扬尘污染防治措施</w:t>
            </w:r>
          </w:p>
          <w:p w14:paraId="755DD85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lang w:eastAsia="zh-CN"/>
              </w:rPr>
            </w:pPr>
            <w:r>
              <w:rPr>
                <w:rFonts w:hint="default" w:ascii="Times New Roman" w:hAnsi="Times New Roman" w:eastAsia="宋体" w:cs="Times New Roman"/>
                <w:color w:val="auto"/>
                <w:sz w:val="24"/>
                <w:u w:val="none" w:color="auto"/>
                <w:lang w:eastAsia="zh-CN"/>
              </w:rPr>
              <w:t>为减少扬尘对工程所在地空气环境的影响，</w:t>
            </w:r>
            <w:r>
              <w:rPr>
                <w:rFonts w:hint="eastAsia" w:ascii="Times New Roman" w:hAnsi="Times New Roman" w:eastAsia="宋体" w:cs="Times New Roman"/>
                <w:color w:val="auto"/>
                <w:sz w:val="24"/>
                <w:u w:val="none" w:color="auto"/>
                <w:lang w:val="en-US" w:eastAsia="zh-CN"/>
              </w:rPr>
              <w:t>项目参考湖南省住房和城乡建设厅发布的《关于进一步加强全省房屋市政工程施工扬尘防治工作的通知》中的</w:t>
            </w:r>
            <w:r>
              <w:rPr>
                <w:rFonts w:hint="default" w:ascii="Times New Roman" w:hAnsi="Times New Roman" w:eastAsia="宋体" w:cs="Times New Roman"/>
                <w:color w:val="auto"/>
                <w:sz w:val="24"/>
                <w:u w:val="none" w:color="auto"/>
                <w:lang w:eastAsia="zh-CN"/>
              </w:rPr>
              <w:t>规定，主要采取下列扬尘污染防治措施：</w:t>
            </w:r>
          </w:p>
          <w:p w14:paraId="17B9DEF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lang w:eastAsia="zh-CN"/>
              </w:rPr>
            </w:pPr>
            <w:r>
              <w:rPr>
                <w:rFonts w:hint="default" w:ascii="Times New Roman" w:hAnsi="Times New Roman" w:eastAsia="宋体" w:cs="Times New Roman"/>
                <w:color w:val="auto"/>
                <w:sz w:val="24"/>
                <w:u w:val="none" w:color="auto"/>
                <w:lang w:eastAsia="zh-CN"/>
              </w:rPr>
              <w:t>工程全面落实扬尘防治“六个100%”(工地周边围挡、物料堆放覆盖、土方开挖湿法作业、路面硬化、出入车辆清洗、渣土车辆密闭运输)措施。严格落实建筑施工现场防尘降尘设施、装置等措施,房屋建筑施工现场必须采取封闭施工现场的围挡</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市区主要路段的工地设置高度不小于2.5米</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一般路段的工地设置高度不小于1.8米。落实建筑垃圾消纳控制措施</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施工现场的施工垃圾和生活垃圾</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应当设置密闭式垃圾站集中分类存放</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及时清运出场。强化施工场地等防尘降尘管理</w:t>
            </w:r>
            <w:r>
              <w:rPr>
                <w:rFonts w:hint="eastAsia"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施工现场的主要出入口、主要道路及材料加工区、堆放区的地面应当按照规定作硬化处理</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其他裸露的场地应当采取覆盖、固化、洒水、绿化等措施。严格施工现场建筑材料管理</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对易产生扬尘的大堆物料,能洒水的应当按时洒水压尘</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不能洒水的应当采取覆盖等措施,水泥和其他易飞扬的细颗粒建筑材料应当在库房或密闭容器内存放或采取覆盖等措施</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严禁露天放置。完善土方开挖、拆除工程、市政工程扬尘防治手段</w:t>
            </w:r>
            <w:r>
              <w:rPr>
                <w:rFonts w:hint="eastAsia"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拆除建筑物、构筑物、土方开挖、土方回填等易产生粉尘的作业时</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必须采用围挡隔离、喷淋、洒水、喷雾等降尘措施</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市政工程应根据现场条件设立固定或活动的封闭围挡、警示标志</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定时洒水喷雾降尘清扫</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定时清理排水系统</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施工泥浆采用密闭容器存放</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不得排入市政管道</w:t>
            </w:r>
            <w:r>
              <w:rPr>
                <w:rFonts w:hint="eastAsia" w:ascii="Times New Roman" w:hAnsi="Times New Roman" w:eastAsia="宋体" w:cs="Times New Roman"/>
                <w:color w:val="auto"/>
                <w:sz w:val="24"/>
                <w:u w:val="none" w:color="auto"/>
                <w:lang w:eastAsia="zh-CN"/>
              </w:rPr>
              <w:t>，</w:t>
            </w:r>
            <w:r>
              <w:rPr>
                <w:rFonts w:hint="default" w:ascii="Times New Roman" w:hAnsi="Times New Roman" w:eastAsia="宋体" w:cs="Times New Roman"/>
                <w:color w:val="auto"/>
                <w:sz w:val="24"/>
                <w:u w:val="none" w:color="auto"/>
                <w:lang w:eastAsia="zh-CN"/>
              </w:rPr>
              <w:t>要配备施工车辆冲洗设备</w:t>
            </w:r>
            <w:r>
              <w:rPr>
                <w:rFonts w:hint="eastAsia" w:ascii="Times New Roman" w:hAnsi="Times New Roman" w:eastAsia="宋体" w:cs="Times New Roman"/>
                <w:color w:val="auto"/>
                <w:sz w:val="24"/>
                <w:u w:val="none" w:color="auto"/>
                <w:lang w:eastAsia="zh-CN"/>
              </w:rPr>
              <w:t>。</w:t>
            </w:r>
          </w:p>
          <w:p w14:paraId="394CE22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针对项目较近的居民点，为减缓施工扬尘对居民影响，环评要求在施工区定时洒水降尘，大风天气增加洒水降尘次数；砂石、土料等易产生扬尘的堆料场采用帆布覆盖；施工机械及运输车辆在积尘路面减速行驶等扬尘防治措施。此外，运输车辆不宜装载过满，车厢需加盖篷布，防止泥土洒落。同时，对工程开挖的土方进行覆盖，及时回填、压实，减少扬尘的产生。通过以上有效的防治降尘措施，可减少对周围居民区的影响。项目施工期结束后，上述影响也随之消失。</w:t>
            </w:r>
          </w:p>
          <w:p w14:paraId="4DBB93E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（2）施工机械及运输车辆尾气防治措施</w:t>
            </w:r>
          </w:p>
          <w:p w14:paraId="2210B4A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u w:val="none" w:color="auto"/>
              </w:rPr>
            </w:pPr>
            <w:r>
              <w:rPr>
                <w:rFonts w:hint="eastAsia" w:ascii="Times New Roman" w:hAnsi="Times New Roman" w:eastAsia="宋体" w:cs="Times New Roman"/>
                <w:color w:val="auto"/>
                <w:sz w:val="24"/>
                <w:u w:val="none" w:color="auto"/>
                <w:lang w:val="en-US" w:eastAsia="zh-CN"/>
              </w:rPr>
              <w:t>①采用新型环保型设备并加强施工机械的维护，提高机械的正常使用率。</w:t>
            </w:r>
          </w:p>
          <w:p w14:paraId="382562E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u w:val="none" w:color="auto"/>
              </w:rPr>
            </w:pPr>
            <w:r>
              <w:rPr>
                <w:rFonts w:hint="eastAsia" w:ascii="Times New Roman" w:hAnsi="Times New Roman" w:eastAsia="宋体" w:cs="Times New Roman"/>
                <w:color w:val="auto"/>
                <w:sz w:val="24"/>
                <w:u w:val="none" w:color="auto"/>
                <w:lang w:val="en-US" w:eastAsia="zh-CN"/>
              </w:rPr>
              <w:t>②加强对施工机械、车辆的管理，禁止以柴油为燃料的施工机械超负荷工作，减少油烟和颗粒物排放。</w:t>
            </w:r>
          </w:p>
          <w:p w14:paraId="3ADB97C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u w:val="none" w:color="auto"/>
              </w:rPr>
            </w:pPr>
            <w:r>
              <w:rPr>
                <w:rFonts w:hint="eastAsia" w:ascii="Times New Roman" w:hAnsi="Times New Roman" w:eastAsia="宋体" w:cs="Times New Roman"/>
                <w:color w:val="auto"/>
                <w:sz w:val="24"/>
                <w:u w:val="none" w:color="auto"/>
                <w:lang w:val="en-US" w:eastAsia="zh-CN"/>
              </w:rPr>
              <w:t>③动力机械多选择使用电动工具，严格控制内燃机械的使用，场内施工内燃机械（如铲车、挖掘机等）安置有效的空气滤清装置，并定期清理。</w:t>
            </w:r>
          </w:p>
          <w:p w14:paraId="42240D9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④挖掘机、推土机等施工机械设备尾气排放应符合相关标准，禁止使用在运行过程中“冒黑烟”、造成大气污染的柴油锤打桩机等机械设备。</w:t>
            </w:r>
          </w:p>
          <w:p w14:paraId="55A9FC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cs="宋体"/>
                <w:color w:val="auto"/>
                <w:sz w:val="24"/>
                <w:u w:val="none" w:color="auto"/>
              </w:rPr>
            </w:pPr>
            <w:r>
              <w:rPr>
                <w:rFonts w:hint="eastAsia" w:ascii="宋体" w:hAnsi="宋体" w:cs="宋体"/>
                <w:color w:val="auto"/>
                <w:sz w:val="24"/>
                <w:u w:val="none" w:color="auto"/>
              </w:rPr>
              <w:t>综上，建设单位应坚持文明施工，严格执行上述污染控制措施，只要加强管理，切实落实好这些措施，施工扬尘对环境的影响将会大大降低。施工期废气通过一系列有效措施后，能有效减轻施工期废气对周边环境的影响，降低至可接受水平，且施工期是短暂的、偶然的，项目施工期废气的不利影响会随着施工期的结束而消失。</w:t>
            </w:r>
          </w:p>
          <w:p w14:paraId="0ECD5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cs="Times New Roman"/>
                <w:b/>
                <w:bCs/>
                <w:color w:val="auto"/>
                <w:sz w:val="24"/>
                <w:u w:val="none" w:color="auto"/>
                <w:lang w:val="en-US" w:eastAsia="zh-CN"/>
              </w:rPr>
            </w:pPr>
            <w:r>
              <w:rPr>
                <w:rFonts w:hint="eastAsia" w:ascii="Times New Roman" w:hAnsi="Times New Roman" w:cs="Times New Roman"/>
                <w:b/>
                <w:bCs/>
                <w:color w:val="auto"/>
                <w:sz w:val="24"/>
                <w:u w:val="none" w:color="auto"/>
                <w:lang w:val="en-US" w:eastAsia="zh-CN"/>
              </w:rPr>
              <w:t>3</w:t>
            </w:r>
            <w:r>
              <w:rPr>
                <w:rFonts w:hint="default" w:ascii="Times New Roman" w:hAnsi="Times New Roman" w:cs="Times New Roman"/>
                <w:b/>
                <w:bCs/>
                <w:color w:val="auto"/>
                <w:sz w:val="24"/>
                <w:u w:val="none" w:color="auto"/>
                <w:lang w:val="en-US" w:eastAsia="zh-CN"/>
              </w:rPr>
              <w:t>、</w:t>
            </w:r>
            <w:r>
              <w:rPr>
                <w:rFonts w:hint="eastAsia" w:ascii="Times New Roman" w:hAnsi="Times New Roman" w:cs="Times New Roman"/>
                <w:b/>
                <w:bCs/>
                <w:color w:val="auto"/>
                <w:sz w:val="24"/>
                <w:u w:val="none" w:color="auto"/>
                <w:lang w:val="en-US" w:eastAsia="zh-CN"/>
              </w:rPr>
              <w:t>施工期声环境保护措施</w:t>
            </w:r>
          </w:p>
          <w:p w14:paraId="38BEA28A">
            <w:pPr>
              <w:keepNext w:val="0"/>
              <w:keepLines w:val="0"/>
              <w:suppressLineNumbers w:val="0"/>
              <w:autoSpaceDE w:val="0"/>
              <w:autoSpaceDN w:val="0"/>
              <w:adjustRightInd w:val="0"/>
              <w:spacing w:before="0" w:beforeAutospacing="0" w:after="0" w:afterAutospacing="0" w:line="360" w:lineRule="auto"/>
              <w:ind w:left="0" w:right="0" w:firstLine="482" w:firstLineChars="200"/>
              <w:jc w:val="both"/>
              <w:rPr>
                <w:rFonts w:hint="eastAsia" w:ascii="Times New Roman" w:hAnsi="Times New Roman" w:eastAsia="宋体" w:cs="Times New Roman"/>
                <w:b/>
                <w:bCs/>
                <w:color w:val="auto"/>
                <w:sz w:val="24"/>
                <w:szCs w:val="24"/>
                <w:u w:val="none" w:color="auto"/>
                <w:lang w:eastAsia="zh-CN"/>
              </w:rPr>
            </w:pPr>
            <w:r>
              <w:rPr>
                <w:rFonts w:hint="eastAsia" w:ascii="Times New Roman" w:hAnsi="Times New Roman" w:eastAsia="宋体" w:cs="Times New Roman"/>
                <w:b/>
                <w:bCs/>
                <w:color w:val="auto"/>
                <w:sz w:val="24"/>
                <w:szCs w:val="24"/>
                <w:u w:val="none" w:color="auto"/>
                <w:lang w:eastAsia="zh-CN"/>
              </w:rPr>
              <w:t>（1）设备噪声防护措施</w:t>
            </w:r>
          </w:p>
          <w:p w14:paraId="4765DE95">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①对高噪声设备进行隔音和减振，安装移动式隔音罩。</w:t>
            </w:r>
          </w:p>
          <w:p w14:paraId="5BC189BB">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②施工单位必须选用符合国家有关标准的施工机具和运输车辆，尽量选用低噪声的施工机械和工艺。振动较大的固定机械设备应加装减振机座，同时加强各类施工设备的维护和保养，保持其更好的运转，尽量降低噪声源强。</w:t>
            </w:r>
          </w:p>
          <w:p w14:paraId="0416D01B">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③施工机械产生的噪声具有突发、无规则、不连续、高强度等特点。据调查，施工现场噪声有时超出</w:t>
            </w:r>
            <w:r>
              <w:rPr>
                <w:rFonts w:hint="default" w:ascii="Times New Roman" w:hAnsi="Times New Roman" w:eastAsia="宋体" w:cs="Times New Roman"/>
                <w:bCs/>
                <w:color w:val="auto"/>
                <w:sz w:val="24"/>
                <w:highlight w:val="none"/>
                <w:u w:val="none" w:color="auto"/>
                <w:lang w:eastAsia="zh-CN"/>
              </w:rPr>
              <w:t>《</w:t>
            </w:r>
            <w:r>
              <w:rPr>
                <w:rFonts w:hint="eastAsia" w:ascii="Times New Roman" w:hAnsi="Times New Roman" w:eastAsia="宋体" w:cs="Times New Roman"/>
                <w:bCs/>
                <w:color w:val="auto"/>
                <w:sz w:val="24"/>
                <w:highlight w:val="none"/>
                <w:u w:val="none" w:color="auto"/>
                <w:lang w:eastAsia="zh-CN"/>
              </w:rPr>
              <w:t>建筑施工噪声排放标准</w:t>
            </w:r>
            <w:r>
              <w:rPr>
                <w:rFonts w:hint="default" w:ascii="Times New Roman" w:hAnsi="Times New Roman" w:eastAsia="宋体" w:cs="Times New Roman"/>
                <w:bCs/>
                <w:color w:val="auto"/>
                <w:sz w:val="24"/>
                <w:highlight w:val="none"/>
                <w:u w:val="none" w:color="auto"/>
                <w:lang w:eastAsia="zh-CN"/>
              </w:rPr>
              <w:t>》（</w:t>
            </w:r>
            <w:r>
              <w:rPr>
                <w:rFonts w:hint="default" w:ascii="Times New Roman" w:hAnsi="Times New Roman" w:eastAsia="宋体" w:cs="Times New Roman"/>
                <w:bCs/>
                <w:color w:val="auto"/>
                <w:sz w:val="24"/>
                <w:highlight w:val="none"/>
                <w:u w:val="none" w:color="auto"/>
                <w:lang w:eastAsia="zh-CN"/>
              </w:rPr>
              <w:t>GB12523-20</w:t>
            </w:r>
            <w:r>
              <w:rPr>
                <w:rFonts w:hint="eastAsia" w:ascii="Times New Roman" w:hAnsi="Times New Roman" w:eastAsia="宋体" w:cs="Times New Roman"/>
                <w:bCs/>
                <w:color w:val="auto"/>
                <w:sz w:val="24"/>
                <w:highlight w:val="none"/>
                <w:u w:val="none" w:color="auto"/>
                <w:lang w:val="en-US" w:eastAsia="zh-CN"/>
              </w:rPr>
              <w:t>25</w:t>
            </w:r>
            <w:r>
              <w:rPr>
                <w:rFonts w:hint="default" w:ascii="Times New Roman" w:hAnsi="Times New Roman" w:eastAsia="宋体" w:cs="Times New Roman"/>
                <w:bCs/>
                <w:color w:val="auto"/>
                <w:sz w:val="24"/>
                <w:highlight w:val="none"/>
                <w:u w:val="none" w:color="auto"/>
                <w:lang w:eastAsia="zh-CN"/>
              </w:rPr>
              <w:t>）</w:t>
            </w:r>
            <w:r>
              <w:rPr>
                <w:rFonts w:hint="eastAsia" w:ascii="Times New Roman" w:hAnsi="Times New Roman" w:eastAsia="宋体" w:cs="Times New Roman"/>
                <w:color w:val="auto"/>
                <w:sz w:val="24"/>
                <w:szCs w:val="24"/>
                <w:u w:val="none" w:color="auto"/>
                <w:lang w:eastAsia="zh-CN"/>
              </w:rPr>
              <w:t>，一般可采取变动施工方法措施缓解。如噪声源强大的作业时间可放在昼间（22：00～06：00）进行或对各种施工机械操作时间作适当调整。为减少施工期间的材料运输、敲击等施工活动声源，要求承包商通过文明施工、加强有效管理加以缓解。</w:t>
            </w:r>
          </w:p>
          <w:p w14:paraId="5C4A5D38">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④施工机械噪声对机械操作者及施工人员将产生较严重影响，应该按劳动卫生标准控制，在噪声级超过90dB（A）时，每增加3dB（A），每天的工作时间减半。此外，亦可对操作者及有关人员采取戴耳塞，头盔等个人防护措施。</w:t>
            </w:r>
          </w:p>
          <w:p w14:paraId="751918DD">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⑤运输车辆要限速行驶并且尽量避免鸣笛，定期检修，减轻对声环境的影响。</w:t>
            </w:r>
          </w:p>
          <w:p w14:paraId="6437FF80">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⑥合理安排施工运输路线，施工运输车辆运输路线应尽量避开环境敏感点。</w:t>
            </w:r>
          </w:p>
          <w:p w14:paraId="6CEA28BF">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⑦由于项目沿途有居民分布，应在靠居民点一侧设置不低于2.5m高的临时隔声屏。</w:t>
            </w:r>
          </w:p>
          <w:p w14:paraId="433E193F">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⑧施工单位应合理规划施工过程与高噪声设备的使用时间，避开居民休息时间，考虑在节假日进行集中施工，以减轻施工噪声对其影响。</w:t>
            </w:r>
          </w:p>
          <w:p w14:paraId="1354A78D">
            <w:pPr>
              <w:keepNext w:val="0"/>
              <w:keepLines w:val="0"/>
              <w:suppressLineNumbers w:val="0"/>
              <w:autoSpaceDE w:val="0"/>
              <w:autoSpaceDN w:val="0"/>
              <w:adjustRightInd w:val="0"/>
              <w:spacing w:before="0" w:beforeAutospacing="0" w:after="0" w:afterAutospacing="0" w:line="360" w:lineRule="auto"/>
              <w:ind w:left="0" w:right="0" w:firstLine="482"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b/>
                <w:bCs/>
                <w:color w:val="auto"/>
                <w:sz w:val="24"/>
                <w:szCs w:val="24"/>
                <w:u w:val="none" w:color="auto"/>
                <w:lang w:eastAsia="zh-CN"/>
              </w:rPr>
              <w:t>（2）施工生产区噪声防护措施</w:t>
            </w:r>
          </w:p>
          <w:p w14:paraId="126229AE">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①总平面布置：从总平面布置的角度出发，将噪声较大的生产区设置在距离项目附近敏感点最远的位置，另外在设计中考虑绿化设计等方面采取有效措施，以阻隔噪声的传播和干扰。</w:t>
            </w:r>
          </w:p>
          <w:p w14:paraId="3BCE75F1">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②加强治理生产设施的防治措施具体如下：</w:t>
            </w:r>
          </w:p>
          <w:p w14:paraId="0C1AEFA4">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皮带输送机：皮带输送机为输送主要设备，该设备连接各个生产单元，采用动力传控，因此在设备选型时尽量选择噪声低的设备，在生产时定期在滚轴处加润滑油，从而减少摩擦噪声产生。</w:t>
            </w:r>
          </w:p>
          <w:p w14:paraId="37082275">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运输车辆：根据调查，当车辆在平滑路面行驶时其噪声值较坑洼路面行驶时的噪声值要低15dB(A)，因此要求建设单位修筑平滑路面，尽量减小路面坡度，重点控制厂区进出口位置的噪声排放，出入车辆必须减速缓行，项目区严禁出入汽车鸣笛。</w:t>
            </w:r>
          </w:p>
          <w:p w14:paraId="22E4F57E">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空压机：空压机为配套动力设备，该设备的噪声强度较高，因此要求将空压机放置于独立的空压机房内，同时机房内部墙体加设吸声隔声材料。</w:t>
            </w:r>
          </w:p>
          <w:p w14:paraId="09C1B6A8">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③加强管理：建立设备定期维护、保养的管理制度，以防止设备故障造成的非正常生产噪声，同时确保环保措施发挥最佳有效的功能；加强职工环保意识教育，提倡文明生产，防止人为噪声；强化行车管理制度，进入厂区低速行驶，最大限度减少流动噪声源。</w:t>
            </w:r>
          </w:p>
          <w:p w14:paraId="1F0CA4D4">
            <w:pPr>
              <w:keepNext w:val="0"/>
              <w:keepLines w:val="0"/>
              <w:suppressLineNumbers w:val="0"/>
              <w:autoSpaceDE w:val="0"/>
              <w:autoSpaceDN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eastAsia="zh-CN"/>
              </w:rPr>
              <w:t>④生产时间安排：安排在昼间进行生产，禁止夜间施工。</w:t>
            </w:r>
          </w:p>
          <w:p w14:paraId="7816B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cs="Times New Roman"/>
                <w:b/>
                <w:bCs/>
                <w:color w:val="auto"/>
                <w:sz w:val="24"/>
                <w:u w:val="none" w:color="auto"/>
                <w:lang w:val="en-US" w:eastAsia="zh-CN"/>
              </w:rPr>
            </w:pPr>
            <w:r>
              <w:rPr>
                <w:rFonts w:hint="eastAsia" w:ascii="Times New Roman" w:hAnsi="Times New Roman" w:cs="Times New Roman"/>
                <w:b/>
                <w:bCs/>
                <w:color w:val="auto"/>
                <w:sz w:val="24"/>
                <w:u w:val="none" w:color="auto"/>
                <w:lang w:val="en-US" w:eastAsia="zh-CN"/>
              </w:rPr>
              <w:t>4</w:t>
            </w:r>
            <w:r>
              <w:rPr>
                <w:rFonts w:hint="default" w:ascii="Times New Roman" w:hAnsi="Times New Roman" w:cs="Times New Roman"/>
                <w:b/>
                <w:bCs/>
                <w:color w:val="auto"/>
                <w:sz w:val="24"/>
                <w:u w:val="none" w:color="auto"/>
                <w:lang w:val="en-US" w:eastAsia="zh-CN"/>
              </w:rPr>
              <w:t>、</w:t>
            </w:r>
            <w:r>
              <w:rPr>
                <w:rFonts w:hint="eastAsia" w:ascii="Times New Roman" w:hAnsi="Times New Roman" w:cs="Times New Roman"/>
                <w:b/>
                <w:bCs/>
                <w:color w:val="auto"/>
                <w:sz w:val="24"/>
                <w:u w:val="none" w:color="auto"/>
                <w:lang w:val="en-US" w:eastAsia="zh-CN"/>
              </w:rPr>
              <w:t>施工期固体废物保护措施</w:t>
            </w:r>
          </w:p>
          <w:p w14:paraId="263F4F6C">
            <w:pPr>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color w:val="auto"/>
                <w:spacing w:val="4"/>
                <w:sz w:val="24"/>
                <w:u w:val="none" w:color="auto"/>
                <w:lang w:val="en-US" w:eastAsia="zh-CN"/>
              </w:rPr>
            </w:pPr>
            <w:r>
              <w:rPr>
                <w:rFonts w:hint="eastAsia" w:ascii="Times New Roman" w:hAnsi="Times New Roman" w:eastAsia="宋体" w:cs="Times New Roman"/>
                <w:color w:val="auto"/>
                <w:spacing w:val="4"/>
                <w:sz w:val="24"/>
                <w:u w:val="none" w:color="auto"/>
                <w:lang w:val="en-US" w:eastAsia="zh-CN"/>
              </w:rPr>
              <w:t>针对本工程的固体废物，</w:t>
            </w:r>
            <w:r>
              <w:rPr>
                <w:rFonts w:ascii="Segoe UI" w:hAnsi="Segoe UI" w:eastAsia="Segoe UI" w:cs="Segoe UI"/>
                <w:i w:val="0"/>
                <w:iCs w:val="0"/>
                <w:caps w:val="0"/>
                <w:color w:val="auto"/>
                <w:spacing w:val="0"/>
                <w:sz w:val="24"/>
                <w:szCs w:val="24"/>
                <w:u w:val="none" w:color="auto"/>
                <w:shd w:val="clear" w:fill="FFFFFF"/>
              </w:rPr>
              <w:t>开挖土石方后须及时进行回填，确保所有开挖料全部回填到位，并落实相应水土保持措施。</w:t>
            </w:r>
          </w:p>
          <w:p w14:paraId="3490EC03">
            <w:pPr>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auto"/>
                <w:spacing w:val="4"/>
                <w:sz w:val="24"/>
                <w:u w:val="none" w:color="auto"/>
                <w:lang w:val="en-US" w:eastAsia="zh-CN"/>
              </w:rPr>
            </w:pPr>
            <w:r>
              <w:rPr>
                <w:rFonts w:hint="eastAsia" w:ascii="Times New Roman" w:hAnsi="Times New Roman" w:eastAsia="宋体" w:cs="Times New Roman"/>
                <w:color w:val="auto"/>
                <w:spacing w:val="4"/>
                <w:sz w:val="24"/>
                <w:u w:val="none" w:color="auto"/>
                <w:lang w:val="en-US" w:eastAsia="zh-CN"/>
              </w:rPr>
              <w:t>工程建筑垃圾本评价建议废料中能够回收利用的尽量回收利用，无法回收利用的由有资质单位运至指定的填埋场。</w:t>
            </w:r>
          </w:p>
          <w:p w14:paraId="788C2B5E">
            <w:pPr>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auto"/>
                <w:spacing w:val="4"/>
                <w:sz w:val="24"/>
                <w:u w:val="none" w:color="auto"/>
              </w:rPr>
            </w:pPr>
            <w:r>
              <w:rPr>
                <w:rFonts w:hint="eastAsia" w:ascii="Times New Roman" w:hAnsi="Times New Roman" w:eastAsia="宋体" w:cs="Times New Roman"/>
                <w:color w:val="auto"/>
                <w:spacing w:val="4"/>
                <w:sz w:val="24"/>
                <w:u w:val="none" w:color="auto"/>
                <w:lang w:val="en-US" w:eastAsia="zh-CN"/>
              </w:rPr>
              <w:t>施工期间产生的生活垃圾由施工单位集中收集后交由乡镇环卫部门定期送往垃圾填埋场进行填埋处置，不可就地填埋，以避免对区域环境空气和地下水环境质量构成潜在的影响因素。</w:t>
            </w:r>
          </w:p>
          <w:p w14:paraId="18FC2B02">
            <w:pPr>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auto"/>
                <w:spacing w:val="4"/>
                <w:sz w:val="24"/>
                <w:u w:val="none" w:color="auto"/>
              </w:rPr>
            </w:pPr>
            <w:r>
              <w:rPr>
                <w:rFonts w:hint="eastAsia" w:ascii="Times New Roman" w:hAnsi="Times New Roman" w:eastAsia="宋体" w:cs="Times New Roman"/>
                <w:color w:val="auto"/>
                <w:spacing w:val="4"/>
                <w:sz w:val="24"/>
                <w:u w:val="none" w:color="auto"/>
              </w:rPr>
              <w:t>采取上述措施后，项目产生的固体废物实现零排放，在收集和处置中不会产生二次污染。</w:t>
            </w:r>
          </w:p>
          <w:p w14:paraId="7BD034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color w:val="auto"/>
                <w:sz w:val="24"/>
                <w:u w:val="none" w:color="auto"/>
                <w:lang w:eastAsia="zh-CN"/>
              </w:rPr>
            </w:pPr>
            <w:r>
              <w:rPr>
                <w:rFonts w:hint="eastAsia" w:ascii="Times New Roman" w:hAnsi="Times New Roman" w:cs="Times New Roman"/>
                <w:b/>
                <w:bCs/>
                <w:color w:val="auto"/>
                <w:sz w:val="24"/>
                <w:u w:val="none" w:color="auto"/>
                <w:lang w:val="en-US" w:eastAsia="zh-CN"/>
              </w:rPr>
              <w:t>5</w:t>
            </w:r>
            <w:r>
              <w:rPr>
                <w:rFonts w:hint="default" w:ascii="Times New Roman" w:hAnsi="Times New Roman" w:cs="Times New Roman"/>
                <w:b/>
                <w:bCs/>
                <w:color w:val="auto"/>
                <w:sz w:val="24"/>
                <w:u w:val="none" w:color="auto"/>
              </w:rPr>
              <w:t>、</w:t>
            </w:r>
            <w:r>
              <w:rPr>
                <w:rFonts w:hint="eastAsia" w:ascii="Times New Roman" w:hAnsi="Times New Roman" w:cs="Times New Roman"/>
                <w:b/>
                <w:bCs/>
                <w:color w:val="auto"/>
                <w:sz w:val="24"/>
                <w:u w:val="none" w:color="auto"/>
                <w:lang w:eastAsia="zh-CN"/>
              </w:rPr>
              <w:t>施工期生态环境保护措施</w:t>
            </w:r>
          </w:p>
          <w:p w14:paraId="5026B06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u w:val="none" w:color="auto"/>
                <w:lang w:val="en-US" w:eastAsia="zh-CN"/>
              </w:rPr>
              <w:t>详见生态</w:t>
            </w:r>
            <w:r>
              <w:rPr>
                <w:rFonts w:hint="eastAsia" w:ascii="Times New Roman" w:hAnsi="Times New Roman" w:eastAsia="宋体" w:cs="Times New Roman"/>
                <w:color w:val="auto"/>
                <w:sz w:val="24"/>
                <w:u w:val="none" w:color="auto"/>
                <w:lang w:val="en-US" w:eastAsia="zh-CN"/>
              </w:rPr>
              <w:t>专项评价</w:t>
            </w:r>
            <w:r>
              <w:rPr>
                <w:rFonts w:hint="default" w:ascii="Times New Roman" w:hAnsi="Times New Roman" w:eastAsia="宋体" w:cs="Times New Roman"/>
                <w:color w:val="auto"/>
                <w:sz w:val="24"/>
                <w:u w:val="none" w:color="auto"/>
                <w:lang w:val="en-US" w:eastAsia="zh-CN"/>
              </w:rPr>
              <w:t>。</w:t>
            </w:r>
          </w:p>
        </w:tc>
      </w:tr>
      <w:tr w14:paraId="4762C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76" w:type="pct"/>
            <w:noWrap w:val="0"/>
            <w:tcMar>
              <w:left w:w="28" w:type="dxa"/>
              <w:right w:w="28" w:type="dxa"/>
            </w:tcMar>
            <w:vAlign w:val="center"/>
          </w:tcPr>
          <w:p w14:paraId="4344A9F5">
            <w:pPr>
              <w:pStyle w:val="75"/>
              <w:bidi w:val="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运营期生态环境保护措施</w:t>
            </w:r>
          </w:p>
        </w:tc>
        <w:tc>
          <w:tcPr>
            <w:tcW w:w="4523" w:type="pct"/>
            <w:noWrap w:val="0"/>
            <w:vAlign w:val="top"/>
          </w:tcPr>
          <w:p w14:paraId="590123E3">
            <w:pPr>
              <w:pageBreakBefore w:val="0"/>
              <w:kinsoku/>
              <w:overflowPunct/>
              <w:bidi w:val="0"/>
              <w:spacing w:line="360" w:lineRule="auto"/>
              <w:jc w:val="left"/>
              <w:textAlignment w:val="auto"/>
              <w:rPr>
                <w:rFonts w:hint="default" w:ascii="Times New Roman" w:hAnsi="Times New Roman" w:cs="Times New Roman"/>
                <w:b/>
                <w:bCs/>
                <w:color w:val="auto"/>
                <w:sz w:val="24"/>
                <w:szCs w:val="24"/>
                <w:u w:val="none" w:color="auto"/>
                <w:lang w:val="en-US" w:eastAsia="zh-CN"/>
              </w:rPr>
            </w:pPr>
            <w:r>
              <w:rPr>
                <w:rFonts w:hint="eastAsia" w:cs="Times New Roman"/>
                <w:b/>
                <w:bCs/>
                <w:color w:val="auto"/>
                <w:sz w:val="24"/>
                <w:szCs w:val="24"/>
                <w:u w:val="none" w:color="auto"/>
                <w:lang w:val="en-US" w:eastAsia="zh-CN"/>
              </w:rPr>
              <w:t>1</w:t>
            </w:r>
            <w:r>
              <w:rPr>
                <w:rFonts w:hint="default" w:ascii="Times New Roman" w:hAnsi="Times New Roman" w:cs="Times New Roman"/>
                <w:b/>
                <w:bCs/>
                <w:color w:val="auto"/>
                <w:sz w:val="24"/>
                <w:szCs w:val="24"/>
                <w:u w:val="none" w:color="auto"/>
                <w:lang w:val="en-US" w:eastAsia="zh-CN"/>
              </w:rPr>
              <w:t>、生态环境保护措施</w:t>
            </w:r>
          </w:p>
          <w:p w14:paraId="055C171A">
            <w:pPr>
              <w:pageBreakBefore w:val="0"/>
              <w:kinsoku/>
              <w:overflowPunct/>
              <w:bidi w:val="0"/>
              <w:spacing w:line="360" w:lineRule="auto"/>
              <w:ind w:firstLine="480" w:firstLineChars="200"/>
              <w:jc w:val="left"/>
              <w:textAlignment w:val="auto"/>
              <w:rPr>
                <w:rFonts w:hint="default" w:ascii="Times New Roman" w:hAnsi="Times New Roman" w:eastAsia="宋体"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项目运营期生态保护措施</w:t>
            </w:r>
            <w:r>
              <w:rPr>
                <w:rFonts w:hint="default" w:ascii="Times New Roman" w:hAnsi="Times New Roman" w:cs="Times New Roman"/>
                <w:b w:val="0"/>
                <w:bCs w:val="0"/>
                <w:color w:val="auto"/>
                <w:sz w:val="24"/>
                <w:szCs w:val="24"/>
                <w:u w:val="none" w:color="auto"/>
                <w:lang w:val="en-US" w:eastAsia="zh-CN"/>
              </w:rPr>
              <w:t>详见</w:t>
            </w:r>
            <w:r>
              <w:rPr>
                <w:rFonts w:hint="eastAsia" w:ascii="Times New Roman" w:hAnsi="Times New Roman" w:cs="Times New Roman"/>
                <w:b w:val="0"/>
                <w:bCs w:val="0"/>
                <w:color w:val="auto"/>
                <w:sz w:val="24"/>
                <w:szCs w:val="24"/>
                <w:u w:val="none" w:color="auto"/>
                <w:lang w:val="en-US" w:eastAsia="zh-CN"/>
              </w:rPr>
              <w:t>生态</w:t>
            </w:r>
            <w:r>
              <w:rPr>
                <w:rFonts w:hint="default" w:ascii="Times New Roman" w:hAnsi="Times New Roman" w:cs="Times New Roman"/>
                <w:b w:val="0"/>
                <w:bCs w:val="0"/>
                <w:color w:val="auto"/>
                <w:sz w:val="24"/>
                <w:szCs w:val="24"/>
                <w:u w:val="none" w:color="auto"/>
                <w:lang w:val="en-US" w:eastAsia="zh-CN"/>
              </w:rPr>
              <w:t>环境影响</w:t>
            </w:r>
            <w:r>
              <w:rPr>
                <w:rFonts w:hint="eastAsia" w:ascii="Times New Roman" w:hAnsi="Times New Roman" w:cs="Times New Roman"/>
                <w:b w:val="0"/>
                <w:bCs w:val="0"/>
                <w:color w:val="auto"/>
                <w:sz w:val="24"/>
                <w:szCs w:val="24"/>
                <w:u w:val="none" w:color="auto"/>
                <w:lang w:val="en-US" w:eastAsia="zh-CN"/>
              </w:rPr>
              <w:t>专项报告</w:t>
            </w:r>
            <w:r>
              <w:rPr>
                <w:rFonts w:hint="default" w:ascii="Times New Roman" w:hAnsi="Times New Roman" w:eastAsia="宋体" w:cs="Times New Roman"/>
                <w:b w:val="0"/>
                <w:bCs w:val="0"/>
                <w:color w:val="auto"/>
                <w:sz w:val="24"/>
                <w:szCs w:val="24"/>
                <w:u w:val="none" w:color="auto"/>
                <w:lang w:val="en-US" w:eastAsia="zh-CN"/>
              </w:rPr>
              <w:t>。</w:t>
            </w:r>
          </w:p>
          <w:p w14:paraId="77015947">
            <w:pPr>
              <w:pageBreakBefore w:val="0"/>
              <w:numPr>
                <w:ilvl w:val="0"/>
                <w:numId w:val="4"/>
              </w:numPr>
              <w:kinsoku/>
              <w:overflowPunct/>
              <w:bidi w:val="0"/>
              <w:spacing w:line="360" w:lineRule="auto"/>
              <w:jc w:val="both"/>
              <w:textAlignment w:val="auto"/>
              <w:rPr>
                <w:rFonts w:hint="eastAsia"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本项目在运营期无废水、固废产生，本次环评不再进行评价。</w:t>
            </w:r>
          </w:p>
          <w:p w14:paraId="4D518EBE">
            <w:pPr>
              <w:pageBreakBefore w:val="0"/>
              <w:numPr>
                <w:ilvl w:val="0"/>
                <w:numId w:val="4"/>
              </w:numPr>
              <w:kinsoku/>
              <w:overflowPunct/>
              <w:bidi w:val="0"/>
              <w:spacing w:line="360" w:lineRule="auto"/>
              <w:jc w:val="both"/>
              <w:textAlignment w:val="auto"/>
              <w:rPr>
                <w:rFonts w:hint="eastAsia" w:cs="宋体"/>
                <w:b/>
                <w:color w:val="auto"/>
                <w:spacing w:val="-10"/>
                <w:sz w:val="24"/>
                <w:szCs w:val="21"/>
                <w:u w:val="none" w:color="auto"/>
                <w:lang w:val="en-US" w:eastAsia="zh-CN"/>
              </w:rPr>
            </w:pPr>
            <w:r>
              <w:rPr>
                <w:rFonts w:hint="eastAsia" w:cs="宋体"/>
                <w:b/>
                <w:color w:val="auto"/>
                <w:spacing w:val="-10"/>
                <w:sz w:val="24"/>
                <w:szCs w:val="21"/>
                <w:u w:val="none" w:color="auto"/>
                <w:lang w:val="en-US" w:eastAsia="zh-CN"/>
              </w:rPr>
              <w:t>声环境保护措施</w:t>
            </w:r>
          </w:p>
          <w:p w14:paraId="184FC1CE">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运营期道路交通噪声防治应按照《地面交通噪声污染防治技术政</w:t>
            </w:r>
            <w:r>
              <w:rPr>
                <w:rFonts w:ascii="宋体" w:hAnsi="宋体" w:eastAsia="宋体" w:cs="宋体"/>
                <w:color w:val="auto"/>
                <w:spacing w:val="-4"/>
                <w:sz w:val="24"/>
                <w:szCs w:val="24"/>
                <w:u w:val="none" w:color="auto"/>
              </w:rPr>
              <w:t>策》（环发</w:t>
            </w:r>
            <w:r>
              <w:rPr>
                <w:rFonts w:ascii="Times New Roman" w:hAnsi="Times New Roman" w:eastAsia="Times New Roman" w:cs="Times New Roman"/>
                <w:color w:val="auto"/>
                <w:spacing w:val="-2"/>
                <w:sz w:val="24"/>
                <w:szCs w:val="24"/>
                <w:u w:val="none" w:color="auto"/>
              </w:rPr>
              <w:t xml:space="preserve">[2010]7 </w:t>
            </w:r>
            <w:r>
              <w:rPr>
                <w:rFonts w:ascii="宋体" w:hAnsi="宋体" w:eastAsia="宋体" w:cs="宋体"/>
                <w:color w:val="auto"/>
                <w:spacing w:val="-2"/>
                <w:sz w:val="24"/>
                <w:szCs w:val="24"/>
                <w:u w:val="none" w:color="auto"/>
              </w:rPr>
              <w:t>号）的相关内容制定。</w:t>
            </w:r>
          </w:p>
          <w:p w14:paraId="66B0FB9C">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w:t>
            </w:r>
            <w:r>
              <w:rPr>
                <w:rFonts w:ascii="Times New Roman" w:hAnsi="Times New Roman" w:eastAsia="Times New Roman" w:cs="Times New Roman"/>
                <w:color w:val="auto"/>
                <w:spacing w:val="-3"/>
                <w:sz w:val="24"/>
                <w:szCs w:val="24"/>
                <w:u w:val="none" w:color="auto"/>
              </w:rPr>
              <w:t>1</w:t>
            </w:r>
            <w:r>
              <w:rPr>
                <w:rFonts w:ascii="宋体" w:hAnsi="宋体" w:eastAsia="宋体" w:cs="宋体"/>
                <w:color w:val="auto"/>
                <w:spacing w:val="-3"/>
                <w:sz w:val="24"/>
                <w:szCs w:val="24"/>
                <w:u w:val="none" w:color="auto"/>
              </w:rPr>
              <w:t>）噪声源控制</w:t>
            </w:r>
          </w:p>
          <w:p w14:paraId="4C5B9386">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①车辆制造部门宜提高道路车辆的设计、制造水平，以摩托车、</w:t>
            </w:r>
            <w:r>
              <w:rPr>
                <w:rFonts w:ascii="宋体" w:hAnsi="宋体" w:eastAsia="宋体" w:cs="宋体"/>
                <w:color w:val="auto"/>
                <w:spacing w:val="-4"/>
                <w:sz w:val="24"/>
                <w:szCs w:val="24"/>
                <w:u w:val="none" w:color="auto"/>
              </w:rPr>
              <w:t>农用车、载</w:t>
            </w:r>
            <w:r>
              <w:rPr>
                <w:rFonts w:ascii="宋体" w:hAnsi="宋体" w:eastAsia="宋体" w:cs="宋体"/>
                <w:color w:val="auto"/>
                <w:spacing w:val="-2"/>
                <w:sz w:val="24"/>
                <w:szCs w:val="24"/>
                <w:u w:val="none" w:color="auto"/>
              </w:rPr>
              <w:t>重机车、大型客车、城市公交车辆等高噪声车辆为重点，降低其环境噪声</w:t>
            </w:r>
            <w:r>
              <w:rPr>
                <w:rFonts w:ascii="宋体" w:hAnsi="宋体" w:eastAsia="宋体" w:cs="宋体"/>
                <w:color w:val="auto"/>
                <w:spacing w:val="-3"/>
                <w:sz w:val="24"/>
                <w:szCs w:val="24"/>
                <w:u w:val="none" w:color="auto"/>
              </w:rPr>
              <w:t>排放；</w:t>
            </w:r>
          </w:p>
          <w:p w14:paraId="7DF3E4C8">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②道路的建设需要慎重考虑噪声现状的改变和噪声敏感建筑物的保</w:t>
            </w:r>
            <w:r>
              <w:rPr>
                <w:rFonts w:ascii="宋体" w:hAnsi="宋体" w:eastAsia="宋体" w:cs="宋体"/>
                <w:color w:val="auto"/>
                <w:spacing w:val="-4"/>
                <w:sz w:val="24"/>
                <w:szCs w:val="24"/>
                <w:u w:val="none" w:color="auto"/>
              </w:rPr>
              <w:t>护，从线</w:t>
            </w:r>
            <w:r>
              <w:rPr>
                <w:rFonts w:ascii="宋体" w:hAnsi="宋体" w:eastAsia="宋体" w:cs="宋体"/>
                <w:color w:val="auto"/>
                <w:spacing w:val="-1"/>
                <w:sz w:val="24"/>
                <w:szCs w:val="24"/>
                <w:u w:val="none" w:color="auto"/>
              </w:rPr>
              <w:t>路避让、建设形式等方面有效降低交通噪声对周围环境的影响。</w:t>
            </w:r>
          </w:p>
          <w:p w14:paraId="13316F31">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w:t>
            </w:r>
            <w:r>
              <w:rPr>
                <w:rFonts w:ascii="Times New Roman" w:hAnsi="Times New Roman" w:eastAsia="Times New Roman" w:cs="Times New Roman"/>
                <w:color w:val="auto"/>
                <w:spacing w:val="-2"/>
                <w:sz w:val="24"/>
                <w:szCs w:val="24"/>
                <w:u w:val="none" w:color="auto"/>
              </w:rPr>
              <w:t>2</w:t>
            </w:r>
            <w:r>
              <w:rPr>
                <w:rFonts w:ascii="宋体" w:hAnsi="宋体" w:eastAsia="宋体" w:cs="宋体"/>
                <w:color w:val="auto"/>
                <w:spacing w:val="-2"/>
                <w:sz w:val="24"/>
                <w:szCs w:val="24"/>
                <w:u w:val="none" w:color="auto"/>
              </w:rPr>
              <w:t>）传声途径噪声消减</w:t>
            </w:r>
          </w:p>
          <w:p w14:paraId="60EB709D">
            <w:pPr>
              <w:keepNext w:val="0"/>
              <w:keepLines w:val="0"/>
              <w:pageBreakBefore w:val="0"/>
              <w:widowControl w:val="0"/>
              <w:kinsoku/>
              <w:wordWrap/>
              <w:overflowPunct/>
              <w:topLinePunct w:val="0"/>
              <w:autoSpaceDE/>
              <w:autoSpaceDN/>
              <w:bidi w:val="0"/>
              <w:adjustRightInd w:val="0"/>
              <w:snapToGrid w:val="0"/>
              <w:spacing w:line="360" w:lineRule="auto"/>
              <w:ind w:left="0" w:right="0" w:firstLine="460" w:firstLineChars="200"/>
              <w:textAlignment w:val="auto"/>
              <w:rPr>
                <w:rFonts w:ascii="宋体" w:hAnsi="宋体" w:eastAsia="宋体" w:cs="宋体"/>
                <w:color w:val="auto"/>
                <w:sz w:val="24"/>
                <w:szCs w:val="24"/>
                <w:u w:val="none" w:color="auto"/>
              </w:rPr>
            </w:pPr>
            <w:r>
              <w:rPr>
                <w:rFonts w:ascii="宋体" w:hAnsi="宋体" w:eastAsia="宋体" w:cs="宋体"/>
                <w:color w:val="auto"/>
                <w:spacing w:val="-5"/>
                <w:sz w:val="24"/>
                <w:szCs w:val="24"/>
                <w:u w:val="none" w:color="auto"/>
              </w:rPr>
              <w:t>目前国内城市道路常用的传声途径噪声消减措施主要有隔声窗、降噪林、搬</w:t>
            </w:r>
            <w:r>
              <w:rPr>
                <w:rFonts w:ascii="宋体" w:hAnsi="宋体" w:eastAsia="宋体" w:cs="宋体"/>
                <w:color w:val="auto"/>
                <w:spacing w:val="-1"/>
                <w:sz w:val="24"/>
                <w:szCs w:val="24"/>
                <w:u w:val="none" w:color="auto"/>
              </w:rPr>
              <w:t>迁、声屏障、低噪声路面等措施。</w:t>
            </w:r>
          </w:p>
          <w:p w14:paraId="7CDAAFD2">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①环保拆迁</w:t>
            </w:r>
          </w:p>
          <w:p w14:paraId="0BF46F40">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从声环境角度来讲，搬迁就是远离现存的噪声源。它是解</w:t>
            </w:r>
            <w:r>
              <w:rPr>
                <w:rFonts w:ascii="宋体" w:hAnsi="宋体" w:eastAsia="宋体" w:cs="宋体"/>
                <w:color w:val="auto"/>
                <w:spacing w:val="-4"/>
                <w:sz w:val="24"/>
                <w:szCs w:val="24"/>
                <w:u w:val="none" w:color="auto"/>
              </w:rPr>
              <w:t>决噪声影响问题最</w:t>
            </w:r>
            <w:r>
              <w:rPr>
                <w:rFonts w:ascii="宋体" w:hAnsi="宋体" w:eastAsia="宋体" w:cs="宋体"/>
                <w:color w:val="auto"/>
                <w:spacing w:val="-3"/>
                <w:sz w:val="24"/>
                <w:szCs w:val="24"/>
                <w:u w:val="none" w:color="auto"/>
              </w:rPr>
              <w:t>直接、最彻底的途径，当然，搬迁会涉及一系列的问题，费用是一个方面，与政府的协调、新址的选择也密切相关，另外还不可忽视当事居民的感情因素。搬迁</w:t>
            </w:r>
            <w:r>
              <w:rPr>
                <w:rFonts w:ascii="宋体" w:hAnsi="宋体" w:eastAsia="宋体" w:cs="宋体"/>
                <w:color w:val="auto"/>
                <w:spacing w:val="-1"/>
                <w:sz w:val="24"/>
                <w:szCs w:val="24"/>
                <w:u w:val="none" w:color="auto"/>
              </w:rPr>
              <w:t>可能带来一些不可预料的民事纠纷。</w:t>
            </w:r>
          </w:p>
          <w:p w14:paraId="55E905B0">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②声屏障</w:t>
            </w:r>
          </w:p>
          <w:p w14:paraId="6BD5AF4E">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声屏障作用机理是声波在传播途径中受到阻挡，若障</w:t>
            </w:r>
            <w:r>
              <w:rPr>
                <w:rFonts w:ascii="宋体" w:hAnsi="宋体" w:eastAsia="宋体" w:cs="宋体"/>
                <w:color w:val="auto"/>
                <w:spacing w:val="-4"/>
                <w:sz w:val="24"/>
                <w:szCs w:val="24"/>
                <w:u w:val="none" w:color="auto"/>
              </w:rPr>
              <w:t>碍物尺寸远大于声波波</w:t>
            </w:r>
            <w:r>
              <w:rPr>
                <w:rFonts w:ascii="宋体" w:hAnsi="宋体" w:eastAsia="宋体" w:cs="宋体"/>
                <w:color w:val="auto"/>
                <w:spacing w:val="-3"/>
                <w:sz w:val="24"/>
                <w:szCs w:val="24"/>
                <w:u w:val="none" w:color="auto"/>
              </w:rPr>
              <w:t>长时，大部分声能被反射，一小部分被衍射，于是在障碍物背后的一定距离内形</w:t>
            </w:r>
            <w:r>
              <w:rPr>
                <w:rFonts w:ascii="宋体" w:hAnsi="宋体" w:eastAsia="宋体" w:cs="宋体"/>
                <w:color w:val="auto"/>
                <w:spacing w:val="-2"/>
                <w:sz w:val="24"/>
                <w:szCs w:val="24"/>
                <w:u w:val="none" w:color="auto"/>
              </w:rPr>
              <w:t>成“声影区</w:t>
            </w:r>
            <w:r>
              <w:rPr>
                <w:rFonts w:ascii="宋体" w:hAnsi="宋体" w:eastAsia="宋体" w:cs="宋体"/>
                <w:color w:val="auto"/>
                <w:spacing w:val="-82"/>
                <w:sz w:val="24"/>
                <w:szCs w:val="24"/>
                <w:u w:val="none" w:color="auto"/>
              </w:rPr>
              <w:t xml:space="preserve"> </w:t>
            </w:r>
            <w:r>
              <w:rPr>
                <w:rFonts w:ascii="宋体" w:hAnsi="宋体" w:eastAsia="宋体" w:cs="宋体"/>
                <w:color w:val="auto"/>
                <w:spacing w:val="-2"/>
                <w:sz w:val="24"/>
                <w:szCs w:val="24"/>
                <w:u w:val="none" w:color="auto"/>
              </w:rPr>
              <w:t>”，从而达到在某特定位置上起降噪的作用。</w:t>
            </w:r>
          </w:p>
          <w:p w14:paraId="0E536935">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声屏障按其结构可分为：直立式、弧形式、直立弧形</w:t>
            </w:r>
            <w:r>
              <w:rPr>
                <w:rFonts w:ascii="宋体" w:hAnsi="宋体" w:eastAsia="宋体" w:cs="宋体"/>
                <w:color w:val="auto"/>
                <w:spacing w:val="-4"/>
                <w:sz w:val="24"/>
                <w:szCs w:val="24"/>
                <w:u w:val="none" w:color="auto"/>
              </w:rPr>
              <w:t>组合式、半封闭式、封</w:t>
            </w:r>
            <w:r>
              <w:rPr>
                <w:rFonts w:ascii="宋体" w:hAnsi="宋体" w:eastAsia="宋体" w:cs="宋体"/>
                <w:color w:val="auto"/>
                <w:spacing w:val="-3"/>
                <w:sz w:val="24"/>
                <w:szCs w:val="24"/>
                <w:u w:val="none" w:color="auto"/>
              </w:rPr>
              <w:t>闭式等；按降噪机理可分为：吸收型、反射型、吸收—反射复合型；声屏障的降</w:t>
            </w:r>
            <w:r>
              <w:rPr>
                <w:rFonts w:ascii="宋体" w:hAnsi="宋体" w:eastAsia="宋体" w:cs="宋体"/>
                <w:color w:val="auto"/>
                <w:spacing w:val="-8"/>
                <w:sz w:val="24"/>
                <w:szCs w:val="24"/>
                <w:u w:val="none" w:color="auto"/>
              </w:rPr>
              <w:t>噪材料可分为：轻质复合材料、有机复合材料、圬工材料等。露天使用的声屏障，</w:t>
            </w:r>
            <w:r>
              <w:rPr>
                <w:rFonts w:ascii="宋体" w:hAnsi="宋体" w:eastAsia="宋体" w:cs="宋体"/>
                <w:color w:val="auto"/>
                <w:spacing w:val="-3"/>
                <w:sz w:val="24"/>
                <w:szCs w:val="24"/>
                <w:u w:val="none" w:color="auto"/>
              </w:rPr>
              <w:t>主要用于交通噪声的治理，适用于距离道路比较近，敏感点比较集中的路段。设</w:t>
            </w:r>
            <w:r>
              <w:rPr>
                <w:rFonts w:ascii="宋体" w:hAnsi="宋体" w:eastAsia="宋体" w:cs="宋体"/>
                <w:color w:val="auto"/>
                <w:spacing w:val="16"/>
                <w:sz w:val="24"/>
                <w:szCs w:val="24"/>
                <w:u w:val="none" w:color="auto"/>
              </w:rPr>
              <w:t>置声屏障降噪的优点是节约土地</w:t>
            </w:r>
            <w:r>
              <w:rPr>
                <w:rFonts w:ascii="宋体" w:hAnsi="宋体" w:eastAsia="宋体" w:cs="宋体"/>
                <w:color w:val="auto"/>
                <w:spacing w:val="-69"/>
                <w:sz w:val="24"/>
                <w:szCs w:val="24"/>
                <w:u w:val="none" w:color="auto"/>
              </w:rPr>
              <w:t xml:space="preserve"> </w:t>
            </w:r>
            <w:r>
              <w:rPr>
                <w:rFonts w:ascii="宋体" w:hAnsi="宋体" w:eastAsia="宋体" w:cs="宋体"/>
                <w:color w:val="auto"/>
                <w:spacing w:val="16"/>
                <w:sz w:val="24"/>
                <w:szCs w:val="24"/>
                <w:u w:val="none" w:color="auto"/>
              </w:rPr>
              <w:t>，降噪效果比较明显</w:t>
            </w:r>
            <w:r>
              <w:rPr>
                <w:rFonts w:ascii="宋体" w:hAnsi="宋体" w:eastAsia="宋体" w:cs="宋体"/>
                <w:color w:val="auto"/>
                <w:spacing w:val="-66"/>
                <w:sz w:val="24"/>
                <w:szCs w:val="24"/>
                <w:u w:val="none" w:color="auto"/>
              </w:rPr>
              <w:t xml:space="preserve"> </w:t>
            </w:r>
            <w:r>
              <w:rPr>
                <w:rFonts w:ascii="宋体" w:hAnsi="宋体" w:eastAsia="宋体" w:cs="宋体"/>
                <w:color w:val="auto"/>
                <w:spacing w:val="16"/>
                <w:sz w:val="24"/>
                <w:szCs w:val="24"/>
                <w:u w:val="none" w:color="auto"/>
              </w:rPr>
              <w:t>。一般情况下能</w:t>
            </w:r>
            <w:r>
              <w:rPr>
                <w:rFonts w:ascii="宋体" w:hAnsi="宋体" w:eastAsia="宋体" w:cs="宋体"/>
                <w:color w:val="auto"/>
                <w:spacing w:val="15"/>
                <w:sz w:val="24"/>
                <w:szCs w:val="24"/>
                <w:u w:val="none" w:color="auto"/>
              </w:rPr>
              <w:t>产生</w:t>
            </w:r>
            <w:r>
              <w:rPr>
                <w:rFonts w:ascii="Times New Roman" w:hAnsi="Times New Roman" w:eastAsia="Times New Roman" w:cs="Times New Roman"/>
                <w:color w:val="auto"/>
                <w:sz w:val="24"/>
                <w:szCs w:val="24"/>
                <w:u w:val="none" w:color="auto"/>
              </w:rPr>
              <w:t>9-12dB(A)</w:t>
            </w:r>
            <w:r>
              <w:rPr>
                <w:rFonts w:ascii="宋体" w:hAnsi="宋体" w:eastAsia="宋体" w:cs="宋体"/>
                <w:color w:val="auto"/>
                <w:sz w:val="24"/>
                <w:szCs w:val="24"/>
                <w:u w:val="none" w:color="auto"/>
              </w:rPr>
              <w:t>的降噪效果。声屏障的价格通常在</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z w:val="24"/>
                <w:szCs w:val="24"/>
                <w:u w:val="none" w:color="auto"/>
              </w:rPr>
              <w:t>2</w:t>
            </w:r>
            <w:r>
              <w:rPr>
                <w:rFonts w:ascii="Times New Roman" w:hAnsi="Times New Roman" w:eastAsia="Times New Roman" w:cs="Times New Roman"/>
                <w:color w:val="auto"/>
                <w:spacing w:val="-1"/>
                <w:sz w:val="24"/>
                <w:szCs w:val="24"/>
                <w:u w:val="none" w:color="auto"/>
              </w:rPr>
              <w:t>500~4500</w:t>
            </w:r>
            <w:r>
              <w:rPr>
                <w:rFonts w:ascii="宋体" w:hAnsi="宋体" w:eastAsia="宋体" w:cs="宋体"/>
                <w:color w:val="auto"/>
                <w:spacing w:val="-1"/>
                <w:sz w:val="24"/>
                <w:szCs w:val="24"/>
                <w:u w:val="none" w:color="auto"/>
              </w:rPr>
              <w:t>元</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w:t>
            </w:r>
          </w:p>
          <w:p w14:paraId="1E88DA8B">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道路全封闭隔音屏障其运用原理是通过传播途径减少噪音的产生。</w:t>
            </w:r>
            <w:r>
              <w:rPr>
                <w:rFonts w:ascii="宋体" w:hAnsi="宋体" w:eastAsia="宋体" w:cs="宋体"/>
                <w:color w:val="auto"/>
                <w:spacing w:val="-4"/>
                <w:sz w:val="24"/>
                <w:szCs w:val="24"/>
                <w:u w:val="none" w:color="auto"/>
              </w:rPr>
              <w:t>声音在传</w:t>
            </w:r>
            <w:r>
              <w:rPr>
                <w:rFonts w:ascii="宋体" w:hAnsi="宋体" w:eastAsia="宋体" w:cs="宋体"/>
                <w:color w:val="auto"/>
                <w:spacing w:val="-3"/>
                <w:sz w:val="24"/>
                <w:szCs w:val="24"/>
                <w:u w:val="none" w:color="auto"/>
              </w:rPr>
              <w:t>输过程中，遇到遮挡物，会影响声波的传递；而且隔音屏，除了阻挡，它内部有吸引材料，可吸收很多声波。道路全封闭隔音屏障顶部用聚碳酸酯板来隔音；侧面是金属吸声隔声复合板，车流经过的声音会被吸附、减弱；路面也采用具备吸声降噪功能的特殊材料。另外，还通过减缓道路坡度、适当控制车速等措施控制</w:t>
            </w:r>
            <w:r>
              <w:rPr>
                <w:rFonts w:ascii="宋体" w:hAnsi="宋体" w:eastAsia="宋体" w:cs="宋体"/>
                <w:color w:val="auto"/>
                <w:sz w:val="24"/>
                <w:szCs w:val="24"/>
                <w:u w:val="none" w:color="auto"/>
              </w:rPr>
              <w:t>声源，进一步降低噪声。在没有设置声屏障前综合</w:t>
            </w:r>
            <w:r>
              <w:rPr>
                <w:rFonts w:ascii="宋体" w:hAnsi="宋体" w:eastAsia="宋体" w:cs="宋体"/>
                <w:color w:val="auto"/>
                <w:spacing w:val="-1"/>
                <w:sz w:val="24"/>
                <w:szCs w:val="24"/>
                <w:u w:val="none" w:color="auto"/>
              </w:rPr>
              <w:t>噪声将达到</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1"/>
                <w:sz w:val="24"/>
                <w:szCs w:val="24"/>
                <w:u w:val="none" w:color="auto"/>
              </w:rPr>
              <w:t>70</w:t>
            </w:r>
            <w:r>
              <w:rPr>
                <w:rFonts w:ascii="宋体" w:hAnsi="宋体" w:eastAsia="宋体" w:cs="宋体"/>
                <w:color w:val="auto"/>
                <w:spacing w:val="-1"/>
                <w:sz w:val="24"/>
                <w:szCs w:val="24"/>
                <w:u w:val="none" w:color="auto"/>
              </w:rPr>
              <w:t>多分贝，建了</w:t>
            </w:r>
            <w:r>
              <w:rPr>
                <w:rFonts w:ascii="宋体" w:hAnsi="宋体" w:eastAsia="宋体" w:cs="宋体"/>
                <w:color w:val="auto"/>
                <w:spacing w:val="-2"/>
                <w:sz w:val="24"/>
                <w:szCs w:val="24"/>
                <w:u w:val="none" w:color="auto"/>
              </w:rPr>
              <w:t>以后会减少</w:t>
            </w:r>
            <w:r>
              <w:rPr>
                <w:rFonts w:ascii="宋体" w:hAnsi="宋体" w:eastAsia="宋体" w:cs="宋体"/>
                <w:color w:val="auto"/>
                <w:spacing w:val="-43"/>
                <w:sz w:val="24"/>
                <w:szCs w:val="24"/>
                <w:u w:val="none" w:color="auto"/>
              </w:rPr>
              <w:t xml:space="preserve"> </w:t>
            </w:r>
            <w:r>
              <w:rPr>
                <w:rFonts w:ascii="Times New Roman" w:hAnsi="Times New Roman" w:eastAsia="Times New Roman" w:cs="Times New Roman"/>
                <w:color w:val="auto"/>
                <w:spacing w:val="-2"/>
                <w:sz w:val="24"/>
                <w:szCs w:val="24"/>
                <w:u w:val="none" w:color="auto"/>
              </w:rPr>
              <w:t>25-30</w:t>
            </w:r>
            <w:r>
              <w:rPr>
                <w:rFonts w:ascii="宋体" w:hAnsi="宋体" w:eastAsia="宋体" w:cs="宋体"/>
                <w:color w:val="auto"/>
                <w:spacing w:val="-2"/>
                <w:sz w:val="24"/>
                <w:szCs w:val="24"/>
                <w:u w:val="none" w:color="auto"/>
              </w:rPr>
              <w:t>分贝。</w:t>
            </w:r>
          </w:p>
          <w:p w14:paraId="43D072F7">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声屏障适用于路基有一定高度或桥梁、敏感点分布较</w:t>
            </w:r>
            <w:r>
              <w:rPr>
                <w:rFonts w:ascii="宋体" w:hAnsi="宋体" w:eastAsia="宋体" w:cs="宋体"/>
                <w:color w:val="auto"/>
                <w:spacing w:val="-4"/>
                <w:sz w:val="24"/>
                <w:szCs w:val="24"/>
                <w:u w:val="none" w:color="auto"/>
              </w:rPr>
              <w:t>密集且距离道路较近的情况。</w:t>
            </w:r>
          </w:p>
          <w:p w14:paraId="376627B4">
            <w:pPr>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textAlignment w:val="auto"/>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③修建或加高围墙</w:t>
            </w:r>
          </w:p>
          <w:p w14:paraId="04545750">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利用修建或加高围墙达到隔声降噪的目的，只是适用于超标量</w:t>
            </w:r>
            <w:r>
              <w:rPr>
                <w:rFonts w:ascii="宋体" w:hAnsi="宋体" w:eastAsia="宋体" w:cs="宋体"/>
                <w:color w:val="auto"/>
                <w:spacing w:val="-4"/>
                <w:sz w:val="24"/>
                <w:szCs w:val="24"/>
                <w:u w:val="none" w:color="auto"/>
              </w:rPr>
              <w:t>不太高的距离</w:t>
            </w:r>
            <w:r>
              <w:rPr>
                <w:rFonts w:ascii="宋体" w:hAnsi="宋体" w:eastAsia="宋体" w:cs="宋体"/>
                <w:color w:val="auto"/>
                <w:sz w:val="24"/>
                <w:szCs w:val="24"/>
                <w:u w:val="none" w:color="auto"/>
              </w:rPr>
              <w:t>道路很近的集中居民区。虽然费用较低，但其降噪量</w:t>
            </w:r>
            <w:r>
              <w:rPr>
                <w:rFonts w:ascii="宋体" w:hAnsi="宋体" w:eastAsia="宋体" w:cs="宋体"/>
                <w:color w:val="auto"/>
                <w:spacing w:val="-1"/>
                <w:sz w:val="24"/>
                <w:szCs w:val="24"/>
                <w:u w:val="none" w:color="auto"/>
              </w:rPr>
              <w:t>有限，适用范围较小。</w:t>
            </w:r>
          </w:p>
          <w:p w14:paraId="48713AC7">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④隔声窗</w:t>
            </w:r>
          </w:p>
          <w:p w14:paraId="68263DAA">
            <w:pPr>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textAlignment w:val="auto"/>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按照《隔声窗》（</w:t>
            </w:r>
            <w:r>
              <w:rPr>
                <w:rFonts w:ascii="Times New Roman" w:hAnsi="Times New Roman" w:eastAsia="Times New Roman" w:cs="Times New Roman"/>
                <w:color w:val="auto"/>
                <w:spacing w:val="-1"/>
                <w:sz w:val="24"/>
                <w:szCs w:val="24"/>
                <w:u w:val="none" w:color="auto"/>
              </w:rPr>
              <w:t>HJ/T17-1996</w:t>
            </w:r>
            <w:r>
              <w:rPr>
                <w:rFonts w:ascii="宋体" w:hAnsi="宋体" w:eastAsia="宋体" w:cs="宋体"/>
                <w:color w:val="auto"/>
                <w:spacing w:val="-1"/>
                <w:sz w:val="24"/>
                <w:szCs w:val="24"/>
                <w:u w:val="none" w:color="auto"/>
              </w:rPr>
              <w:t>）</w:t>
            </w:r>
            <w:r>
              <w:rPr>
                <w:rFonts w:ascii="宋体" w:hAnsi="宋体" w:eastAsia="宋体" w:cs="宋体"/>
                <w:color w:val="auto"/>
                <w:spacing w:val="-2"/>
                <w:sz w:val="24"/>
                <w:szCs w:val="24"/>
                <w:u w:val="none" w:color="auto"/>
              </w:rPr>
              <w:t>的要求，隔声窗的隔声量应大于</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2"/>
                <w:sz w:val="24"/>
                <w:szCs w:val="24"/>
                <w:u w:val="none" w:color="auto"/>
              </w:rPr>
              <w:t>25dB(A)</w:t>
            </w:r>
            <w:r>
              <w:rPr>
                <w:rFonts w:ascii="宋体" w:hAnsi="宋体" w:eastAsia="宋体" w:cs="宋体"/>
                <w:color w:val="auto"/>
                <w:spacing w:val="-2"/>
                <w:sz w:val="24"/>
                <w:szCs w:val="24"/>
                <w:u w:val="none" w:color="auto"/>
              </w:rPr>
              <w:t>。</w:t>
            </w:r>
            <w:r>
              <w:rPr>
                <w:rFonts w:ascii="宋体" w:hAnsi="宋体" w:eastAsia="宋体" w:cs="宋体"/>
                <w:color w:val="auto"/>
                <w:spacing w:val="-3"/>
                <w:sz w:val="24"/>
                <w:szCs w:val="24"/>
                <w:u w:val="none" w:color="auto"/>
              </w:rPr>
              <w:t>隔声窗的价格通常在</w:t>
            </w:r>
            <w:r>
              <w:rPr>
                <w:rFonts w:ascii="宋体" w:hAnsi="宋体" w:eastAsia="宋体" w:cs="宋体"/>
                <w:color w:val="auto"/>
                <w:spacing w:val="-32"/>
                <w:sz w:val="24"/>
                <w:szCs w:val="24"/>
                <w:u w:val="none" w:color="auto"/>
              </w:rPr>
              <w:t xml:space="preserve"> </w:t>
            </w:r>
            <w:r>
              <w:rPr>
                <w:rFonts w:ascii="Times New Roman" w:hAnsi="Times New Roman" w:eastAsia="Times New Roman" w:cs="Times New Roman"/>
                <w:color w:val="auto"/>
                <w:spacing w:val="-3"/>
                <w:sz w:val="24"/>
                <w:szCs w:val="24"/>
                <w:u w:val="none" w:color="auto"/>
              </w:rPr>
              <w:t>100~</w:t>
            </w:r>
            <w:r>
              <w:rPr>
                <w:rFonts w:ascii="Times New Roman" w:hAnsi="Times New Roman" w:eastAsia="Times New Roman" w:cs="Times New Roman"/>
                <w:color w:val="auto"/>
                <w:spacing w:val="-32"/>
                <w:sz w:val="24"/>
                <w:szCs w:val="24"/>
                <w:u w:val="none" w:color="auto"/>
              </w:rPr>
              <w:t xml:space="preserve"> </w:t>
            </w:r>
            <w:r>
              <w:rPr>
                <w:rFonts w:ascii="Times New Roman" w:hAnsi="Times New Roman" w:eastAsia="Times New Roman" w:cs="Times New Roman"/>
                <w:color w:val="auto"/>
                <w:spacing w:val="-3"/>
                <w:sz w:val="24"/>
                <w:szCs w:val="24"/>
                <w:u w:val="none" w:color="auto"/>
              </w:rPr>
              <w:t xml:space="preserve">1000 </w:t>
            </w:r>
            <w:r>
              <w:rPr>
                <w:rFonts w:ascii="宋体" w:hAnsi="宋体" w:eastAsia="宋体" w:cs="宋体"/>
                <w:color w:val="auto"/>
                <w:spacing w:val="-3"/>
                <w:sz w:val="24"/>
                <w:szCs w:val="24"/>
                <w:u w:val="none" w:color="auto"/>
              </w:rPr>
              <w:t>元</w:t>
            </w:r>
            <w:r>
              <w:rPr>
                <w:rFonts w:ascii="Times New Roman" w:hAnsi="Times New Roman" w:eastAsia="Times New Roman" w:cs="Times New Roman"/>
                <w:color w:val="auto"/>
                <w:spacing w:val="-3"/>
                <w:sz w:val="24"/>
                <w:szCs w:val="24"/>
                <w:u w:val="none" w:color="auto"/>
              </w:rPr>
              <w:t>/m</w:t>
            </w:r>
            <w:r>
              <w:rPr>
                <w:rFonts w:ascii="Times New Roman" w:hAnsi="Times New Roman" w:eastAsia="Times New Roman" w:cs="Times New Roman"/>
                <w:color w:val="auto"/>
                <w:spacing w:val="-3"/>
                <w:position w:val="7"/>
                <w:sz w:val="15"/>
                <w:szCs w:val="15"/>
                <w:u w:val="none" w:color="auto"/>
              </w:rPr>
              <w:t>2</w:t>
            </w:r>
            <w:r>
              <w:rPr>
                <w:rFonts w:ascii="宋体" w:hAnsi="宋体" w:eastAsia="宋体" w:cs="宋体"/>
                <w:color w:val="auto"/>
                <w:spacing w:val="-3"/>
                <w:sz w:val="24"/>
                <w:szCs w:val="24"/>
                <w:u w:val="none" w:color="auto"/>
              </w:rPr>
              <w:t>。有普</w:t>
            </w:r>
            <w:r>
              <w:rPr>
                <w:rFonts w:ascii="宋体" w:hAnsi="宋体" w:eastAsia="宋体" w:cs="宋体"/>
                <w:color w:val="auto"/>
                <w:spacing w:val="-4"/>
                <w:sz w:val="24"/>
                <w:szCs w:val="24"/>
                <w:u w:val="none" w:color="auto"/>
              </w:rPr>
              <w:t>通隔声窗和通风隔声窗两种。对排列</w:t>
            </w:r>
            <w:r>
              <w:rPr>
                <w:rFonts w:ascii="宋体" w:hAnsi="宋体" w:eastAsia="宋体" w:cs="宋体"/>
                <w:color w:val="auto"/>
                <w:spacing w:val="-7"/>
                <w:sz w:val="24"/>
                <w:szCs w:val="24"/>
                <w:u w:val="none" w:color="auto"/>
              </w:rPr>
              <w:t>整齐、房屋间隙较小，屋顶高于路面</w:t>
            </w:r>
            <w:r>
              <w:rPr>
                <w:rFonts w:ascii="宋体" w:hAnsi="宋体" w:eastAsia="宋体" w:cs="宋体"/>
                <w:color w:val="auto"/>
                <w:spacing w:val="-55"/>
                <w:sz w:val="24"/>
                <w:szCs w:val="24"/>
                <w:u w:val="none" w:color="auto"/>
              </w:rPr>
              <w:t xml:space="preserve"> </w:t>
            </w:r>
            <w:r>
              <w:rPr>
                <w:rFonts w:ascii="Times New Roman" w:hAnsi="Times New Roman" w:eastAsia="Times New Roman" w:cs="Times New Roman"/>
                <w:color w:val="auto"/>
                <w:spacing w:val="-7"/>
                <w:sz w:val="24"/>
                <w:szCs w:val="24"/>
                <w:u w:val="none" w:color="auto"/>
              </w:rPr>
              <w:t>2m</w:t>
            </w:r>
            <w:r>
              <w:rPr>
                <w:rFonts w:ascii="Times New Roman" w:hAnsi="Times New Roman" w:eastAsia="Times New Roman" w:cs="Times New Roman"/>
                <w:color w:val="auto"/>
                <w:spacing w:val="37"/>
                <w:sz w:val="24"/>
                <w:szCs w:val="24"/>
                <w:u w:val="none" w:color="auto"/>
              </w:rPr>
              <w:t xml:space="preserve"> </w:t>
            </w:r>
            <w:r>
              <w:rPr>
                <w:rFonts w:ascii="宋体" w:hAnsi="宋体" w:eastAsia="宋体" w:cs="宋体"/>
                <w:color w:val="auto"/>
                <w:spacing w:val="-7"/>
                <w:sz w:val="24"/>
                <w:szCs w:val="24"/>
                <w:u w:val="none" w:color="auto"/>
              </w:rPr>
              <w:t>以上的敏感点房屋宜实施该种降噪措施。</w:t>
            </w:r>
            <w:r>
              <w:rPr>
                <w:rFonts w:ascii="宋体" w:hAnsi="宋体" w:eastAsia="宋体" w:cs="宋体"/>
                <w:color w:val="auto"/>
                <w:spacing w:val="-3"/>
                <w:sz w:val="24"/>
                <w:szCs w:val="24"/>
                <w:u w:val="none" w:color="auto"/>
              </w:rPr>
              <w:t>前排房屋安装隔声门窗后同时也成了后排房屋的声屏障。普通隔声窗由于其不能通风，特别是夏季会影响居民的生活，因此不加选用，本项目推荐使用通风隔声窗。隔声窗仅能对室内环境进行保护，适用于噪声超标量大、室内环境需要重点</w:t>
            </w:r>
            <w:r>
              <w:rPr>
                <w:rFonts w:ascii="宋体" w:hAnsi="宋体" w:eastAsia="宋体" w:cs="宋体"/>
                <w:color w:val="auto"/>
                <w:spacing w:val="-7"/>
                <w:sz w:val="24"/>
                <w:szCs w:val="24"/>
                <w:u w:val="none" w:color="auto"/>
              </w:rPr>
              <w:t>保护的情况，本项目多数敏感点主要是夜间噪声超标，</w:t>
            </w:r>
            <w:r>
              <w:rPr>
                <w:rFonts w:ascii="宋体" w:hAnsi="宋体" w:eastAsia="宋体" w:cs="宋体"/>
                <w:color w:val="auto"/>
                <w:spacing w:val="-8"/>
                <w:sz w:val="24"/>
                <w:szCs w:val="24"/>
                <w:u w:val="none" w:color="auto"/>
              </w:rPr>
              <w:t>夜间主要以室内活动为主，</w:t>
            </w:r>
            <w:r>
              <w:rPr>
                <w:rFonts w:ascii="宋体" w:hAnsi="宋体" w:eastAsia="宋体" w:cs="宋体"/>
                <w:color w:val="auto"/>
                <w:spacing w:val="-1"/>
                <w:sz w:val="24"/>
                <w:szCs w:val="24"/>
                <w:u w:val="none" w:color="auto"/>
              </w:rPr>
              <w:t>为保证沿线居民夜间的睡眠质量，可以采取隔声窗措施。</w:t>
            </w:r>
          </w:p>
          <w:p w14:paraId="58F81275">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⑤降噪林带</w:t>
            </w:r>
          </w:p>
          <w:p w14:paraId="2958FD50">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利用道路两侧的绿化树木的散射、吸声作用以及地面吸声，是</w:t>
            </w:r>
            <w:r>
              <w:rPr>
                <w:rFonts w:ascii="宋体" w:hAnsi="宋体" w:eastAsia="宋体" w:cs="宋体"/>
                <w:color w:val="auto"/>
                <w:spacing w:val="-4"/>
                <w:sz w:val="24"/>
                <w:szCs w:val="24"/>
                <w:u w:val="none" w:color="auto"/>
              </w:rPr>
              <w:t>达到降低噪声</w:t>
            </w:r>
            <w:r>
              <w:rPr>
                <w:rFonts w:ascii="宋体" w:hAnsi="宋体" w:eastAsia="宋体" w:cs="宋体"/>
                <w:color w:val="auto"/>
                <w:spacing w:val="4"/>
                <w:sz w:val="24"/>
                <w:szCs w:val="24"/>
                <w:u w:val="none" w:color="auto"/>
              </w:rPr>
              <w:t>目的的一种方法。如采用种植灌木丛或多层林带构成绿林实体，修建高</w:t>
            </w:r>
            <w:r>
              <w:rPr>
                <w:rFonts w:ascii="宋体" w:hAnsi="宋体" w:eastAsia="宋体" w:cs="宋体"/>
                <w:color w:val="auto"/>
                <w:spacing w:val="3"/>
                <w:sz w:val="24"/>
                <w:szCs w:val="24"/>
                <w:u w:val="none" w:color="auto"/>
              </w:rPr>
              <w:t>出路面</w:t>
            </w:r>
            <w:r>
              <w:rPr>
                <w:rFonts w:ascii="Times New Roman" w:hAnsi="Times New Roman" w:eastAsia="Times New Roman" w:cs="Times New Roman"/>
                <w:color w:val="auto"/>
                <w:spacing w:val="-1"/>
                <w:sz w:val="24"/>
                <w:szCs w:val="24"/>
                <w:u w:val="none" w:color="auto"/>
              </w:rPr>
              <w:t>1m</w:t>
            </w:r>
            <w:r>
              <w:rPr>
                <w:rFonts w:ascii="Times New Roman" w:hAnsi="Times New Roman" w:eastAsia="Times New Roman" w:cs="Times New Roman"/>
                <w:color w:val="auto"/>
                <w:spacing w:val="44"/>
                <w:sz w:val="24"/>
                <w:szCs w:val="24"/>
                <w:u w:val="none" w:color="auto"/>
              </w:rPr>
              <w:t xml:space="preserve"> </w:t>
            </w:r>
            <w:r>
              <w:rPr>
                <w:rFonts w:ascii="宋体" w:hAnsi="宋体" w:eastAsia="宋体" w:cs="宋体"/>
                <w:color w:val="auto"/>
                <w:spacing w:val="-1"/>
                <w:sz w:val="24"/>
                <w:szCs w:val="24"/>
                <w:u w:val="none" w:color="auto"/>
              </w:rPr>
              <w:t>的土堆，土堆边坡种植防噪林带则可达到较好的降噪声效果。大多数常绿林</w:t>
            </w:r>
            <w:r>
              <w:rPr>
                <w:rFonts w:ascii="宋体" w:hAnsi="宋体" w:eastAsia="宋体" w:cs="宋体"/>
                <w:color w:val="auto"/>
                <w:spacing w:val="-3"/>
                <w:sz w:val="24"/>
                <w:szCs w:val="24"/>
                <w:u w:val="none" w:color="auto"/>
              </w:rPr>
              <w:t>带实体的衰减量平均为</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3"/>
                <w:sz w:val="24"/>
                <w:szCs w:val="24"/>
                <w:u w:val="none" w:color="auto"/>
              </w:rPr>
              <w:t>0.15~0.</w:t>
            </w:r>
            <w:r>
              <w:rPr>
                <w:rFonts w:ascii="Times New Roman" w:hAnsi="Times New Roman" w:eastAsia="Times New Roman" w:cs="Times New Roman"/>
                <w:color w:val="auto"/>
                <w:spacing w:val="-32"/>
                <w:sz w:val="24"/>
                <w:szCs w:val="24"/>
                <w:u w:val="none" w:color="auto"/>
              </w:rPr>
              <w:t xml:space="preserve"> </w:t>
            </w:r>
            <w:r>
              <w:rPr>
                <w:rFonts w:ascii="Times New Roman" w:hAnsi="Times New Roman" w:eastAsia="Times New Roman" w:cs="Times New Roman"/>
                <w:color w:val="auto"/>
                <w:spacing w:val="-3"/>
                <w:sz w:val="24"/>
                <w:szCs w:val="24"/>
                <w:u w:val="none" w:color="auto"/>
              </w:rPr>
              <w:t>17dB(A)/m</w:t>
            </w:r>
            <w:r>
              <w:rPr>
                <w:rFonts w:ascii="Times New Roman" w:hAnsi="Times New Roman" w:eastAsia="Times New Roman" w:cs="Times New Roman"/>
                <w:color w:val="auto"/>
                <w:spacing w:val="-30"/>
                <w:sz w:val="24"/>
                <w:szCs w:val="24"/>
                <w:u w:val="none" w:color="auto"/>
              </w:rPr>
              <w:t xml:space="preserve"> </w:t>
            </w:r>
            <w:r>
              <w:rPr>
                <w:rFonts w:ascii="宋体" w:hAnsi="宋体" w:eastAsia="宋体" w:cs="宋体"/>
                <w:color w:val="auto"/>
                <w:spacing w:val="-3"/>
                <w:sz w:val="24"/>
                <w:szCs w:val="24"/>
                <w:u w:val="none" w:color="auto"/>
              </w:rPr>
              <w:t>，茂密的阔叶林为</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3"/>
                <w:sz w:val="24"/>
                <w:szCs w:val="24"/>
                <w:u w:val="none" w:color="auto"/>
              </w:rPr>
              <w:t>0.12~0.</w:t>
            </w:r>
            <w:r>
              <w:rPr>
                <w:rFonts w:ascii="Times New Roman" w:hAnsi="Times New Roman" w:eastAsia="Times New Roman" w:cs="Times New Roman"/>
                <w:color w:val="auto"/>
                <w:spacing w:val="-32"/>
                <w:sz w:val="24"/>
                <w:szCs w:val="24"/>
                <w:u w:val="none" w:color="auto"/>
              </w:rPr>
              <w:t xml:space="preserve"> </w:t>
            </w:r>
            <w:r>
              <w:rPr>
                <w:rFonts w:ascii="Times New Roman" w:hAnsi="Times New Roman" w:eastAsia="Times New Roman" w:cs="Times New Roman"/>
                <w:color w:val="auto"/>
                <w:spacing w:val="-3"/>
                <w:sz w:val="24"/>
                <w:szCs w:val="24"/>
                <w:u w:val="none" w:color="auto"/>
              </w:rPr>
              <w:t>17</w:t>
            </w:r>
            <w:r>
              <w:rPr>
                <w:rFonts w:ascii="Times New Roman" w:hAnsi="Times New Roman" w:eastAsia="Times New Roman" w:cs="Times New Roman"/>
                <w:color w:val="auto"/>
                <w:spacing w:val="-4"/>
                <w:sz w:val="24"/>
                <w:szCs w:val="24"/>
                <w:u w:val="none" w:color="auto"/>
              </w:rPr>
              <w:t>dB(A)/m</w:t>
            </w:r>
            <w:r>
              <w:rPr>
                <w:rFonts w:ascii="宋体" w:hAnsi="宋体" w:eastAsia="宋体" w:cs="宋体"/>
                <w:color w:val="auto"/>
                <w:spacing w:val="-4"/>
                <w:sz w:val="24"/>
                <w:szCs w:val="24"/>
                <w:u w:val="none" w:color="auto"/>
              </w:rPr>
              <w:t>，</w:t>
            </w:r>
            <w:r>
              <w:rPr>
                <w:rFonts w:ascii="宋体" w:hAnsi="宋体" w:eastAsia="宋体" w:cs="宋体"/>
                <w:color w:val="auto"/>
                <w:spacing w:val="-2"/>
                <w:sz w:val="24"/>
                <w:szCs w:val="24"/>
                <w:u w:val="none" w:color="auto"/>
              </w:rPr>
              <w:t>浓密的绿篱为</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2"/>
                <w:sz w:val="24"/>
                <w:szCs w:val="24"/>
                <w:u w:val="none" w:color="auto"/>
              </w:rPr>
              <w:t>0.25~0.35dB(A)/m</w:t>
            </w:r>
            <w:r>
              <w:rPr>
                <w:rFonts w:ascii="Times New Roman" w:hAnsi="Times New Roman" w:eastAsia="Times New Roman" w:cs="Times New Roman"/>
                <w:color w:val="auto"/>
                <w:spacing w:val="-30"/>
                <w:sz w:val="24"/>
                <w:szCs w:val="24"/>
                <w:u w:val="none" w:color="auto"/>
              </w:rPr>
              <w:t xml:space="preserve"> </w:t>
            </w:r>
            <w:r>
              <w:rPr>
                <w:rFonts w:ascii="宋体" w:hAnsi="宋体" w:eastAsia="宋体" w:cs="宋体"/>
                <w:color w:val="auto"/>
                <w:spacing w:val="-2"/>
                <w:sz w:val="24"/>
                <w:szCs w:val="24"/>
                <w:u w:val="none" w:color="auto"/>
              </w:rPr>
              <w:t>，草地为</w:t>
            </w:r>
            <w:r>
              <w:rPr>
                <w:rFonts w:ascii="宋体" w:hAnsi="宋体" w:eastAsia="宋体" w:cs="宋体"/>
                <w:color w:val="auto"/>
                <w:spacing w:val="-52"/>
                <w:sz w:val="24"/>
                <w:szCs w:val="24"/>
                <w:u w:val="none" w:color="auto"/>
              </w:rPr>
              <w:t xml:space="preserve"> </w:t>
            </w:r>
            <w:r>
              <w:rPr>
                <w:rFonts w:ascii="Times New Roman" w:hAnsi="Times New Roman" w:eastAsia="Times New Roman" w:cs="Times New Roman"/>
                <w:color w:val="auto"/>
                <w:spacing w:val="-2"/>
                <w:sz w:val="24"/>
                <w:szCs w:val="24"/>
                <w:u w:val="none" w:color="auto"/>
              </w:rPr>
              <w:t>0.07~0.</w:t>
            </w:r>
            <w:r>
              <w:rPr>
                <w:rFonts w:ascii="Times New Roman" w:hAnsi="Times New Roman" w:eastAsia="Times New Roman" w:cs="Times New Roman"/>
                <w:color w:val="auto"/>
                <w:spacing w:val="-32"/>
                <w:sz w:val="24"/>
                <w:szCs w:val="24"/>
                <w:u w:val="none" w:color="auto"/>
              </w:rPr>
              <w:t xml:space="preserve"> </w:t>
            </w:r>
            <w:r>
              <w:rPr>
                <w:rFonts w:ascii="Times New Roman" w:hAnsi="Times New Roman" w:eastAsia="Times New Roman" w:cs="Times New Roman"/>
                <w:color w:val="auto"/>
                <w:spacing w:val="-2"/>
                <w:sz w:val="24"/>
                <w:szCs w:val="24"/>
                <w:u w:val="none" w:color="auto"/>
              </w:rPr>
              <w:t>10dB(A)/</w:t>
            </w:r>
            <w:r>
              <w:rPr>
                <w:rFonts w:ascii="Times New Roman" w:hAnsi="Times New Roman" w:eastAsia="Times New Roman" w:cs="Times New Roman"/>
                <w:color w:val="auto"/>
                <w:spacing w:val="-3"/>
                <w:sz w:val="24"/>
                <w:szCs w:val="24"/>
                <w:u w:val="none" w:color="auto"/>
              </w:rPr>
              <w:t>m</w:t>
            </w:r>
            <w:r>
              <w:rPr>
                <w:rFonts w:ascii="宋体" w:hAnsi="宋体" w:eastAsia="宋体" w:cs="宋体"/>
                <w:color w:val="auto"/>
                <w:spacing w:val="-3"/>
                <w:sz w:val="24"/>
                <w:szCs w:val="24"/>
                <w:u w:val="none" w:color="auto"/>
              </w:rPr>
              <w:t>。</w:t>
            </w:r>
          </w:p>
          <w:p w14:paraId="3736DCFD">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jc w:val="both"/>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绿化的降噪效果许多学者的研究结论出入较大，这主要由于树林</w:t>
            </w:r>
            <w:r>
              <w:rPr>
                <w:rFonts w:ascii="宋体" w:hAnsi="宋体" w:eastAsia="宋体" w:cs="宋体"/>
                <w:color w:val="auto"/>
                <w:spacing w:val="-3"/>
                <w:sz w:val="24"/>
                <w:szCs w:val="24"/>
                <w:u w:val="none" w:color="auto"/>
              </w:rPr>
              <w:t>情况复杂，测量方法不尽一致引起的，以上给出的是一般情况下的绿化降噪参考值。从以上数据可见绿化的降噪量并不高，但不可否认绿化在人们对防治噪声的心理感觉上有良好的效果，同时绿化可以清洁空气、调节小气候和美化环境等，在这一点上比建设屏障有明显的优势。在经济方面，建设绿化林带的费用本身并不高，一般</w:t>
            </w:r>
            <w:r>
              <w:rPr>
                <w:rFonts w:ascii="Times New Roman" w:hAnsi="Times New Roman" w:eastAsia="Times New Roman" w:cs="Times New Roman"/>
                <w:color w:val="auto"/>
                <w:spacing w:val="-1"/>
                <w:sz w:val="24"/>
                <w:szCs w:val="24"/>
                <w:u w:val="none" w:color="auto"/>
              </w:rPr>
              <w:t>30m</w:t>
            </w:r>
            <w:r>
              <w:rPr>
                <w:rFonts w:ascii="宋体" w:hAnsi="宋体" w:eastAsia="宋体" w:cs="宋体"/>
                <w:color w:val="auto"/>
                <w:spacing w:val="-1"/>
                <w:sz w:val="24"/>
                <w:szCs w:val="24"/>
                <w:u w:val="none" w:color="auto"/>
              </w:rPr>
              <w:t>深的林带为</w:t>
            </w:r>
            <w:r>
              <w:rPr>
                <w:rFonts w:ascii="宋体" w:hAnsi="宋体" w:eastAsia="宋体" w:cs="宋体"/>
                <w:color w:val="auto"/>
                <w:spacing w:val="-51"/>
                <w:sz w:val="24"/>
                <w:szCs w:val="24"/>
                <w:u w:val="none" w:color="auto"/>
              </w:rPr>
              <w:t xml:space="preserve"> </w:t>
            </w:r>
            <w:r>
              <w:rPr>
                <w:rFonts w:ascii="Times New Roman" w:hAnsi="Times New Roman" w:eastAsia="Times New Roman" w:cs="Times New Roman"/>
                <w:color w:val="auto"/>
                <w:spacing w:val="-1"/>
                <w:sz w:val="24"/>
                <w:szCs w:val="24"/>
                <w:u w:val="none" w:color="auto"/>
              </w:rPr>
              <w:t>300~600</w:t>
            </w:r>
            <w:r>
              <w:rPr>
                <w:rFonts w:ascii="宋体" w:hAnsi="宋体" w:eastAsia="宋体" w:cs="宋体"/>
                <w:color w:val="auto"/>
                <w:spacing w:val="-1"/>
                <w:sz w:val="24"/>
                <w:szCs w:val="24"/>
                <w:u w:val="none" w:color="auto"/>
              </w:rPr>
              <w:t>元</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延</w:t>
            </w:r>
            <w:r>
              <w:rPr>
                <w:rFonts w:ascii="宋体" w:hAnsi="宋体" w:eastAsia="宋体" w:cs="宋体"/>
                <w:color w:val="auto"/>
                <w:spacing w:val="-58"/>
                <w:sz w:val="24"/>
                <w:szCs w:val="24"/>
                <w:u w:val="none" w:color="auto"/>
              </w:rPr>
              <w:t xml:space="preserve"> </w:t>
            </w:r>
            <w:r>
              <w:rPr>
                <w:rFonts w:ascii="Times New Roman" w:hAnsi="Times New Roman" w:eastAsia="Times New Roman" w:cs="Times New Roman"/>
                <w:color w:val="auto"/>
                <w:spacing w:val="-1"/>
                <w:sz w:val="24"/>
                <w:szCs w:val="24"/>
                <w:u w:val="none" w:color="auto"/>
              </w:rPr>
              <w:t>m</w:t>
            </w:r>
            <w:r>
              <w:rPr>
                <w:rFonts w:ascii="宋体" w:hAnsi="宋体" w:eastAsia="宋体" w:cs="宋体"/>
                <w:color w:val="auto"/>
                <w:spacing w:val="-1"/>
                <w:sz w:val="24"/>
                <w:szCs w:val="24"/>
                <w:u w:val="none" w:color="auto"/>
              </w:rPr>
              <w:t>。</w:t>
            </w:r>
          </w:p>
          <w:p w14:paraId="6B66CF42">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在超标情况不严重的敏感点路段可以作为主要降噪措施，而其他</w:t>
            </w:r>
            <w:r>
              <w:rPr>
                <w:rFonts w:ascii="宋体" w:hAnsi="宋体" w:eastAsia="宋体" w:cs="宋体"/>
                <w:color w:val="auto"/>
                <w:spacing w:val="-4"/>
                <w:sz w:val="24"/>
                <w:szCs w:val="24"/>
                <w:u w:val="none" w:color="auto"/>
              </w:rPr>
              <w:t>情况下则一</w:t>
            </w:r>
            <w:r>
              <w:rPr>
                <w:rFonts w:ascii="宋体" w:hAnsi="宋体" w:eastAsia="宋体" w:cs="宋体"/>
                <w:color w:val="auto"/>
                <w:spacing w:val="-2"/>
                <w:sz w:val="24"/>
                <w:szCs w:val="24"/>
                <w:u w:val="none" w:color="auto"/>
              </w:rPr>
              <w:t>般作为辅助措施。</w:t>
            </w:r>
          </w:p>
          <w:p w14:paraId="0C90F243">
            <w:pPr>
              <w:keepNext w:val="0"/>
              <w:keepLines w:val="0"/>
              <w:pageBreakBefore w:val="0"/>
              <w:widowControl w:val="0"/>
              <w:kinsoku/>
              <w:wordWrap/>
              <w:overflowPunct/>
              <w:topLinePunct w:val="0"/>
              <w:autoSpaceDE/>
              <w:autoSpaceDN/>
              <w:bidi w:val="0"/>
              <w:adjustRightInd w:val="0"/>
              <w:snapToGrid w:val="0"/>
              <w:spacing w:line="360" w:lineRule="auto"/>
              <w:ind w:left="0" w:right="0" w:firstLine="472" w:firstLineChars="200"/>
              <w:textAlignment w:val="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⑥降噪路面</w:t>
            </w:r>
          </w:p>
          <w:p w14:paraId="2BB50252">
            <w:pPr>
              <w:keepNext w:val="0"/>
              <w:keepLines w:val="0"/>
              <w:pageBreakBefore w:val="0"/>
              <w:widowControl w:val="0"/>
              <w:kinsoku/>
              <w:wordWrap/>
              <w:overflowPunct/>
              <w:topLinePunct w:val="0"/>
              <w:autoSpaceDE/>
              <w:autoSpaceDN/>
              <w:bidi w:val="0"/>
              <w:adjustRightInd w:val="0"/>
              <w:snapToGrid w:val="0"/>
              <w:spacing w:line="360" w:lineRule="auto"/>
              <w:ind w:left="0" w:right="0" w:firstLine="464" w:firstLineChars="200"/>
              <w:textAlignment w:val="auto"/>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多孔隙沥青混凝土低噪音路面是一种新型的路面结构形式，通过对多孔隙沥</w:t>
            </w:r>
            <w:r>
              <w:rPr>
                <w:rFonts w:ascii="宋体" w:hAnsi="宋体" w:eastAsia="宋体" w:cs="宋体"/>
                <w:color w:val="auto"/>
                <w:spacing w:val="-3"/>
                <w:sz w:val="24"/>
                <w:szCs w:val="24"/>
                <w:u w:val="none" w:color="auto"/>
              </w:rPr>
              <w:t>青混合料的降噪机理进行研究分析，得出其通过连通空隙率来降低轮胎与路面产生的泵吸效应以及吸声效果的结论，连通空隙率越大，降噪效果越好，根据国内</w:t>
            </w:r>
            <w:r>
              <w:rPr>
                <w:rFonts w:ascii="宋体" w:hAnsi="宋体" w:eastAsia="宋体" w:cs="宋体"/>
                <w:color w:val="auto"/>
                <w:spacing w:val="1"/>
                <w:sz w:val="24"/>
                <w:szCs w:val="24"/>
                <w:u w:val="none" w:color="auto"/>
              </w:rPr>
              <w:t>的研究及示范工程，多孔隙沥青混凝土低噪音路面能降低噪音</w:t>
            </w:r>
            <w:r>
              <w:rPr>
                <w:rFonts w:ascii="Times New Roman" w:hAnsi="Times New Roman" w:eastAsia="Times New Roman" w:cs="Times New Roman"/>
                <w:color w:val="auto"/>
                <w:spacing w:val="1"/>
                <w:sz w:val="24"/>
                <w:szCs w:val="24"/>
                <w:u w:val="none" w:color="auto"/>
              </w:rPr>
              <w:t>3</w:t>
            </w:r>
            <w:r>
              <w:rPr>
                <w:rFonts w:ascii="宋体" w:hAnsi="宋体" w:eastAsia="宋体" w:cs="宋体"/>
                <w:color w:val="auto"/>
                <w:spacing w:val="1"/>
                <w:sz w:val="24"/>
                <w:szCs w:val="24"/>
                <w:u w:val="none" w:color="auto"/>
              </w:rPr>
              <w:t>～</w:t>
            </w:r>
            <w:r>
              <w:rPr>
                <w:rFonts w:ascii="Times New Roman" w:hAnsi="Times New Roman" w:eastAsia="Times New Roman" w:cs="Times New Roman"/>
                <w:color w:val="auto"/>
                <w:spacing w:val="1"/>
                <w:sz w:val="24"/>
                <w:szCs w:val="24"/>
                <w:u w:val="none" w:color="auto"/>
              </w:rPr>
              <w:t>4</w:t>
            </w:r>
            <w:r>
              <w:rPr>
                <w:rFonts w:ascii="Times New Roman" w:hAnsi="Times New Roman" w:eastAsia="Times New Roman" w:cs="Times New Roman"/>
                <w:color w:val="auto"/>
                <w:sz w:val="24"/>
                <w:szCs w:val="24"/>
                <w:u w:val="none" w:color="auto"/>
              </w:rPr>
              <w:t>dB</w:t>
            </w:r>
            <w:r>
              <w:rPr>
                <w:rFonts w:ascii="宋体" w:hAnsi="宋体" w:eastAsia="宋体" w:cs="宋体"/>
                <w:color w:val="auto"/>
                <w:spacing w:val="1"/>
                <w:sz w:val="24"/>
                <w:szCs w:val="24"/>
                <w:u w:val="none" w:color="auto"/>
              </w:rPr>
              <w:t>。</w:t>
            </w:r>
          </w:p>
          <w:p w14:paraId="7902525B">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铺筑这种路用大孔隙的沥青混合料，能有效降低汽车轮胎与路面</w:t>
            </w:r>
            <w:r>
              <w:rPr>
                <w:rFonts w:ascii="宋体" w:hAnsi="宋体" w:eastAsia="宋体" w:cs="宋体"/>
                <w:color w:val="auto"/>
                <w:spacing w:val="-4"/>
                <w:sz w:val="24"/>
                <w:szCs w:val="24"/>
                <w:u w:val="none" w:color="auto"/>
              </w:rPr>
              <w:t>接触产生的</w:t>
            </w:r>
            <w:r>
              <w:rPr>
                <w:rFonts w:ascii="宋体" w:hAnsi="宋体" w:eastAsia="宋体" w:cs="宋体"/>
                <w:color w:val="auto"/>
                <w:spacing w:val="-3"/>
                <w:sz w:val="24"/>
                <w:szCs w:val="24"/>
                <w:u w:val="none" w:color="auto"/>
              </w:rPr>
              <w:t>气泵效应，具有噪声低、防溅水、防反光、增强路面附着力等特点，可改善雨天</w:t>
            </w:r>
            <w:r>
              <w:rPr>
                <w:rFonts w:ascii="宋体" w:hAnsi="宋体" w:eastAsia="宋体" w:cs="宋体"/>
                <w:color w:val="auto"/>
                <w:spacing w:val="-8"/>
                <w:sz w:val="24"/>
                <w:szCs w:val="24"/>
                <w:u w:val="none" w:color="auto"/>
              </w:rPr>
              <w:t>路面的行驶条件，提高驾车的舒适性与安全性，有效降低阳光下路面的反光程度，</w:t>
            </w:r>
            <w:r>
              <w:rPr>
                <w:rFonts w:ascii="宋体" w:hAnsi="宋体" w:eastAsia="宋体" w:cs="宋体"/>
                <w:color w:val="auto"/>
                <w:spacing w:val="-3"/>
                <w:sz w:val="24"/>
                <w:szCs w:val="24"/>
                <w:u w:val="none" w:color="auto"/>
              </w:rPr>
              <w:t>提高路面的附着力。而且在结构耐久性方面，低噪声路面的抗车辙能力很强，性</w:t>
            </w:r>
            <w:r>
              <w:rPr>
                <w:rFonts w:ascii="宋体" w:hAnsi="宋体" w:eastAsia="宋体" w:cs="宋体"/>
                <w:color w:val="auto"/>
                <w:spacing w:val="-1"/>
                <w:sz w:val="24"/>
                <w:szCs w:val="24"/>
                <w:u w:val="none" w:color="auto"/>
              </w:rPr>
              <w:t>能优于普通的密级配沥青路面。</w:t>
            </w:r>
          </w:p>
          <w:p w14:paraId="706DAAE1">
            <w:pPr>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textAlignment w:val="auto"/>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各个噪声防治措施技术经济比较见下表：</w:t>
            </w:r>
          </w:p>
          <w:p w14:paraId="3A20F292">
            <w:pPr>
              <w:spacing w:before="120" w:line="228" w:lineRule="auto"/>
              <w:ind w:left="2546"/>
              <w:rPr>
                <w:rFonts w:ascii="宋体" w:hAnsi="宋体" w:eastAsia="宋体" w:cs="宋体"/>
                <w:color w:val="auto"/>
                <w:sz w:val="20"/>
                <w:szCs w:val="20"/>
                <w:u w:val="none" w:color="auto"/>
              </w:rPr>
            </w:pPr>
            <w:r>
              <w:rPr>
                <w:rFonts w:ascii="宋体" w:hAnsi="宋体" w:eastAsia="宋体" w:cs="宋体"/>
                <w:b/>
                <w:bCs/>
                <w:color w:val="auto"/>
                <w:spacing w:val="5"/>
                <w:sz w:val="20"/>
                <w:szCs w:val="20"/>
                <w:u w:val="none" w:color="auto"/>
              </w:rPr>
              <w:t>表</w:t>
            </w:r>
            <w:r>
              <w:rPr>
                <w:rFonts w:ascii="宋体" w:hAnsi="宋体" w:eastAsia="宋体" w:cs="宋体"/>
                <w:color w:val="auto"/>
                <w:spacing w:val="-22"/>
                <w:sz w:val="20"/>
                <w:szCs w:val="20"/>
                <w:u w:val="none" w:color="auto"/>
              </w:rPr>
              <w:t xml:space="preserve"> </w:t>
            </w:r>
            <w:r>
              <w:rPr>
                <w:rFonts w:ascii="Times New Roman" w:hAnsi="Times New Roman" w:eastAsia="Times New Roman" w:cs="Times New Roman"/>
                <w:b/>
                <w:bCs/>
                <w:color w:val="auto"/>
                <w:spacing w:val="5"/>
                <w:sz w:val="20"/>
                <w:szCs w:val="20"/>
                <w:u w:val="none" w:color="auto"/>
              </w:rPr>
              <w:t xml:space="preserve">5-1    </w:t>
            </w:r>
            <w:r>
              <w:rPr>
                <w:rFonts w:ascii="宋体" w:hAnsi="宋体" w:eastAsia="宋体" w:cs="宋体"/>
                <w:b/>
                <w:bCs/>
                <w:color w:val="auto"/>
                <w:spacing w:val="5"/>
                <w:sz w:val="20"/>
                <w:szCs w:val="20"/>
                <w:u w:val="none" w:color="auto"/>
              </w:rPr>
              <w:t>噪声防治措施技术经济比较</w:t>
            </w:r>
          </w:p>
          <w:p w14:paraId="729E3E4B">
            <w:pPr>
              <w:spacing w:line="141" w:lineRule="auto"/>
              <w:rPr>
                <w:rFonts w:ascii="Arial"/>
                <w:color w:val="auto"/>
                <w:sz w:val="2"/>
                <w:u w:val="none" w:color="auto"/>
              </w:rPr>
            </w:pPr>
          </w:p>
          <w:tbl>
            <w:tblPr>
              <w:tblStyle w:val="72"/>
              <w:tblW w:w="8337" w:type="dxa"/>
              <w:tblInd w:w="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59"/>
              <w:gridCol w:w="1690"/>
              <w:gridCol w:w="1211"/>
              <w:gridCol w:w="2258"/>
              <w:gridCol w:w="2119"/>
            </w:tblGrid>
            <w:tr w14:paraId="2998C3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059" w:type="dxa"/>
                  <w:tcBorders>
                    <w:tl2br w:val="nil"/>
                    <w:tr2bl w:val="nil"/>
                  </w:tcBorders>
                  <w:vAlign w:val="top"/>
                </w:tcPr>
                <w:p w14:paraId="745C2838">
                  <w:pPr>
                    <w:pStyle w:val="81"/>
                    <w:spacing w:before="73" w:line="220" w:lineRule="auto"/>
                    <w:ind w:left="159"/>
                    <w:rPr>
                      <w:color w:val="auto"/>
                      <w:sz w:val="18"/>
                      <w:szCs w:val="18"/>
                      <w:u w:val="none" w:color="auto"/>
                    </w:rPr>
                  </w:pPr>
                  <w:r>
                    <w:rPr>
                      <w:color w:val="auto"/>
                      <w:spacing w:val="-2"/>
                      <w:sz w:val="18"/>
                      <w:szCs w:val="18"/>
                      <w:u w:val="none" w:color="auto"/>
                    </w:rPr>
                    <w:t>措施名称</w:t>
                  </w:r>
                </w:p>
              </w:tc>
              <w:tc>
                <w:tcPr>
                  <w:tcW w:w="1690" w:type="dxa"/>
                  <w:tcBorders>
                    <w:tl2br w:val="nil"/>
                    <w:tr2bl w:val="nil"/>
                  </w:tcBorders>
                  <w:vAlign w:val="top"/>
                </w:tcPr>
                <w:p w14:paraId="1F1282FE">
                  <w:pPr>
                    <w:pStyle w:val="81"/>
                    <w:spacing w:before="73" w:line="219" w:lineRule="auto"/>
                    <w:ind w:left="483"/>
                    <w:rPr>
                      <w:color w:val="auto"/>
                      <w:sz w:val="18"/>
                      <w:szCs w:val="18"/>
                      <w:u w:val="none" w:color="auto"/>
                    </w:rPr>
                  </w:pPr>
                  <w:r>
                    <w:rPr>
                      <w:color w:val="auto"/>
                      <w:spacing w:val="-2"/>
                      <w:sz w:val="18"/>
                      <w:szCs w:val="18"/>
                      <w:u w:val="none" w:color="auto"/>
                    </w:rPr>
                    <w:t>使用情况</w:t>
                  </w:r>
                </w:p>
              </w:tc>
              <w:tc>
                <w:tcPr>
                  <w:tcW w:w="1211" w:type="dxa"/>
                  <w:tcBorders>
                    <w:tl2br w:val="nil"/>
                    <w:tr2bl w:val="nil"/>
                  </w:tcBorders>
                  <w:vAlign w:val="top"/>
                </w:tcPr>
                <w:p w14:paraId="12345FF6">
                  <w:pPr>
                    <w:pStyle w:val="81"/>
                    <w:spacing w:before="73" w:line="219" w:lineRule="auto"/>
                    <w:ind w:left="261"/>
                    <w:rPr>
                      <w:color w:val="auto"/>
                      <w:sz w:val="18"/>
                      <w:szCs w:val="18"/>
                      <w:u w:val="none" w:color="auto"/>
                    </w:rPr>
                  </w:pPr>
                  <w:r>
                    <w:rPr>
                      <w:color w:val="auto"/>
                      <w:spacing w:val="-6"/>
                      <w:sz w:val="18"/>
                      <w:szCs w:val="18"/>
                      <w:u w:val="none" w:color="auto"/>
                    </w:rPr>
                    <w:t>降噪效果</w:t>
                  </w:r>
                </w:p>
              </w:tc>
              <w:tc>
                <w:tcPr>
                  <w:tcW w:w="2258" w:type="dxa"/>
                  <w:tcBorders>
                    <w:tl2br w:val="nil"/>
                    <w:tr2bl w:val="nil"/>
                  </w:tcBorders>
                  <w:vAlign w:val="top"/>
                </w:tcPr>
                <w:p w14:paraId="51E7DA02">
                  <w:pPr>
                    <w:pStyle w:val="81"/>
                    <w:spacing w:before="73" w:line="219" w:lineRule="auto"/>
                    <w:ind w:left="955"/>
                    <w:rPr>
                      <w:color w:val="auto"/>
                      <w:sz w:val="18"/>
                      <w:szCs w:val="18"/>
                      <w:u w:val="none" w:color="auto"/>
                    </w:rPr>
                  </w:pPr>
                  <w:r>
                    <w:rPr>
                      <w:color w:val="auto"/>
                      <w:spacing w:val="-4"/>
                      <w:sz w:val="18"/>
                      <w:szCs w:val="18"/>
                      <w:u w:val="none" w:color="auto"/>
                    </w:rPr>
                    <w:t>优点</w:t>
                  </w:r>
                </w:p>
              </w:tc>
              <w:tc>
                <w:tcPr>
                  <w:tcW w:w="2119" w:type="dxa"/>
                  <w:tcBorders>
                    <w:tl2br w:val="nil"/>
                    <w:tr2bl w:val="nil"/>
                  </w:tcBorders>
                  <w:vAlign w:val="top"/>
                </w:tcPr>
                <w:p w14:paraId="3CFF1403">
                  <w:pPr>
                    <w:pStyle w:val="81"/>
                    <w:spacing w:before="73" w:line="220" w:lineRule="auto"/>
                    <w:ind w:left="887"/>
                    <w:rPr>
                      <w:color w:val="auto"/>
                      <w:sz w:val="18"/>
                      <w:szCs w:val="18"/>
                      <w:u w:val="none" w:color="auto"/>
                    </w:rPr>
                  </w:pPr>
                  <w:r>
                    <w:rPr>
                      <w:color w:val="auto"/>
                      <w:spacing w:val="-4"/>
                      <w:sz w:val="18"/>
                      <w:szCs w:val="18"/>
                      <w:u w:val="none" w:color="auto"/>
                    </w:rPr>
                    <w:t>缺点</w:t>
                  </w:r>
                </w:p>
              </w:tc>
            </w:tr>
            <w:tr w14:paraId="1CC8E0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59" w:type="dxa"/>
                  <w:tcBorders>
                    <w:tl2br w:val="nil"/>
                    <w:tr2bl w:val="nil"/>
                  </w:tcBorders>
                  <w:vAlign w:val="top"/>
                </w:tcPr>
                <w:p w14:paraId="11C5097C">
                  <w:pPr>
                    <w:spacing w:line="321" w:lineRule="auto"/>
                    <w:rPr>
                      <w:rFonts w:ascii="Arial"/>
                      <w:color w:val="auto"/>
                      <w:sz w:val="21"/>
                      <w:u w:val="none" w:color="auto"/>
                    </w:rPr>
                  </w:pPr>
                </w:p>
                <w:p w14:paraId="36D002CF">
                  <w:pPr>
                    <w:pStyle w:val="81"/>
                    <w:spacing w:before="59" w:line="220" w:lineRule="auto"/>
                    <w:ind w:left="339"/>
                    <w:rPr>
                      <w:color w:val="auto"/>
                      <w:sz w:val="18"/>
                      <w:szCs w:val="18"/>
                      <w:u w:val="none" w:color="auto"/>
                    </w:rPr>
                  </w:pPr>
                  <w:r>
                    <w:rPr>
                      <w:color w:val="auto"/>
                      <w:spacing w:val="-4"/>
                      <w:sz w:val="18"/>
                      <w:szCs w:val="18"/>
                      <w:u w:val="none" w:color="auto"/>
                    </w:rPr>
                    <w:t>搬迁</w:t>
                  </w:r>
                </w:p>
              </w:tc>
              <w:tc>
                <w:tcPr>
                  <w:tcW w:w="1690" w:type="dxa"/>
                  <w:tcBorders>
                    <w:tl2br w:val="nil"/>
                    <w:tr2bl w:val="nil"/>
                  </w:tcBorders>
                  <w:vAlign w:val="top"/>
                </w:tcPr>
                <w:p w14:paraId="70F9ED14">
                  <w:pPr>
                    <w:pStyle w:val="81"/>
                    <w:spacing w:before="70" w:line="219" w:lineRule="auto"/>
                    <w:ind w:left="121"/>
                    <w:rPr>
                      <w:color w:val="auto"/>
                      <w:sz w:val="18"/>
                      <w:szCs w:val="18"/>
                      <w:u w:val="none" w:color="auto"/>
                    </w:rPr>
                  </w:pPr>
                  <w:r>
                    <w:rPr>
                      <w:color w:val="auto"/>
                      <w:spacing w:val="-1"/>
                      <w:sz w:val="18"/>
                      <w:szCs w:val="18"/>
                      <w:u w:val="none" w:color="auto"/>
                    </w:rPr>
                    <w:t>将超标严重的个别</w:t>
                  </w:r>
                </w:p>
                <w:p w14:paraId="6F760D94">
                  <w:pPr>
                    <w:pStyle w:val="81"/>
                    <w:spacing w:before="98" w:line="220" w:lineRule="auto"/>
                    <w:ind w:left="122"/>
                    <w:rPr>
                      <w:color w:val="auto"/>
                      <w:sz w:val="18"/>
                      <w:szCs w:val="18"/>
                      <w:u w:val="none" w:color="auto"/>
                    </w:rPr>
                  </w:pPr>
                  <w:r>
                    <w:rPr>
                      <w:color w:val="auto"/>
                      <w:spacing w:val="-1"/>
                      <w:sz w:val="18"/>
                      <w:szCs w:val="18"/>
                      <w:u w:val="none" w:color="auto"/>
                    </w:rPr>
                    <w:t>住户搬迁到不受噪</w:t>
                  </w:r>
                </w:p>
                <w:p w14:paraId="51ACCAA5">
                  <w:pPr>
                    <w:pStyle w:val="81"/>
                    <w:spacing w:before="97" w:line="220" w:lineRule="auto"/>
                    <w:ind w:left="306"/>
                    <w:rPr>
                      <w:color w:val="auto"/>
                      <w:sz w:val="18"/>
                      <w:szCs w:val="18"/>
                      <w:u w:val="none" w:color="auto"/>
                    </w:rPr>
                  </w:pPr>
                  <w:r>
                    <w:rPr>
                      <w:color w:val="auto"/>
                      <w:spacing w:val="-2"/>
                      <w:sz w:val="18"/>
                      <w:szCs w:val="18"/>
                      <w:u w:val="none" w:color="auto"/>
                    </w:rPr>
                    <w:t>声影响的地方</w:t>
                  </w:r>
                </w:p>
              </w:tc>
              <w:tc>
                <w:tcPr>
                  <w:tcW w:w="1211" w:type="dxa"/>
                  <w:tcBorders>
                    <w:tl2br w:val="nil"/>
                    <w:tr2bl w:val="nil"/>
                  </w:tcBorders>
                  <w:vAlign w:val="top"/>
                </w:tcPr>
                <w:p w14:paraId="29C970A0">
                  <w:pPr>
                    <w:spacing w:line="321" w:lineRule="auto"/>
                    <w:rPr>
                      <w:rFonts w:ascii="Arial"/>
                      <w:color w:val="auto"/>
                      <w:sz w:val="21"/>
                      <w:u w:val="none" w:color="auto"/>
                    </w:rPr>
                  </w:pPr>
                </w:p>
                <w:p w14:paraId="77DFD35B">
                  <w:pPr>
                    <w:pStyle w:val="81"/>
                    <w:spacing w:before="59" w:line="219" w:lineRule="auto"/>
                    <w:ind w:left="428"/>
                    <w:rPr>
                      <w:color w:val="auto"/>
                      <w:sz w:val="18"/>
                      <w:szCs w:val="18"/>
                      <w:u w:val="none" w:color="auto"/>
                    </w:rPr>
                  </w:pPr>
                  <w:r>
                    <w:rPr>
                      <w:color w:val="auto"/>
                      <w:spacing w:val="-5"/>
                      <w:sz w:val="18"/>
                      <w:szCs w:val="18"/>
                      <w:u w:val="none" w:color="auto"/>
                    </w:rPr>
                    <w:t>很好</w:t>
                  </w:r>
                </w:p>
              </w:tc>
              <w:tc>
                <w:tcPr>
                  <w:tcW w:w="2258" w:type="dxa"/>
                  <w:tcBorders>
                    <w:tl2br w:val="nil"/>
                    <w:tr2bl w:val="nil"/>
                  </w:tcBorders>
                  <w:vAlign w:val="top"/>
                </w:tcPr>
                <w:p w14:paraId="7D5B7234">
                  <w:pPr>
                    <w:pStyle w:val="81"/>
                    <w:spacing w:before="70" w:line="293" w:lineRule="auto"/>
                    <w:ind w:left="153" w:right="134" w:firstLine="5"/>
                    <w:jc w:val="both"/>
                    <w:rPr>
                      <w:color w:val="auto"/>
                      <w:sz w:val="18"/>
                      <w:szCs w:val="18"/>
                      <w:u w:val="none" w:color="auto"/>
                    </w:rPr>
                  </w:pPr>
                  <w:r>
                    <w:rPr>
                      <w:color w:val="auto"/>
                      <w:spacing w:val="-2"/>
                      <w:sz w:val="18"/>
                      <w:szCs w:val="18"/>
                      <w:u w:val="none" w:color="auto"/>
                    </w:rPr>
                    <w:t>降噪彻底，可以完全消除噪声影响，但仅适用于零</w:t>
                  </w:r>
                  <w:r>
                    <w:rPr>
                      <w:color w:val="auto"/>
                      <w:spacing w:val="7"/>
                      <w:sz w:val="18"/>
                      <w:szCs w:val="18"/>
                      <w:u w:val="none" w:color="auto"/>
                    </w:rPr>
                    <w:t>星分散超标严重的住户</w:t>
                  </w:r>
                </w:p>
              </w:tc>
              <w:tc>
                <w:tcPr>
                  <w:tcW w:w="2119" w:type="dxa"/>
                  <w:tcBorders>
                    <w:tl2br w:val="nil"/>
                    <w:tr2bl w:val="nil"/>
                  </w:tcBorders>
                  <w:vAlign w:val="top"/>
                </w:tcPr>
                <w:p w14:paraId="3DBB06AF">
                  <w:pPr>
                    <w:pStyle w:val="81"/>
                    <w:spacing w:before="70" w:line="219" w:lineRule="auto"/>
                    <w:ind w:left="129"/>
                    <w:rPr>
                      <w:color w:val="auto"/>
                      <w:sz w:val="18"/>
                      <w:szCs w:val="18"/>
                      <w:u w:val="none" w:color="auto"/>
                    </w:rPr>
                  </w:pPr>
                  <w:r>
                    <w:rPr>
                      <w:color w:val="auto"/>
                      <w:spacing w:val="-10"/>
                      <w:sz w:val="18"/>
                      <w:szCs w:val="18"/>
                      <w:u w:val="none" w:color="auto"/>
                    </w:rPr>
                    <w:t>费用较高，适用性受到限</w:t>
                  </w:r>
                </w:p>
                <w:p w14:paraId="55C87088">
                  <w:pPr>
                    <w:pStyle w:val="81"/>
                    <w:spacing w:before="98" w:line="219" w:lineRule="auto"/>
                    <w:ind w:left="167"/>
                    <w:rPr>
                      <w:color w:val="auto"/>
                      <w:sz w:val="18"/>
                      <w:szCs w:val="18"/>
                      <w:u w:val="none" w:color="auto"/>
                    </w:rPr>
                  </w:pPr>
                  <w:r>
                    <w:rPr>
                      <w:color w:val="auto"/>
                      <w:sz w:val="18"/>
                      <w:szCs w:val="18"/>
                      <w:u w:val="none" w:color="auto"/>
                    </w:rPr>
                    <w:t>制且对居民生活产生一</w:t>
                  </w:r>
                </w:p>
                <w:p w14:paraId="3E7F6EF7">
                  <w:pPr>
                    <w:pStyle w:val="81"/>
                    <w:spacing w:before="98" w:line="220" w:lineRule="auto"/>
                    <w:ind w:left="800"/>
                    <w:rPr>
                      <w:color w:val="auto"/>
                      <w:sz w:val="18"/>
                      <w:szCs w:val="18"/>
                      <w:u w:val="none" w:color="auto"/>
                    </w:rPr>
                  </w:pPr>
                  <w:r>
                    <w:rPr>
                      <w:color w:val="auto"/>
                      <w:spacing w:val="-4"/>
                      <w:sz w:val="18"/>
                      <w:szCs w:val="18"/>
                      <w:u w:val="none" w:color="auto"/>
                    </w:rPr>
                    <w:t>定影响</w:t>
                  </w:r>
                </w:p>
              </w:tc>
            </w:tr>
            <w:tr w14:paraId="78B09A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59" w:type="dxa"/>
                  <w:tcBorders>
                    <w:tl2br w:val="nil"/>
                    <w:tr2bl w:val="nil"/>
                  </w:tcBorders>
                  <w:vAlign w:val="top"/>
                </w:tcPr>
                <w:p w14:paraId="2215C6DD">
                  <w:pPr>
                    <w:pStyle w:val="81"/>
                    <w:spacing w:before="228" w:line="322" w:lineRule="auto"/>
                    <w:ind w:left="340" w:right="171" w:hanging="180"/>
                    <w:rPr>
                      <w:color w:val="auto"/>
                      <w:sz w:val="18"/>
                      <w:szCs w:val="18"/>
                      <w:u w:val="none" w:color="auto"/>
                    </w:rPr>
                  </w:pPr>
                  <w:r>
                    <w:rPr>
                      <w:color w:val="auto"/>
                      <w:spacing w:val="-3"/>
                      <w:sz w:val="18"/>
                      <w:szCs w:val="18"/>
                      <w:u w:val="none" w:color="auto"/>
                    </w:rPr>
                    <w:t>直立式声</w:t>
                  </w:r>
                  <w:r>
                    <w:rPr>
                      <w:color w:val="auto"/>
                      <w:spacing w:val="-5"/>
                      <w:sz w:val="18"/>
                      <w:szCs w:val="18"/>
                      <w:u w:val="none" w:color="auto"/>
                    </w:rPr>
                    <w:t>屏障</w:t>
                  </w:r>
                </w:p>
              </w:tc>
              <w:tc>
                <w:tcPr>
                  <w:tcW w:w="1690" w:type="dxa"/>
                  <w:tcBorders>
                    <w:tl2br w:val="nil"/>
                    <w:tr2bl w:val="nil"/>
                  </w:tcBorders>
                  <w:vAlign w:val="top"/>
                </w:tcPr>
                <w:p w14:paraId="51707868">
                  <w:pPr>
                    <w:pStyle w:val="81"/>
                    <w:spacing w:before="228" w:line="322" w:lineRule="auto"/>
                    <w:ind w:left="124" w:right="128" w:hanging="2"/>
                    <w:rPr>
                      <w:color w:val="auto"/>
                      <w:sz w:val="18"/>
                      <w:szCs w:val="18"/>
                      <w:u w:val="none" w:color="auto"/>
                    </w:rPr>
                  </w:pPr>
                  <w:r>
                    <w:rPr>
                      <w:color w:val="auto"/>
                      <w:spacing w:val="-1"/>
                      <w:sz w:val="18"/>
                      <w:szCs w:val="18"/>
                      <w:u w:val="none" w:color="auto"/>
                    </w:rPr>
                    <w:t>超标严重距离道路</w:t>
                  </w:r>
                  <w:r>
                    <w:rPr>
                      <w:color w:val="auto"/>
                      <w:spacing w:val="-2"/>
                      <w:sz w:val="18"/>
                      <w:szCs w:val="18"/>
                      <w:u w:val="none" w:color="auto"/>
                    </w:rPr>
                    <w:t>很近的集中敏感点</w:t>
                  </w:r>
                </w:p>
              </w:tc>
              <w:tc>
                <w:tcPr>
                  <w:tcW w:w="1211" w:type="dxa"/>
                  <w:tcBorders>
                    <w:tl2br w:val="nil"/>
                    <w:tr2bl w:val="nil"/>
                  </w:tcBorders>
                  <w:vAlign w:val="top"/>
                </w:tcPr>
                <w:p w14:paraId="31D441B3">
                  <w:pPr>
                    <w:spacing w:line="356" w:lineRule="auto"/>
                    <w:rPr>
                      <w:rFonts w:ascii="Arial"/>
                      <w:color w:val="auto"/>
                      <w:sz w:val="21"/>
                      <w:u w:val="none" w:color="auto"/>
                    </w:rPr>
                  </w:pPr>
                </w:p>
                <w:p w14:paraId="641B0536">
                  <w:pPr>
                    <w:spacing w:before="51" w:line="192" w:lineRule="auto"/>
                    <w:ind w:left="195"/>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6~</w:t>
                  </w:r>
                  <w:r>
                    <w:rPr>
                      <w:rFonts w:ascii="Times New Roman" w:hAnsi="Times New Roman" w:eastAsia="Times New Roman" w:cs="Times New Roman"/>
                      <w:color w:val="auto"/>
                      <w:spacing w:val="-26"/>
                      <w:sz w:val="18"/>
                      <w:szCs w:val="18"/>
                      <w:u w:val="none" w:color="auto"/>
                    </w:rPr>
                    <w:t xml:space="preserve"> </w:t>
                  </w:r>
                  <w:r>
                    <w:rPr>
                      <w:rFonts w:ascii="Times New Roman" w:hAnsi="Times New Roman" w:eastAsia="Times New Roman" w:cs="Times New Roman"/>
                      <w:color w:val="auto"/>
                      <w:spacing w:val="-3"/>
                      <w:sz w:val="18"/>
                      <w:szCs w:val="18"/>
                      <w:u w:val="none" w:color="auto"/>
                    </w:rPr>
                    <w:t>10dB(A)</w:t>
                  </w:r>
                </w:p>
              </w:tc>
              <w:tc>
                <w:tcPr>
                  <w:tcW w:w="2258" w:type="dxa"/>
                  <w:tcBorders>
                    <w:tl2br w:val="nil"/>
                    <w:tr2bl w:val="nil"/>
                  </w:tcBorders>
                  <w:vAlign w:val="top"/>
                </w:tcPr>
                <w:p w14:paraId="1E7A3EC7">
                  <w:pPr>
                    <w:pStyle w:val="81"/>
                    <w:spacing w:before="72" w:line="219" w:lineRule="auto"/>
                    <w:ind w:left="149"/>
                    <w:rPr>
                      <w:color w:val="auto"/>
                      <w:sz w:val="18"/>
                      <w:szCs w:val="18"/>
                      <w:u w:val="none" w:color="auto"/>
                    </w:rPr>
                  </w:pPr>
                  <w:r>
                    <w:rPr>
                      <w:color w:val="auto"/>
                      <w:spacing w:val="-2"/>
                      <w:sz w:val="18"/>
                      <w:szCs w:val="18"/>
                      <w:u w:val="none" w:color="auto"/>
                    </w:rPr>
                    <w:t>效果较好，且应用于道路</w:t>
                  </w:r>
                </w:p>
                <w:p w14:paraId="048322B3">
                  <w:pPr>
                    <w:pStyle w:val="81"/>
                    <w:spacing w:before="97" w:line="219" w:lineRule="auto"/>
                    <w:ind w:left="145"/>
                    <w:rPr>
                      <w:color w:val="auto"/>
                      <w:sz w:val="18"/>
                      <w:szCs w:val="18"/>
                      <w:u w:val="none" w:color="auto"/>
                    </w:rPr>
                  </w:pPr>
                  <w:r>
                    <w:rPr>
                      <w:color w:val="auto"/>
                      <w:spacing w:val="-1"/>
                      <w:sz w:val="18"/>
                      <w:szCs w:val="18"/>
                      <w:u w:val="none" w:color="auto"/>
                    </w:rPr>
                    <w:t>本身，易于实施且受益人</w:t>
                  </w:r>
                </w:p>
                <w:p w14:paraId="3F470610">
                  <w:pPr>
                    <w:pStyle w:val="81"/>
                    <w:spacing w:before="98" w:line="221" w:lineRule="auto"/>
                    <w:ind w:left="983"/>
                    <w:rPr>
                      <w:color w:val="auto"/>
                      <w:sz w:val="18"/>
                      <w:szCs w:val="18"/>
                      <w:u w:val="none" w:color="auto"/>
                    </w:rPr>
                  </w:pPr>
                  <w:r>
                    <w:rPr>
                      <w:color w:val="auto"/>
                      <w:spacing w:val="-18"/>
                      <w:sz w:val="18"/>
                      <w:szCs w:val="18"/>
                      <w:u w:val="none" w:color="auto"/>
                    </w:rPr>
                    <w:t>口多</w:t>
                  </w:r>
                </w:p>
              </w:tc>
              <w:tc>
                <w:tcPr>
                  <w:tcW w:w="2119" w:type="dxa"/>
                  <w:tcBorders>
                    <w:tl2br w:val="nil"/>
                    <w:tr2bl w:val="nil"/>
                  </w:tcBorders>
                  <w:vAlign w:val="top"/>
                </w:tcPr>
                <w:p w14:paraId="039F7479">
                  <w:pPr>
                    <w:pStyle w:val="81"/>
                    <w:spacing w:before="228" w:line="322" w:lineRule="auto"/>
                    <w:ind w:left="257" w:right="95" w:hanging="136"/>
                    <w:rPr>
                      <w:color w:val="auto"/>
                      <w:sz w:val="18"/>
                      <w:szCs w:val="18"/>
                      <w:u w:val="none" w:color="auto"/>
                    </w:rPr>
                  </w:pPr>
                  <w:r>
                    <w:rPr>
                      <w:color w:val="auto"/>
                      <w:spacing w:val="-9"/>
                      <w:sz w:val="18"/>
                      <w:szCs w:val="18"/>
                      <w:u w:val="none" w:color="auto"/>
                    </w:rPr>
                    <w:t>投资较高，某些形式的声</w:t>
                  </w:r>
                  <w:r>
                    <w:rPr>
                      <w:color w:val="auto"/>
                      <w:spacing w:val="-1"/>
                      <w:sz w:val="18"/>
                      <w:szCs w:val="18"/>
                      <w:u w:val="none" w:color="auto"/>
                    </w:rPr>
                    <w:t>屏障对景观产生影响</w:t>
                  </w:r>
                </w:p>
              </w:tc>
            </w:tr>
            <w:tr w14:paraId="2CD635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059" w:type="dxa"/>
                  <w:tcBorders>
                    <w:tl2br w:val="nil"/>
                    <w:tr2bl w:val="nil"/>
                  </w:tcBorders>
                  <w:vAlign w:val="top"/>
                </w:tcPr>
                <w:p w14:paraId="19314ABB">
                  <w:pPr>
                    <w:pStyle w:val="81"/>
                    <w:spacing w:before="231" w:line="322" w:lineRule="auto"/>
                    <w:ind w:left="340" w:right="171" w:hanging="182"/>
                    <w:rPr>
                      <w:color w:val="auto"/>
                      <w:sz w:val="18"/>
                      <w:szCs w:val="18"/>
                      <w:u w:val="none" w:color="auto"/>
                    </w:rPr>
                  </w:pPr>
                  <w:r>
                    <w:rPr>
                      <w:color w:val="auto"/>
                      <w:spacing w:val="-2"/>
                      <w:sz w:val="18"/>
                      <w:szCs w:val="18"/>
                      <w:u w:val="none" w:color="auto"/>
                    </w:rPr>
                    <w:t>封闭式声</w:t>
                  </w:r>
                  <w:r>
                    <w:rPr>
                      <w:color w:val="auto"/>
                      <w:spacing w:val="-5"/>
                      <w:sz w:val="18"/>
                      <w:szCs w:val="18"/>
                      <w:u w:val="none" w:color="auto"/>
                    </w:rPr>
                    <w:t>屏障</w:t>
                  </w:r>
                </w:p>
              </w:tc>
              <w:tc>
                <w:tcPr>
                  <w:tcW w:w="1690" w:type="dxa"/>
                  <w:tcBorders>
                    <w:tl2br w:val="nil"/>
                    <w:tr2bl w:val="nil"/>
                  </w:tcBorders>
                  <w:vAlign w:val="top"/>
                </w:tcPr>
                <w:p w14:paraId="73D7630A">
                  <w:pPr>
                    <w:pStyle w:val="81"/>
                    <w:spacing w:before="231" w:line="322" w:lineRule="auto"/>
                    <w:ind w:left="124" w:right="128" w:hanging="2"/>
                    <w:rPr>
                      <w:color w:val="auto"/>
                      <w:sz w:val="18"/>
                      <w:szCs w:val="18"/>
                      <w:u w:val="none" w:color="auto"/>
                    </w:rPr>
                  </w:pPr>
                  <w:r>
                    <w:rPr>
                      <w:color w:val="auto"/>
                      <w:spacing w:val="-1"/>
                      <w:sz w:val="18"/>
                      <w:szCs w:val="18"/>
                      <w:u w:val="none" w:color="auto"/>
                    </w:rPr>
                    <w:t>超标严重距离道路</w:t>
                  </w:r>
                  <w:r>
                    <w:rPr>
                      <w:color w:val="auto"/>
                      <w:spacing w:val="-2"/>
                      <w:sz w:val="18"/>
                      <w:szCs w:val="18"/>
                      <w:u w:val="none" w:color="auto"/>
                    </w:rPr>
                    <w:t>很近的集中敏感点</w:t>
                  </w:r>
                </w:p>
              </w:tc>
              <w:tc>
                <w:tcPr>
                  <w:tcW w:w="1211" w:type="dxa"/>
                  <w:tcBorders>
                    <w:tl2br w:val="nil"/>
                    <w:tr2bl w:val="nil"/>
                  </w:tcBorders>
                  <w:vAlign w:val="top"/>
                </w:tcPr>
                <w:p w14:paraId="50F20BAD">
                  <w:pPr>
                    <w:spacing w:line="361" w:lineRule="auto"/>
                    <w:rPr>
                      <w:rFonts w:ascii="Arial"/>
                      <w:color w:val="auto"/>
                      <w:sz w:val="21"/>
                      <w:u w:val="none" w:color="auto"/>
                    </w:rPr>
                  </w:pPr>
                </w:p>
                <w:p w14:paraId="2BCF2688">
                  <w:pPr>
                    <w:spacing w:before="51" w:line="192" w:lineRule="auto"/>
                    <w:ind w:left="164"/>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25-30dB(A)</w:t>
                  </w:r>
                </w:p>
              </w:tc>
              <w:tc>
                <w:tcPr>
                  <w:tcW w:w="2258" w:type="dxa"/>
                  <w:tcBorders>
                    <w:tl2br w:val="nil"/>
                    <w:tr2bl w:val="nil"/>
                  </w:tcBorders>
                  <w:vAlign w:val="top"/>
                </w:tcPr>
                <w:p w14:paraId="35698911">
                  <w:pPr>
                    <w:pStyle w:val="81"/>
                    <w:spacing w:before="75" w:line="219" w:lineRule="auto"/>
                    <w:ind w:left="149"/>
                    <w:rPr>
                      <w:color w:val="auto"/>
                      <w:sz w:val="18"/>
                      <w:szCs w:val="18"/>
                      <w:u w:val="none" w:color="auto"/>
                    </w:rPr>
                  </w:pPr>
                  <w:r>
                    <w:rPr>
                      <w:color w:val="auto"/>
                      <w:spacing w:val="-2"/>
                      <w:sz w:val="18"/>
                      <w:szCs w:val="18"/>
                      <w:u w:val="none" w:color="auto"/>
                    </w:rPr>
                    <w:t>效果较好，且应用于道路</w:t>
                  </w:r>
                </w:p>
                <w:p w14:paraId="481B8858">
                  <w:pPr>
                    <w:pStyle w:val="81"/>
                    <w:spacing w:before="97" w:line="219" w:lineRule="auto"/>
                    <w:ind w:left="145"/>
                    <w:rPr>
                      <w:color w:val="auto"/>
                      <w:sz w:val="18"/>
                      <w:szCs w:val="18"/>
                      <w:u w:val="none" w:color="auto"/>
                    </w:rPr>
                  </w:pPr>
                  <w:r>
                    <w:rPr>
                      <w:color w:val="auto"/>
                      <w:spacing w:val="-1"/>
                      <w:sz w:val="18"/>
                      <w:szCs w:val="18"/>
                      <w:u w:val="none" w:color="auto"/>
                    </w:rPr>
                    <w:t>本身，易于实施且受益人</w:t>
                  </w:r>
                </w:p>
                <w:p w14:paraId="2F76FAEB">
                  <w:pPr>
                    <w:pStyle w:val="81"/>
                    <w:spacing w:before="98" w:line="221" w:lineRule="auto"/>
                    <w:ind w:left="983"/>
                    <w:rPr>
                      <w:color w:val="auto"/>
                      <w:sz w:val="18"/>
                      <w:szCs w:val="18"/>
                      <w:u w:val="none" w:color="auto"/>
                    </w:rPr>
                  </w:pPr>
                  <w:r>
                    <w:rPr>
                      <w:color w:val="auto"/>
                      <w:spacing w:val="-18"/>
                      <w:sz w:val="18"/>
                      <w:szCs w:val="18"/>
                      <w:u w:val="none" w:color="auto"/>
                    </w:rPr>
                    <w:t>口多</w:t>
                  </w:r>
                </w:p>
              </w:tc>
              <w:tc>
                <w:tcPr>
                  <w:tcW w:w="2119" w:type="dxa"/>
                  <w:tcBorders>
                    <w:tl2br w:val="nil"/>
                    <w:tr2bl w:val="nil"/>
                  </w:tcBorders>
                  <w:vAlign w:val="top"/>
                </w:tcPr>
                <w:p w14:paraId="01588294">
                  <w:pPr>
                    <w:pStyle w:val="81"/>
                    <w:spacing w:before="231" w:line="322" w:lineRule="auto"/>
                    <w:ind w:left="257" w:right="95" w:hanging="136"/>
                    <w:rPr>
                      <w:color w:val="auto"/>
                      <w:sz w:val="18"/>
                      <w:szCs w:val="18"/>
                      <w:u w:val="none" w:color="auto"/>
                    </w:rPr>
                  </w:pPr>
                  <w:r>
                    <w:rPr>
                      <w:color w:val="auto"/>
                      <w:spacing w:val="-9"/>
                      <w:sz w:val="18"/>
                      <w:szCs w:val="18"/>
                      <w:u w:val="none" w:color="auto"/>
                    </w:rPr>
                    <w:t>投资较高，某些形式的声</w:t>
                  </w:r>
                  <w:r>
                    <w:rPr>
                      <w:color w:val="auto"/>
                      <w:spacing w:val="-1"/>
                      <w:sz w:val="18"/>
                      <w:szCs w:val="18"/>
                      <w:u w:val="none" w:color="auto"/>
                    </w:rPr>
                    <w:t>屏障对景观产生影响</w:t>
                  </w:r>
                </w:p>
              </w:tc>
            </w:tr>
            <w:tr w14:paraId="47CDC0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59" w:type="dxa"/>
                  <w:tcBorders>
                    <w:tl2br w:val="nil"/>
                    <w:tr2bl w:val="nil"/>
                  </w:tcBorders>
                  <w:vAlign w:val="top"/>
                </w:tcPr>
                <w:p w14:paraId="0047B49D">
                  <w:pPr>
                    <w:pStyle w:val="81"/>
                    <w:spacing w:before="234" w:line="322" w:lineRule="auto"/>
                    <w:ind w:left="255" w:right="171" w:hanging="96"/>
                    <w:rPr>
                      <w:color w:val="auto"/>
                      <w:sz w:val="18"/>
                      <w:szCs w:val="18"/>
                      <w:u w:val="none" w:color="auto"/>
                    </w:rPr>
                  </w:pPr>
                  <w:r>
                    <w:rPr>
                      <w:color w:val="auto"/>
                      <w:spacing w:val="-2"/>
                      <w:sz w:val="18"/>
                      <w:szCs w:val="18"/>
                      <w:u w:val="none" w:color="auto"/>
                    </w:rPr>
                    <w:t>修建或加</w:t>
                  </w:r>
                  <w:r>
                    <w:rPr>
                      <w:color w:val="auto"/>
                      <w:spacing w:val="-4"/>
                      <w:sz w:val="18"/>
                      <w:szCs w:val="18"/>
                      <w:u w:val="none" w:color="auto"/>
                    </w:rPr>
                    <w:t>高围墙</w:t>
                  </w:r>
                </w:p>
              </w:tc>
              <w:tc>
                <w:tcPr>
                  <w:tcW w:w="1690" w:type="dxa"/>
                  <w:tcBorders>
                    <w:tl2br w:val="nil"/>
                    <w:tr2bl w:val="nil"/>
                  </w:tcBorders>
                  <w:vAlign w:val="top"/>
                </w:tcPr>
                <w:p w14:paraId="4EC481C2">
                  <w:pPr>
                    <w:pStyle w:val="81"/>
                    <w:spacing w:before="78" w:line="220" w:lineRule="auto"/>
                    <w:ind w:left="122"/>
                    <w:rPr>
                      <w:color w:val="auto"/>
                      <w:sz w:val="18"/>
                      <w:szCs w:val="18"/>
                      <w:u w:val="none" w:color="auto"/>
                    </w:rPr>
                  </w:pPr>
                  <w:r>
                    <w:rPr>
                      <w:color w:val="auto"/>
                      <w:spacing w:val="-1"/>
                      <w:sz w:val="18"/>
                      <w:szCs w:val="18"/>
                      <w:u w:val="none" w:color="auto"/>
                    </w:rPr>
                    <w:t>超标一般的距离道</w:t>
                  </w:r>
                </w:p>
                <w:p w14:paraId="5B87749B">
                  <w:pPr>
                    <w:pStyle w:val="81"/>
                    <w:spacing w:before="97" w:line="219" w:lineRule="auto"/>
                    <w:ind w:left="124"/>
                    <w:rPr>
                      <w:color w:val="auto"/>
                      <w:sz w:val="18"/>
                      <w:szCs w:val="18"/>
                      <w:u w:val="none" w:color="auto"/>
                    </w:rPr>
                  </w:pPr>
                  <w:r>
                    <w:rPr>
                      <w:color w:val="auto"/>
                      <w:spacing w:val="-2"/>
                      <w:sz w:val="18"/>
                      <w:szCs w:val="18"/>
                      <w:u w:val="none" w:color="auto"/>
                    </w:rPr>
                    <w:t>路很近的集中居民</w:t>
                  </w:r>
                </w:p>
                <w:p w14:paraId="55877AEA">
                  <w:pPr>
                    <w:pStyle w:val="81"/>
                    <w:spacing w:before="98" w:line="224" w:lineRule="auto"/>
                    <w:ind w:left="765"/>
                    <w:rPr>
                      <w:color w:val="auto"/>
                      <w:sz w:val="18"/>
                      <w:szCs w:val="18"/>
                      <w:u w:val="none" w:color="auto"/>
                    </w:rPr>
                  </w:pPr>
                  <w:r>
                    <w:rPr>
                      <w:color w:val="auto"/>
                      <w:sz w:val="18"/>
                      <w:szCs w:val="18"/>
                      <w:u w:val="none" w:color="auto"/>
                    </w:rPr>
                    <w:t>区</w:t>
                  </w:r>
                </w:p>
              </w:tc>
              <w:tc>
                <w:tcPr>
                  <w:tcW w:w="1211" w:type="dxa"/>
                  <w:tcBorders>
                    <w:tl2br w:val="nil"/>
                    <w:tr2bl w:val="nil"/>
                  </w:tcBorders>
                  <w:vAlign w:val="top"/>
                </w:tcPr>
                <w:p w14:paraId="602BB0AC">
                  <w:pPr>
                    <w:spacing w:line="364" w:lineRule="auto"/>
                    <w:rPr>
                      <w:rFonts w:ascii="Arial"/>
                      <w:color w:val="auto"/>
                      <w:sz w:val="21"/>
                      <w:u w:val="none" w:color="auto"/>
                    </w:rPr>
                  </w:pPr>
                </w:p>
                <w:p w14:paraId="5B8B8B7A">
                  <w:pPr>
                    <w:spacing w:before="52" w:line="192" w:lineRule="auto"/>
                    <w:ind w:left="195"/>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3"/>
                      <w:sz w:val="18"/>
                      <w:szCs w:val="18"/>
                      <w:u w:val="none" w:color="auto"/>
                    </w:rPr>
                    <w:t>6~</w:t>
                  </w:r>
                  <w:r>
                    <w:rPr>
                      <w:rFonts w:ascii="Times New Roman" w:hAnsi="Times New Roman" w:eastAsia="Times New Roman" w:cs="Times New Roman"/>
                      <w:color w:val="auto"/>
                      <w:spacing w:val="-26"/>
                      <w:sz w:val="18"/>
                      <w:szCs w:val="18"/>
                      <w:u w:val="none" w:color="auto"/>
                    </w:rPr>
                    <w:t xml:space="preserve"> </w:t>
                  </w:r>
                  <w:r>
                    <w:rPr>
                      <w:rFonts w:ascii="Times New Roman" w:hAnsi="Times New Roman" w:eastAsia="Times New Roman" w:cs="Times New Roman"/>
                      <w:color w:val="auto"/>
                      <w:spacing w:val="-3"/>
                      <w:sz w:val="18"/>
                      <w:szCs w:val="18"/>
                      <w:u w:val="none" w:color="auto"/>
                    </w:rPr>
                    <w:t>10dB(A)</w:t>
                  </w:r>
                </w:p>
              </w:tc>
              <w:tc>
                <w:tcPr>
                  <w:tcW w:w="2258" w:type="dxa"/>
                  <w:tcBorders>
                    <w:tl2br w:val="nil"/>
                    <w:tr2bl w:val="nil"/>
                  </w:tcBorders>
                  <w:vAlign w:val="top"/>
                </w:tcPr>
                <w:p w14:paraId="603125A2">
                  <w:pPr>
                    <w:spacing w:line="330" w:lineRule="auto"/>
                    <w:rPr>
                      <w:rFonts w:ascii="Arial"/>
                      <w:color w:val="auto"/>
                      <w:sz w:val="21"/>
                      <w:u w:val="none" w:color="auto"/>
                    </w:rPr>
                  </w:pPr>
                </w:p>
                <w:p w14:paraId="4DE67543">
                  <w:pPr>
                    <w:pStyle w:val="81"/>
                    <w:spacing w:before="58" w:line="220" w:lineRule="auto"/>
                    <w:ind w:left="329"/>
                    <w:rPr>
                      <w:color w:val="auto"/>
                      <w:sz w:val="18"/>
                      <w:szCs w:val="18"/>
                      <w:u w:val="none" w:color="auto"/>
                    </w:rPr>
                  </w:pPr>
                  <w:r>
                    <w:rPr>
                      <w:color w:val="auto"/>
                      <w:spacing w:val="-2"/>
                      <w:sz w:val="18"/>
                      <w:szCs w:val="18"/>
                      <w:u w:val="none" w:color="auto"/>
                    </w:rPr>
                    <w:t>效果一般，费用较低</w:t>
                  </w:r>
                </w:p>
              </w:tc>
              <w:tc>
                <w:tcPr>
                  <w:tcW w:w="2119" w:type="dxa"/>
                  <w:tcBorders>
                    <w:tl2br w:val="nil"/>
                    <w:tr2bl w:val="nil"/>
                  </w:tcBorders>
                  <w:vAlign w:val="top"/>
                </w:tcPr>
                <w:p w14:paraId="3F66379E">
                  <w:pPr>
                    <w:pStyle w:val="81"/>
                    <w:spacing w:before="235" w:line="219" w:lineRule="auto"/>
                    <w:ind w:left="133"/>
                    <w:rPr>
                      <w:color w:val="auto"/>
                      <w:sz w:val="18"/>
                      <w:szCs w:val="18"/>
                      <w:u w:val="none" w:color="auto"/>
                    </w:rPr>
                  </w:pPr>
                  <w:r>
                    <w:rPr>
                      <w:color w:val="auto"/>
                      <w:spacing w:val="-10"/>
                      <w:sz w:val="18"/>
                      <w:szCs w:val="18"/>
                      <w:u w:val="none" w:color="auto"/>
                    </w:rPr>
                    <w:t>降噪能力有限，适用范围</w:t>
                  </w:r>
                </w:p>
                <w:p w14:paraId="103EF740">
                  <w:pPr>
                    <w:pStyle w:val="81"/>
                    <w:spacing w:before="98" w:line="221" w:lineRule="auto"/>
                    <w:ind w:left="980"/>
                    <w:rPr>
                      <w:color w:val="auto"/>
                      <w:sz w:val="18"/>
                      <w:szCs w:val="18"/>
                      <w:u w:val="none" w:color="auto"/>
                    </w:rPr>
                  </w:pPr>
                  <w:r>
                    <w:rPr>
                      <w:color w:val="auto"/>
                      <w:sz w:val="18"/>
                      <w:szCs w:val="18"/>
                      <w:u w:val="none" w:color="auto"/>
                    </w:rPr>
                    <w:t>小</w:t>
                  </w:r>
                </w:p>
              </w:tc>
            </w:tr>
            <w:tr w14:paraId="37552B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059" w:type="dxa"/>
                  <w:tcBorders>
                    <w:tl2br w:val="nil"/>
                    <w:tr2bl w:val="nil"/>
                  </w:tcBorders>
                  <w:vAlign w:val="top"/>
                </w:tcPr>
                <w:p w14:paraId="3E395365">
                  <w:pPr>
                    <w:pStyle w:val="81"/>
                    <w:spacing w:before="80" w:line="275" w:lineRule="auto"/>
                    <w:ind w:left="439" w:right="171" w:hanging="281"/>
                    <w:rPr>
                      <w:color w:val="auto"/>
                      <w:sz w:val="18"/>
                      <w:szCs w:val="18"/>
                      <w:u w:val="none" w:color="auto"/>
                    </w:rPr>
                  </w:pPr>
                  <w:r>
                    <w:rPr>
                      <w:color w:val="auto"/>
                      <w:spacing w:val="-2"/>
                      <w:sz w:val="18"/>
                      <w:szCs w:val="18"/>
                      <w:u w:val="none" w:color="auto"/>
                    </w:rPr>
                    <w:t>普通隔声</w:t>
                  </w:r>
                  <w:r>
                    <w:rPr>
                      <w:color w:val="auto"/>
                      <w:sz w:val="18"/>
                      <w:szCs w:val="18"/>
                      <w:u w:val="none" w:color="auto"/>
                    </w:rPr>
                    <w:t>窗</w:t>
                  </w:r>
                </w:p>
              </w:tc>
              <w:tc>
                <w:tcPr>
                  <w:tcW w:w="1690" w:type="dxa"/>
                  <w:tcBorders>
                    <w:tl2br w:val="nil"/>
                    <w:tr2bl w:val="nil"/>
                  </w:tcBorders>
                  <w:vAlign w:val="top"/>
                </w:tcPr>
                <w:p w14:paraId="0195EA2F">
                  <w:pPr>
                    <w:pStyle w:val="81"/>
                    <w:spacing w:before="80" w:line="275" w:lineRule="auto"/>
                    <w:ind w:left="392" w:right="128" w:hanging="267"/>
                    <w:rPr>
                      <w:color w:val="auto"/>
                      <w:sz w:val="18"/>
                      <w:szCs w:val="18"/>
                      <w:u w:val="none" w:color="auto"/>
                    </w:rPr>
                  </w:pPr>
                  <w:r>
                    <w:rPr>
                      <w:color w:val="auto"/>
                      <w:spacing w:val="-2"/>
                      <w:sz w:val="18"/>
                      <w:szCs w:val="18"/>
                      <w:u w:val="none" w:color="auto"/>
                    </w:rPr>
                    <w:t>分布分散受影响较严重的村庄</w:t>
                  </w:r>
                </w:p>
              </w:tc>
              <w:tc>
                <w:tcPr>
                  <w:tcW w:w="1211" w:type="dxa"/>
                  <w:tcBorders>
                    <w:tl2br w:val="nil"/>
                    <w:tr2bl w:val="nil"/>
                  </w:tcBorders>
                  <w:vAlign w:val="top"/>
                </w:tcPr>
                <w:p w14:paraId="5F6037D7">
                  <w:pPr>
                    <w:spacing w:before="265" w:line="192" w:lineRule="auto"/>
                    <w:ind w:left="163"/>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2"/>
                      <w:sz w:val="18"/>
                      <w:szCs w:val="18"/>
                      <w:u w:val="none" w:color="auto"/>
                    </w:rPr>
                    <w:t>10~25dB(A)</w:t>
                  </w:r>
                </w:p>
              </w:tc>
              <w:tc>
                <w:tcPr>
                  <w:tcW w:w="2258" w:type="dxa"/>
                  <w:tcBorders>
                    <w:tl2br w:val="nil"/>
                    <w:tr2bl w:val="nil"/>
                  </w:tcBorders>
                  <w:vAlign w:val="top"/>
                </w:tcPr>
                <w:p w14:paraId="5E5EAE39">
                  <w:pPr>
                    <w:pStyle w:val="81"/>
                    <w:spacing w:before="81" w:line="219" w:lineRule="auto"/>
                    <w:ind w:left="149"/>
                    <w:rPr>
                      <w:color w:val="auto"/>
                      <w:sz w:val="18"/>
                      <w:szCs w:val="18"/>
                      <w:u w:val="none" w:color="auto"/>
                    </w:rPr>
                  </w:pPr>
                  <w:r>
                    <w:rPr>
                      <w:color w:val="auto"/>
                      <w:spacing w:val="-1"/>
                      <w:sz w:val="18"/>
                      <w:szCs w:val="18"/>
                      <w:u w:val="none" w:color="auto"/>
                    </w:rPr>
                    <w:t>效果较好，费用较低，适</w:t>
                  </w:r>
                </w:p>
                <w:p w14:paraId="294BC788">
                  <w:pPr>
                    <w:pStyle w:val="81"/>
                    <w:spacing w:before="97" w:line="221" w:lineRule="auto"/>
                    <w:ind w:left="866"/>
                    <w:rPr>
                      <w:color w:val="auto"/>
                      <w:sz w:val="18"/>
                      <w:szCs w:val="18"/>
                      <w:u w:val="none" w:color="auto"/>
                    </w:rPr>
                  </w:pPr>
                  <w:r>
                    <w:rPr>
                      <w:color w:val="auto"/>
                      <w:spacing w:val="-3"/>
                      <w:sz w:val="18"/>
                      <w:szCs w:val="18"/>
                      <w:u w:val="none" w:color="auto"/>
                    </w:rPr>
                    <w:t>用性强</w:t>
                  </w:r>
                </w:p>
              </w:tc>
              <w:tc>
                <w:tcPr>
                  <w:tcW w:w="2119" w:type="dxa"/>
                  <w:tcBorders>
                    <w:tl2br w:val="nil"/>
                    <w:tr2bl w:val="nil"/>
                  </w:tcBorders>
                  <w:vAlign w:val="top"/>
                </w:tcPr>
                <w:p w14:paraId="5F872800">
                  <w:pPr>
                    <w:pStyle w:val="81"/>
                    <w:spacing w:before="80" w:line="275" w:lineRule="auto"/>
                    <w:ind w:left="348" w:right="95" w:hanging="226"/>
                    <w:rPr>
                      <w:color w:val="auto"/>
                      <w:sz w:val="18"/>
                      <w:szCs w:val="18"/>
                      <w:u w:val="none" w:color="auto"/>
                    </w:rPr>
                  </w:pPr>
                  <w:r>
                    <w:rPr>
                      <w:color w:val="auto"/>
                      <w:spacing w:val="-9"/>
                      <w:sz w:val="18"/>
                      <w:szCs w:val="18"/>
                      <w:u w:val="none" w:color="auto"/>
                    </w:rPr>
                    <w:t>不通风，炎热的夏季不适</w:t>
                  </w:r>
                  <w:r>
                    <w:rPr>
                      <w:color w:val="auto"/>
                      <w:spacing w:val="-2"/>
                      <w:sz w:val="18"/>
                      <w:szCs w:val="18"/>
                      <w:u w:val="none" w:color="auto"/>
                    </w:rPr>
                    <w:t>用，影响居民生活</w:t>
                  </w:r>
                </w:p>
              </w:tc>
            </w:tr>
            <w:tr w14:paraId="4665C6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59" w:type="dxa"/>
                  <w:tcBorders>
                    <w:tl2br w:val="nil"/>
                    <w:tr2bl w:val="nil"/>
                  </w:tcBorders>
                  <w:vAlign w:val="top"/>
                </w:tcPr>
                <w:p w14:paraId="0F005491">
                  <w:pPr>
                    <w:pStyle w:val="81"/>
                    <w:spacing w:before="242" w:line="322" w:lineRule="auto"/>
                    <w:ind w:left="439" w:right="171" w:hanging="280"/>
                    <w:rPr>
                      <w:color w:val="auto"/>
                      <w:sz w:val="18"/>
                      <w:szCs w:val="18"/>
                      <w:u w:val="none" w:color="auto"/>
                    </w:rPr>
                  </w:pPr>
                  <w:r>
                    <w:rPr>
                      <w:color w:val="auto"/>
                      <w:spacing w:val="-2"/>
                      <w:sz w:val="18"/>
                      <w:szCs w:val="18"/>
                      <w:u w:val="none" w:color="auto"/>
                    </w:rPr>
                    <w:t>通风隔声</w:t>
                  </w:r>
                  <w:r>
                    <w:rPr>
                      <w:color w:val="auto"/>
                      <w:sz w:val="18"/>
                      <w:szCs w:val="18"/>
                      <w:u w:val="none" w:color="auto"/>
                    </w:rPr>
                    <w:t>窗</w:t>
                  </w:r>
                </w:p>
              </w:tc>
              <w:tc>
                <w:tcPr>
                  <w:tcW w:w="1690" w:type="dxa"/>
                  <w:tcBorders>
                    <w:tl2br w:val="nil"/>
                    <w:tr2bl w:val="nil"/>
                  </w:tcBorders>
                  <w:vAlign w:val="top"/>
                </w:tcPr>
                <w:p w14:paraId="61CFC944">
                  <w:pPr>
                    <w:pStyle w:val="81"/>
                    <w:spacing w:before="240" w:line="322" w:lineRule="auto"/>
                    <w:ind w:left="392" w:right="128" w:hanging="267"/>
                    <w:rPr>
                      <w:color w:val="auto"/>
                      <w:sz w:val="18"/>
                      <w:szCs w:val="18"/>
                      <w:u w:val="none" w:color="auto"/>
                    </w:rPr>
                  </w:pPr>
                  <w:r>
                    <w:rPr>
                      <w:color w:val="auto"/>
                      <w:spacing w:val="-2"/>
                      <w:sz w:val="18"/>
                      <w:szCs w:val="18"/>
                      <w:u w:val="none" w:color="auto"/>
                    </w:rPr>
                    <w:t>分布分散受影响较严重的村庄</w:t>
                  </w:r>
                </w:p>
              </w:tc>
              <w:tc>
                <w:tcPr>
                  <w:tcW w:w="1211" w:type="dxa"/>
                  <w:tcBorders>
                    <w:tl2br w:val="nil"/>
                    <w:tr2bl w:val="nil"/>
                  </w:tcBorders>
                  <w:vAlign w:val="top"/>
                </w:tcPr>
                <w:p w14:paraId="3D00AEE2">
                  <w:pPr>
                    <w:spacing w:line="368" w:lineRule="auto"/>
                    <w:rPr>
                      <w:rFonts w:ascii="Arial"/>
                      <w:color w:val="auto"/>
                      <w:sz w:val="21"/>
                      <w:u w:val="none" w:color="auto"/>
                    </w:rPr>
                  </w:pPr>
                </w:p>
                <w:p w14:paraId="57E61E66">
                  <w:pPr>
                    <w:spacing w:before="52" w:line="192" w:lineRule="auto"/>
                    <w:ind w:left="163"/>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2"/>
                      <w:sz w:val="18"/>
                      <w:szCs w:val="18"/>
                      <w:u w:val="none" w:color="auto"/>
                    </w:rPr>
                    <w:t>10~25dB(A)</w:t>
                  </w:r>
                </w:p>
              </w:tc>
              <w:tc>
                <w:tcPr>
                  <w:tcW w:w="2258" w:type="dxa"/>
                  <w:tcBorders>
                    <w:tl2br w:val="nil"/>
                    <w:tr2bl w:val="nil"/>
                  </w:tcBorders>
                  <w:vAlign w:val="top"/>
                </w:tcPr>
                <w:p w14:paraId="2242156E">
                  <w:pPr>
                    <w:pStyle w:val="81"/>
                    <w:spacing w:before="85" w:line="219" w:lineRule="auto"/>
                    <w:ind w:left="149"/>
                    <w:rPr>
                      <w:color w:val="auto"/>
                      <w:sz w:val="18"/>
                      <w:szCs w:val="18"/>
                      <w:u w:val="none" w:color="auto"/>
                    </w:rPr>
                  </w:pPr>
                  <w:r>
                    <w:rPr>
                      <w:color w:val="auto"/>
                      <w:spacing w:val="-1"/>
                      <w:sz w:val="18"/>
                      <w:szCs w:val="18"/>
                      <w:u w:val="none" w:color="auto"/>
                    </w:rPr>
                    <w:t>效果较好，费用适中，适</w:t>
                  </w:r>
                </w:p>
                <w:p w14:paraId="6EC05B0C">
                  <w:pPr>
                    <w:pStyle w:val="81"/>
                    <w:spacing w:before="98" w:line="220" w:lineRule="auto"/>
                    <w:ind w:left="146"/>
                    <w:rPr>
                      <w:color w:val="auto"/>
                      <w:sz w:val="18"/>
                      <w:szCs w:val="18"/>
                      <w:u w:val="none" w:color="auto"/>
                    </w:rPr>
                  </w:pPr>
                  <w:r>
                    <w:rPr>
                      <w:color w:val="auto"/>
                      <w:spacing w:val="-1"/>
                      <w:sz w:val="18"/>
                      <w:szCs w:val="18"/>
                      <w:u w:val="none" w:color="auto"/>
                    </w:rPr>
                    <w:t>用性强，对居民生活影响</w:t>
                  </w:r>
                </w:p>
                <w:p w14:paraId="6824366B">
                  <w:pPr>
                    <w:pStyle w:val="81"/>
                    <w:spacing w:before="97" w:line="221" w:lineRule="auto"/>
                    <w:ind w:left="956"/>
                    <w:rPr>
                      <w:color w:val="auto"/>
                      <w:sz w:val="18"/>
                      <w:szCs w:val="18"/>
                      <w:u w:val="none" w:color="auto"/>
                    </w:rPr>
                  </w:pPr>
                  <w:r>
                    <w:rPr>
                      <w:color w:val="auto"/>
                      <w:spacing w:val="-4"/>
                      <w:sz w:val="18"/>
                      <w:szCs w:val="18"/>
                      <w:u w:val="none" w:color="auto"/>
                    </w:rPr>
                    <w:t>较小</w:t>
                  </w:r>
                </w:p>
              </w:tc>
              <w:tc>
                <w:tcPr>
                  <w:tcW w:w="2119" w:type="dxa"/>
                  <w:tcBorders>
                    <w:tl2br w:val="nil"/>
                    <w:tr2bl w:val="nil"/>
                  </w:tcBorders>
                  <w:vAlign w:val="top"/>
                </w:tcPr>
                <w:p w14:paraId="3E8E3BCE">
                  <w:pPr>
                    <w:pStyle w:val="81"/>
                    <w:spacing w:before="241" w:line="322" w:lineRule="auto"/>
                    <w:ind w:left="346" w:right="143" w:hanging="179"/>
                    <w:rPr>
                      <w:color w:val="auto"/>
                      <w:sz w:val="18"/>
                      <w:szCs w:val="18"/>
                      <w:u w:val="none" w:color="auto"/>
                    </w:rPr>
                  </w:pPr>
                  <w:r>
                    <w:rPr>
                      <w:color w:val="auto"/>
                      <w:spacing w:val="-1"/>
                      <w:sz w:val="18"/>
                      <w:szCs w:val="18"/>
                      <w:u w:val="none" w:color="auto"/>
                    </w:rPr>
                    <w:t>相对于声屏障等降噪措施来讲，实施稍难</w:t>
                  </w:r>
                </w:p>
              </w:tc>
            </w:tr>
            <w:tr w14:paraId="31C679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59" w:type="dxa"/>
                  <w:tcBorders>
                    <w:tl2br w:val="nil"/>
                    <w:tr2bl w:val="nil"/>
                  </w:tcBorders>
                  <w:vAlign w:val="top"/>
                </w:tcPr>
                <w:p w14:paraId="1AA2684B">
                  <w:pPr>
                    <w:spacing w:line="339" w:lineRule="auto"/>
                    <w:rPr>
                      <w:rFonts w:ascii="Arial"/>
                      <w:color w:val="auto"/>
                      <w:sz w:val="21"/>
                      <w:u w:val="none" w:color="auto"/>
                    </w:rPr>
                  </w:pPr>
                </w:p>
                <w:p w14:paraId="307F6A43">
                  <w:pPr>
                    <w:pStyle w:val="81"/>
                    <w:spacing w:before="59" w:line="219" w:lineRule="auto"/>
                    <w:ind w:left="173"/>
                    <w:rPr>
                      <w:color w:val="auto"/>
                      <w:sz w:val="18"/>
                      <w:szCs w:val="18"/>
                      <w:u w:val="none" w:color="auto"/>
                    </w:rPr>
                  </w:pPr>
                  <w:r>
                    <w:rPr>
                      <w:color w:val="auto"/>
                      <w:spacing w:val="-6"/>
                      <w:sz w:val="18"/>
                      <w:szCs w:val="18"/>
                      <w:u w:val="none" w:color="auto"/>
                    </w:rPr>
                    <w:t>降噪林带</w:t>
                  </w:r>
                </w:p>
              </w:tc>
              <w:tc>
                <w:tcPr>
                  <w:tcW w:w="1690" w:type="dxa"/>
                  <w:tcBorders>
                    <w:tl2br w:val="nil"/>
                    <w:tr2bl w:val="nil"/>
                  </w:tcBorders>
                  <w:vAlign w:val="top"/>
                </w:tcPr>
                <w:p w14:paraId="644701DA">
                  <w:pPr>
                    <w:pStyle w:val="81"/>
                    <w:spacing w:before="243" w:line="322" w:lineRule="auto"/>
                    <w:ind w:left="312" w:right="128" w:hanging="187"/>
                    <w:rPr>
                      <w:color w:val="auto"/>
                      <w:sz w:val="18"/>
                      <w:szCs w:val="18"/>
                      <w:u w:val="none" w:color="auto"/>
                    </w:rPr>
                  </w:pPr>
                  <w:r>
                    <w:rPr>
                      <w:color w:val="auto"/>
                      <w:spacing w:val="-2"/>
                      <w:sz w:val="18"/>
                      <w:szCs w:val="18"/>
                      <w:u w:val="none" w:color="auto"/>
                    </w:rPr>
                    <w:t>分布较集中，受影</w:t>
                  </w:r>
                  <w:r>
                    <w:rPr>
                      <w:color w:val="auto"/>
                      <w:spacing w:val="-3"/>
                      <w:sz w:val="18"/>
                      <w:szCs w:val="18"/>
                      <w:u w:val="none" w:color="auto"/>
                    </w:rPr>
                    <w:t>响较轻的村庄</w:t>
                  </w:r>
                </w:p>
              </w:tc>
              <w:tc>
                <w:tcPr>
                  <w:tcW w:w="1211" w:type="dxa"/>
                  <w:tcBorders>
                    <w:tl2br w:val="nil"/>
                    <w:tr2bl w:val="nil"/>
                  </w:tcBorders>
                  <w:vAlign w:val="top"/>
                </w:tcPr>
                <w:p w14:paraId="545CC87D">
                  <w:pPr>
                    <w:spacing w:line="371" w:lineRule="auto"/>
                    <w:rPr>
                      <w:rFonts w:ascii="Arial"/>
                      <w:color w:val="auto"/>
                      <w:sz w:val="21"/>
                      <w:u w:val="none" w:color="auto"/>
                    </w:rPr>
                  </w:pPr>
                </w:p>
                <w:p w14:paraId="525D75DF">
                  <w:pPr>
                    <w:spacing w:before="52" w:line="192" w:lineRule="auto"/>
                    <w:ind w:left="240"/>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3~5dB(A)</w:t>
                  </w:r>
                </w:p>
              </w:tc>
              <w:tc>
                <w:tcPr>
                  <w:tcW w:w="2258" w:type="dxa"/>
                  <w:tcBorders>
                    <w:tl2br w:val="nil"/>
                    <w:tr2bl w:val="nil"/>
                  </w:tcBorders>
                  <w:vAlign w:val="top"/>
                </w:tcPr>
                <w:p w14:paraId="54F90E25">
                  <w:pPr>
                    <w:pStyle w:val="81"/>
                    <w:spacing w:before="88" w:line="220" w:lineRule="auto"/>
                    <w:ind w:left="157"/>
                    <w:rPr>
                      <w:color w:val="auto"/>
                      <w:sz w:val="18"/>
                      <w:szCs w:val="18"/>
                      <w:u w:val="none" w:color="auto"/>
                    </w:rPr>
                  </w:pPr>
                  <w:r>
                    <w:rPr>
                      <w:color w:val="auto"/>
                      <w:spacing w:val="-1"/>
                      <w:sz w:val="18"/>
                      <w:szCs w:val="18"/>
                      <w:u w:val="none" w:color="auto"/>
                    </w:rPr>
                    <w:t>易于实施，效果一般，费</w:t>
                  </w:r>
                </w:p>
                <w:p w14:paraId="72C89068">
                  <w:pPr>
                    <w:pStyle w:val="81"/>
                    <w:spacing w:before="97" w:line="219" w:lineRule="auto"/>
                    <w:ind w:left="146"/>
                    <w:rPr>
                      <w:color w:val="auto"/>
                      <w:sz w:val="18"/>
                      <w:szCs w:val="18"/>
                      <w:u w:val="none" w:color="auto"/>
                    </w:rPr>
                  </w:pPr>
                  <w:r>
                    <w:rPr>
                      <w:color w:val="auto"/>
                      <w:spacing w:val="-1"/>
                      <w:sz w:val="18"/>
                      <w:szCs w:val="18"/>
                      <w:u w:val="none" w:color="auto"/>
                    </w:rPr>
                    <w:t>用适中，有景观及生态效</w:t>
                  </w:r>
                </w:p>
                <w:p w14:paraId="30CA1C44">
                  <w:pPr>
                    <w:pStyle w:val="81"/>
                    <w:spacing w:before="98" w:line="220" w:lineRule="auto"/>
                    <w:ind w:left="1048"/>
                    <w:rPr>
                      <w:color w:val="auto"/>
                      <w:sz w:val="18"/>
                      <w:szCs w:val="18"/>
                      <w:u w:val="none" w:color="auto"/>
                    </w:rPr>
                  </w:pPr>
                  <w:r>
                    <w:rPr>
                      <w:color w:val="auto"/>
                      <w:sz w:val="18"/>
                      <w:szCs w:val="18"/>
                      <w:u w:val="none" w:color="auto"/>
                    </w:rPr>
                    <w:t>果</w:t>
                  </w:r>
                </w:p>
              </w:tc>
              <w:tc>
                <w:tcPr>
                  <w:tcW w:w="2119" w:type="dxa"/>
                  <w:tcBorders>
                    <w:tl2br w:val="nil"/>
                    <w:tr2bl w:val="nil"/>
                  </w:tcBorders>
                  <w:vAlign w:val="top"/>
                </w:tcPr>
                <w:p w14:paraId="3540CE7B">
                  <w:pPr>
                    <w:pStyle w:val="81"/>
                    <w:spacing w:before="244" w:line="219" w:lineRule="auto"/>
                    <w:ind w:left="118"/>
                    <w:rPr>
                      <w:color w:val="auto"/>
                      <w:sz w:val="18"/>
                      <w:szCs w:val="18"/>
                      <w:u w:val="none" w:color="auto"/>
                    </w:rPr>
                  </w:pPr>
                  <w:r>
                    <w:rPr>
                      <w:color w:val="auto"/>
                      <w:spacing w:val="-9"/>
                      <w:sz w:val="18"/>
                      <w:szCs w:val="18"/>
                      <w:u w:val="none" w:color="auto"/>
                    </w:rPr>
                    <w:t>在用地线外种植，需要征</w:t>
                  </w:r>
                </w:p>
                <w:p w14:paraId="3BE68659">
                  <w:pPr>
                    <w:pStyle w:val="81"/>
                    <w:spacing w:before="97" w:line="229" w:lineRule="auto"/>
                    <w:ind w:left="976"/>
                    <w:rPr>
                      <w:color w:val="auto"/>
                      <w:sz w:val="18"/>
                      <w:szCs w:val="18"/>
                      <w:u w:val="none" w:color="auto"/>
                    </w:rPr>
                  </w:pPr>
                  <w:r>
                    <w:rPr>
                      <w:color w:val="auto"/>
                      <w:sz w:val="18"/>
                      <w:szCs w:val="18"/>
                      <w:u w:val="none" w:color="auto"/>
                    </w:rPr>
                    <w:t>地</w:t>
                  </w:r>
                </w:p>
              </w:tc>
            </w:tr>
            <w:tr w14:paraId="6D1777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059" w:type="dxa"/>
                  <w:tcBorders>
                    <w:tl2br w:val="nil"/>
                    <w:tr2bl w:val="nil"/>
                  </w:tcBorders>
                  <w:vAlign w:val="top"/>
                </w:tcPr>
                <w:p w14:paraId="6990125D">
                  <w:pPr>
                    <w:pStyle w:val="81"/>
                    <w:spacing w:before="246" w:line="219" w:lineRule="auto"/>
                    <w:ind w:left="173"/>
                    <w:rPr>
                      <w:color w:val="auto"/>
                      <w:sz w:val="18"/>
                      <w:szCs w:val="18"/>
                      <w:u w:val="none" w:color="auto"/>
                    </w:rPr>
                  </w:pPr>
                  <w:r>
                    <w:rPr>
                      <w:color w:val="auto"/>
                      <w:spacing w:val="-6"/>
                      <w:sz w:val="18"/>
                      <w:szCs w:val="18"/>
                      <w:u w:val="none" w:color="auto"/>
                    </w:rPr>
                    <w:t>降噪路面</w:t>
                  </w:r>
                </w:p>
              </w:tc>
              <w:tc>
                <w:tcPr>
                  <w:tcW w:w="1690" w:type="dxa"/>
                  <w:tcBorders>
                    <w:tl2br w:val="nil"/>
                    <w:tr2bl w:val="nil"/>
                  </w:tcBorders>
                  <w:vAlign w:val="top"/>
                </w:tcPr>
                <w:p w14:paraId="6437EFC9">
                  <w:pPr>
                    <w:pStyle w:val="81"/>
                    <w:spacing w:before="90" w:line="282" w:lineRule="auto"/>
                    <w:ind w:left="572" w:right="128" w:hanging="449"/>
                    <w:rPr>
                      <w:color w:val="auto"/>
                      <w:sz w:val="18"/>
                      <w:szCs w:val="18"/>
                      <w:u w:val="none" w:color="auto"/>
                    </w:rPr>
                  </w:pPr>
                  <w:r>
                    <w:rPr>
                      <w:color w:val="auto"/>
                      <w:spacing w:val="-1"/>
                      <w:sz w:val="18"/>
                      <w:szCs w:val="18"/>
                      <w:u w:val="none" w:color="auto"/>
                    </w:rPr>
                    <w:t>适用于超标量较小</w:t>
                  </w:r>
                  <w:r>
                    <w:rPr>
                      <w:color w:val="auto"/>
                      <w:spacing w:val="-3"/>
                      <w:sz w:val="18"/>
                      <w:szCs w:val="18"/>
                      <w:u w:val="none" w:color="auto"/>
                    </w:rPr>
                    <w:t>敏感点</w:t>
                  </w:r>
                </w:p>
              </w:tc>
              <w:tc>
                <w:tcPr>
                  <w:tcW w:w="1211" w:type="dxa"/>
                  <w:tcBorders>
                    <w:tl2br w:val="nil"/>
                    <w:tr2bl w:val="nil"/>
                  </w:tcBorders>
                  <w:vAlign w:val="top"/>
                </w:tcPr>
                <w:p w14:paraId="36C57455">
                  <w:pPr>
                    <w:spacing w:before="271" w:line="192" w:lineRule="auto"/>
                    <w:ind w:left="240"/>
                    <w:rPr>
                      <w:rFonts w:ascii="Times New Roman" w:hAnsi="Times New Roman" w:eastAsia="Times New Roman" w:cs="Times New Roman"/>
                      <w:color w:val="auto"/>
                      <w:sz w:val="18"/>
                      <w:szCs w:val="18"/>
                      <w:u w:val="none" w:color="auto"/>
                    </w:rPr>
                  </w:pPr>
                  <w:r>
                    <w:rPr>
                      <w:rFonts w:ascii="Times New Roman" w:hAnsi="Times New Roman" w:eastAsia="Times New Roman" w:cs="Times New Roman"/>
                      <w:color w:val="auto"/>
                      <w:spacing w:val="-1"/>
                      <w:sz w:val="18"/>
                      <w:szCs w:val="18"/>
                      <w:u w:val="none" w:color="auto"/>
                    </w:rPr>
                    <w:t>3~5dB(A)</w:t>
                  </w:r>
                </w:p>
              </w:tc>
              <w:tc>
                <w:tcPr>
                  <w:tcW w:w="2258" w:type="dxa"/>
                  <w:tcBorders>
                    <w:tl2br w:val="nil"/>
                    <w:tr2bl w:val="nil"/>
                  </w:tcBorders>
                  <w:vAlign w:val="top"/>
                </w:tcPr>
                <w:p w14:paraId="0FFB8C5A">
                  <w:pPr>
                    <w:pStyle w:val="81"/>
                    <w:spacing w:before="246" w:line="219" w:lineRule="auto"/>
                    <w:ind w:left="240"/>
                    <w:rPr>
                      <w:color w:val="auto"/>
                      <w:sz w:val="18"/>
                      <w:szCs w:val="18"/>
                      <w:u w:val="none" w:color="auto"/>
                    </w:rPr>
                  </w:pPr>
                  <w:r>
                    <w:rPr>
                      <w:color w:val="auto"/>
                      <w:spacing w:val="-2"/>
                      <w:sz w:val="18"/>
                      <w:szCs w:val="18"/>
                      <w:u w:val="none" w:color="auto"/>
                    </w:rPr>
                    <w:t>效果一般，负面影响小</w:t>
                  </w:r>
                </w:p>
              </w:tc>
              <w:tc>
                <w:tcPr>
                  <w:tcW w:w="2119" w:type="dxa"/>
                  <w:tcBorders>
                    <w:tl2br w:val="nil"/>
                    <w:tr2bl w:val="nil"/>
                  </w:tcBorders>
                  <w:vAlign w:val="top"/>
                </w:tcPr>
                <w:p w14:paraId="1BEA6921">
                  <w:pPr>
                    <w:pStyle w:val="81"/>
                    <w:spacing w:before="246" w:line="219" w:lineRule="auto"/>
                    <w:ind w:left="630"/>
                    <w:rPr>
                      <w:color w:val="auto"/>
                      <w:sz w:val="18"/>
                      <w:szCs w:val="18"/>
                      <w:u w:val="none" w:color="auto"/>
                    </w:rPr>
                  </w:pPr>
                  <w:r>
                    <w:rPr>
                      <w:color w:val="auto"/>
                      <w:spacing w:val="-5"/>
                      <w:sz w:val="18"/>
                      <w:szCs w:val="18"/>
                      <w:u w:val="none" w:color="auto"/>
                    </w:rPr>
                    <w:t>降噪效果小</w:t>
                  </w:r>
                </w:p>
              </w:tc>
            </w:tr>
          </w:tbl>
          <w:p w14:paraId="15001ED8">
            <w:pPr>
              <w:keepNext w:val="0"/>
              <w:keepLines w:val="0"/>
              <w:pageBreakBefore w:val="0"/>
              <w:widowControl w:val="0"/>
              <w:kinsoku/>
              <w:wordWrap/>
              <w:overflowPunct/>
              <w:topLinePunct w:val="0"/>
              <w:autoSpaceDE/>
              <w:autoSpaceDN/>
              <w:bidi w:val="0"/>
              <w:adjustRightInd w:val="0"/>
              <w:snapToGrid w:val="0"/>
              <w:spacing w:line="360" w:lineRule="auto"/>
              <w:ind w:right="0" w:firstLine="468" w:firstLineChars="200"/>
              <w:textAlignment w:val="auto"/>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（3）本项目拟采取的污染防治措施</w:t>
            </w:r>
          </w:p>
          <w:p w14:paraId="4DC88A7A">
            <w:pPr>
              <w:keepNext w:val="0"/>
              <w:keepLines w:val="0"/>
              <w:pageBreakBefore w:val="0"/>
              <w:widowControl w:val="0"/>
              <w:kinsoku/>
              <w:wordWrap/>
              <w:overflowPunct/>
              <w:topLinePunct w:val="0"/>
              <w:autoSpaceDE/>
              <w:autoSpaceDN/>
              <w:bidi w:val="0"/>
              <w:adjustRightInd w:val="0"/>
              <w:snapToGrid w:val="0"/>
              <w:spacing w:line="360" w:lineRule="auto"/>
              <w:ind w:right="0" w:firstLine="468" w:firstLineChars="200"/>
              <w:textAlignment w:val="auto"/>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本次评价采取的工程降噪措施按照以下原则确定：</w:t>
            </w:r>
          </w:p>
          <w:p w14:paraId="49F57780">
            <w:pPr>
              <w:keepNext w:val="0"/>
              <w:keepLines w:val="0"/>
              <w:pageBreakBefore w:val="0"/>
              <w:widowControl w:val="0"/>
              <w:kinsoku/>
              <w:wordWrap/>
              <w:overflowPunct/>
              <w:topLinePunct w:val="0"/>
              <w:autoSpaceDE/>
              <w:autoSpaceDN/>
              <w:bidi w:val="0"/>
              <w:adjustRightInd w:val="0"/>
              <w:snapToGrid w:val="0"/>
              <w:spacing w:line="360" w:lineRule="auto"/>
              <w:ind w:right="0" w:firstLine="468" w:firstLineChars="200"/>
              <w:textAlignment w:val="auto"/>
              <w:rPr>
                <w:rFonts w:ascii="宋体" w:hAnsi="宋体" w:eastAsia="宋体" w:cs="宋体"/>
                <w:color w:val="auto"/>
                <w:spacing w:val="-3"/>
                <w:sz w:val="24"/>
                <w:szCs w:val="24"/>
                <w:u w:val="none" w:color="auto"/>
              </w:rPr>
            </w:pPr>
            <w:r>
              <w:rPr>
                <w:rFonts w:ascii="宋体" w:hAnsi="宋体" w:eastAsia="宋体" w:cs="宋体"/>
                <w:color w:val="auto"/>
                <w:spacing w:val="-3"/>
                <w:sz w:val="24"/>
                <w:szCs w:val="24"/>
                <w:u w:val="none" w:color="auto"/>
              </w:rPr>
              <w:t>①采用沥青路面铺设，从源头上减少控制噪声。</w:t>
            </w:r>
          </w:p>
          <w:p w14:paraId="02E0E7F8">
            <w:pPr>
              <w:pageBreakBefore w:val="0"/>
              <w:numPr>
                <w:ilvl w:val="0"/>
                <w:numId w:val="0"/>
              </w:numPr>
              <w:kinsoku/>
              <w:overflowPunct/>
              <w:bidi w:val="0"/>
              <w:spacing w:line="360" w:lineRule="auto"/>
              <w:jc w:val="both"/>
              <w:textAlignment w:val="auto"/>
              <w:rPr>
                <w:rFonts w:hint="eastAsia" w:cs="宋体"/>
                <w:b/>
                <w:color w:val="auto"/>
                <w:spacing w:val="-10"/>
                <w:sz w:val="24"/>
                <w:szCs w:val="21"/>
                <w:u w:val="none" w:color="auto"/>
                <w:lang w:val="en-US" w:eastAsia="zh-CN"/>
              </w:rPr>
            </w:pPr>
            <w:r>
              <w:rPr>
                <w:rFonts w:ascii="宋体" w:hAnsi="宋体" w:eastAsia="宋体" w:cs="宋体"/>
                <w:color w:val="auto"/>
                <w:spacing w:val="-3"/>
                <w:sz w:val="24"/>
                <w:szCs w:val="24"/>
                <w:u w:val="none" w:color="auto"/>
              </w:rPr>
              <w:t>②结合实际工程情况及自然环境特征，采取种植降噪林带等措施，从传播途径上消减噪声。由于本项目为市政道路，沿线多分布为居民点小区等，环评建议建设单位与规划部门进行沟通，后续对沿线两侧土地功能的规划进行优化调整。</w:t>
            </w:r>
          </w:p>
          <w:p w14:paraId="0F4D4BFD">
            <w:pPr>
              <w:pageBreakBefore w:val="0"/>
              <w:numPr>
                <w:ilvl w:val="0"/>
                <w:numId w:val="4"/>
              </w:numPr>
              <w:kinsoku/>
              <w:overflowPunct/>
              <w:bidi w:val="0"/>
              <w:spacing w:line="360" w:lineRule="auto"/>
              <w:ind w:left="0" w:leftChars="0" w:firstLine="0" w:firstLineChars="0"/>
              <w:jc w:val="left"/>
              <w:textAlignment w:val="auto"/>
              <w:rPr>
                <w:rFonts w:hint="eastAsia" w:cs="Times New Roman"/>
                <w:b/>
                <w:bCs/>
                <w:color w:val="auto"/>
                <w:sz w:val="24"/>
                <w:szCs w:val="24"/>
                <w:u w:val="none" w:color="auto"/>
                <w:lang w:val="en-US" w:eastAsia="zh-CN"/>
              </w:rPr>
            </w:pPr>
            <w:r>
              <w:rPr>
                <w:rFonts w:hint="eastAsia" w:cs="Times New Roman"/>
                <w:b/>
                <w:bCs/>
                <w:color w:val="auto"/>
                <w:sz w:val="24"/>
                <w:szCs w:val="24"/>
                <w:u w:val="none" w:color="auto"/>
                <w:lang w:val="en-US" w:eastAsia="zh-CN"/>
              </w:rPr>
              <w:t>大气环境保护措施</w:t>
            </w:r>
          </w:p>
          <w:p w14:paraId="496DEA16">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本项目为新建</w:t>
            </w:r>
            <w:r>
              <w:rPr>
                <w:rFonts w:hint="eastAsia" w:cs="Times New Roman"/>
                <w:b w:val="0"/>
                <w:bCs w:val="0"/>
                <w:color w:val="auto"/>
                <w:sz w:val="24"/>
                <w:szCs w:val="24"/>
                <w:u w:val="none" w:color="auto"/>
                <w:lang w:val="en-US" w:eastAsia="zh-CN"/>
              </w:rPr>
              <w:t>和改造道路工程</w:t>
            </w:r>
            <w:r>
              <w:rPr>
                <w:rFonts w:hint="eastAsia" w:ascii="Times New Roman" w:hAnsi="Times New Roman" w:cs="Times New Roman"/>
                <w:b w:val="0"/>
                <w:bCs w:val="0"/>
                <w:color w:val="auto"/>
                <w:sz w:val="24"/>
                <w:szCs w:val="24"/>
                <w:u w:val="none" w:color="auto"/>
                <w:lang w:val="en-US" w:eastAsia="zh-CN"/>
              </w:rPr>
              <w:t>、雨污水管网</w:t>
            </w:r>
            <w:r>
              <w:rPr>
                <w:rFonts w:hint="eastAsia" w:cs="Times New Roman"/>
                <w:b w:val="0"/>
                <w:bCs w:val="0"/>
                <w:color w:val="auto"/>
                <w:sz w:val="24"/>
                <w:szCs w:val="24"/>
                <w:u w:val="none" w:color="auto"/>
                <w:lang w:val="en-US" w:eastAsia="zh-CN"/>
              </w:rPr>
              <w:t>新建</w:t>
            </w:r>
            <w:r>
              <w:rPr>
                <w:rFonts w:hint="eastAsia" w:ascii="Times New Roman" w:hAnsi="Times New Roman" w:cs="Times New Roman"/>
                <w:b w:val="0"/>
                <w:bCs w:val="0"/>
                <w:color w:val="auto"/>
                <w:sz w:val="24"/>
                <w:szCs w:val="24"/>
                <w:u w:val="none" w:color="auto"/>
                <w:lang w:val="en-US" w:eastAsia="zh-CN"/>
              </w:rPr>
              <w:t>工程。</w:t>
            </w:r>
            <w:r>
              <w:rPr>
                <w:rFonts w:hint="eastAsia" w:cs="Times New Roman"/>
                <w:b w:val="0"/>
                <w:bCs w:val="0"/>
                <w:color w:val="auto"/>
                <w:sz w:val="24"/>
                <w:szCs w:val="24"/>
                <w:u w:val="none" w:color="auto"/>
                <w:lang w:val="en-US" w:eastAsia="zh-CN"/>
              </w:rPr>
              <w:t>项目</w:t>
            </w:r>
            <w:r>
              <w:rPr>
                <w:rFonts w:hint="eastAsia" w:ascii="Times New Roman" w:hAnsi="Times New Roman" w:cs="Times New Roman"/>
                <w:b w:val="0"/>
                <w:bCs w:val="0"/>
                <w:color w:val="auto"/>
                <w:sz w:val="24"/>
                <w:szCs w:val="24"/>
                <w:u w:val="none" w:color="auto"/>
                <w:lang w:val="en-US" w:eastAsia="zh-CN"/>
              </w:rPr>
              <w:t xml:space="preserve">建成投入运营后，几乎不产生大气环境污染物。 </w:t>
            </w:r>
          </w:p>
          <w:p w14:paraId="346AFB47">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本项目</w:t>
            </w:r>
            <w:r>
              <w:rPr>
                <w:rFonts w:hint="eastAsia" w:cs="Times New Roman"/>
                <w:b w:val="0"/>
                <w:bCs w:val="0"/>
                <w:color w:val="auto"/>
                <w:sz w:val="24"/>
                <w:szCs w:val="24"/>
                <w:u w:val="none" w:color="auto"/>
                <w:lang w:val="en-US" w:eastAsia="zh-CN"/>
              </w:rPr>
              <w:t>道路</w:t>
            </w:r>
            <w:r>
              <w:rPr>
                <w:rFonts w:hint="eastAsia" w:ascii="Times New Roman" w:hAnsi="Times New Roman" w:cs="Times New Roman"/>
                <w:b w:val="0"/>
                <w:bCs w:val="0"/>
                <w:color w:val="auto"/>
                <w:sz w:val="24"/>
                <w:szCs w:val="24"/>
                <w:u w:val="none" w:color="auto"/>
                <w:lang w:val="en-US" w:eastAsia="zh-CN"/>
              </w:rPr>
              <w:t xml:space="preserve">建成投入运营后的大气污染源是路面上行驶的机动车，机动车属流动源，对机动车尾气污染物的控制，单靠一条或几条路桥采取措施，是很难开展的，而且又是较难收到效果的。国内外的经验表明，对机动车尾气污染物的控制应是一个城市或区域内的系统工程。所以，对本项目路面行驶机动车尾气污染物控制与整个片区甚至国家的机动车尾气污染物排放控制政策措施密切相关。 </w:t>
            </w:r>
          </w:p>
          <w:p w14:paraId="530C465F">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 xml:space="preserve">因而，对于本项目路面上行驶机动车尾气污染物排放的控制措施应与地方及国家的机动车尾气控制政策措施结合起来。本项目的建设单位及管理单位应在行动和意识上积极支持国家及当地各级部门对机动车尾气污染物排放控制制定的各项政策措施，并力所能及地采取一些相应措施对本项目路面上行驶机动车尾气污染物的排放进行控制。本报告建议结合区域相关总体要求配合采取以下措施： </w:t>
            </w:r>
          </w:p>
          <w:p w14:paraId="73339E24">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1</w:t>
            </w:r>
            <w:r>
              <w:rPr>
                <w:rFonts w:hint="eastAsia" w:ascii="Times New Roman" w:hAnsi="Times New Roman" w:cs="Times New Roman"/>
                <w:b w:val="0"/>
                <w:bCs w:val="0"/>
                <w:color w:val="auto"/>
                <w:sz w:val="24"/>
                <w:szCs w:val="24"/>
                <w:u w:val="none" w:color="auto"/>
                <w:lang w:val="en-US" w:eastAsia="zh-CN"/>
              </w:rPr>
              <w:t xml:space="preserve">）加强道路两侧绿化，栽种可吸收或吸附汽车尾气中污染物的乔木、 灌木等树种及草坪，以控制废气向周围环境扩散，并做好绿化的维护工作； </w:t>
            </w:r>
          </w:p>
          <w:p w14:paraId="2CA85ED7">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2</w:t>
            </w:r>
            <w:r>
              <w:rPr>
                <w:rFonts w:hint="eastAsia" w:ascii="Times New Roman" w:hAnsi="Times New Roman" w:cs="Times New Roman"/>
                <w:b w:val="0"/>
                <w:bCs w:val="0"/>
                <w:color w:val="auto"/>
                <w:sz w:val="24"/>
                <w:szCs w:val="24"/>
                <w:u w:val="none" w:color="auto"/>
                <w:lang w:val="en-US" w:eastAsia="zh-CN"/>
              </w:rPr>
              <w:t xml:space="preserve">）运营期加强对道路的养护，使路面保持平整，并定期清扫路面，减少道路扬尘； </w:t>
            </w:r>
          </w:p>
          <w:p w14:paraId="3D969246">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3</w:t>
            </w:r>
            <w:r>
              <w:rPr>
                <w:rFonts w:hint="eastAsia" w:ascii="Times New Roman" w:hAnsi="Times New Roman" w:cs="Times New Roman"/>
                <w:b w:val="0"/>
                <w:bCs w:val="0"/>
                <w:color w:val="auto"/>
                <w:sz w:val="24"/>
                <w:szCs w:val="24"/>
                <w:u w:val="none" w:color="auto"/>
                <w:lang w:val="en-US" w:eastAsia="zh-CN"/>
              </w:rPr>
              <w:t xml:space="preserve">）加强交通管理，减少因塞车引发的车辆怠速现象发生； </w:t>
            </w:r>
          </w:p>
          <w:p w14:paraId="0F0FE06F">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4</w:t>
            </w:r>
            <w:r>
              <w:rPr>
                <w:rFonts w:hint="eastAsia" w:ascii="Times New Roman" w:hAnsi="Times New Roman" w:cs="Times New Roman"/>
                <w:b w:val="0"/>
                <w:bCs w:val="0"/>
                <w:color w:val="auto"/>
                <w:sz w:val="24"/>
                <w:szCs w:val="24"/>
                <w:u w:val="none" w:color="auto"/>
                <w:lang w:val="en-US" w:eastAsia="zh-CN"/>
              </w:rPr>
              <w:t xml:space="preserve">）强化试行在用车的年检、路检和抽查制度，加大车管执法力度，控制机动车的废气排放量；严格执行国家制定的尾气排放标准，控制无尾气排放合格证车辆上路； </w:t>
            </w:r>
          </w:p>
          <w:p w14:paraId="7103C9CB">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5</w:t>
            </w:r>
            <w:r>
              <w:rPr>
                <w:rFonts w:hint="eastAsia" w:ascii="Times New Roman" w:hAnsi="Times New Roman" w:cs="Times New Roman"/>
                <w:b w:val="0"/>
                <w:bCs w:val="0"/>
                <w:color w:val="auto"/>
                <w:sz w:val="24"/>
                <w:szCs w:val="24"/>
                <w:u w:val="none" w:color="auto"/>
                <w:lang w:val="en-US" w:eastAsia="zh-CN"/>
              </w:rPr>
              <w:t xml:space="preserve">）区域鼓励和支持生产、使用优质燃料油或者新能源汽车，采取措施减少燃料油中有害物质对环境空气的污染； </w:t>
            </w:r>
          </w:p>
          <w:p w14:paraId="4F305B2E">
            <w:pPr>
              <w:pageBreakBefore w:val="0"/>
              <w:kinsoku/>
              <w:overflowPunct/>
              <w:bidi w:val="0"/>
              <w:spacing w:line="360" w:lineRule="auto"/>
              <w:ind w:firstLine="480" w:firstLineChars="200"/>
              <w:jc w:val="left"/>
              <w:textAlignment w:val="auto"/>
              <w:rPr>
                <w:rFonts w:hint="eastAsia"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经采取上述措施后，项目运营期基本不会对沿线环境空气产生较明显的影响</w:t>
            </w:r>
            <w:r>
              <w:rPr>
                <w:rFonts w:hint="eastAsia" w:cs="Times New Roman"/>
                <w:b w:val="0"/>
                <w:bCs w:val="0"/>
                <w:color w:val="auto"/>
                <w:sz w:val="24"/>
                <w:szCs w:val="24"/>
                <w:u w:val="none" w:color="auto"/>
                <w:lang w:val="en-US" w:eastAsia="zh-CN"/>
              </w:rPr>
              <w:t>。</w:t>
            </w:r>
          </w:p>
          <w:p w14:paraId="36C6DEF4">
            <w:pPr>
              <w:pageBreakBefore w:val="0"/>
              <w:kinsoku/>
              <w:overflowPunct/>
              <w:bidi w:val="0"/>
              <w:spacing w:line="360" w:lineRule="auto"/>
              <w:jc w:val="left"/>
              <w:textAlignment w:val="auto"/>
              <w:rPr>
                <w:rFonts w:hint="default" w:ascii="Times New Roman" w:hAnsi="Times New Roman" w:cs="Times New Roman"/>
                <w:b/>
                <w:bCs/>
                <w:color w:val="auto"/>
                <w:sz w:val="24"/>
                <w:szCs w:val="24"/>
                <w:u w:val="none" w:color="auto"/>
                <w:lang w:val="en-US" w:eastAsia="zh-CN"/>
              </w:rPr>
            </w:pPr>
            <w:r>
              <w:rPr>
                <w:rFonts w:hint="eastAsia" w:cs="Times New Roman"/>
                <w:b/>
                <w:bCs/>
                <w:color w:val="auto"/>
                <w:sz w:val="24"/>
                <w:szCs w:val="24"/>
                <w:u w:val="none" w:color="auto"/>
                <w:lang w:val="en-US" w:eastAsia="zh-CN"/>
              </w:rPr>
              <w:t>5</w:t>
            </w:r>
            <w:r>
              <w:rPr>
                <w:rFonts w:hint="eastAsia" w:ascii="Times New Roman" w:hAnsi="Times New Roman" w:cs="Times New Roman"/>
                <w:b/>
                <w:bCs/>
                <w:color w:val="auto"/>
                <w:sz w:val="24"/>
                <w:szCs w:val="24"/>
                <w:u w:val="none" w:color="auto"/>
                <w:lang w:val="en-US" w:eastAsia="zh-CN"/>
              </w:rPr>
              <w:t>、运营期环境风险保护措施</w:t>
            </w:r>
          </w:p>
          <w:p w14:paraId="4827A6DC">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 xml:space="preserve">本项目主要为雨污水管网新建工程、道路改造工程、道路新建工程。雨污水管网新建工程投入运营后不会对外环境产生任何环境风险影响。 </w:t>
            </w:r>
          </w:p>
          <w:p w14:paraId="763854D9">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本项目的道路改造工程</w:t>
            </w:r>
            <w:r>
              <w:rPr>
                <w:rFonts w:hint="eastAsia" w:cs="Times New Roman"/>
                <w:b w:val="0"/>
                <w:bCs w:val="0"/>
                <w:color w:val="auto"/>
                <w:sz w:val="24"/>
                <w:szCs w:val="24"/>
                <w:u w:val="none" w:color="auto"/>
                <w:lang w:val="en-US" w:eastAsia="zh-CN"/>
              </w:rPr>
              <w:t>和道路新建工程</w:t>
            </w:r>
            <w:r>
              <w:rPr>
                <w:rFonts w:hint="eastAsia" w:ascii="Times New Roman" w:hAnsi="Times New Roman" w:cs="Times New Roman"/>
                <w:b w:val="0"/>
                <w:bCs w:val="0"/>
                <w:color w:val="auto"/>
                <w:sz w:val="24"/>
                <w:szCs w:val="24"/>
                <w:u w:val="none" w:color="auto"/>
                <w:lang w:val="en-US" w:eastAsia="zh-CN"/>
              </w:rPr>
              <w:t xml:space="preserve">投入运营后，道路本身不会对外环境产生任何环境风险影响。但运输车辆可能会产生一定的环境风险。为应对可能发生的运输车辆环境风险事故，管理部门应采取以下环境风险防范措施： </w:t>
            </w:r>
          </w:p>
          <w:p w14:paraId="40FE6C76">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1</w:t>
            </w:r>
            <w:r>
              <w:rPr>
                <w:rFonts w:hint="eastAsia" w:ascii="Times New Roman" w:hAnsi="Times New Roman" w:cs="Times New Roman"/>
                <w:b w:val="0"/>
                <w:bCs w:val="0"/>
                <w:color w:val="auto"/>
                <w:sz w:val="24"/>
                <w:szCs w:val="24"/>
                <w:u w:val="none" w:color="auto"/>
                <w:lang w:val="en-US" w:eastAsia="zh-CN"/>
              </w:rPr>
              <w:t xml:space="preserve">）在道路沿线设置相应的安全标志牌，如“限速 ”、“谨慎驾驶 ”等提示牌。 </w:t>
            </w:r>
          </w:p>
          <w:p w14:paraId="2F024E50">
            <w:pPr>
              <w:pageBreakBefore w:val="0"/>
              <w:kinsoku/>
              <w:overflowPunct/>
              <w:bidi w:val="0"/>
              <w:spacing w:line="360" w:lineRule="auto"/>
              <w:ind w:firstLine="480" w:firstLineChars="200"/>
              <w:jc w:val="left"/>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w:t>
            </w:r>
            <w:r>
              <w:rPr>
                <w:rFonts w:hint="default" w:ascii="Times New Roman" w:hAnsi="Times New Roman" w:cs="Times New Roman"/>
                <w:b w:val="0"/>
                <w:bCs w:val="0"/>
                <w:color w:val="auto"/>
                <w:sz w:val="24"/>
                <w:szCs w:val="24"/>
                <w:u w:val="none" w:color="auto"/>
                <w:lang w:val="en-US" w:eastAsia="zh-CN"/>
              </w:rPr>
              <w:t>2</w:t>
            </w:r>
            <w:r>
              <w:rPr>
                <w:rFonts w:hint="eastAsia" w:ascii="Times New Roman" w:hAnsi="Times New Roman" w:cs="Times New Roman"/>
                <w:b w:val="0"/>
                <w:bCs w:val="0"/>
                <w:color w:val="auto"/>
                <w:sz w:val="24"/>
                <w:szCs w:val="24"/>
                <w:u w:val="none" w:color="auto"/>
                <w:lang w:val="en-US" w:eastAsia="zh-CN"/>
              </w:rPr>
              <w:t xml:space="preserve">）充分利用道路配套的先进视频及监控系统，远程监控排查运输车辆风险源。设立检查岗，加强交管部门在路口等关键位置对运输车辆的风险排查，并每日定时派出巡逻警车对沿线道路巡视。一旦发现运输危险品车辆，要及时采取引导措施，一旦发生风险事故要及时启动相应的应急预案。 </w:t>
            </w:r>
          </w:p>
          <w:p w14:paraId="58A87FA6">
            <w:pPr>
              <w:pageBreakBefore w:val="0"/>
              <w:kinsoku/>
              <w:overflowPunct/>
              <w:bidi w:val="0"/>
              <w:spacing w:line="360" w:lineRule="auto"/>
              <w:ind w:firstLine="480" w:firstLineChars="200"/>
              <w:jc w:val="left"/>
              <w:textAlignment w:val="auto"/>
              <w:rPr>
                <w:rFonts w:hint="default" w:cs="宋体"/>
                <w:b/>
                <w:color w:val="auto"/>
                <w:spacing w:val="-10"/>
                <w:sz w:val="24"/>
                <w:szCs w:val="21"/>
                <w:u w:val="none" w:color="auto"/>
                <w:lang w:val="en-US" w:eastAsia="zh-CN"/>
              </w:rPr>
            </w:pPr>
            <w:r>
              <w:rPr>
                <w:rFonts w:hint="eastAsia" w:ascii="Times New Roman" w:hAnsi="Times New Roman" w:cs="Times New Roman"/>
                <w:b w:val="0"/>
                <w:bCs w:val="0"/>
                <w:color w:val="auto"/>
                <w:sz w:val="24"/>
                <w:szCs w:val="24"/>
                <w:u w:val="none" w:color="auto"/>
                <w:lang w:val="en-US" w:eastAsia="zh-CN"/>
              </w:rPr>
              <w:t>通过采取管控措施，可将项目运营期发生环境风险影响的可能性降至最低水平，预期基本不会发生环境风险影响。</w:t>
            </w:r>
          </w:p>
        </w:tc>
      </w:tr>
      <w:tr w14:paraId="65268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14:paraId="47FD1E4B">
            <w:pPr>
              <w:pStyle w:val="75"/>
              <w:bidi w:val="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其他</w:t>
            </w:r>
          </w:p>
        </w:tc>
        <w:tc>
          <w:tcPr>
            <w:tcW w:w="4523" w:type="pct"/>
            <w:noWrap w:val="0"/>
            <w:vAlign w:val="top"/>
          </w:tcPr>
          <w:p w14:paraId="51A747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left="0" w:leftChars="0" w:right="0" w:firstLine="0" w:firstLineChars="0"/>
              <w:textAlignment w:val="auto"/>
              <w:rPr>
                <w:rFonts w:hint="default" w:ascii="Times New Roman" w:hAnsi="Times New Roman" w:cs="Times New Roman"/>
                <w:b/>
                <w:bCs/>
                <w:color w:val="auto"/>
                <w:sz w:val="24"/>
                <w:szCs w:val="24"/>
                <w:u w:val="none" w:color="auto"/>
              </w:rPr>
            </w:pPr>
            <w:r>
              <w:rPr>
                <w:rFonts w:hint="eastAsia" w:ascii="Times New Roman" w:hAnsi="Times New Roman" w:cs="Times New Roman"/>
                <w:b/>
                <w:bCs/>
                <w:color w:val="auto"/>
                <w:sz w:val="24"/>
                <w:szCs w:val="24"/>
                <w:u w:val="none" w:color="auto"/>
                <w:lang w:val="en-US" w:eastAsia="zh-CN"/>
              </w:rPr>
              <w:t>一、</w:t>
            </w:r>
            <w:r>
              <w:rPr>
                <w:rFonts w:hint="default" w:ascii="Times New Roman" w:hAnsi="Times New Roman" w:cs="Times New Roman"/>
                <w:b/>
                <w:bCs/>
                <w:color w:val="auto"/>
                <w:sz w:val="24"/>
                <w:szCs w:val="24"/>
                <w:u w:val="none" w:color="auto"/>
              </w:rPr>
              <w:t>环境管理及环境监测计划</w:t>
            </w:r>
          </w:p>
          <w:p w14:paraId="1645B1D4">
            <w:pPr>
              <w:pStyle w:val="82"/>
              <w:keepNext w:val="0"/>
              <w:keepLines w:val="0"/>
              <w:pageBreakBefore w:val="0"/>
              <w:widowControl w:val="0"/>
              <w:suppressLineNumbers w:val="0"/>
              <w:kinsoku/>
              <w:wordWrap/>
              <w:overflowPunct/>
              <w:topLinePunct w:val="0"/>
              <w:autoSpaceDE/>
              <w:autoSpaceDN/>
              <w:bidi w:val="0"/>
              <w:spacing w:before="0" w:beforeAutospacing="0" w:after="0" w:afterAutospacing="0" w:line="336" w:lineRule="auto"/>
              <w:ind w:left="0" w:right="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1、</w:t>
            </w:r>
            <w:r>
              <w:rPr>
                <w:rFonts w:hint="default" w:ascii="Times New Roman" w:hAnsi="Times New Roman"/>
                <w:color w:val="auto"/>
                <w:sz w:val="24"/>
                <w:szCs w:val="24"/>
                <w:u w:val="none" w:color="auto"/>
              </w:rPr>
              <w:t>建设单位环境管理机构</w:t>
            </w:r>
          </w:p>
          <w:p w14:paraId="0014C578">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①</w:t>
            </w:r>
            <w:r>
              <w:rPr>
                <w:rFonts w:hint="default" w:ascii="Times New Roman" w:hAnsi="Times New Roman"/>
                <w:color w:val="auto"/>
                <w:sz w:val="24"/>
                <w:szCs w:val="24"/>
                <w:u w:val="none" w:color="auto"/>
              </w:rPr>
              <w:t>接到施工图文件后，应依据环境影响报告</w:t>
            </w:r>
            <w:r>
              <w:rPr>
                <w:rFonts w:hint="eastAsia" w:ascii="Times New Roman" w:hAnsi="Times New Roman"/>
                <w:color w:val="auto"/>
                <w:sz w:val="24"/>
                <w:szCs w:val="24"/>
                <w:u w:val="none" w:color="auto"/>
              </w:rPr>
              <w:t>表</w:t>
            </w:r>
            <w:r>
              <w:rPr>
                <w:rFonts w:hint="default" w:ascii="Times New Roman" w:hAnsi="Times New Roman"/>
                <w:color w:val="auto"/>
                <w:sz w:val="24"/>
                <w:szCs w:val="24"/>
                <w:u w:val="none" w:color="auto"/>
              </w:rPr>
              <w:t>及批复意见，对环境保护措施进行复核。复核内容包括环保设计、环保措施和环保要求是否执行了批复意见的有关内容和原则，是否违反了国家和地方的有关法律、法规、政策及有关强制性技术标准，是否具有可操作性。</w:t>
            </w:r>
          </w:p>
          <w:p w14:paraId="63677AC5">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②</w:t>
            </w:r>
            <w:r>
              <w:rPr>
                <w:rFonts w:hint="default" w:ascii="Times New Roman" w:hAnsi="Times New Roman"/>
                <w:color w:val="auto"/>
                <w:sz w:val="24"/>
                <w:szCs w:val="24"/>
                <w:u w:val="none" w:color="auto"/>
              </w:rPr>
              <w:t>与施工单位签署有明确环保管理要求和环保目标的责任书，开工前参与审查施工单位的施工组织方案，审查内容包括施工工序、减缓对环境影响的管理措施及恢复时限等。</w:t>
            </w:r>
          </w:p>
          <w:p w14:paraId="0222FC26">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③</w:t>
            </w:r>
            <w:r>
              <w:rPr>
                <w:rFonts w:hint="default" w:ascii="Times New Roman" w:hAnsi="Times New Roman"/>
                <w:color w:val="auto"/>
                <w:sz w:val="24"/>
                <w:szCs w:val="24"/>
                <w:u w:val="none" w:color="auto"/>
              </w:rPr>
              <w:t>本项目环境影响主要在施工期，环境管理职责由建设单位负责，项目施工过程中，应与施工单位订立施工管理责任制。</w:t>
            </w:r>
          </w:p>
          <w:p w14:paraId="118B1FF8">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④</w:t>
            </w:r>
            <w:r>
              <w:rPr>
                <w:rFonts w:hint="default" w:ascii="Times New Roman" w:hAnsi="Times New Roman"/>
                <w:color w:val="auto"/>
                <w:sz w:val="24"/>
                <w:szCs w:val="24"/>
                <w:u w:val="none" w:color="auto"/>
              </w:rPr>
              <w:t>监督检查环保工程、环保措施和要求的落实情况，保证各项工程施工按</w:t>
            </w:r>
            <w:r>
              <w:rPr>
                <w:rFonts w:hint="eastAsia" w:ascii="Times New Roman" w:hAnsi="Times New Roman"/>
                <w:color w:val="auto"/>
                <w:sz w:val="24"/>
                <w:szCs w:val="24"/>
                <w:u w:val="none" w:color="auto"/>
                <w:lang w:eastAsia="zh-CN"/>
              </w:rPr>
              <w:t>“</w:t>
            </w:r>
            <w:r>
              <w:rPr>
                <w:rFonts w:hint="default" w:ascii="Times New Roman" w:hAnsi="Times New Roman"/>
                <w:color w:val="auto"/>
                <w:sz w:val="24"/>
                <w:szCs w:val="24"/>
                <w:u w:val="none" w:color="auto"/>
              </w:rPr>
              <w:t>三同时</w:t>
            </w:r>
            <w:r>
              <w:rPr>
                <w:rFonts w:hint="eastAsia" w:ascii="Times New Roman" w:hAnsi="Times New Roman"/>
                <w:color w:val="auto"/>
                <w:sz w:val="24"/>
                <w:szCs w:val="24"/>
                <w:u w:val="none" w:color="auto"/>
                <w:lang w:eastAsia="zh-CN"/>
              </w:rPr>
              <w:t>”</w:t>
            </w:r>
            <w:r>
              <w:rPr>
                <w:rFonts w:hint="default" w:ascii="Times New Roman" w:hAnsi="Times New Roman"/>
                <w:color w:val="auto"/>
                <w:sz w:val="24"/>
                <w:szCs w:val="24"/>
                <w:u w:val="none" w:color="auto"/>
              </w:rPr>
              <w:t>的原则执行，当出现重大环境问题或纠纷时，积极组织力量协调，并协助各施工单位处理好与地方环保部门、公众及利益相关各方的关系。</w:t>
            </w:r>
          </w:p>
          <w:p w14:paraId="60DE9544">
            <w:pPr>
              <w:pStyle w:val="82"/>
              <w:keepNext w:val="0"/>
              <w:keepLines w:val="0"/>
              <w:pageBreakBefore w:val="0"/>
              <w:widowControl w:val="0"/>
              <w:suppressLineNumbers w:val="0"/>
              <w:kinsoku/>
              <w:wordWrap/>
              <w:overflowPunct/>
              <w:topLinePunct w:val="0"/>
              <w:autoSpaceDE/>
              <w:autoSpaceDN/>
              <w:bidi w:val="0"/>
              <w:spacing w:before="0" w:beforeAutospacing="0" w:after="0" w:afterAutospacing="0" w:line="336" w:lineRule="auto"/>
              <w:ind w:left="0" w:right="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lang w:val="en-US" w:eastAsia="zh-CN"/>
              </w:rPr>
              <w:t>2</w:t>
            </w:r>
            <w:r>
              <w:rPr>
                <w:rFonts w:hint="eastAsia" w:ascii="Times New Roman" w:hAnsi="Times New Roman"/>
                <w:color w:val="auto"/>
                <w:sz w:val="24"/>
                <w:szCs w:val="24"/>
                <w:u w:val="none" w:color="auto"/>
              </w:rPr>
              <w:t>、</w:t>
            </w:r>
            <w:r>
              <w:rPr>
                <w:rFonts w:hint="default" w:ascii="Times New Roman" w:hAnsi="Times New Roman"/>
                <w:color w:val="auto"/>
                <w:sz w:val="24"/>
                <w:szCs w:val="24"/>
                <w:u w:val="none" w:color="auto"/>
              </w:rPr>
              <w:t>施工单位</w:t>
            </w:r>
          </w:p>
          <w:p w14:paraId="6D9D5E21">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default" w:ascii="Times New Roman" w:hAnsi="Times New Roman"/>
                <w:color w:val="auto"/>
                <w:sz w:val="24"/>
                <w:szCs w:val="24"/>
                <w:u w:val="none" w:color="auto"/>
              </w:rPr>
              <w:t>参与工程建设的各有关施工单位内部应视具体情况，建立相应的环境保护机构，或指定专门人员负责本单位施工过程中的环境保护工作。</w:t>
            </w:r>
          </w:p>
          <w:p w14:paraId="3D4AC1D6">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①</w:t>
            </w:r>
            <w:r>
              <w:rPr>
                <w:rFonts w:hint="default" w:ascii="Times New Roman" w:hAnsi="Times New Roman"/>
                <w:color w:val="auto"/>
                <w:sz w:val="24"/>
                <w:szCs w:val="24"/>
                <w:u w:val="none" w:color="auto"/>
              </w:rPr>
              <w:t>工程指挥部主要领导全面负责环保工作，工程项目部根据管段工程特点和环境特征，制定完善的环境保护计划和管理办法等规章制度，明确施工工艺、施工工序、环境管理措施等。</w:t>
            </w:r>
          </w:p>
          <w:p w14:paraId="50E9BFAD">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②</w:t>
            </w:r>
            <w:r>
              <w:rPr>
                <w:rFonts w:hint="default" w:ascii="Times New Roman" w:hAnsi="Times New Roman"/>
                <w:color w:val="auto"/>
                <w:sz w:val="24"/>
                <w:szCs w:val="24"/>
                <w:u w:val="none" w:color="auto"/>
              </w:rPr>
              <w:t>根据</w:t>
            </w:r>
            <w:r>
              <w:rPr>
                <w:rFonts w:hint="eastAsia" w:ascii="Times New Roman" w:hAnsi="Times New Roman"/>
                <w:color w:val="auto"/>
                <w:sz w:val="24"/>
                <w:szCs w:val="24"/>
                <w:u w:val="none" w:color="auto"/>
                <w:lang w:eastAsia="zh-CN"/>
              </w:rPr>
              <w:t>项目</w:t>
            </w:r>
            <w:r>
              <w:rPr>
                <w:rFonts w:hint="default" w:ascii="Times New Roman" w:hAnsi="Times New Roman"/>
                <w:color w:val="auto"/>
                <w:sz w:val="24"/>
                <w:szCs w:val="24"/>
                <w:u w:val="none" w:color="auto"/>
              </w:rPr>
              <w:t>的环境特征和工程特点，筛选出对环境可能产生较大影响的因素，编制施工组织方案，经建设单位工程指挥部和环境监理审核后实施，工程活动严格控制在批准的红线内进行。</w:t>
            </w:r>
          </w:p>
          <w:p w14:paraId="547F73FE">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③</w:t>
            </w:r>
            <w:r>
              <w:rPr>
                <w:rFonts w:hint="default" w:ascii="Times New Roman" w:hAnsi="Times New Roman"/>
                <w:color w:val="auto"/>
                <w:sz w:val="24"/>
                <w:szCs w:val="24"/>
                <w:u w:val="none" w:color="auto"/>
              </w:rPr>
              <w:t>在进场施工十五日前向工程所在地环境保护行政主管部门申报工程的项目名称、施工场所、期限和使用的主要机具、可能产生的环境噪声值以及所采取的环境噪声污染防治措施等情况。</w:t>
            </w:r>
          </w:p>
          <w:p w14:paraId="64678F77">
            <w:pPr>
              <w:pStyle w:val="8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6" w:lineRule="auto"/>
              <w:ind w:left="0" w:right="0" w:firstLine="480" w:firstLineChars="200"/>
              <w:textAlignment w:val="auto"/>
              <w:rPr>
                <w:rFonts w:hint="default" w:ascii="Times New Roman" w:hAnsi="Times New Roman"/>
                <w:color w:val="auto"/>
                <w:sz w:val="24"/>
                <w:szCs w:val="24"/>
                <w:u w:val="none" w:color="auto"/>
              </w:rPr>
            </w:pPr>
            <w:r>
              <w:rPr>
                <w:rFonts w:hint="eastAsia" w:ascii="Times New Roman" w:hAnsi="Times New Roman"/>
                <w:color w:val="auto"/>
                <w:sz w:val="24"/>
                <w:szCs w:val="24"/>
                <w:u w:val="none" w:color="auto"/>
              </w:rPr>
              <w:t>④</w:t>
            </w:r>
            <w:r>
              <w:rPr>
                <w:rFonts w:hint="default" w:ascii="Times New Roman" w:hAnsi="Times New Roman"/>
                <w:color w:val="auto"/>
                <w:sz w:val="24"/>
                <w:szCs w:val="24"/>
                <w:u w:val="none" w:color="auto"/>
              </w:rPr>
              <w:t>配合建设单位环境管理机构、环境监理，接受地方各级环保部门的检查。</w:t>
            </w:r>
          </w:p>
          <w:p w14:paraId="063A27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left="0" w:right="0"/>
              <w:textAlignment w:val="auto"/>
              <w:rPr>
                <w:rFonts w:hint="default" w:ascii="Times New Roman" w:hAnsi="Times New Roman" w:cs="Times New Roman"/>
                <w:color w:val="auto"/>
                <w:sz w:val="24"/>
                <w:szCs w:val="24"/>
                <w:u w:val="none" w:color="auto"/>
              </w:rPr>
            </w:pPr>
            <w:r>
              <w:rPr>
                <w:rFonts w:hint="eastAsia" w:ascii="Times New Roman" w:hAnsi="Times New Roman" w:cs="Times New Roman"/>
                <w:color w:val="auto"/>
                <w:sz w:val="24"/>
                <w:szCs w:val="24"/>
                <w:u w:val="none" w:color="auto"/>
                <w:lang w:val="en-US" w:eastAsia="zh-CN"/>
              </w:rPr>
              <w:t>3、</w:t>
            </w:r>
            <w:r>
              <w:rPr>
                <w:rFonts w:hint="default" w:ascii="Times New Roman" w:hAnsi="Times New Roman" w:cs="Times New Roman"/>
                <w:color w:val="auto"/>
                <w:sz w:val="24"/>
                <w:szCs w:val="24"/>
                <w:u w:val="none" w:color="auto"/>
              </w:rPr>
              <w:t>环境监测计划</w:t>
            </w:r>
          </w:p>
          <w:p w14:paraId="6C6474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rPr>
                <w:rFonts w:hint="eastAsia" w:ascii="Times New Roman" w:hAnsi="Times New Roman" w:eastAsia="宋体" w:cs="Times New Roman"/>
                <w:color w:val="auto"/>
                <w:sz w:val="24"/>
                <w:szCs w:val="24"/>
                <w:u w:val="none" w:color="auto"/>
                <w:lang w:eastAsia="zh-CN"/>
              </w:rPr>
            </w:pPr>
            <w:r>
              <w:rPr>
                <w:rFonts w:hint="default" w:ascii="Times New Roman" w:hAnsi="Times New Roman" w:cs="Times New Roman"/>
                <w:color w:val="auto"/>
                <w:sz w:val="24"/>
                <w:szCs w:val="24"/>
                <w:u w:val="none" w:color="auto"/>
              </w:rPr>
              <w:t>本项目</w:t>
            </w:r>
            <w:r>
              <w:rPr>
                <w:rFonts w:hint="eastAsia" w:ascii="Times New Roman" w:hAnsi="Times New Roman" w:cs="Times New Roman"/>
                <w:color w:val="auto"/>
                <w:sz w:val="24"/>
                <w:szCs w:val="24"/>
                <w:u w:val="none" w:color="auto"/>
                <w:lang w:val="en-US" w:eastAsia="zh-CN"/>
              </w:rPr>
              <w:t>施工期</w:t>
            </w:r>
            <w:r>
              <w:rPr>
                <w:rFonts w:hint="default" w:ascii="Times New Roman" w:hAnsi="Times New Roman" w:cs="Times New Roman"/>
                <w:color w:val="auto"/>
                <w:sz w:val="24"/>
                <w:szCs w:val="24"/>
                <w:u w:val="none" w:color="auto"/>
              </w:rPr>
              <w:t>环境监测主要为废气</w:t>
            </w:r>
            <w:r>
              <w:rPr>
                <w:rFonts w:hint="eastAsia" w:ascii="Times New Roman" w:hAnsi="Times New Roman" w:cs="Times New Roman"/>
                <w:color w:val="auto"/>
                <w:sz w:val="24"/>
                <w:szCs w:val="24"/>
                <w:u w:val="none" w:color="auto"/>
                <w:lang w:val="en-US" w:eastAsia="zh-CN"/>
              </w:rPr>
              <w:t>和噪声</w:t>
            </w:r>
            <w:r>
              <w:rPr>
                <w:rFonts w:hint="default" w:ascii="Times New Roman" w:hAnsi="Times New Roman" w:cs="Times New Roman"/>
                <w:color w:val="auto"/>
                <w:sz w:val="24"/>
                <w:szCs w:val="24"/>
                <w:u w:val="none" w:color="auto"/>
              </w:rPr>
              <w:t>监测，环境监测可委托有资质的环境监测单位承担。针对建设项目所排污染物情况，</w:t>
            </w:r>
            <w:r>
              <w:rPr>
                <w:rFonts w:hint="eastAsia" w:ascii="Times New Roman" w:hAnsi="Times New Roman" w:cs="Times New Roman"/>
                <w:color w:val="auto"/>
                <w:sz w:val="24"/>
                <w:szCs w:val="24"/>
                <w:u w:val="none" w:color="auto"/>
                <w:lang w:val="en-US" w:eastAsia="zh-CN"/>
              </w:rPr>
              <w:t>根据</w:t>
            </w:r>
            <w:r>
              <w:rPr>
                <w:rFonts w:hint="eastAsia" w:ascii="Times New Roman" w:hAnsi="Times New Roman" w:cs="Times New Roman"/>
                <w:color w:val="auto"/>
                <w:sz w:val="24"/>
                <w:szCs w:val="24"/>
                <w:u w:val="none" w:color="auto"/>
              </w:rPr>
              <w:t>《排污单位自行监测技术指南总则</w:t>
            </w:r>
            <w:r>
              <w:rPr>
                <w:rFonts w:hint="eastAsia" w:ascii="Times New Roman" w:hAnsi="Times New Roman" w:cs="Times New Roman"/>
                <w:color w:val="auto"/>
                <w:sz w:val="24"/>
                <w:szCs w:val="24"/>
                <w:u w:val="none" w:color="auto"/>
                <w:lang w:eastAsia="zh-CN"/>
              </w:rPr>
              <w:t>》</w:t>
            </w:r>
            <w:r>
              <w:rPr>
                <w:rFonts w:hint="eastAsia" w:ascii="Times New Roman" w:hAnsi="Times New Roman" w:cs="Times New Roman"/>
                <w:color w:val="auto"/>
                <w:sz w:val="24"/>
                <w:szCs w:val="24"/>
                <w:u w:val="none" w:color="auto"/>
              </w:rPr>
              <w:t>(HJ819-2017)</w:t>
            </w:r>
            <w:r>
              <w:rPr>
                <w:rFonts w:hint="eastAsia" w:ascii="Times New Roman" w:hAnsi="Times New Roman" w:cs="Times New Roman"/>
                <w:color w:val="auto"/>
                <w:sz w:val="24"/>
                <w:szCs w:val="24"/>
                <w:u w:val="none" w:color="auto"/>
                <w:lang w:val="en-US" w:eastAsia="zh-CN"/>
              </w:rPr>
              <w:t>等规范，</w:t>
            </w:r>
            <w:r>
              <w:rPr>
                <w:rFonts w:hint="default" w:ascii="Times New Roman" w:hAnsi="Times New Roman" w:cs="Times New Roman"/>
                <w:color w:val="auto"/>
                <w:sz w:val="24"/>
                <w:szCs w:val="24"/>
                <w:u w:val="none" w:color="auto"/>
              </w:rPr>
              <w:t>监测计划见</w:t>
            </w:r>
            <w:r>
              <w:rPr>
                <w:rFonts w:hint="eastAsia" w:ascii="Times New Roman" w:hAnsi="Times New Roman" w:cs="Times New Roman"/>
                <w:color w:val="auto"/>
                <w:sz w:val="24"/>
                <w:szCs w:val="24"/>
                <w:u w:val="none" w:color="auto"/>
                <w:lang w:val="en-US" w:eastAsia="zh-CN"/>
              </w:rPr>
              <w:t>下</w:t>
            </w:r>
            <w:r>
              <w:rPr>
                <w:rFonts w:hint="default" w:ascii="Times New Roman" w:hAnsi="Times New Roman" w:cs="Times New Roman"/>
                <w:color w:val="auto"/>
                <w:sz w:val="24"/>
                <w:szCs w:val="24"/>
                <w:u w:val="none" w:color="auto"/>
              </w:rPr>
              <w:t>表</w:t>
            </w:r>
            <w:r>
              <w:rPr>
                <w:rFonts w:hint="eastAsia" w:ascii="Times New Roman" w:hAnsi="Times New Roman" w:cs="Times New Roman"/>
                <w:color w:val="auto"/>
                <w:sz w:val="24"/>
                <w:szCs w:val="24"/>
                <w:u w:val="none" w:color="auto"/>
                <w:lang w:eastAsia="zh-CN"/>
              </w:rPr>
              <w:t>：</w:t>
            </w:r>
          </w:p>
          <w:p w14:paraId="7E8667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u w:val="none" w:color="auto"/>
                <w:lang w:eastAsia="zh-CN"/>
              </w:rPr>
            </w:pPr>
            <w:r>
              <w:rPr>
                <w:rFonts w:hint="default" w:ascii="Times New Roman" w:hAnsi="Times New Roman" w:cs="Times New Roman"/>
                <w:b/>
                <w:bCs/>
                <w:color w:val="auto"/>
                <w:u w:val="none" w:color="auto"/>
              </w:rPr>
              <w:t>表</w:t>
            </w:r>
            <w:r>
              <w:rPr>
                <w:rFonts w:hint="eastAsia" w:ascii="Times New Roman" w:hAnsi="Times New Roman" w:cs="Times New Roman"/>
                <w:b/>
                <w:bCs/>
                <w:color w:val="auto"/>
                <w:u w:val="none" w:color="auto"/>
                <w:lang w:val="en-US" w:eastAsia="zh-CN"/>
              </w:rPr>
              <w:t>5-</w:t>
            </w:r>
            <w:r>
              <w:rPr>
                <w:rFonts w:hint="eastAsia" w:cs="Times New Roman"/>
                <w:b/>
                <w:bCs/>
                <w:color w:val="auto"/>
                <w:u w:val="none" w:color="auto"/>
                <w:lang w:val="en-US" w:eastAsia="zh-CN"/>
              </w:rPr>
              <w:t>2</w:t>
            </w:r>
            <w:r>
              <w:rPr>
                <w:rFonts w:hint="default" w:ascii="Times New Roman" w:hAnsi="Times New Roman" w:cs="Times New Roman"/>
                <w:b/>
                <w:bCs/>
                <w:color w:val="auto"/>
                <w:u w:val="none" w:color="auto"/>
              </w:rPr>
              <w:t>监测</w:t>
            </w:r>
            <w:r>
              <w:rPr>
                <w:rFonts w:hint="eastAsia" w:ascii="Times New Roman" w:hAnsi="Times New Roman" w:cs="Times New Roman"/>
                <w:b/>
                <w:bCs/>
                <w:color w:val="auto"/>
                <w:u w:val="none" w:color="auto"/>
                <w:lang w:eastAsia="zh-CN"/>
              </w:rPr>
              <w:t>计划</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821"/>
              <w:gridCol w:w="882"/>
              <w:gridCol w:w="897"/>
              <w:gridCol w:w="1923"/>
              <w:gridCol w:w="1499"/>
              <w:gridCol w:w="1413"/>
              <w:gridCol w:w="897"/>
            </w:tblGrid>
            <w:tr w14:paraId="4577EC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92" w:type="pct"/>
                  <w:tcBorders>
                    <w:tl2br w:val="nil"/>
                    <w:tr2bl w:val="nil"/>
                  </w:tcBorders>
                  <w:noWrap w:val="0"/>
                  <w:vAlign w:val="center"/>
                </w:tcPr>
                <w:p w14:paraId="556ED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类别</w:t>
                  </w:r>
                </w:p>
              </w:tc>
              <w:tc>
                <w:tcPr>
                  <w:tcW w:w="1067" w:type="pct"/>
                  <w:gridSpan w:val="2"/>
                  <w:tcBorders>
                    <w:tl2br w:val="nil"/>
                    <w:tr2bl w:val="nil"/>
                  </w:tcBorders>
                  <w:noWrap w:val="0"/>
                  <w:vAlign w:val="center"/>
                </w:tcPr>
                <w:p w14:paraId="6191F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监测项目</w:t>
                  </w:r>
                </w:p>
              </w:tc>
              <w:tc>
                <w:tcPr>
                  <w:tcW w:w="1153" w:type="pct"/>
                  <w:tcBorders>
                    <w:tl2br w:val="nil"/>
                    <w:tr2bl w:val="nil"/>
                  </w:tcBorders>
                  <w:noWrap w:val="0"/>
                  <w:tcMar>
                    <w:top w:w="0" w:type="dxa"/>
                    <w:left w:w="28" w:type="dxa"/>
                    <w:bottom w:w="0" w:type="dxa"/>
                    <w:right w:w="28" w:type="dxa"/>
                  </w:tcMar>
                  <w:vAlign w:val="center"/>
                </w:tcPr>
                <w:p w14:paraId="3A188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布点</w:t>
                  </w:r>
                </w:p>
              </w:tc>
              <w:tc>
                <w:tcPr>
                  <w:tcW w:w="899" w:type="pct"/>
                  <w:tcBorders>
                    <w:tl2br w:val="nil"/>
                    <w:tr2bl w:val="nil"/>
                  </w:tcBorders>
                  <w:noWrap w:val="0"/>
                  <w:tcMar>
                    <w:top w:w="0" w:type="dxa"/>
                    <w:left w:w="28" w:type="dxa"/>
                    <w:bottom w:w="0" w:type="dxa"/>
                    <w:right w:w="28" w:type="dxa"/>
                  </w:tcMar>
                  <w:vAlign w:val="center"/>
                </w:tcPr>
                <w:p w14:paraId="794FD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监测项目</w:t>
                  </w:r>
                </w:p>
              </w:tc>
              <w:tc>
                <w:tcPr>
                  <w:tcW w:w="847" w:type="pct"/>
                  <w:tcBorders>
                    <w:tl2br w:val="nil"/>
                    <w:tr2bl w:val="nil"/>
                  </w:tcBorders>
                  <w:noWrap w:val="0"/>
                  <w:tcMar>
                    <w:top w:w="0" w:type="dxa"/>
                    <w:left w:w="28" w:type="dxa"/>
                    <w:bottom w:w="0" w:type="dxa"/>
                    <w:right w:w="28" w:type="dxa"/>
                  </w:tcMar>
                  <w:vAlign w:val="center"/>
                </w:tcPr>
                <w:p w14:paraId="01418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监测频次</w:t>
                  </w:r>
                </w:p>
              </w:tc>
              <w:tc>
                <w:tcPr>
                  <w:tcW w:w="538" w:type="pct"/>
                  <w:tcBorders>
                    <w:tl2br w:val="nil"/>
                    <w:tr2bl w:val="nil"/>
                  </w:tcBorders>
                  <w:noWrap w:val="0"/>
                  <w:tcMar>
                    <w:top w:w="0" w:type="dxa"/>
                    <w:left w:w="28" w:type="dxa"/>
                    <w:bottom w:w="0" w:type="dxa"/>
                    <w:right w:w="28" w:type="dxa"/>
                  </w:tcMar>
                  <w:vAlign w:val="center"/>
                </w:tcPr>
                <w:p w14:paraId="543756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实施</w:t>
                  </w:r>
                </w:p>
                <w:p w14:paraId="1894D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单位</w:t>
                  </w:r>
                </w:p>
              </w:tc>
            </w:tr>
            <w:tr w14:paraId="3E0B62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492" w:type="pct"/>
                  <w:vMerge w:val="restart"/>
                  <w:tcBorders>
                    <w:tl2br w:val="nil"/>
                    <w:tr2bl w:val="nil"/>
                  </w:tcBorders>
                  <w:noWrap w:val="0"/>
                  <w:vAlign w:val="center"/>
                </w:tcPr>
                <w:p w14:paraId="38B8E2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eastAsia="zh-CN"/>
                    </w:rPr>
                  </w:pPr>
                  <w:r>
                    <w:rPr>
                      <w:rFonts w:hint="eastAsia" w:ascii="Times New Roman" w:hAnsi="Times New Roman" w:cs="Times New Roman"/>
                      <w:color w:val="auto"/>
                      <w:u w:val="none" w:color="auto"/>
                      <w:lang w:val="en-US" w:eastAsia="zh-CN"/>
                    </w:rPr>
                    <w:t>施工期</w:t>
                  </w:r>
                </w:p>
              </w:tc>
              <w:tc>
                <w:tcPr>
                  <w:tcW w:w="529" w:type="pct"/>
                  <w:vMerge w:val="restart"/>
                  <w:tcBorders>
                    <w:tl2br w:val="nil"/>
                    <w:tr2bl w:val="nil"/>
                  </w:tcBorders>
                  <w:noWrap w:val="0"/>
                  <w:vAlign w:val="center"/>
                </w:tcPr>
                <w:p w14:paraId="3A925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气型污染源</w:t>
                  </w:r>
                </w:p>
              </w:tc>
              <w:tc>
                <w:tcPr>
                  <w:tcW w:w="538" w:type="pct"/>
                  <w:vMerge w:val="restart"/>
                  <w:tcBorders>
                    <w:tl2br w:val="nil"/>
                    <w:tr2bl w:val="nil"/>
                  </w:tcBorders>
                  <w:noWrap w:val="0"/>
                  <w:vAlign w:val="center"/>
                </w:tcPr>
                <w:p w14:paraId="55AE86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施工</w:t>
                  </w:r>
                </w:p>
                <w:p w14:paraId="0F1DE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eastAsia" w:ascii="Times New Roman" w:hAnsi="Times New Roman" w:cs="Times New Roman"/>
                      <w:color w:val="auto"/>
                      <w:u w:val="none" w:color="auto"/>
                      <w:lang w:val="en-US" w:eastAsia="zh-CN"/>
                    </w:rPr>
                    <w:t>扬尘</w:t>
                  </w:r>
                </w:p>
              </w:tc>
              <w:tc>
                <w:tcPr>
                  <w:tcW w:w="1153" w:type="pct"/>
                  <w:tcBorders>
                    <w:tl2br w:val="nil"/>
                    <w:tr2bl w:val="nil"/>
                  </w:tcBorders>
                  <w:noWrap w:val="0"/>
                  <w:tcMar>
                    <w:top w:w="0" w:type="dxa"/>
                    <w:left w:w="28" w:type="dxa"/>
                    <w:bottom w:w="0" w:type="dxa"/>
                    <w:right w:w="28" w:type="dxa"/>
                  </w:tcMar>
                  <w:vAlign w:val="center"/>
                </w:tcPr>
                <w:p w14:paraId="21D98B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施工区四周边界</w:t>
                  </w:r>
                </w:p>
              </w:tc>
              <w:tc>
                <w:tcPr>
                  <w:tcW w:w="899" w:type="pct"/>
                  <w:tcBorders>
                    <w:tl2br w:val="nil"/>
                    <w:tr2bl w:val="nil"/>
                  </w:tcBorders>
                  <w:noWrap w:val="0"/>
                  <w:tcMar>
                    <w:top w:w="0" w:type="dxa"/>
                    <w:left w:w="28" w:type="dxa"/>
                    <w:bottom w:w="0" w:type="dxa"/>
                    <w:right w:w="28" w:type="dxa"/>
                  </w:tcMar>
                  <w:vAlign w:val="center"/>
                </w:tcPr>
                <w:p w14:paraId="017134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eastAsia="zh-CN"/>
                    </w:rPr>
                  </w:pPr>
                  <w:r>
                    <w:rPr>
                      <w:rFonts w:hint="default" w:ascii="Times New Roman" w:hAnsi="Times New Roman" w:cs="Times New Roman"/>
                      <w:color w:val="auto"/>
                      <w:u w:val="none" w:color="auto"/>
                    </w:rPr>
                    <w:t>颗粒物</w:t>
                  </w:r>
                  <w:r>
                    <w:rPr>
                      <w:rFonts w:hint="eastAsia" w:ascii="Times New Roman" w:hAnsi="Times New Roman" w:cs="Times New Roman"/>
                      <w:color w:val="auto"/>
                      <w:u w:val="none" w:color="auto"/>
                      <w:lang w:eastAsia="zh-CN"/>
                    </w:rPr>
                    <w:t>（</w:t>
                  </w:r>
                  <w:r>
                    <w:rPr>
                      <w:rFonts w:hint="eastAsia" w:ascii="Times New Roman" w:hAnsi="Times New Roman" w:cs="Times New Roman"/>
                      <w:color w:val="auto"/>
                      <w:u w:val="none" w:color="auto"/>
                      <w:lang w:val="en-US" w:eastAsia="zh-CN"/>
                    </w:rPr>
                    <w:t>TSP</w:t>
                  </w:r>
                  <w:r>
                    <w:rPr>
                      <w:rFonts w:hint="eastAsia" w:ascii="Times New Roman" w:hAnsi="Times New Roman" w:cs="Times New Roman"/>
                      <w:color w:val="auto"/>
                      <w:u w:val="none" w:color="auto"/>
                      <w:lang w:eastAsia="zh-CN"/>
                    </w:rPr>
                    <w:t>）</w:t>
                  </w:r>
                </w:p>
              </w:tc>
              <w:tc>
                <w:tcPr>
                  <w:tcW w:w="847" w:type="pct"/>
                  <w:vMerge w:val="restart"/>
                  <w:tcBorders>
                    <w:tl2br w:val="nil"/>
                    <w:tr2bl w:val="nil"/>
                  </w:tcBorders>
                  <w:noWrap w:val="0"/>
                  <w:tcMar>
                    <w:top w:w="0" w:type="dxa"/>
                    <w:left w:w="28" w:type="dxa"/>
                    <w:bottom w:w="0" w:type="dxa"/>
                    <w:right w:w="28" w:type="dxa"/>
                  </w:tcMar>
                  <w:vAlign w:val="center"/>
                </w:tcPr>
                <w:p w14:paraId="0B1726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eastAsia" w:ascii="Times New Roman" w:hAnsi="Times New Roman" w:cs="Times New Roman"/>
                      <w:color w:val="auto"/>
                      <w:u w:val="none" w:color="auto"/>
                    </w:rPr>
                    <w:t>随机抽样</w:t>
                  </w:r>
                  <w:r>
                    <w:rPr>
                      <w:rFonts w:hint="eastAsia" w:ascii="Times New Roman" w:hAnsi="Times New Roman" w:cs="Times New Roman"/>
                      <w:color w:val="auto"/>
                      <w:u w:val="none" w:color="auto"/>
                      <w:lang w:eastAsia="zh-CN"/>
                    </w:rPr>
                    <w:t>，施工期间监测1次</w:t>
                  </w:r>
                </w:p>
              </w:tc>
              <w:tc>
                <w:tcPr>
                  <w:tcW w:w="538" w:type="pct"/>
                  <w:vMerge w:val="restart"/>
                  <w:tcBorders>
                    <w:tl2br w:val="nil"/>
                    <w:tr2bl w:val="nil"/>
                  </w:tcBorders>
                  <w:noWrap w:val="0"/>
                  <w:tcMar>
                    <w:top w:w="0" w:type="dxa"/>
                    <w:left w:w="28" w:type="dxa"/>
                    <w:bottom w:w="0" w:type="dxa"/>
                    <w:right w:w="28" w:type="dxa"/>
                  </w:tcMar>
                  <w:vAlign w:val="center"/>
                </w:tcPr>
                <w:p w14:paraId="34EDB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施工</w:t>
                  </w:r>
                </w:p>
                <w:p w14:paraId="331242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单位</w:t>
                  </w:r>
                </w:p>
              </w:tc>
            </w:tr>
            <w:tr w14:paraId="57D969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492" w:type="pct"/>
                  <w:vMerge w:val="continue"/>
                  <w:tcBorders>
                    <w:tl2br w:val="nil"/>
                    <w:tr2bl w:val="nil"/>
                  </w:tcBorders>
                  <w:noWrap w:val="0"/>
                  <w:vAlign w:val="center"/>
                </w:tcPr>
                <w:p w14:paraId="7A7E2E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29" w:type="pct"/>
                  <w:vMerge w:val="continue"/>
                  <w:tcBorders>
                    <w:tl2br w:val="nil"/>
                    <w:tr2bl w:val="nil"/>
                  </w:tcBorders>
                  <w:noWrap w:val="0"/>
                  <w:vAlign w:val="center"/>
                </w:tcPr>
                <w:p w14:paraId="0A2688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38" w:type="pct"/>
                  <w:vMerge w:val="continue"/>
                  <w:tcBorders>
                    <w:tl2br w:val="nil"/>
                    <w:tr2bl w:val="nil"/>
                  </w:tcBorders>
                  <w:noWrap w:val="0"/>
                  <w:vAlign w:val="center"/>
                </w:tcPr>
                <w:p w14:paraId="632E3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1153" w:type="pct"/>
                  <w:tcBorders>
                    <w:tl2br w:val="nil"/>
                    <w:tr2bl w:val="nil"/>
                  </w:tcBorders>
                  <w:noWrap w:val="0"/>
                  <w:tcMar>
                    <w:top w:w="0" w:type="dxa"/>
                    <w:left w:w="28" w:type="dxa"/>
                    <w:bottom w:w="0" w:type="dxa"/>
                    <w:right w:w="28" w:type="dxa"/>
                  </w:tcMar>
                  <w:vAlign w:val="center"/>
                </w:tcPr>
                <w:p w14:paraId="76FC4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周边敏感点</w:t>
                  </w:r>
                </w:p>
              </w:tc>
              <w:tc>
                <w:tcPr>
                  <w:tcW w:w="899" w:type="pct"/>
                  <w:tcBorders>
                    <w:tl2br w:val="nil"/>
                    <w:tr2bl w:val="nil"/>
                  </w:tcBorders>
                  <w:noWrap w:val="0"/>
                  <w:tcMar>
                    <w:top w:w="0" w:type="dxa"/>
                    <w:left w:w="28" w:type="dxa"/>
                    <w:bottom w:w="0" w:type="dxa"/>
                    <w:right w:w="28" w:type="dxa"/>
                  </w:tcMar>
                  <w:vAlign w:val="center"/>
                </w:tcPr>
                <w:p w14:paraId="772E7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颗粒物</w:t>
                  </w:r>
                  <w:r>
                    <w:rPr>
                      <w:rFonts w:hint="eastAsia" w:ascii="Times New Roman" w:hAnsi="Times New Roman" w:cs="Times New Roman"/>
                      <w:color w:val="auto"/>
                      <w:u w:val="none" w:color="auto"/>
                      <w:lang w:eastAsia="zh-CN"/>
                    </w:rPr>
                    <w:t>（</w:t>
                  </w:r>
                  <w:r>
                    <w:rPr>
                      <w:rFonts w:hint="eastAsia" w:ascii="Times New Roman" w:hAnsi="Times New Roman" w:cs="Times New Roman"/>
                      <w:color w:val="auto"/>
                      <w:u w:val="none" w:color="auto"/>
                      <w:lang w:val="en-US" w:eastAsia="zh-CN"/>
                    </w:rPr>
                    <w:t>TSP</w:t>
                  </w:r>
                  <w:r>
                    <w:rPr>
                      <w:rFonts w:hint="eastAsia" w:ascii="Times New Roman" w:hAnsi="Times New Roman" w:cs="Times New Roman"/>
                      <w:color w:val="auto"/>
                      <w:u w:val="none" w:color="auto"/>
                      <w:lang w:eastAsia="zh-CN"/>
                    </w:rPr>
                    <w:t>）</w:t>
                  </w:r>
                </w:p>
              </w:tc>
              <w:tc>
                <w:tcPr>
                  <w:tcW w:w="847" w:type="pct"/>
                  <w:vMerge w:val="continue"/>
                  <w:tcBorders>
                    <w:tl2br w:val="nil"/>
                    <w:tr2bl w:val="nil"/>
                  </w:tcBorders>
                  <w:noWrap w:val="0"/>
                  <w:tcMar>
                    <w:top w:w="0" w:type="dxa"/>
                    <w:left w:w="28" w:type="dxa"/>
                    <w:bottom w:w="0" w:type="dxa"/>
                    <w:right w:w="28" w:type="dxa"/>
                  </w:tcMar>
                  <w:vAlign w:val="center"/>
                </w:tcPr>
                <w:p w14:paraId="5F1101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38" w:type="pct"/>
                  <w:vMerge w:val="continue"/>
                  <w:tcBorders>
                    <w:tl2br w:val="nil"/>
                    <w:tr2bl w:val="nil"/>
                  </w:tcBorders>
                  <w:noWrap w:val="0"/>
                  <w:tcMar>
                    <w:top w:w="0" w:type="dxa"/>
                    <w:left w:w="28" w:type="dxa"/>
                    <w:bottom w:w="0" w:type="dxa"/>
                    <w:right w:w="28" w:type="dxa"/>
                  </w:tcMar>
                  <w:vAlign w:val="center"/>
                </w:tcPr>
                <w:p w14:paraId="029AB7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r>
            <w:tr w14:paraId="5C45F7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492" w:type="pct"/>
                  <w:vMerge w:val="continue"/>
                  <w:tcBorders>
                    <w:tl2br w:val="nil"/>
                    <w:tr2bl w:val="nil"/>
                  </w:tcBorders>
                  <w:noWrap w:val="0"/>
                  <w:vAlign w:val="center"/>
                </w:tcPr>
                <w:p w14:paraId="1B3C6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29" w:type="pct"/>
                  <w:vMerge w:val="restart"/>
                  <w:tcBorders>
                    <w:tl2br w:val="nil"/>
                    <w:tr2bl w:val="nil"/>
                  </w:tcBorders>
                  <w:noWrap w:val="0"/>
                  <w:vAlign w:val="center"/>
                </w:tcPr>
                <w:p w14:paraId="329EB0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u w:val="none" w:color="auto"/>
                      <w:lang w:eastAsia="zh-CN"/>
                    </w:rPr>
                  </w:pPr>
                  <w:r>
                    <w:rPr>
                      <w:rFonts w:hint="eastAsia" w:ascii="Times New Roman" w:hAnsi="Times New Roman" w:cs="Times New Roman"/>
                      <w:color w:val="auto"/>
                      <w:u w:val="none" w:color="auto"/>
                      <w:lang w:eastAsia="zh-CN"/>
                    </w:rPr>
                    <w:t>噪声</w:t>
                  </w:r>
                </w:p>
                <w:p w14:paraId="73347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监测</w:t>
                  </w:r>
                </w:p>
              </w:tc>
              <w:tc>
                <w:tcPr>
                  <w:tcW w:w="538" w:type="pct"/>
                  <w:vMerge w:val="restart"/>
                  <w:tcBorders>
                    <w:tl2br w:val="nil"/>
                    <w:tr2bl w:val="nil"/>
                  </w:tcBorders>
                  <w:noWrap w:val="0"/>
                  <w:vAlign w:val="center"/>
                </w:tcPr>
                <w:p w14:paraId="2FCB7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施工</w:t>
                  </w:r>
                </w:p>
                <w:p w14:paraId="70730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噪声</w:t>
                  </w:r>
                </w:p>
              </w:tc>
              <w:tc>
                <w:tcPr>
                  <w:tcW w:w="1153" w:type="pct"/>
                  <w:tcBorders>
                    <w:tl2br w:val="nil"/>
                    <w:tr2bl w:val="nil"/>
                  </w:tcBorders>
                  <w:noWrap w:val="0"/>
                  <w:tcMar>
                    <w:top w:w="0" w:type="dxa"/>
                    <w:left w:w="28" w:type="dxa"/>
                    <w:bottom w:w="0" w:type="dxa"/>
                    <w:right w:w="28" w:type="dxa"/>
                  </w:tcMar>
                  <w:vAlign w:val="center"/>
                </w:tcPr>
                <w:p w14:paraId="0C059C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u w:val="none" w:color="auto"/>
                      <w:lang w:val="en-US" w:eastAsia="zh-CN"/>
                    </w:rPr>
                  </w:pPr>
                  <w:r>
                    <w:rPr>
                      <w:rFonts w:hint="eastAsia" w:ascii="Times New Roman" w:hAnsi="Times New Roman" w:cs="Times New Roman"/>
                      <w:color w:val="auto"/>
                      <w:u w:val="none" w:color="auto"/>
                      <w:lang w:val="en-US" w:eastAsia="zh-CN"/>
                    </w:rPr>
                    <w:t>施工区</w:t>
                  </w:r>
                  <w:r>
                    <w:rPr>
                      <w:rFonts w:hint="eastAsia" w:ascii="Times New Roman" w:hAnsi="Times New Roman" w:cs="Times New Roman"/>
                      <w:color w:val="auto"/>
                      <w:u w:val="none" w:color="auto"/>
                    </w:rPr>
                    <w:t>四周</w:t>
                  </w:r>
                  <w:r>
                    <w:rPr>
                      <w:rFonts w:hint="eastAsia" w:ascii="Times New Roman" w:hAnsi="Times New Roman" w:cs="Times New Roman"/>
                      <w:color w:val="auto"/>
                      <w:u w:val="none" w:color="auto"/>
                      <w:lang w:val="en-US" w:eastAsia="zh-CN"/>
                    </w:rPr>
                    <w:t>边界</w:t>
                  </w:r>
                </w:p>
              </w:tc>
              <w:tc>
                <w:tcPr>
                  <w:tcW w:w="899" w:type="pct"/>
                  <w:tcBorders>
                    <w:tl2br w:val="nil"/>
                    <w:tr2bl w:val="nil"/>
                  </w:tcBorders>
                  <w:noWrap w:val="0"/>
                  <w:tcMar>
                    <w:top w:w="0" w:type="dxa"/>
                    <w:left w:w="28" w:type="dxa"/>
                    <w:bottom w:w="0" w:type="dxa"/>
                    <w:right w:w="28" w:type="dxa"/>
                  </w:tcMar>
                  <w:vAlign w:val="center"/>
                </w:tcPr>
                <w:p w14:paraId="1F5837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LeqdB（A）</w:t>
                  </w:r>
                </w:p>
              </w:tc>
              <w:tc>
                <w:tcPr>
                  <w:tcW w:w="847" w:type="pct"/>
                  <w:vMerge w:val="restart"/>
                  <w:tcBorders>
                    <w:tl2br w:val="nil"/>
                    <w:tr2bl w:val="nil"/>
                  </w:tcBorders>
                  <w:noWrap w:val="0"/>
                  <w:tcMar>
                    <w:top w:w="0" w:type="dxa"/>
                    <w:left w:w="28" w:type="dxa"/>
                    <w:bottom w:w="0" w:type="dxa"/>
                    <w:right w:w="28" w:type="dxa"/>
                  </w:tcMar>
                  <w:vAlign w:val="center"/>
                </w:tcPr>
                <w:p w14:paraId="0E890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eastAsia="zh-CN"/>
                    </w:rPr>
                  </w:pPr>
                  <w:r>
                    <w:rPr>
                      <w:rFonts w:hint="eastAsia" w:ascii="Times New Roman" w:hAnsi="Times New Roman" w:cs="Times New Roman"/>
                      <w:color w:val="auto"/>
                      <w:u w:val="none" w:color="auto"/>
                    </w:rPr>
                    <w:t>随机抽样</w:t>
                  </w:r>
                  <w:r>
                    <w:rPr>
                      <w:rFonts w:hint="eastAsia" w:ascii="Times New Roman" w:hAnsi="Times New Roman" w:cs="Times New Roman"/>
                      <w:color w:val="auto"/>
                      <w:u w:val="none" w:color="auto"/>
                      <w:lang w:eastAsia="zh-CN"/>
                    </w:rPr>
                    <w:t>，</w:t>
                  </w:r>
                  <w:r>
                    <w:rPr>
                      <w:rFonts w:hint="eastAsia" w:ascii="Times New Roman" w:hAnsi="Times New Roman" w:cs="Times New Roman"/>
                      <w:color w:val="auto"/>
                      <w:u w:val="none" w:color="auto"/>
                    </w:rPr>
                    <w:t>施工期间</w:t>
                  </w:r>
                  <w:r>
                    <w:rPr>
                      <w:rFonts w:hint="eastAsia" w:ascii="Times New Roman" w:hAnsi="Times New Roman" w:cs="Times New Roman"/>
                      <w:color w:val="auto"/>
                      <w:u w:val="none" w:color="auto"/>
                      <w:lang w:val="en-US" w:eastAsia="zh-CN"/>
                    </w:rPr>
                    <w:t>昼夜各</w:t>
                  </w:r>
                  <w:r>
                    <w:rPr>
                      <w:rFonts w:hint="eastAsia" w:ascii="Times New Roman" w:hAnsi="Times New Roman" w:cs="Times New Roman"/>
                      <w:color w:val="auto"/>
                      <w:u w:val="none" w:color="auto"/>
                    </w:rPr>
                    <w:t>监测1次</w:t>
                  </w:r>
                </w:p>
              </w:tc>
              <w:tc>
                <w:tcPr>
                  <w:tcW w:w="538" w:type="pct"/>
                  <w:vMerge w:val="restart"/>
                  <w:tcBorders>
                    <w:tl2br w:val="nil"/>
                    <w:tr2bl w:val="nil"/>
                  </w:tcBorders>
                  <w:noWrap w:val="0"/>
                  <w:tcMar>
                    <w:top w:w="0" w:type="dxa"/>
                    <w:left w:w="28" w:type="dxa"/>
                    <w:bottom w:w="0" w:type="dxa"/>
                    <w:right w:w="28" w:type="dxa"/>
                  </w:tcMar>
                  <w:vAlign w:val="center"/>
                </w:tcPr>
                <w:p w14:paraId="0852A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施工</w:t>
                  </w:r>
                </w:p>
                <w:p w14:paraId="382606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单位</w:t>
                  </w:r>
                </w:p>
              </w:tc>
            </w:tr>
            <w:tr w14:paraId="1ED226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492" w:type="pct"/>
                  <w:vMerge w:val="continue"/>
                  <w:tcBorders>
                    <w:tl2br w:val="nil"/>
                    <w:tr2bl w:val="nil"/>
                  </w:tcBorders>
                  <w:noWrap w:val="0"/>
                  <w:vAlign w:val="center"/>
                </w:tcPr>
                <w:p w14:paraId="64C84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29" w:type="pct"/>
                  <w:vMerge w:val="continue"/>
                  <w:tcBorders>
                    <w:tl2br w:val="nil"/>
                    <w:tr2bl w:val="nil"/>
                  </w:tcBorders>
                  <w:noWrap w:val="0"/>
                  <w:vAlign w:val="center"/>
                </w:tcPr>
                <w:p w14:paraId="70ECF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p>
              </w:tc>
              <w:tc>
                <w:tcPr>
                  <w:tcW w:w="538" w:type="pct"/>
                  <w:vMerge w:val="continue"/>
                  <w:tcBorders>
                    <w:tl2br w:val="nil"/>
                    <w:tr2bl w:val="nil"/>
                  </w:tcBorders>
                  <w:noWrap w:val="0"/>
                  <w:vAlign w:val="center"/>
                </w:tcPr>
                <w:p w14:paraId="45C1C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p>
              </w:tc>
              <w:tc>
                <w:tcPr>
                  <w:tcW w:w="1153" w:type="pct"/>
                  <w:tcBorders>
                    <w:tl2br w:val="nil"/>
                    <w:tr2bl w:val="nil"/>
                  </w:tcBorders>
                  <w:noWrap w:val="0"/>
                  <w:tcMar>
                    <w:top w:w="0" w:type="dxa"/>
                    <w:left w:w="28" w:type="dxa"/>
                    <w:bottom w:w="0" w:type="dxa"/>
                    <w:right w:w="28" w:type="dxa"/>
                  </w:tcMar>
                  <w:vAlign w:val="center"/>
                </w:tcPr>
                <w:p w14:paraId="2E035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eastAsia" w:ascii="Times New Roman" w:hAnsi="Times New Roman" w:cs="Times New Roman"/>
                      <w:color w:val="auto"/>
                      <w:u w:val="none" w:color="auto"/>
                      <w:lang w:val="en-US" w:eastAsia="zh-CN"/>
                    </w:rPr>
                    <w:t>周边敏感点</w:t>
                  </w:r>
                </w:p>
              </w:tc>
              <w:tc>
                <w:tcPr>
                  <w:tcW w:w="899" w:type="pct"/>
                  <w:tcBorders>
                    <w:tl2br w:val="nil"/>
                    <w:tr2bl w:val="nil"/>
                  </w:tcBorders>
                  <w:noWrap w:val="0"/>
                  <w:tcMar>
                    <w:top w:w="0" w:type="dxa"/>
                    <w:left w:w="28" w:type="dxa"/>
                    <w:bottom w:w="0" w:type="dxa"/>
                    <w:right w:w="28" w:type="dxa"/>
                  </w:tcMar>
                  <w:vAlign w:val="center"/>
                </w:tcPr>
                <w:p w14:paraId="376F2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LeqdB（A）</w:t>
                  </w:r>
                </w:p>
              </w:tc>
              <w:tc>
                <w:tcPr>
                  <w:tcW w:w="847" w:type="pct"/>
                  <w:vMerge w:val="continue"/>
                  <w:tcBorders>
                    <w:tl2br w:val="nil"/>
                    <w:tr2bl w:val="nil"/>
                  </w:tcBorders>
                  <w:noWrap w:val="0"/>
                  <w:tcMar>
                    <w:top w:w="0" w:type="dxa"/>
                    <w:left w:w="28" w:type="dxa"/>
                    <w:bottom w:w="0" w:type="dxa"/>
                    <w:right w:w="28" w:type="dxa"/>
                  </w:tcMar>
                  <w:vAlign w:val="center"/>
                </w:tcPr>
                <w:p w14:paraId="4DF18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rPr>
                  </w:pPr>
                </w:p>
              </w:tc>
              <w:tc>
                <w:tcPr>
                  <w:tcW w:w="538" w:type="pct"/>
                  <w:vMerge w:val="continue"/>
                  <w:tcBorders>
                    <w:tl2br w:val="nil"/>
                    <w:tr2bl w:val="nil"/>
                  </w:tcBorders>
                  <w:noWrap w:val="0"/>
                  <w:tcMar>
                    <w:top w:w="0" w:type="dxa"/>
                    <w:left w:w="28" w:type="dxa"/>
                    <w:bottom w:w="0" w:type="dxa"/>
                    <w:right w:w="28" w:type="dxa"/>
                  </w:tcMar>
                  <w:vAlign w:val="center"/>
                </w:tcPr>
                <w:p w14:paraId="595820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u w:val="none" w:color="auto"/>
                      <w:lang w:val="en-US" w:eastAsia="zh-CN"/>
                    </w:rPr>
                  </w:pPr>
                </w:p>
              </w:tc>
            </w:tr>
          </w:tbl>
          <w:p w14:paraId="3A062585">
            <w:pPr>
              <w:pageBreakBefore w:val="0"/>
              <w:kinsoku/>
              <w:overflowPunct/>
              <w:bidi w:val="0"/>
              <w:spacing w:line="360" w:lineRule="auto"/>
              <w:jc w:val="center"/>
              <w:textAlignment w:val="auto"/>
              <w:rPr>
                <w:rFonts w:hint="default" w:ascii="Times New Roman" w:hAnsi="Times New Roman" w:eastAsia="宋体" w:cs="Times New Roman"/>
                <w:bCs/>
                <w:color w:val="auto"/>
                <w:spacing w:val="10"/>
                <w:sz w:val="24"/>
                <w:szCs w:val="24"/>
                <w:u w:val="none" w:color="auto"/>
                <w:lang w:val="en-US" w:eastAsia="zh-CN"/>
              </w:rPr>
            </w:pPr>
          </w:p>
        </w:tc>
      </w:tr>
      <w:tr w14:paraId="2041F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14:paraId="7EDF0170">
            <w:pPr>
              <w:pStyle w:val="75"/>
              <w:bidi w:val="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环保投资</w:t>
            </w:r>
          </w:p>
        </w:tc>
        <w:tc>
          <w:tcPr>
            <w:tcW w:w="4523" w:type="pct"/>
            <w:noWrap w:val="0"/>
            <w:vAlign w:val="top"/>
          </w:tcPr>
          <w:p w14:paraId="19020C8F">
            <w:pPr>
              <w:pStyle w:val="52"/>
              <w:spacing w:line="360" w:lineRule="auto"/>
              <w:jc w:val="left"/>
              <w:rPr>
                <w:rFonts w:cs="宋体"/>
                <w:color w:val="auto"/>
                <w:sz w:val="24"/>
                <w:szCs w:val="21"/>
                <w:u w:val="none" w:color="auto"/>
              </w:rPr>
            </w:pPr>
            <w:r>
              <w:rPr>
                <w:rFonts w:hint="eastAsia" w:cs="宋体"/>
                <w:b/>
                <w:bCs/>
                <w:color w:val="auto"/>
                <w:sz w:val="24"/>
                <w:szCs w:val="21"/>
                <w:u w:val="none" w:color="auto"/>
                <w:lang w:val="en-US" w:eastAsia="zh-CN"/>
              </w:rPr>
              <w:t>1、</w:t>
            </w:r>
            <w:r>
              <w:rPr>
                <w:rFonts w:cs="宋体"/>
                <w:b/>
                <w:bCs/>
                <w:color w:val="auto"/>
                <w:sz w:val="24"/>
                <w:szCs w:val="21"/>
                <w:u w:val="none" w:color="auto"/>
              </w:rPr>
              <w:t>环保投资估算</w:t>
            </w:r>
          </w:p>
          <w:p w14:paraId="32CC310B">
            <w:pPr>
              <w:pStyle w:val="52"/>
              <w:spacing w:line="360" w:lineRule="auto"/>
              <w:ind w:firstLine="480" w:firstLineChars="200"/>
              <w:jc w:val="left"/>
              <w:rPr>
                <w:rFonts w:cs="宋体"/>
                <w:color w:val="auto"/>
                <w:sz w:val="24"/>
                <w:szCs w:val="21"/>
                <w:u w:val="none" w:color="auto"/>
              </w:rPr>
            </w:pPr>
            <w:r>
              <w:rPr>
                <w:rFonts w:hint="eastAsia" w:cs="宋体"/>
                <w:color w:val="auto"/>
                <w:sz w:val="24"/>
                <w:szCs w:val="21"/>
                <w:u w:val="none" w:color="auto"/>
              </w:rPr>
              <w:t>项目总投资为</w:t>
            </w:r>
            <w:r>
              <w:rPr>
                <w:rFonts w:hint="eastAsia" w:cs="宋体"/>
                <w:color w:val="auto"/>
                <w:sz w:val="24"/>
                <w:szCs w:val="21"/>
                <w:u w:val="none" w:color="auto"/>
                <w:lang w:val="en-US" w:eastAsia="zh-CN"/>
              </w:rPr>
              <w:t>7792.8</w:t>
            </w:r>
            <w:r>
              <w:rPr>
                <w:rFonts w:hint="eastAsia" w:cs="宋体"/>
                <w:color w:val="auto"/>
                <w:sz w:val="24"/>
                <w:szCs w:val="21"/>
                <w:u w:val="none" w:color="auto"/>
              </w:rPr>
              <w:t>元，环保投资为</w:t>
            </w:r>
            <w:r>
              <w:rPr>
                <w:rFonts w:hint="eastAsia" w:cs="宋体"/>
                <w:color w:val="auto"/>
                <w:sz w:val="24"/>
                <w:szCs w:val="21"/>
                <w:u w:val="none" w:color="auto"/>
                <w:lang w:val="en-US" w:eastAsia="zh-CN"/>
              </w:rPr>
              <w:t>200</w:t>
            </w:r>
            <w:r>
              <w:rPr>
                <w:rFonts w:hint="eastAsia" w:cs="宋体"/>
                <w:color w:val="auto"/>
                <w:sz w:val="24"/>
                <w:szCs w:val="21"/>
                <w:u w:val="none" w:color="auto"/>
              </w:rPr>
              <w:t>万元，占投资总额</w:t>
            </w:r>
            <w:r>
              <w:rPr>
                <w:rFonts w:hint="eastAsia" w:cs="宋体"/>
                <w:color w:val="auto"/>
                <w:sz w:val="24"/>
                <w:szCs w:val="21"/>
                <w:u w:val="none" w:color="auto"/>
                <w:lang w:val="en-US" w:eastAsia="zh-CN"/>
              </w:rPr>
              <w:t>2.82</w:t>
            </w:r>
            <w:r>
              <w:rPr>
                <w:rFonts w:hint="eastAsia" w:cs="宋体"/>
                <w:color w:val="auto"/>
                <w:sz w:val="24"/>
                <w:szCs w:val="21"/>
                <w:u w:val="none" w:color="auto"/>
              </w:rPr>
              <w:t>%，项目环保投资详见表</w:t>
            </w:r>
            <w:r>
              <w:rPr>
                <w:rFonts w:hint="eastAsia" w:cs="宋体"/>
                <w:color w:val="auto"/>
                <w:sz w:val="24"/>
                <w:szCs w:val="21"/>
                <w:u w:val="none" w:color="auto"/>
                <w:lang w:val="en-US" w:eastAsia="zh-CN"/>
              </w:rPr>
              <w:t>5-3</w:t>
            </w:r>
            <w:r>
              <w:rPr>
                <w:rFonts w:hint="eastAsia" w:cs="宋体"/>
                <w:color w:val="auto"/>
                <w:sz w:val="24"/>
                <w:szCs w:val="21"/>
                <w:u w:val="none" w:color="auto"/>
              </w:rPr>
              <w:t>。</w:t>
            </w:r>
          </w:p>
          <w:p w14:paraId="67745A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表</w:t>
            </w:r>
            <w:r>
              <w:rPr>
                <w:rFonts w:hint="eastAsia" w:ascii="Times New Roman" w:hAnsi="Times New Roman" w:cs="Times New Roman"/>
                <w:b/>
                <w:bCs/>
                <w:color w:val="auto"/>
                <w:u w:val="none" w:color="auto"/>
                <w:lang w:val="en-US" w:eastAsia="zh-CN"/>
              </w:rPr>
              <w:t>5-</w:t>
            </w:r>
            <w:r>
              <w:rPr>
                <w:rFonts w:hint="eastAsia" w:cs="Times New Roman"/>
                <w:b/>
                <w:bCs/>
                <w:color w:val="auto"/>
                <w:u w:val="none" w:color="auto"/>
                <w:lang w:val="en-US" w:eastAsia="zh-CN"/>
              </w:rPr>
              <w:t>3</w:t>
            </w:r>
            <w:r>
              <w:rPr>
                <w:rFonts w:hint="eastAsia" w:ascii="Times New Roman" w:hAnsi="Times New Roman" w:cs="Times New Roman"/>
                <w:b/>
                <w:bCs/>
                <w:color w:val="auto"/>
                <w:u w:val="none" w:color="auto"/>
              </w:rPr>
              <w:t xml:space="preserve"> 环保投资一览表</w:t>
            </w:r>
          </w:p>
          <w:tbl>
            <w:tblPr>
              <w:tblStyle w:val="72"/>
              <w:tblW w:w="4996" w:type="pct"/>
              <w:tblInd w:w="-1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136"/>
              <w:gridCol w:w="1521"/>
              <w:gridCol w:w="4098"/>
              <w:gridCol w:w="1575"/>
            </w:tblGrid>
            <w:tr w14:paraId="12A4C5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tcBorders>
                    <w:tl2br w:val="nil"/>
                    <w:tr2bl w:val="nil"/>
                  </w:tcBorders>
                  <w:noWrap w:val="0"/>
                  <w:vAlign w:val="center"/>
                </w:tcPr>
                <w:p w14:paraId="0A40F91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b/>
                      <w:bCs/>
                      <w:color w:val="auto"/>
                      <w:sz w:val="21"/>
                      <w:szCs w:val="21"/>
                      <w:u w:val="none" w:color="auto"/>
                    </w:rPr>
                  </w:pPr>
                  <w:r>
                    <w:rPr>
                      <w:rFonts w:hint="default" w:ascii="Times New Roman" w:hAnsi="Times New Roman" w:cs="Times New Roman"/>
                      <w:b/>
                      <w:bCs/>
                      <w:color w:val="auto"/>
                      <w:sz w:val="21"/>
                      <w:szCs w:val="21"/>
                      <w:u w:val="none" w:color="auto"/>
                    </w:rPr>
                    <w:t>阶段</w:t>
                  </w:r>
                </w:p>
              </w:tc>
              <w:tc>
                <w:tcPr>
                  <w:tcW w:w="913" w:type="pct"/>
                  <w:tcBorders>
                    <w:tl2br w:val="nil"/>
                    <w:tr2bl w:val="nil"/>
                  </w:tcBorders>
                  <w:noWrap w:val="0"/>
                  <w:vAlign w:val="center"/>
                </w:tcPr>
                <w:p w14:paraId="29D74C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b/>
                      <w:bCs/>
                      <w:color w:val="auto"/>
                      <w:sz w:val="21"/>
                      <w:szCs w:val="21"/>
                      <w:u w:val="none" w:color="auto"/>
                    </w:rPr>
                  </w:pPr>
                  <w:r>
                    <w:rPr>
                      <w:rFonts w:hint="default" w:ascii="Times New Roman" w:hAnsi="Times New Roman" w:cs="Times New Roman"/>
                      <w:b/>
                      <w:bCs/>
                      <w:color w:val="auto"/>
                      <w:sz w:val="21"/>
                      <w:szCs w:val="21"/>
                      <w:u w:val="none" w:color="auto"/>
                    </w:rPr>
                    <w:t>环境问题</w:t>
                  </w:r>
                </w:p>
              </w:tc>
              <w:tc>
                <w:tcPr>
                  <w:tcW w:w="2459" w:type="pct"/>
                  <w:tcBorders>
                    <w:tl2br w:val="nil"/>
                    <w:tr2bl w:val="nil"/>
                  </w:tcBorders>
                  <w:noWrap w:val="0"/>
                  <w:vAlign w:val="center"/>
                </w:tcPr>
                <w:p w14:paraId="615E53E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b/>
                      <w:bCs/>
                      <w:color w:val="auto"/>
                      <w:sz w:val="21"/>
                      <w:szCs w:val="21"/>
                      <w:u w:val="none" w:color="auto"/>
                    </w:rPr>
                  </w:pPr>
                  <w:r>
                    <w:rPr>
                      <w:rFonts w:hint="default" w:ascii="Times New Roman" w:hAnsi="Times New Roman" w:cs="Times New Roman"/>
                      <w:b/>
                      <w:bCs/>
                      <w:color w:val="auto"/>
                      <w:sz w:val="21"/>
                      <w:szCs w:val="21"/>
                      <w:u w:val="none" w:color="auto"/>
                    </w:rPr>
                    <w:t>措施内容</w:t>
                  </w:r>
                </w:p>
              </w:tc>
              <w:tc>
                <w:tcPr>
                  <w:tcW w:w="945" w:type="pct"/>
                  <w:tcBorders>
                    <w:tl2br w:val="nil"/>
                    <w:tr2bl w:val="nil"/>
                  </w:tcBorders>
                  <w:noWrap w:val="0"/>
                  <w:vAlign w:val="center"/>
                </w:tcPr>
                <w:p w14:paraId="14D4E2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b/>
                      <w:bCs/>
                      <w:color w:val="auto"/>
                      <w:sz w:val="21"/>
                      <w:szCs w:val="21"/>
                      <w:u w:val="none" w:color="auto"/>
                    </w:rPr>
                  </w:pPr>
                  <w:r>
                    <w:rPr>
                      <w:rFonts w:hint="default" w:ascii="Times New Roman" w:hAnsi="Times New Roman" w:cs="Times New Roman"/>
                      <w:b/>
                      <w:bCs/>
                      <w:color w:val="auto"/>
                      <w:sz w:val="21"/>
                      <w:szCs w:val="21"/>
                      <w:u w:val="none" w:color="auto"/>
                    </w:rPr>
                    <w:t>金额（万元）</w:t>
                  </w:r>
                </w:p>
              </w:tc>
            </w:tr>
            <w:tr w14:paraId="657C0E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vMerge w:val="restart"/>
                  <w:tcBorders>
                    <w:tl2br w:val="nil"/>
                    <w:tr2bl w:val="nil"/>
                  </w:tcBorders>
                  <w:noWrap w:val="0"/>
                  <w:vAlign w:val="center"/>
                </w:tcPr>
                <w:p w14:paraId="4AFC44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施工期</w:t>
                  </w:r>
                </w:p>
              </w:tc>
              <w:tc>
                <w:tcPr>
                  <w:tcW w:w="913" w:type="pct"/>
                  <w:vMerge w:val="restart"/>
                  <w:tcBorders>
                    <w:tl2br w:val="nil"/>
                    <w:tr2bl w:val="nil"/>
                  </w:tcBorders>
                  <w:noWrap w:val="0"/>
                  <w:vAlign w:val="center"/>
                </w:tcPr>
                <w:p w14:paraId="76C0654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声环境</w:t>
                  </w:r>
                </w:p>
              </w:tc>
              <w:tc>
                <w:tcPr>
                  <w:tcW w:w="2459" w:type="pct"/>
                  <w:tcBorders>
                    <w:tl2br w:val="nil"/>
                    <w:tr2bl w:val="nil"/>
                  </w:tcBorders>
                  <w:noWrap w:val="0"/>
                  <w:vAlign w:val="center"/>
                </w:tcPr>
                <w:p w14:paraId="59AD2C9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施工临时围护、场界四周临时隔声屏障</w:t>
                  </w:r>
                </w:p>
              </w:tc>
              <w:tc>
                <w:tcPr>
                  <w:tcW w:w="945" w:type="pct"/>
                  <w:tcBorders>
                    <w:tl2br w:val="nil"/>
                    <w:tr2bl w:val="nil"/>
                  </w:tcBorders>
                  <w:noWrap w:val="0"/>
                  <w:vAlign w:val="center"/>
                </w:tcPr>
                <w:p w14:paraId="708B6D2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60</w:t>
                  </w:r>
                </w:p>
              </w:tc>
            </w:tr>
            <w:tr w14:paraId="772B3F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vMerge w:val="continue"/>
                  <w:tcBorders>
                    <w:tl2br w:val="nil"/>
                    <w:tr2bl w:val="nil"/>
                  </w:tcBorders>
                  <w:noWrap w:val="0"/>
                  <w:vAlign w:val="center"/>
                </w:tcPr>
                <w:p w14:paraId="73C2839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p>
              </w:tc>
              <w:tc>
                <w:tcPr>
                  <w:tcW w:w="913" w:type="pct"/>
                  <w:vMerge w:val="continue"/>
                  <w:tcBorders>
                    <w:tl2br w:val="nil"/>
                    <w:tr2bl w:val="nil"/>
                  </w:tcBorders>
                  <w:noWrap w:val="0"/>
                  <w:vAlign w:val="center"/>
                </w:tcPr>
                <w:p w14:paraId="3B7B43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p>
              </w:tc>
              <w:tc>
                <w:tcPr>
                  <w:tcW w:w="2459" w:type="pct"/>
                  <w:tcBorders>
                    <w:tl2br w:val="nil"/>
                    <w:tr2bl w:val="nil"/>
                  </w:tcBorders>
                  <w:noWrap w:val="0"/>
                  <w:vAlign w:val="center"/>
                </w:tcPr>
                <w:p w14:paraId="2F44F4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低噪声施工机械设备、设备维护检修</w:t>
                  </w:r>
                </w:p>
              </w:tc>
              <w:tc>
                <w:tcPr>
                  <w:tcW w:w="945" w:type="pct"/>
                  <w:tcBorders>
                    <w:tl2br w:val="nil"/>
                    <w:tr2bl w:val="nil"/>
                  </w:tcBorders>
                  <w:noWrap w:val="0"/>
                  <w:vAlign w:val="center"/>
                </w:tcPr>
                <w:p w14:paraId="631BF4C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30</w:t>
                  </w:r>
                </w:p>
              </w:tc>
            </w:tr>
            <w:tr w14:paraId="791265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vMerge w:val="continue"/>
                  <w:tcBorders>
                    <w:tl2br w:val="nil"/>
                    <w:tr2bl w:val="nil"/>
                  </w:tcBorders>
                  <w:noWrap w:val="0"/>
                  <w:vAlign w:val="center"/>
                </w:tcPr>
                <w:p w14:paraId="6F13EA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p>
              </w:tc>
              <w:tc>
                <w:tcPr>
                  <w:tcW w:w="913" w:type="pct"/>
                  <w:tcBorders>
                    <w:tl2br w:val="nil"/>
                    <w:tr2bl w:val="nil"/>
                  </w:tcBorders>
                  <w:noWrap w:val="0"/>
                  <w:vAlign w:val="center"/>
                </w:tcPr>
                <w:p w14:paraId="5F6F32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水环境</w:t>
                  </w:r>
                </w:p>
              </w:tc>
              <w:tc>
                <w:tcPr>
                  <w:tcW w:w="2459" w:type="pct"/>
                  <w:tcBorders>
                    <w:tl2br w:val="nil"/>
                    <w:tr2bl w:val="nil"/>
                  </w:tcBorders>
                  <w:noWrap w:val="0"/>
                  <w:vAlign w:val="center"/>
                </w:tcPr>
                <w:p w14:paraId="68A4FEF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施工废水处理（沉淀池、</w:t>
                  </w:r>
                  <w:r>
                    <w:rPr>
                      <w:rFonts w:hint="eastAsia" w:ascii="Times New Roman" w:hAnsi="Times New Roman" w:eastAsia="宋体" w:cs="Times New Roman"/>
                      <w:color w:val="auto"/>
                      <w:sz w:val="21"/>
                      <w:szCs w:val="21"/>
                      <w:u w:val="none" w:color="auto"/>
                      <w:lang w:val="en-US" w:eastAsia="zh-CN"/>
                    </w:rPr>
                    <w:t>隔油池、化粪池</w:t>
                  </w:r>
                  <w:r>
                    <w:rPr>
                      <w:rFonts w:hint="default" w:ascii="Times New Roman" w:hAnsi="Times New Roman" w:cs="Times New Roman"/>
                      <w:color w:val="auto"/>
                      <w:sz w:val="21"/>
                      <w:szCs w:val="21"/>
                      <w:u w:val="none" w:color="auto"/>
                    </w:rPr>
                    <w:t>等）、临时边沟</w:t>
                  </w:r>
                </w:p>
              </w:tc>
              <w:tc>
                <w:tcPr>
                  <w:tcW w:w="945" w:type="pct"/>
                  <w:tcBorders>
                    <w:tl2br w:val="nil"/>
                    <w:tr2bl w:val="nil"/>
                  </w:tcBorders>
                  <w:noWrap w:val="0"/>
                  <w:vAlign w:val="center"/>
                </w:tcPr>
                <w:p w14:paraId="0DEBF6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30</w:t>
                  </w:r>
                </w:p>
              </w:tc>
            </w:tr>
            <w:tr w14:paraId="0C6D88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vMerge w:val="continue"/>
                  <w:tcBorders>
                    <w:tl2br w:val="nil"/>
                    <w:tr2bl w:val="nil"/>
                  </w:tcBorders>
                  <w:noWrap w:val="0"/>
                  <w:vAlign w:val="center"/>
                </w:tcPr>
                <w:p w14:paraId="2996AD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p>
              </w:tc>
              <w:tc>
                <w:tcPr>
                  <w:tcW w:w="913" w:type="pct"/>
                  <w:tcBorders>
                    <w:tl2br w:val="nil"/>
                    <w:tr2bl w:val="nil"/>
                  </w:tcBorders>
                  <w:noWrap w:val="0"/>
                  <w:vAlign w:val="center"/>
                </w:tcPr>
                <w:p w14:paraId="183D8D6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固体废物</w:t>
                  </w:r>
                </w:p>
              </w:tc>
              <w:tc>
                <w:tcPr>
                  <w:tcW w:w="2459" w:type="pct"/>
                  <w:tcBorders>
                    <w:tl2br w:val="nil"/>
                    <w:tr2bl w:val="nil"/>
                  </w:tcBorders>
                  <w:noWrap w:val="0"/>
                  <w:vAlign w:val="center"/>
                </w:tcPr>
                <w:p w14:paraId="35E7F35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建筑垃圾、生活垃圾清运处置等</w:t>
                  </w:r>
                </w:p>
              </w:tc>
              <w:tc>
                <w:tcPr>
                  <w:tcW w:w="945" w:type="pct"/>
                  <w:tcBorders>
                    <w:tl2br w:val="nil"/>
                    <w:tr2bl w:val="nil"/>
                  </w:tcBorders>
                  <w:noWrap w:val="0"/>
                  <w:vAlign w:val="center"/>
                </w:tcPr>
                <w:p w14:paraId="25E869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eastAsia" w:ascii="Times New Roman" w:hAnsi="Times New Roman" w:eastAsia="宋体" w:cs="Times New Roman"/>
                      <w:color w:val="auto"/>
                      <w:sz w:val="21"/>
                      <w:szCs w:val="21"/>
                      <w:u w:val="none" w:color="auto"/>
                      <w:lang w:val="en-US" w:eastAsia="zh-CN"/>
                    </w:rPr>
                    <w:t>2</w:t>
                  </w:r>
                  <w:r>
                    <w:rPr>
                      <w:rFonts w:hint="default" w:ascii="Times New Roman" w:hAnsi="Times New Roman" w:cs="Times New Roman"/>
                      <w:color w:val="auto"/>
                      <w:sz w:val="21"/>
                      <w:szCs w:val="21"/>
                      <w:u w:val="none" w:color="auto"/>
                    </w:rPr>
                    <w:t>0</w:t>
                  </w:r>
                </w:p>
              </w:tc>
            </w:tr>
            <w:tr w14:paraId="20C305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vMerge w:val="continue"/>
                  <w:tcBorders>
                    <w:tl2br w:val="nil"/>
                    <w:tr2bl w:val="nil"/>
                  </w:tcBorders>
                  <w:noWrap w:val="0"/>
                  <w:vAlign w:val="center"/>
                </w:tcPr>
                <w:p w14:paraId="68F19A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p>
              </w:tc>
              <w:tc>
                <w:tcPr>
                  <w:tcW w:w="913" w:type="pct"/>
                  <w:tcBorders>
                    <w:tl2br w:val="nil"/>
                    <w:tr2bl w:val="nil"/>
                  </w:tcBorders>
                  <w:noWrap w:val="0"/>
                  <w:vAlign w:val="center"/>
                </w:tcPr>
                <w:p w14:paraId="1B5F1FE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环境空气</w:t>
                  </w:r>
                </w:p>
              </w:tc>
              <w:tc>
                <w:tcPr>
                  <w:tcW w:w="2459" w:type="pct"/>
                  <w:tcBorders>
                    <w:tl2br w:val="nil"/>
                    <w:tr2bl w:val="nil"/>
                  </w:tcBorders>
                  <w:noWrap w:val="0"/>
                  <w:vAlign w:val="center"/>
                </w:tcPr>
                <w:p w14:paraId="58E47B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建筑材料运输和堆放加棚盖等防尘措施（防尘网、防尘挡板、洒水抑尘、灰土拌合采用全封闭施工等）</w:t>
                  </w:r>
                </w:p>
                <w:p w14:paraId="758598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1、抑尘隔声移动屏障</w:t>
                  </w:r>
                </w:p>
                <w:p w14:paraId="752EE0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2、临时堆土设防尘网</w:t>
                  </w:r>
                </w:p>
                <w:p w14:paraId="187EAA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3、防尘挡板</w:t>
                  </w:r>
                </w:p>
                <w:p w14:paraId="7C0A7C2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4、洒水抑尘（施工道路沿线）</w:t>
                  </w:r>
                </w:p>
              </w:tc>
              <w:tc>
                <w:tcPr>
                  <w:tcW w:w="945" w:type="pct"/>
                  <w:tcBorders>
                    <w:tl2br w:val="nil"/>
                    <w:tr2bl w:val="nil"/>
                  </w:tcBorders>
                  <w:noWrap w:val="0"/>
                  <w:vAlign w:val="center"/>
                </w:tcPr>
                <w:p w14:paraId="5E7C5D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lang w:val="en-US"/>
                    </w:rPr>
                  </w:pPr>
                  <w:r>
                    <w:rPr>
                      <w:rFonts w:hint="eastAsia" w:cs="Times New Roman"/>
                      <w:color w:val="auto"/>
                      <w:sz w:val="21"/>
                      <w:szCs w:val="21"/>
                      <w:u w:val="none" w:color="auto"/>
                      <w:lang w:val="en-US" w:eastAsia="zh-CN"/>
                    </w:rPr>
                    <w:t>60</w:t>
                  </w:r>
                </w:p>
              </w:tc>
            </w:tr>
            <w:tr w14:paraId="66A6C8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82" w:type="pct"/>
                  <w:tcBorders>
                    <w:tl2br w:val="nil"/>
                    <w:tr2bl w:val="nil"/>
                  </w:tcBorders>
                  <w:noWrap w:val="0"/>
                  <w:vAlign w:val="center"/>
                </w:tcPr>
                <w:p w14:paraId="1C3A44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Times New Roman" w:hAnsi="Times New Roman" w:cs="Times New Roman"/>
                      <w:color w:val="auto"/>
                      <w:sz w:val="21"/>
                      <w:szCs w:val="21"/>
                      <w:u w:val="none" w:color="auto"/>
                      <w:lang w:val="en-US" w:eastAsia="zh-CN"/>
                    </w:rPr>
                  </w:pPr>
                  <w:r>
                    <w:rPr>
                      <w:rFonts w:hint="eastAsia" w:ascii="Times New Roman" w:hAnsi="Times New Roman" w:cs="Times New Roman"/>
                      <w:color w:val="auto"/>
                      <w:sz w:val="21"/>
                      <w:szCs w:val="21"/>
                      <w:u w:val="none" w:color="auto"/>
                      <w:lang w:val="en-US" w:eastAsia="zh-CN"/>
                    </w:rPr>
                    <w:t>营运期</w:t>
                  </w:r>
                </w:p>
              </w:tc>
              <w:tc>
                <w:tcPr>
                  <w:tcW w:w="913" w:type="pct"/>
                  <w:tcBorders>
                    <w:tl2br w:val="nil"/>
                    <w:tr2bl w:val="nil"/>
                  </w:tcBorders>
                  <w:noWrap w:val="0"/>
                  <w:vAlign w:val="center"/>
                </w:tcPr>
                <w:p w14:paraId="0C7A6D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声环境</w:t>
                  </w:r>
                </w:p>
              </w:tc>
              <w:tc>
                <w:tcPr>
                  <w:tcW w:w="2459" w:type="pct"/>
                  <w:tcBorders>
                    <w:tl2br w:val="nil"/>
                    <w:tr2bl w:val="nil"/>
                  </w:tcBorders>
                  <w:noWrap w:val="0"/>
                  <w:vAlign w:val="center"/>
                </w:tcPr>
                <w:p w14:paraId="471F1D9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eastAsia" w:ascii="Times New Roman" w:hAnsi="Times New Roman" w:cs="Times New Roman"/>
                      <w:color w:val="auto"/>
                      <w:sz w:val="21"/>
                      <w:szCs w:val="21"/>
                      <w:u w:val="none" w:color="auto"/>
                      <w:lang w:val="en-US" w:eastAsia="zh-CN"/>
                    </w:rPr>
                    <w:t>运营期预留环保资金进行噪声跟踪监测，根据监测结果采取降噪措施。</w:t>
                  </w:r>
                </w:p>
              </w:tc>
              <w:tc>
                <w:tcPr>
                  <w:tcW w:w="945" w:type="pct"/>
                  <w:tcBorders>
                    <w:tl2br w:val="nil"/>
                    <w:tr2bl w:val="nil"/>
                  </w:tcBorders>
                  <w:noWrap w:val="0"/>
                  <w:vAlign w:val="center"/>
                </w:tcPr>
                <w:p w14:paraId="7482F50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lang w:val="en-US" w:eastAsia="zh-CN"/>
                    </w:rPr>
                  </w:pPr>
                  <w:r>
                    <w:rPr>
                      <w:rFonts w:hint="eastAsia" w:ascii="Times New Roman" w:hAnsi="Times New Roman" w:cs="Times New Roman"/>
                      <w:color w:val="auto"/>
                      <w:sz w:val="21"/>
                      <w:szCs w:val="21"/>
                      <w:u w:val="none" w:color="auto"/>
                      <w:lang w:val="en-US" w:eastAsia="zh-CN"/>
                    </w:rPr>
                    <w:t>20</w:t>
                  </w:r>
                </w:p>
              </w:tc>
            </w:tr>
            <w:tr w14:paraId="346161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4054" w:type="pct"/>
                  <w:gridSpan w:val="3"/>
                  <w:tcBorders>
                    <w:tl2br w:val="nil"/>
                    <w:tr2bl w:val="nil"/>
                  </w:tcBorders>
                  <w:noWrap w:val="0"/>
                  <w:vAlign w:val="center"/>
                </w:tcPr>
                <w:p w14:paraId="2B8A2DB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合计</w:t>
                  </w:r>
                </w:p>
              </w:tc>
              <w:tc>
                <w:tcPr>
                  <w:tcW w:w="945" w:type="pct"/>
                  <w:tcBorders>
                    <w:tl2br w:val="nil"/>
                    <w:tr2bl w:val="nil"/>
                  </w:tcBorders>
                  <w:noWrap w:val="0"/>
                  <w:vAlign w:val="center"/>
                </w:tcPr>
                <w:p w14:paraId="1B460B6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220</w:t>
                  </w:r>
                </w:p>
              </w:tc>
            </w:tr>
          </w:tbl>
          <w:p w14:paraId="3DE1448C">
            <w:pPr>
              <w:pStyle w:val="52"/>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cs="宋体"/>
                <w:b/>
                <w:bCs/>
                <w:color w:val="auto"/>
                <w:sz w:val="24"/>
                <w:szCs w:val="21"/>
                <w:u w:val="none" w:color="auto"/>
              </w:rPr>
            </w:pPr>
            <w:r>
              <w:rPr>
                <w:rFonts w:hint="eastAsia" w:cs="宋体"/>
                <w:b/>
                <w:bCs/>
                <w:color w:val="auto"/>
                <w:sz w:val="24"/>
                <w:szCs w:val="21"/>
                <w:u w:val="none" w:color="auto"/>
                <w:lang w:val="en-US" w:eastAsia="zh-CN"/>
              </w:rPr>
              <w:t>2、</w:t>
            </w:r>
            <w:r>
              <w:rPr>
                <w:rFonts w:hint="eastAsia" w:cs="宋体"/>
                <w:b/>
                <w:bCs/>
                <w:color w:val="auto"/>
                <w:sz w:val="24"/>
                <w:szCs w:val="21"/>
                <w:u w:val="none" w:color="auto"/>
              </w:rPr>
              <w:t>竣工环境保护验收</w:t>
            </w:r>
          </w:p>
          <w:p w14:paraId="13EA4700">
            <w:pPr>
              <w:pStyle w:val="52"/>
              <w:spacing w:line="360" w:lineRule="auto"/>
              <w:ind w:firstLine="480" w:firstLineChars="200"/>
              <w:jc w:val="left"/>
              <w:rPr>
                <w:rFonts w:cs="宋体"/>
                <w:color w:val="auto"/>
                <w:sz w:val="24"/>
                <w:szCs w:val="21"/>
                <w:u w:val="none" w:color="auto"/>
              </w:rPr>
            </w:pPr>
            <w:r>
              <w:rPr>
                <w:rFonts w:cs="宋体"/>
                <w:color w:val="auto"/>
                <w:sz w:val="24"/>
                <w:szCs w:val="21"/>
                <w:u w:val="none" w:color="auto"/>
              </w:rPr>
              <w:t>建设项目需要配套建设的环境保护设施，必须与主体工程同时设计、同时施工、同步投产使用。建设单位应按照环境保护行政主管部门规定的标准和程序，对配套建设的环境保护设施进行验收，编制验收报告。除按照国家规定需要保密的情形外，建设单位应当依法向社会公开验收报告。建设项目配套建设的环境保护设施经验收合格，方可投入生产或者使用；未经验收或者验收不合格的，不得投入生产或者使用。</w:t>
            </w:r>
          </w:p>
          <w:p w14:paraId="302240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Cs/>
                <w:color w:val="auto"/>
                <w:spacing w:val="10"/>
                <w:sz w:val="24"/>
                <w:szCs w:val="24"/>
                <w:u w:val="none" w:color="auto"/>
                <w:lang w:val="en-US" w:eastAsia="zh-CN"/>
              </w:rPr>
            </w:pPr>
          </w:p>
        </w:tc>
      </w:tr>
      <w:bookmarkEnd w:id="29"/>
    </w:tbl>
    <w:p w14:paraId="583E7C24">
      <w:pPr>
        <w:rPr>
          <w:rFonts w:hint="default" w:ascii="Times New Roman" w:hAnsi="Times New Roman" w:eastAsia="黑体" w:cs="Times New Roman"/>
          <w:snapToGrid w:val="0"/>
          <w:color w:val="auto"/>
          <w:sz w:val="30"/>
          <w:szCs w:val="30"/>
          <w:u w:val="none" w:color="auto"/>
        </w:rPr>
      </w:pPr>
      <w:bookmarkStart w:id="30" w:name="_Toc16874"/>
      <w:bookmarkStart w:id="31" w:name="_Toc4474"/>
      <w:bookmarkStart w:id="32" w:name="_Toc11421"/>
      <w:bookmarkStart w:id="33" w:name="_Toc12760"/>
      <w:bookmarkStart w:id="34" w:name="_Toc32340"/>
      <w:bookmarkStart w:id="35" w:name="_Toc20635"/>
      <w:bookmarkStart w:id="36" w:name="_Toc26575"/>
      <w:bookmarkStart w:id="37" w:name="_Toc10235"/>
      <w:bookmarkStart w:id="38" w:name="_Toc28325"/>
      <w:bookmarkStart w:id="39" w:name="_Toc16573"/>
      <w:bookmarkStart w:id="40" w:name="_Toc19557"/>
      <w:r>
        <w:rPr>
          <w:rFonts w:hint="default" w:ascii="Times New Roman" w:hAnsi="Times New Roman" w:eastAsia="黑体" w:cs="Times New Roman"/>
          <w:snapToGrid w:val="0"/>
          <w:color w:val="auto"/>
          <w:sz w:val="30"/>
          <w:szCs w:val="30"/>
          <w:u w:val="none" w:color="auto"/>
        </w:rPr>
        <w:br w:type="page"/>
      </w:r>
    </w:p>
    <w:p w14:paraId="32AF0604">
      <w:pPr>
        <w:keepNext w:val="0"/>
        <w:keepLines w:val="0"/>
        <w:pageBreakBefore w:val="0"/>
        <w:widowControl w:val="0"/>
        <w:numPr>
          <w:ilvl w:val="0"/>
          <w:numId w:val="5"/>
        </w:numPr>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eastAsia="黑体" w:cs="Times New Roman"/>
          <w:snapToGrid w:val="0"/>
          <w:color w:val="auto"/>
          <w:sz w:val="30"/>
          <w:szCs w:val="30"/>
          <w:u w:val="none" w:color="auto"/>
        </w:rPr>
      </w:pPr>
      <w:r>
        <w:rPr>
          <w:rFonts w:hint="default" w:ascii="Times New Roman" w:hAnsi="Times New Roman" w:eastAsia="黑体" w:cs="Times New Roman"/>
          <w:snapToGrid w:val="0"/>
          <w:color w:val="auto"/>
          <w:sz w:val="30"/>
          <w:szCs w:val="30"/>
          <w:u w:val="none" w:color="auto"/>
        </w:rPr>
        <w:t>生态环境保护措施监督检查清单</w:t>
      </w:r>
      <w:bookmarkEnd w:id="30"/>
      <w:bookmarkEnd w:id="31"/>
      <w:bookmarkEnd w:id="32"/>
      <w:bookmarkEnd w:id="33"/>
      <w:bookmarkEnd w:id="34"/>
      <w:bookmarkEnd w:id="35"/>
      <w:bookmarkEnd w:id="36"/>
      <w:bookmarkEnd w:id="37"/>
      <w:bookmarkEnd w:id="38"/>
      <w:bookmarkEnd w:id="39"/>
      <w:bookmarkEnd w:id="40"/>
    </w:p>
    <w:p w14:paraId="26D52C81">
      <w:pPr>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outlineLvl w:val="0"/>
        <w:rPr>
          <w:rFonts w:hint="default" w:ascii="Times New Roman" w:hAnsi="Times New Roman" w:eastAsia="黑体" w:cs="Times New Roman"/>
          <w:snapToGrid w:val="0"/>
          <w:color w:val="auto"/>
          <w:sz w:val="30"/>
          <w:szCs w:val="30"/>
          <w:u w:val="none" w:color="auto"/>
        </w:rPr>
      </w:pP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705"/>
        <w:gridCol w:w="1180"/>
        <w:gridCol w:w="2388"/>
        <w:gridCol w:w="1190"/>
      </w:tblGrid>
      <w:tr w14:paraId="4CD11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restart"/>
            <w:tcBorders>
              <w:tl2br w:val="single" w:color="auto" w:sz="4" w:space="0"/>
            </w:tcBorders>
            <w:noWrap w:val="0"/>
            <w:vAlign w:val="top"/>
          </w:tcPr>
          <w:p w14:paraId="0E70A3FF">
            <w:pPr>
              <w:pStyle w:val="76"/>
              <w:bidi w:val="0"/>
              <w:jc w:val="right"/>
              <w:rPr>
                <w:rFonts w:hint="default" w:ascii="Times New Roman" w:hAnsi="Times New Roman" w:cs="Times New Roman"/>
                <w:color w:val="auto"/>
                <w:sz w:val="21"/>
                <w:szCs w:val="21"/>
                <w:u w:val="none" w:color="auto"/>
              </w:rPr>
            </w:pPr>
            <w:bookmarkStart w:id="41" w:name="_Toc23512"/>
            <w:bookmarkStart w:id="42" w:name="_Toc10050"/>
            <w:bookmarkStart w:id="43" w:name="_Toc8513"/>
            <w:bookmarkStart w:id="44" w:name="_Toc3720"/>
            <w:r>
              <w:rPr>
                <w:rFonts w:hint="default" w:ascii="Times New Roman" w:hAnsi="Times New Roman" w:cs="Times New Roman"/>
                <w:color w:val="auto"/>
                <w:sz w:val="21"/>
                <w:szCs w:val="21"/>
                <w:u w:val="none" w:color="auto"/>
              </w:rPr>
              <w:t>内容</w:t>
            </w:r>
            <w:bookmarkEnd w:id="41"/>
            <w:bookmarkEnd w:id="42"/>
            <w:bookmarkEnd w:id="43"/>
            <w:bookmarkEnd w:id="44"/>
          </w:p>
          <w:p w14:paraId="4D1F5695">
            <w:pPr>
              <w:pStyle w:val="76"/>
              <w:bidi w:val="0"/>
              <w:rPr>
                <w:rFonts w:hint="default" w:ascii="Times New Roman" w:hAnsi="Times New Roman" w:cs="Times New Roman"/>
                <w:color w:val="auto"/>
                <w:sz w:val="21"/>
                <w:szCs w:val="21"/>
                <w:u w:val="none" w:color="auto"/>
                <w:lang w:eastAsia="zh-CN"/>
              </w:rPr>
            </w:pPr>
          </w:p>
          <w:p w14:paraId="20C04390">
            <w:pPr>
              <w:pStyle w:val="76"/>
              <w:bidi w:val="0"/>
              <w:jc w:val="left"/>
              <w:rPr>
                <w:rFonts w:hint="default" w:ascii="Times New Roman" w:hAnsi="Times New Roman" w:cs="Times New Roman"/>
                <w:color w:val="auto"/>
                <w:sz w:val="21"/>
                <w:szCs w:val="21"/>
                <w:u w:val="none" w:color="auto"/>
              </w:rPr>
            </w:pPr>
            <w:bookmarkStart w:id="45" w:name="_Toc8231"/>
            <w:bookmarkStart w:id="46" w:name="_Toc13521"/>
            <w:bookmarkStart w:id="47" w:name="_Toc30363"/>
            <w:bookmarkStart w:id="48" w:name="_Toc19374"/>
            <w:r>
              <w:rPr>
                <w:rFonts w:hint="default" w:ascii="Times New Roman" w:hAnsi="Times New Roman" w:cs="Times New Roman"/>
                <w:color w:val="auto"/>
                <w:sz w:val="21"/>
                <w:szCs w:val="21"/>
                <w:u w:val="none" w:color="auto"/>
              </w:rPr>
              <w:t>要素</w:t>
            </w:r>
            <w:bookmarkEnd w:id="45"/>
            <w:bookmarkEnd w:id="46"/>
            <w:bookmarkEnd w:id="47"/>
            <w:bookmarkEnd w:id="48"/>
          </w:p>
        </w:tc>
        <w:tc>
          <w:tcPr>
            <w:tcW w:w="3885" w:type="dxa"/>
            <w:gridSpan w:val="2"/>
            <w:noWrap w:val="0"/>
            <w:vAlign w:val="center"/>
          </w:tcPr>
          <w:p w14:paraId="36D58E99">
            <w:pPr>
              <w:pStyle w:val="76"/>
              <w:bidi w:val="0"/>
              <w:rPr>
                <w:rFonts w:hint="default" w:ascii="Times New Roman" w:hAnsi="Times New Roman" w:cs="Times New Roman"/>
                <w:color w:val="auto"/>
                <w:sz w:val="21"/>
                <w:szCs w:val="21"/>
                <w:u w:val="none" w:color="auto"/>
              </w:rPr>
            </w:pPr>
            <w:bookmarkStart w:id="49" w:name="_Toc11388"/>
            <w:bookmarkStart w:id="50" w:name="_Toc1129"/>
            <w:bookmarkStart w:id="51" w:name="_Toc28752"/>
            <w:bookmarkStart w:id="52" w:name="_Toc1849"/>
            <w:r>
              <w:rPr>
                <w:rFonts w:hint="default" w:ascii="Times New Roman" w:hAnsi="Times New Roman" w:cs="Times New Roman"/>
                <w:color w:val="auto"/>
                <w:sz w:val="21"/>
                <w:szCs w:val="21"/>
                <w:u w:val="none" w:color="auto"/>
              </w:rPr>
              <w:t>施工期</w:t>
            </w:r>
            <w:bookmarkEnd w:id="49"/>
            <w:bookmarkEnd w:id="50"/>
            <w:bookmarkEnd w:id="51"/>
            <w:bookmarkEnd w:id="52"/>
          </w:p>
        </w:tc>
        <w:tc>
          <w:tcPr>
            <w:tcW w:w="3578" w:type="dxa"/>
            <w:gridSpan w:val="2"/>
            <w:noWrap w:val="0"/>
            <w:vAlign w:val="center"/>
          </w:tcPr>
          <w:p w14:paraId="4D858C17">
            <w:pPr>
              <w:pStyle w:val="76"/>
              <w:bidi w:val="0"/>
              <w:rPr>
                <w:rFonts w:hint="default" w:ascii="Times New Roman" w:hAnsi="Times New Roman" w:cs="Times New Roman"/>
                <w:color w:val="auto"/>
                <w:sz w:val="21"/>
                <w:szCs w:val="21"/>
                <w:u w:val="none" w:color="auto"/>
              </w:rPr>
            </w:pPr>
            <w:bookmarkStart w:id="53" w:name="_Toc4675"/>
            <w:bookmarkStart w:id="54" w:name="_Toc27513"/>
            <w:bookmarkStart w:id="55" w:name="_Toc31319"/>
            <w:bookmarkStart w:id="56" w:name="_Toc9079"/>
            <w:r>
              <w:rPr>
                <w:rFonts w:hint="default" w:ascii="Times New Roman" w:hAnsi="Times New Roman" w:cs="Times New Roman"/>
                <w:color w:val="auto"/>
                <w:sz w:val="21"/>
                <w:szCs w:val="21"/>
                <w:u w:val="none" w:color="auto"/>
              </w:rPr>
              <w:t>运营期</w:t>
            </w:r>
            <w:bookmarkEnd w:id="53"/>
            <w:bookmarkEnd w:id="54"/>
            <w:bookmarkEnd w:id="55"/>
            <w:bookmarkEnd w:id="56"/>
          </w:p>
        </w:tc>
      </w:tr>
      <w:tr w14:paraId="145FE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continue"/>
            <w:noWrap w:val="0"/>
            <w:vAlign w:val="top"/>
          </w:tcPr>
          <w:p w14:paraId="15350B73">
            <w:pPr>
              <w:pStyle w:val="76"/>
              <w:bidi w:val="0"/>
              <w:rPr>
                <w:rFonts w:hint="default" w:ascii="Times New Roman" w:hAnsi="Times New Roman" w:cs="Times New Roman"/>
                <w:color w:val="auto"/>
                <w:sz w:val="21"/>
                <w:szCs w:val="21"/>
                <w:u w:val="none" w:color="auto"/>
              </w:rPr>
            </w:pPr>
          </w:p>
        </w:tc>
        <w:tc>
          <w:tcPr>
            <w:tcW w:w="2705" w:type="dxa"/>
            <w:noWrap w:val="0"/>
            <w:vAlign w:val="center"/>
          </w:tcPr>
          <w:p w14:paraId="49240341">
            <w:pPr>
              <w:pStyle w:val="76"/>
              <w:bidi w:val="0"/>
              <w:rPr>
                <w:rFonts w:hint="default" w:ascii="Times New Roman" w:hAnsi="Times New Roman" w:cs="Times New Roman"/>
                <w:color w:val="auto"/>
                <w:sz w:val="21"/>
                <w:szCs w:val="21"/>
                <w:u w:val="none" w:color="auto"/>
              </w:rPr>
            </w:pPr>
            <w:bookmarkStart w:id="57" w:name="_Toc21009"/>
            <w:bookmarkStart w:id="58" w:name="_Toc5515"/>
            <w:bookmarkStart w:id="59" w:name="_Toc8833"/>
            <w:bookmarkStart w:id="60" w:name="_Toc8120"/>
            <w:r>
              <w:rPr>
                <w:rFonts w:hint="default" w:ascii="Times New Roman" w:hAnsi="Times New Roman" w:cs="Times New Roman"/>
                <w:color w:val="auto"/>
                <w:sz w:val="21"/>
                <w:szCs w:val="21"/>
                <w:u w:val="none" w:color="auto"/>
              </w:rPr>
              <w:t>环境保护措施</w:t>
            </w:r>
            <w:bookmarkEnd w:id="57"/>
            <w:bookmarkEnd w:id="58"/>
            <w:bookmarkEnd w:id="59"/>
            <w:bookmarkEnd w:id="60"/>
          </w:p>
        </w:tc>
        <w:tc>
          <w:tcPr>
            <w:tcW w:w="1180" w:type="dxa"/>
            <w:noWrap w:val="0"/>
            <w:vAlign w:val="center"/>
          </w:tcPr>
          <w:p w14:paraId="6F261695">
            <w:pPr>
              <w:pStyle w:val="76"/>
              <w:bidi w:val="0"/>
              <w:rPr>
                <w:rFonts w:hint="default" w:ascii="Times New Roman" w:hAnsi="Times New Roman" w:cs="Times New Roman"/>
                <w:color w:val="auto"/>
                <w:sz w:val="21"/>
                <w:szCs w:val="21"/>
                <w:u w:val="none" w:color="auto"/>
              </w:rPr>
            </w:pPr>
            <w:bookmarkStart w:id="61" w:name="_Toc18000"/>
            <w:bookmarkStart w:id="62" w:name="_Toc10890"/>
            <w:bookmarkStart w:id="63" w:name="_Toc17205"/>
            <w:bookmarkStart w:id="64" w:name="_Toc7915"/>
            <w:r>
              <w:rPr>
                <w:rFonts w:hint="default" w:ascii="Times New Roman" w:hAnsi="Times New Roman" w:cs="Times New Roman"/>
                <w:color w:val="auto"/>
                <w:sz w:val="21"/>
                <w:szCs w:val="21"/>
                <w:u w:val="none" w:color="auto"/>
              </w:rPr>
              <w:t>验收要求</w:t>
            </w:r>
            <w:bookmarkEnd w:id="61"/>
            <w:bookmarkEnd w:id="62"/>
            <w:bookmarkEnd w:id="63"/>
            <w:bookmarkEnd w:id="64"/>
          </w:p>
        </w:tc>
        <w:tc>
          <w:tcPr>
            <w:tcW w:w="2388" w:type="dxa"/>
            <w:noWrap w:val="0"/>
            <w:vAlign w:val="center"/>
          </w:tcPr>
          <w:p w14:paraId="6F7073B4">
            <w:pPr>
              <w:pStyle w:val="76"/>
              <w:bidi w:val="0"/>
              <w:rPr>
                <w:rFonts w:hint="default" w:ascii="Times New Roman" w:hAnsi="Times New Roman" w:cs="Times New Roman"/>
                <w:color w:val="auto"/>
                <w:sz w:val="21"/>
                <w:szCs w:val="21"/>
                <w:u w:val="none" w:color="auto"/>
              </w:rPr>
            </w:pPr>
            <w:bookmarkStart w:id="65" w:name="_Toc9253"/>
            <w:bookmarkStart w:id="66" w:name="_Toc10215"/>
            <w:bookmarkStart w:id="67" w:name="_Toc15063"/>
            <w:bookmarkStart w:id="68" w:name="_Toc638"/>
            <w:r>
              <w:rPr>
                <w:rFonts w:hint="default" w:ascii="Times New Roman" w:hAnsi="Times New Roman" w:cs="Times New Roman"/>
                <w:color w:val="auto"/>
                <w:sz w:val="21"/>
                <w:szCs w:val="21"/>
                <w:u w:val="none" w:color="auto"/>
              </w:rPr>
              <w:t>环境保护措施</w:t>
            </w:r>
            <w:bookmarkEnd w:id="65"/>
            <w:bookmarkEnd w:id="66"/>
            <w:bookmarkEnd w:id="67"/>
            <w:bookmarkEnd w:id="68"/>
          </w:p>
        </w:tc>
        <w:tc>
          <w:tcPr>
            <w:tcW w:w="1190" w:type="dxa"/>
            <w:noWrap w:val="0"/>
            <w:vAlign w:val="center"/>
          </w:tcPr>
          <w:p w14:paraId="2B3E7220">
            <w:pPr>
              <w:pStyle w:val="76"/>
              <w:bidi w:val="0"/>
              <w:rPr>
                <w:rFonts w:hint="default" w:ascii="Times New Roman" w:hAnsi="Times New Roman" w:cs="Times New Roman"/>
                <w:color w:val="auto"/>
                <w:sz w:val="21"/>
                <w:szCs w:val="21"/>
                <w:u w:val="none" w:color="auto"/>
              </w:rPr>
            </w:pPr>
            <w:bookmarkStart w:id="69" w:name="_Toc9006"/>
            <w:bookmarkStart w:id="70" w:name="_Toc25774"/>
            <w:bookmarkStart w:id="71" w:name="_Toc8879"/>
            <w:bookmarkStart w:id="72" w:name="_Toc27204"/>
            <w:r>
              <w:rPr>
                <w:rFonts w:hint="default" w:ascii="Times New Roman" w:hAnsi="Times New Roman" w:cs="Times New Roman"/>
                <w:color w:val="auto"/>
                <w:sz w:val="21"/>
                <w:szCs w:val="21"/>
                <w:u w:val="none" w:color="auto"/>
              </w:rPr>
              <w:t>验收要求</w:t>
            </w:r>
            <w:bookmarkEnd w:id="69"/>
            <w:bookmarkEnd w:id="70"/>
            <w:bookmarkEnd w:id="71"/>
            <w:bookmarkEnd w:id="72"/>
          </w:p>
        </w:tc>
      </w:tr>
      <w:tr w14:paraId="35E22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250642A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陆生生态</w:t>
            </w:r>
          </w:p>
        </w:tc>
        <w:tc>
          <w:tcPr>
            <w:tcW w:w="2705" w:type="dxa"/>
            <w:noWrap w:val="0"/>
            <w:vAlign w:val="center"/>
          </w:tcPr>
          <w:p w14:paraId="54819B5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①合理组织施工、加强施工管理，严格控制施工活动在征地红线范围内进行，减少土地占用；②绿化补偿工作，临时占地生态复垦；③加强对林地、植物保护及恢复；④加强动物保护，严禁捕杀动物；⑤水土保持措施</w:t>
            </w:r>
          </w:p>
        </w:tc>
        <w:tc>
          <w:tcPr>
            <w:tcW w:w="1180" w:type="dxa"/>
            <w:noWrap w:val="0"/>
            <w:vAlign w:val="center"/>
          </w:tcPr>
          <w:p w14:paraId="4134993F">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eastAsia="zh-CN"/>
              </w:rPr>
              <w:t>影响降低到最小</w:t>
            </w:r>
          </w:p>
        </w:tc>
        <w:tc>
          <w:tcPr>
            <w:tcW w:w="2388" w:type="dxa"/>
            <w:vMerge w:val="restart"/>
            <w:noWrap w:val="0"/>
            <w:vAlign w:val="center"/>
          </w:tcPr>
          <w:p w14:paraId="5ACC39B7">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eastAsia="zh-CN"/>
              </w:rPr>
              <w:t>建设单位必须担负生态保护、恢复、补偿、建设和管理责任</w:t>
            </w:r>
          </w:p>
        </w:tc>
        <w:tc>
          <w:tcPr>
            <w:tcW w:w="1190" w:type="dxa"/>
            <w:noWrap w:val="0"/>
            <w:vAlign w:val="center"/>
          </w:tcPr>
          <w:p w14:paraId="77FD6A6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eastAsia="zh-CN"/>
              </w:rPr>
              <w:t>影响降低到最小</w:t>
            </w:r>
          </w:p>
        </w:tc>
      </w:tr>
      <w:tr w14:paraId="27421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2B8119F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水生生态</w:t>
            </w:r>
          </w:p>
        </w:tc>
        <w:tc>
          <w:tcPr>
            <w:tcW w:w="2705" w:type="dxa"/>
            <w:noWrap w:val="0"/>
            <w:vAlign w:val="center"/>
          </w:tcPr>
          <w:p w14:paraId="1C03302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val="en-US" w:eastAsia="zh-CN"/>
              </w:rPr>
              <w:t>--</w:t>
            </w:r>
          </w:p>
        </w:tc>
        <w:tc>
          <w:tcPr>
            <w:tcW w:w="1180" w:type="dxa"/>
            <w:noWrap w:val="0"/>
            <w:vAlign w:val="center"/>
          </w:tcPr>
          <w:p w14:paraId="162801D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eastAsia="zh-CN"/>
              </w:rPr>
              <w:t>影响降低到最小</w:t>
            </w:r>
          </w:p>
        </w:tc>
        <w:tc>
          <w:tcPr>
            <w:tcW w:w="2388" w:type="dxa"/>
            <w:vMerge w:val="continue"/>
            <w:noWrap w:val="0"/>
            <w:vAlign w:val="center"/>
          </w:tcPr>
          <w:p w14:paraId="212F2683">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p>
        </w:tc>
        <w:tc>
          <w:tcPr>
            <w:tcW w:w="1190" w:type="dxa"/>
            <w:noWrap w:val="0"/>
            <w:vAlign w:val="center"/>
          </w:tcPr>
          <w:p w14:paraId="220757AD">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eastAsia="zh-CN"/>
              </w:rPr>
              <w:t>影响降低到最小</w:t>
            </w:r>
          </w:p>
        </w:tc>
      </w:tr>
      <w:tr w14:paraId="2ED46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0338E738">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地表水</w:t>
            </w:r>
          </w:p>
          <w:p w14:paraId="4B64D62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w:t>
            </w:r>
          </w:p>
        </w:tc>
        <w:tc>
          <w:tcPr>
            <w:tcW w:w="2705" w:type="dxa"/>
            <w:noWrap w:val="0"/>
            <w:vAlign w:val="center"/>
          </w:tcPr>
          <w:p w14:paraId="0187D237">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rPr>
            </w:pPr>
            <w:r>
              <w:rPr>
                <w:rFonts w:hint="eastAsia" w:ascii="Times New Roman" w:hAnsi="Times New Roman" w:eastAsia="宋体" w:cs="Times New Roman"/>
                <w:color w:val="auto"/>
                <w:sz w:val="18"/>
                <w:szCs w:val="18"/>
                <w:u w:val="none" w:color="auto"/>
                <w:lang w:val="en-US" w:eastAsia="zh-CN"/>
              </w:rPr>
              <w:t>隔油池+沉淀池+回用降尘</w:t>
            </w:r>
          </w:p>
        </w:tc>
        <w:tc>
          <w:tcPr>
            <w:tcW w:w="1180" w:type="dxa"/>
            <w:noWrap w:val="0"/>
            <w:vAlign w:val="center"/>
          </w:tcPr>
          <w:p w14:paraId="1098879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不得外排</w:t>
            </w:r>
          </w:p>
        </w:tc>
        <w:tc>
          <w:tcPr>
            <w:tcW w:w="2388" w:type="dxa"/>
            <w:noWrap w:val="0"/>
            <w:vAlign w:val="center"/>
          </w:tcPr>
          <w:p w14:paraId="4802C61D">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0CAE15E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0CD447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6C1431C8">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地下水及土壤环境</w:t>
            </w:r>
          </w:p>
        </w:tc>
        <w:tc>
          <w:tcPr>
            <w:tcW w:w="2705" w:type="dxa"/>
            <w:noWrap w:val="0"/>
            <w:vAlign w:val="center"/>
          </w:tcPr>
          <w:p w14:paraId="7C276C53">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w:t>
            </w:r>
          </w:p>
        </w:tc>
        <w:tc>
          <w:tcPr>
            <w:tcW w:w="1180" w:type="dxa"/>
            <w:noWrap w:val="0"/>
            <w:vAlign w:val="center"/>
          </w:tcPr>
          <w:p w14:paraId="7834BE27">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2388" w:type="dxa"/>
            <w:noWrap w:val="0"/>
            <w:vAlign w:val="center"/>
          </w:tcPr>
          <w:p w14:paraId="565F1E62">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3AB6E10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1C2C4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2B18748B">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声环境</w:t>
            </w:r>
          </w:p>
        </w:tc>
        <w:tc>
          <w:tcPr>
            <w:tcW w:w="2705" w:type="dxa"/>
            <w:noWrap w:val="0"/>
            <w:vAlign w:val="center"/>
          </w:tcPr>
          <w:p w14:paraId="45B53E02">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rPr>
              <w:t>减震、隔声</w:t>
            </w:r>
          </w:p>
        </w:tc>
        <w:tc>
          <w:tcPr>
            <w:tcW w:w="1180" w:type="dxa"/>
            <w:noWrap w:val="0"/>
            <w:vAlign w:val="center"/>
          </w:tcPr>
          <w:p w14:paraId="4D2B0AA7">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eastAsia="zh-CN"/>
              </w:rPr>
              <w:t>《</w:t>
            </w:r>
            <w:r>
              <w:rPr>
                <w:rFonts w:hint="eastAsia" w:ascii="Times New Roman" w:hAnsi="Times New Roman" w:eastAsia="宋体" w:cs="Times New Roman"/>
                <w:color w:val="auto"/>
                <w:sz w:val="18"/>
                <w:szCs w:val="18"/>
                <w:u w:val="none" w:color="auto"/>
                <w:lang w:eastAsia="zh-CN"/>
              </w:rPr>
              <w:t>建筑施工噪声排放标准</w:t>
            </w:r>
            <w:r>
              <w:rPr>
                <w:rFonts w:hint="default" w:ascii="Times New Roman" w:hAnsi="Times New Roman" w:eastAsia="宋体" w:cs="Times New Roman"/>
                <w:color w:val="auto"/>
                <w:sz w:val="18"/>
                <w:szCs w:val="18"/>
                <w:u w:val="none" w:color="auto"/>
                <w:lang w:eastAsia="zh-CN"/>
              </w:rPr>
              <w:t>》（GB12523-20</w:t>
            </w:r>
            <w:r>
              <w:rPr>
                <w:rFonts w:hint="eastAsia" w:ascii="Times New Roman" w:hAnsi="Times New Roman" w:eastAsia="宋体" w:cs="Times New Roman"/>
                <w:color w:val="auto"/>
                <w:sz w:val="18"/>
                <w:szCs w:val="18"/>
                <w:u w:val="none" w:color="auto"/>
                <w:lang w:val="en-US" w:eastAsia="zh-CN"/>
              </w:rPr>
              <w:t>25</w:t>
            </w:r>
            <w:r>
              <w:rPr>
                <w:rFonts w:hint="default" w:ascii="Times New Roman" w:hAnsi="Times New Roman" w:eastAsia="宋体" w:cs="Times New Roman"/>
                <w:color w:val="auto"/>
                <w:sz w:val="18"/>
                <w:szCs w:val="18"/>
                <w:u w:val="none" w:color="auto"/>
                <w:lang w:eastAsia="zh-CN"/>
              </w:rPr>
              <w:t>）</w:t>
            </w:r>
          </w:p>
        </w:tc>
        <w:tc>
          <w:tcPr>
            <w:tcW w:w="2388" w:type="dxa"/>
            <w:noWrap w:val="0"/>
            <w:vAlign w:val="center"/>
          </w:tcPr>
          <w:p w14:paraId="222AAFF7">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 xml:space="preserve">在噪声敏感建筑物集中区域 </w:t>
            </w:r>
          </w:p>
          <w:p w14:paraId="5F1188F6">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 xml:space="preserve">设置限速、禁鸣标志；预留环保资金进行噪声跟踪监测，结合监测结果采取声环境保护措施；加强交通管 </w:t>
            </w:r>
          </w:p>
          <w:p w14:paraId="6F8B5BF1">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理；加强道路养护；加强绿化；管理部门加强车辆管理；规划部门做好片区规划。</w:t>
            </w:r>
          </w:p>
        </w:tc>
        <w:tc>
          <w:tcPr>
            <w:tcW w:w="1190" w:type="dxa"/>
            <w:noWrap w:val="0"/>
            <w:vAlign w:val="center"/>
          </w:tcPr>
          <w:p w14:paraId="666B7D83">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rPr>
            </w:pPr>
            <w:r>
              <w:rPr>
                <w:rFonts w:hint="eastAsia" w:ascii="Times New Roman" w:hAnsi="Times New Roman" w:eastAsia="宋体" w:cs="Times New Roman"/>
                <w:color w:val="auto"/>
                <w:sz w:val="18"/>
                <w:szCs w:val="18"/>
                <w:u w:val="none" w:color="auto"/>
                <w:lang w:val="en-US" w:eastAsia="zh-CN"/>
              </w:rPr>
              <w:t>《声环境质 量标准》（</w:t>
            </w:r>
            <w:r>
              <w:rPr>
                <w:rFonts w:hint="default" w:ascii="Times New Roman" w:hAnsi="Times New Roman" w:eastAsia="宋体" w:cs="Times New Roman"/>
                <w:color w:val="auto"/>
                <w:sz w:val="18"/>
                <w:szCs w:val="18"/>
                <w:u w:val="none" w:color="auto"/>
                <w:lang w:val="en-US" w:eastAsia="zh-CN"/>
              </w:rPr>
              <w:t>GB3096-2008</w:t>
            </w:r>
            <w:r>
              <w:rPr>
                <w:rFonts w:hint="eastAsia" w:ascii="Times New Roman" w:hAnsi="Times New Roman" w:eastAsia="宋体" w:cs="Times New Roman"/>
                <w:color w:val="auto"/>
                <w:sz w:val="18"/>
                <w:szCs w:val="18"/>
                <w:u w:val="none" w:color="auto"/>
                <w:lang w:val="en-US" w:eastAsia="zh-CN"/>
              </w:rPr>
              <w:t>）中</w:t>
            </w:r>
            <w:r>
              <w:rPr>
                <w:rFonts w:hint="default" w:ascii="Times New Roman" w:hAnsi="Times New Roman" w:eastAsia="宋体" w:cs="Times New Roman"/>
                <w:color w:val="auto"/>
                <w:sz w:val="18"/>
                <w:szCs w:val="18"/>
                <w:u w:val="none" w:color="auto"/>
                <w:lang w:val="en-US" w:eastAsia="zh-CN"/>
              </w:rPr>
              <w:t>2</w:t>
            </w:r>
            <w:r>
              <w:rPr>
                <w:rFonts w:hint="eastAsia" w:ascii="Times New Roman" w:hAnsi="Times New Roman" w:eastAsia="宋体" w:cs="Times New Roman"/>
                <w:color w:val="auto"/>
                <w:sz w:val="18"/>
                <w:szCs w:val="18"/>
                <w:u w:val="none" w:color="auto"/>
                <w:lang w:val="en-US" w:eastAsia="zh-CN"/>
              </w:rPr>
              <w:t>类标准</w:t>
            </w:r>
          </w:p>
          <w:p w14:paraId="1C9874B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p>
        </w:tc>
      </w:tr>
      <w:tr w14:paraId="5A6FE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noWrap w:val="0"/>
            <w:vAlign w:val="center"/>
          </w:tcPr>
          <w:p w14:paraId="14D29C2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振动</w:t>
            </w:r>
          </w:p>
        </w:tc>
        <w:tc>
          <w:tcPr>
            <w:tcW w:w="2705" w:type="dxa"/>
            <w:shd w:val="clear" w:color="auto" w:fill="auto"/>
            <w:noWrap w:val="0"/>
            <w:vAlign w:val="center"/>
          </w:tcPr>
          <w:p w14:paraId="3F0DF767">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w:t>
            </w:r>
          </w:p>
        </w:tc>
        <w:tc>
          <w:tcPr>
            <w:tcW w:w="1180" w:type="dxa"/>
            <w:shd w:val="clear" w:color="auto" w:fill="auto"/>
            <w:noWrap w:val="0"/>
            <w:vAlign w:val="center"/>
          </w:tcPr>
          <w:p w14:paraId="602D3A3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w:t>
            </w:r>
          </w:p>
        </w:tc>
        <w:tc>
          <w:tcPr>
            <w:tcW w:w="2388" w:type="dxa"/>
            <w:noWrap w:val="0"/>
            <w:vAlign w:val="center"/>
          </w:tcPr>
          <w:p w14:paraId="1752C6A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6333CC0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3A963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5BFB472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大气环境</w:t>
            </w:r>
          </w:p>
        </w:tc>
        <w:tc>
          <w:tcPr>
            <w:tcW w:w="2705" w:type="dxa"/>
            <w:noWrap w:val="0"/>
            <w:vAlign w:val="center"/>
          </w:tcPr>
          <w:p w14:paraId="6B8772B4">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①施工临时</w:t>
            </w:r>
            <w:r>
              <w:rPr>
                <w:rFonts w:hint="default" w:ascii="Times New Roman" w:hAnsi="Times New Roman" w:eastAsia="宋体" w:cs="Times New Roman"/>
                <w:color w:val="auto"/>
                <w:sz w:val="18"/>
                <w:szCs w:val="18"/>
                <w:u w:val="none" w:color="auto"/>
                <w:lang w:val="en-US" w:eastAsia="zh-CN"/>
              </w:rPr>
              <w:t>道路硬化，配备移动洒水设备；</w:t>
            </w:r>
          </w:p>
          <w:p w14:paraId="61F32044">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②</w:t>
            </w:r>
            <w:r>
              <w:rPr>
                <w:rFonts w:hint="default" w:ascii="Times New Roman" w:hAnsi="Times New Roman" w:eastAsia="宋体" w:cs="Times New Roman"/>
                <w:color w:val="auto"/>
                <w:sz w:val="18"/>
                <w:szCs w:val="18"/>
                <w:u w:val="none" w:color="auto"/>
                <w:lang w:val="en-US" w:eastAsia="zh-CN"/>
              </w:rPr>
              <w:t>临时堆料场采用围蔽和彩条布覆盖；</w:t>
            </w:r>
          </w:p>
          <w:p w14:paraId="6AEDE712">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③</w:t>
            </w:r>
            <w:r>
              <w:rPr>
                <w:rFonts w:hint="default" w:ascii="Times New Roman" w:hAnsi="Times New Roman" w:eastAsia="宋体" w:cs="Times New Roman"/>
                <w:color w:val="auto"/>
                <w:sz w:val="18"/>
                <w:szCs w:val="18"/>
                <w:u w:val="none" w:color="auto"/>
                <w:lang w:val="en-US" w:eastAsia="zh-CN"/>
              </w:rPr>
              <w:t>尽量选用低能耗、低污染排放的施工机械、车辆，</w:t>
            </w:r>
            <w:r>
              <w:rPr>
                <w:rFonts w:hint="eastAsia" w:ascii="Times New Roman" w:hAnsi="Times New Roman" w:eastAsia="宋体" w:cs="Times New Roman"/>
                <w:color w:val="auto"/>
                <w:sz w:val="18"/>
                <w:szCs w:val="18"/>
                <w:u w:val="none" w:color="auto"/>
                <w:lang w:val="en-US" w:eastAsia="zh-CN"/>
              </w:rPr>
              <w:t>做好交通管理，限制车辆行驶速度，</w:t>
            </w:r>
            <w:r>
              <w:rPr>
                <w:rFonts w:hint="default" w:ascii="Times New Roman" w:hAnsi="Times New Roman" w:eastAsia="宋体" w:cs="Times New Roman"/>
                <w:color w:val="auto"/>
                <w:sz w:val="18"/>
                <w:szCs w:val="18"/>
                <w:u w:val="none" w:color="auto"/>
                <w:lang w:val="en-US" w:eastAsia="zh-CN"/>
              </w:rPr>
              <w:t>如需灰渣、水泥等粉状物料等建材</w:t>
            </w:r>
            <w:r>
              <w:rPr>
                <w:rFonts w:hint="eastAsia" w:ascii="Times New Roman" w:hAnsi="Times New Roman" w:eastAsia="宋体" w:cs="Times New Roman"/>
                <w:color w:val="auto"/>
                <w:sz w:val="18"/>
                <w:szCs w:val="18"/>
                <w:u w:val="none" w:color="auto"/>
                <w:lang w:val="en-US" w:eastAsia="zh-CN"/>
              </w:rPr>
              <w:t>时</w:t>
            </w:r>
            <w:r>
              <w:rPr>
                <w:rFonts w:hint="default" w:ascii="Times New Roman" w:hAnsi="Times New Roman" w:eastAsia="宋体" w:cs="Times New Roman"/>
                <w:color w:val="auto"/>
                <w:sz w:val="18"/>
                <w:szCs w:val="18"/>
                <w:u w:val="none" w:color="auto"/>
                <w:lang w:val="en-US" w:eastAsia="zh-CN"/>
              </w:rPr>
              <w:t>，运输时应采用密闭式槽车运输</w:t>
            </w:r>
            <w:r>
              <w:rPr>
                <w:rFonts w:hint="eastAsia" w:ascii="Times New Roman" w:hAnsi="Times New Roman" w:eastAsia="宋体" w:cs="Times New Roman"/>
                <w:color w:val="auto"/>
                <w:sz w:val="18"/>
                <w:szCs w:val="18"/>
                <w:u w:val="none" w:color="auto"/>
                <w:lang w:val="en-US" w:eastAsia="zh-CN"/>
              </w:rPr>
              <w:t>；</w:t>
            </w:r>
          </w:p>
          <w:p w14:paraId="3E5B2B68">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④</w:t>
            </w:r>
            <w:r>
              <w:rPr>
                <w:rFonts w:hint="default" w:ascii="Times New Roman" w:hAnsi="Times New Roman" w:eastAsia="宋体" w:cs="Times New Roman"/>
                <w:color w:val="auto"/>
                <w:sz w:val="18"/>
                <w:szCs w:val="18"/>
                <w:u w:val="none" w:color="auto"/>
                <w:lang w:val="en-US" w:eastAsia="zh-CN"/>
              </w:rPr>
              <w:t>施工机械使用清洁柴油</w:t>
            </w:r>
            <w:r>
              <w:rPr>
                <w:rFonts w:hint="eastAsia" w:ascii="Times New Roman" w:hAnsi="Times New Roman" w:eastAsia="宋体" w:cs="Times New Roman"/>
                <w:color w:val="auto"/>
                <w:sz w:val="18"/>
                <w:szCs w:val="18"/>
                <w:u w:val="none" w:color="auto"/>
                <w:lang w:val="en-US" w:eastAsia="zh-CN"/>
              </w:rPr>
              <w:t>。</w:t>
            </w:r>
          </w:p>
        </w:tc>
        <w:tc>
          <w:tcPr>
            <w:tcW w:w="1180" w:type="dxa"/>
            <w:noWrap w:val="0"/>
            <w:vAlign w:val="center"/>
          </w:tcPr>
          <w:p w14:paraId="1147BC3E">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符合</w:t>
            </w:r>
            <w:r>
              <w:rPr>
                <w:rFonts w:hint="default" w:ascii="Times New Roman" w:hAnsi="Times New Roman" w:eastAsia="宋体" w:cs="Times New Roman"/>
                <w:color w:val="auto"/>
                <w:sz w:val="18"/>
                <w:szCs w:val="18"/>
                <w:u w:val="none" w:color="auto"/>
                <w:lang w:val="en-US" w:eastAsia="zh-CN"/>
              </w:rPr>
              <w:t>《大气污染物综合排放标准》</w:t>
            </w:r>
            <w:r>
              <w:rPr>
                <w:rFonts w:hint="eastAsia" w:ascii="Times New Roman" w:hAnsi="Times New Roman" w:eastAsia="宋体" w:cs="Times New Roman"/>
                <w:color w:val="auto"/>
                <w:sz w:val="18"/>
                <w:szCs w:val="18"/>
                <w:u w:val="none" w:color="auto"/>
                <w:lang w:val="en-US" w:eastAsia="zh-CN"/>
              </w:rPr>
              <w:t>（GB16297-1996）</w:t>
            </w:r>
            <w:r>
              <w:rPr>
                <w:rFonts w:hint="default" w:ascii="Times New Roman" w:hAnsi="Times New Roman" w:eastAsia="宋体" w:cs="Times New Roman"/>
                <w:color w:val="auto"/>
                <w:sz w:val="18"/>
                <w:szCs w:val="18"/>
                <w:u w:val="none" w:color="auto"/>
                <w:lang w:val="en-US" w:eastAsia="zh-CN"/>
              </w:rPr>
              <w:t>表2</w:t>
            </w:r>
            <w:r>
              <w:rPr>
                <w:rFonts w:hint="eastAsia" w:ascii="Times New Roman" w:hAnsi="Times New Roman" w:eastAsia="宋体" w:cs="Times New Roman"/>
                <w:color w:val="auto"/>
                <w:sz w:val="18"/>
                <w:szCs w:val="18"/>
                <w:u w:val="none" w:color="auto"/>
                <w:lang w:val="en-US" w:eastAsia="zh-CN"/>
              </w:rPr>
              <w:t>无组织排放监控浓度限值</w:t>
            </w:r>
          </w:p>
        </w:tc>
        <w:tc>
          <w:tcPr>
            <w:tcW w:w="2388" w:type="dxa"/>
            <w:noWrap w:val="0"/>
            <w:vAlign w:val="center"/>
          </w:tcPr>
          <w:p w14:paraId="6C1EFF2F">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加强绿化；加强道路养护；加强交通管理；加强车辆管理；鼓励使用新能源汽车。</w:t>
            </w:r>
          </w:p>
        </w:tc>
        <w:tc>
          <w:tcPr>
            <w:tcW w:w="1190" w:type="dxa"/>
            <w:noWrap w:val="0"/>
            <w:vAlign w:val="center"/>
          </w:tcPr>
          <w:p w14:paraId="5D06DE0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w:t>
            </w:r>
          </w:p>
        </w:tc>
      </w:tr>
      <w:tr w14:paraId="665C1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00BDC96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固体废物</w:t>
            </w:r>
          </w:p>
        </w:tc>
        <w:tc>
          <w:tcPr>
            <w:tcW w:w="2705" w:type="dxa"/>
            <w:noWrap w:val="0"/>
            <w:vAlign w:val="center"/>
          </w:tcPr>
          <w:p w14:paraId="36D241A6">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①施工机械设备维修、保养产生的废机油按规范要求进行暂存、运输，并委托有资质单位合规处置；</w:t>
            </w:r>
          </w:p>
          <w:p w14:paraId="79658636">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②生活区内放置垃圾收集设施，委托专人或当地环卫部门定期清运。</w:t>
            </w:r>
          </w:p>
          <w:p w14:paraId="2AF05C7F">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③项目开挖土石方回填于项目内低洼地带。</w:t>
            </w:r>
          </w:p>
        </w:tc>
        <w:tc>
          <w:tcPr>
            <w:tcW w:w="1180" w:type="dxa"/>
            <w:noWrap w:val="0"/>
            <w:vAlign w:val="center"/>
          </w:tcPr>
          <w:p w14:paraId="4090C59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落实相关措施，无乱丢乱弃</w:t>
            </w:r>
            <w:r>
              <w:rPr>
                <w:rFonts w:hint="eastAsia" w:ascii="Times New Roman" w:hAnsi="Times New Roman" w:eastAsia="宋体" w:cs="Times New Roman"/>
                <w:color w:val="auto"/>
                <w:sz w:val="18"/>
                <w:szCs w:val="18"/>
                <w:u w:val="none" w:color="auto"/>
                <w:lang w:val="en-US" w:eastAsia="zh-CN"/>
              </w:rPr>
              <w:t>。</w:t>
            </w:r>
          </w:p>
        </w:tc>
        <w:tc>
          <w:tcPr>
            <w:tcW w:w="2388" w:type="dxa"/>
            <w:noWrap w:val="0"/>
            <w:vAlign w:val="center"/>
          </w:tcPr>
          <w:p w14:paraId="31C204A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29B8E54E">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162857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61316D31">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电磁环境</w:t>
            </w:r>
          </w:p>
        </w:tc>
        <w:tc>
          <w:tcPr>
            <w:tcW w:w="2705" w:type="dxa"/>
            <w:noWrap w:val="0"/>
            <w:vAlign w:val="center"/>
          </w:tcPr>
          <w:p w14:paraId="5973B22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80" w:type="dxa"/>
            <w:noWrap w:val="0"/>
            <w:vAlign w:val="center"/>
          </w:tcPr>
          <w:p w14:paraId="6DCF7E86">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2388" w:type="dxa"/>
            <w:noWrap w:val="0"/>
            <w:vAlign w:val="center"/>
          </w:tcPr>
          <w:p w14:paraId="38D478F3">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7A20AD5E">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29B5B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378EC6A9">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环境风险</w:t>
            </w:r>
          </w:p>
        </w:tc>
        <w:tc>
          <w:tcPr>
            <w:tcW w:w="2705" w:type="dxa"/>
            <w:noWrap w:val="0"/>
            <w:vAlign w:val="center"/>
          </w:tcPr>
          <w:p w14:paraId="5A745711">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①做好施工维修、保养工作</w:t>
            </w:r>
          </w:p>
          <w:p w14:paraId="320D39F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②合理安排施工期，时刻关注天气变化，避免在恶劣天气等不利条件下施工。</w:t>
            </w:r>
          </w:p>
        </w:tc>
        <w:tc>
          <w:tcPr>
            <w:tcW w:w="1180" w:type="dxa"/>
            <w:noWrap w:val="0"/>
            <w:vAlign w:val="center"/>
          </w:tcPr>
          <w:p w14:paraId="7D54D36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eastAsia="zh-CN"/>
              </w:rPr>
              <w:t>环境风险可控</w:t>
            </w:r>
          </w:p>
        </w:tc>
        <w:tc>
          <w:tcPr>
            <w:tcW w:w="2388" w:type="dxa"/>
            <w:noWrap w:val="0"/>
            <w:vAlign w:val="center"/>
          </w:tcPr>
          <w:p w14:paraId="7A542A0C">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val="en-US" w:eastAsia="zh-CN"/>
              </w:rPr>
              <w:t xml:space="preserve">按计划对道路及周边敏感点 </w:t>
            </w:r>
          </w:p>
          <w:p w14:paraId="78AFBF0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val="en-US" w:eastAsia="zh-CN"/>
              </w:rPr>
              <w:t>进行噪声监测</w:t>
            </w:r>
          </w:p>
        </w:tc>
        <w:tc>
          <w:tcPr>
            <w:tcW w:w="1190" w:type="dxa"/>
            <w:noWrap w:val="0"/>
            <w:vAlign w:val="center"/>
          </w:tcPr>
          <w:p w14:paraId="003F0E3D">
            <w:pPr>
              <w:keepNext w:val="0"/>
              <w:keepLines w:val="0"/>
              <w:suppressLineNumbers w:val="0"/>
              <w:adjustRightInd w:val="0"/>
              <w:snapToGrid w:val="0"/>
              <w:spacing w:before="0" w:beforeAutospacing="0" w:after="0" w:afterAutospacing="0"/>
              <w:ind w:left="0" w:right="0"/>
              <w:jc w:val="left"/>
              <w:rPr>
                <w:rFonts w:hint="eastAsia" w:ascii="Times New Roman" w:hAnsi="Times New Roman" w:eastAsia="宋体" w:cs="Times New Roman"/>
                <w:color w:val="auto"/>
                <w:sz w:val="18"/>
                <w:szCs w:val="18"/>
                <w:u w:val="none" w:color="auto"/>
                <w:lang w:eastAsia="zh-CN"/>
              </w:rPr>
            </w:pPr>
            <w:r>
              <w:rPr>
                <w:rFonts w:hint="eastAsia" w:ascii="Times New Roman" w:hAnsi="Times New Roman" w:eastAsia="宋体" w:cs="Times New Roman"/>
                <w:color w:val="auto"/>
                <w:sz w:val="18"/>
                <w:szCs w:val="18"/>
                <w:u w:val="none" w:color="auto"/>
                <w:lang w:val="en-US" w:eastAsia="zh-CN"/>
              </w:rPr>
              <w:t>环境监测结果达标</w:t>
            </w:r>
          </w:p>
          <w:p w14:paraId="6C714961">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p>
        </w:tc>
      </w:tr>
      <w:tr w14:paraId="6D305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67C91D0A">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环境监测</w:t>
            </w:r>
          </w:p>
        </w:tc>
        <w:tc>
          <w:tcPr>
            <w:tcW w:w="2705" w:type="dxa"/>
            <w:noWrap w:val="0"/>
            <w:vAlign w:val="center"/>
          </w:tcPr>
          <w:p w14:paraId="47724AD6">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eastAsia" w:ascii="Times New Roman" w:hAnsi="Times New Roman" w:eastAsia="宋体" w:cs="Times New Roman"/>
                <w:color w:val="auto"/>
                <w:sz w:val="18"/>
                <w:szCs w:val="18"/>
                <w:u w:val="none" w:color="auto"/>
                <w:lang w:val="en-US" w:eastAsia="zh-CN"/>
              </w:rPr>
              <w:t>施工期废气、噪声</w:t>
            </w:r>
          </w:p>
        </w:tc>
        <w:tc>
          <w:tcPr>
            <w:tcW w:w="1180" w:type="dxa"/>
            <w:noWrap w:val="0"/>
            <w:vAlign w:val="center"/>
          </w:tcPr>
          <w:p w14:paraId="01CF2BE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rPr>
              <w:t>详见</w:t>
            </w:r>
            <w:r>
              <w:rPr>
                <w:rFonts w:hint="eastAsia" w:ascii="Times New Roman" w:hAnsi="Times New Roman" w:eastAsia="宋体" w:cs="Times New Roman"/>
                <w:color w:val="auto"/>
                <w:sz w:val="18"/>
                <w:szCs w:val="18"/>
                <w:u w:val="none" w:color="auto"/>
                <w:lang w:val="en-US" w:eastAsia="zh-CN"/>
              </w:rPr>
              <w:t>表5-1</w:t>
            </w:r>
          </w:p>
        </w:tc>
        <w:tc>
          <w:tcPr>
            <w:tcW w:w="2388" w:type="dxa"/>
            <w:noWrap w:val="0"/>
            <w:vAlign w:val="center"/>
          </w:tcPr>
          <w:p w14:paraId="7E3BC92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01EE02BD">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r w14:paraId="3D4A8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14:paraId="12E1744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其他</w:t>
            </w:r>
          </w:p>
        </w:tc>
        <w:tc>
          <w:tcPr>
            <w:tcW w:w="2705" w:type="dxa"/>
            <w:noWrap w:val="0"/>
            <w:vAlign w:val="center"/>
          </w:tcPr>
          <w:p w14:paraId="70E8ED0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80" w:type="dxa"/>
            <w:noWrap w:val="0"/>
            <w:vAlign w:val="center"/>
          </w:tcPr>
          <w:p w14:paraId="3D19D55D">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2388" w:type="dxa"/>
            <w:noWrap w:val="0"/>
            <w:vAlign w:val="center"/>
          </w:tcPr>
          <w:p w14:paraId="1BC084A0">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c>
          <w:tcPr>
            <w:tcW w:w="1190" w:type="dxa"/>
            <w:noWrap w:val="0"/>
            <w:vAlign w:val="center"/>
          </w:tcPr>
          <w:p w14:paraId="54FDD3AC">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w:t>
            </w:r>
          </w:p>
        </w:tc>
      </w:tr>
    </w:tbl>
    <w:p w14:paraId="761E687A">
      <w:pPr>
        <w:pStyle w:val="21"/>
        <w:jc w:val="center"/>
        <w:outlineLvl w:val="0"/>
        <w:rPr>
          <w:rFonts w:ascii="黑体" w:hAnsi="黑体" w:eastAsia="黑体"/>
          <w:snapToGrid w:val="0"/>
          <w:color w:val="auto"/>
          <w:sz w:val="30"/>
          <w:szCs w:val="30"/>
          <w:u w:val="none" w:color="auto"/>
        </w:rPr>
      </w:pPr>
      <w:r>
        <w:rPr>
          <w:snapToGrid w:val="0"/>
          <w:color w:val="auto"/>
          <w:u w:val="none" w:color="auto"/>
        </w:rPr>
        <w:br w:type="page"/>
      </w:r>
      <w:bookmarkStart w:id="73" w:name="_Toc32732"/>
      <w:bookmarkStart w:id="74" w:name="_Toc10442"/>
      <w:bookmarkStart w:id="75" w:name="_Toc30737"/>
      <w:bookmarkStart w:id="76" w:name="_Toc17058"/>
      <w:r>
        <w:rPr>
          <w:rFonts w:hint="eastAsia"/>
          <w:b/>
          <w:bCs/>
          <w:snapToGrid w:val="0"/>
          <w:color w:val="auto"/>
          <w:u w:val="none" w:color="auto"/>
          <w:lang w:val="en-US" w:eastAsia="zh-CN"/>
        </w:rPr>
        <w:t>七</w:t>
      </w:r>
      <w:r>
        <w:rPr>
          <w:rFonts w:hint="eastAsia" w:ascii="黑体" w:hAnsi="黑体" w:eastAsia="黑体"/>
          <w:b/>
          <w:bCs/>
          <w:snapToGrid w:val="0"/>
          <w:color w:val="auto"/>
          <w:sz w:val="30"/>
          <w:szCs w:val="30"/>
          <w:u w:val="none" w:color="auto"/>
        </w:rPr>
        <w:t>、结论</w:t>
      </w:r>
      <w:bookmarkEnd w:id="73"/>
      <w:bookmarkEnd w:id="74"/>
      <w:bookmarkEnd w:id="75"/>
      <w:bookmarkEnd w:id="76"/>
    </w:p>
    <w:tbl>
      <w:tblPr>
        <w:tblStyle w:val="25"/>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0C51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2F5AFEE7">
            <w:pPr>
              <w:adjustRightInd w:val="0"/>
              <w:snapToGrid w:val="0"/>
              <w:spacing w:line="360" w:lineRule="auto"/>
              <w:ind w:firstLine="482" w:firstLineChars="200"/>
              <w:rPr>
                <w:b/>
                <w:bCs/>
                <w:color w:val="auto"/>
                <w:sz w:val="24"/>
                <w:u w:val="none" w:color="auto"/>
              </w:rPr>
            </w:pPr>
            <w:r>
              <w:rPr>
                <w:rFonts w:hint="eastAsia"/>
                <w:b/>
                <w:bCs/>
                <w:color w:val="auto"/>
                <w:sz w:val="24"/>
                <w:u w:val="none" w:color="auto"/>
              </w:rPr>
              <w:t>1、结论</w:t>
            </w:r>
          </w:p>
          <w:p w14:paraId="613711FC">
            <w:pPr>
              <w:adjustRightInd w:val="0"/>
              <w:snapToGrid w:val="0"/>
              <w:spacing w:line="360" w:lineRule="auto"/>
              <w:ind w:firstLine="480" w:firstLineChars="200"/>
              <w:rPr>
                <w:color w:val="auto"/>
                <w:sz w:val="24"/>
                <w:u w:val="none" w:color="auto"/>
              </w:rPr>
            </w:pPr>
            <w:r>
              <w:rPr>
                <w:rFonts w:hint="eastAsia"/>
                <w:color w:val="auto"/>
                <w:sz w:val="24"/>
                <w:u w:val="none" w:color="auto"/>
              </w:rPr>
              <w:t>本项目符合国家产业政策，与相关规划相符，选址较合理，通过该项目的工程分析、影响分析，在采取环评提出的污染控制措施的基础上，项目产生的废气、噪声可达到相关排放标准， 固体废物也将得到妥善、安全处置，项目对周边环境空气、声环境、地表水环境</w:t>
            </w:r>
            <w:r>
              <w:rPr>
                <w:rFonts w:hint="eastAsia"/>
                <w:color w:val="auto"/>
                <w:sz w:val="24"/>
                <w:u w:val="none" w:color="auto"/>
                <w:lang w:eastAsia="zh-CN"/>
              </w:rPr>
              <w:t>、</w:t>
            </w:r>
            <w:r>
              <w:rPr>
                <w:rFonts w:hint="eastAsia"/>
                <w:color w:val="auto"/>
                <w:sz w:val="24"/>
                <w:u w:val="none" w:color="auto"/>
                <w:lang w:val="en-US" w:eastAsia="zh-CN"/>
              </w:rPr>
              <w:t>生态环境</w:t>
            </w:r>
            <w:r>
              <w:rPr>
                <w:rFonts w:hint="eastAsia"/>
                <w:color w:val="auto"/>
                <w:sz w:val="24"/>
                <w:u w:val="none" w:color="auto"/>
              </w:rPr>
              <w:t>的影响较小。本项目在该建设地点按照该项目建设内容、建设规模进行建设从环境保护的角度分析是可行的。</w:t>
            </w:r>
          </w:p>
          <w:p w14:paraId="02F0A8E4">
            <w:pPr>
              <w:numPr>
                <w:ilvl w:val="0"/>
                <w:numId w:val="6"/>
              </w:numPr>
              <w:adjustRightInd w:val="0"/>
              <w:snapToGrid w:val="0"/>
              <w:spacing w:line="360" w:lineRule="auto"/>
              <w:ind w:firstLine="482" w:firstLineChars="200"/>
              <w:rPr>
                <w:b/>
                <w:bCs/>
                <w:color w:val="auto"/>
                <w:sz w:val="24"/>
                <w:u w:val="none" w:color="auto"/>
              </w:rPr>
            </w:pPr>
            <w:r>
              <w:rPr>
                <w:rFonts w:hint="eastAsia"/>
                <w:b/>
                <w:bCs/>
                <w:color w:val="auto"/>
                <w:sz w:val="24"/>
                <w:u w:val="none" w:color="auto"/>
              </w:rPr>
              <w:t>建议</w:t>
            </w:r>
          </w:p>
          <w:p w14:paraId="4EC6B225">
            <w:pPr>
              <w:adjustRightInd w:val="0"/>
              <w:snapToGrid w:val="0"/>
              <w:spacing w:line="360" w:lineRule="auto"/>
              <w:ind w:firstLine="480" w:firstLineChars="200"/>
              <w:rPr>
                <w:color w:val="auto"/>
                <w:sz w:val="24"/>
                <w:u w:val="none" w:color="auto"/>
              </w:rPr>
            </w:pPr>
            <w:r>
              <w:rPr>
                <w:color w:val="auto"/>
                <w:sz w:val="24"/>
                <w:u w:val="none" w:color="auto"/>
              </w:rPr>
              <w:t>为确保本项目对环境的影响控制在环境允许的范围内，建设单位要做好下列工作：</w:t>
            </w:r>
          </w:p>
          <w:p w14:paraId="5A220F4B">
            <w:pPr>
              <w:adjustRightInd w:val="0"/>
              <w:snapToGrid w:val="0"/>
              <w:spacing w:line="360" w:lineRule="auto"/>
              <w:ind w:firstLine="480" w:firstLineChars="200"/>
              <w:rPr>
                <w:rFonts w:ascii="Times New Roman" w:hAnsi="Times New Roman" w:cs="Times New Roman"/>
                <w:color w:val="auto"/>
                <w:sz w:val="24"/>
                <w:u w:val="none" w:color="auto"/>
              </w:rPr>
            </w:pPr>
            <w:r>
              <w:rPr>
                <w:color w:val="auto"/>
                <w:sz w:val="24"/>
                <w:u w:val="none" w:color="auto"/>
              </w:rPr>
              <w:t>（1</w:t>
            </w:r>
            <w:r>
              <w:rPr>
                <w:rFonts w:ascii="Times New Roman" w:hAnsi="Times New Roman" w:cs="Times New Roman"/>
                <w:color w:val="auto"/>
                <w:sz w:val="24"/>
                <w:u w:val="none" w:color="auto"/>
              </w:rPr>
              <w:t>）</w:t>
            </w:r>
            <w:r>
              <w:rPr>
                <w:rFonts w:hint="eastAsia" w:ascii="Times New Roman" w:hAnsi="Times New Roman" w:cs="Times New Roman"/>
                <w:color w:val="auto"/>
                <w:sz w:val="24"/>
                <w:u w:val="none" w:color="auto"/>
                <w:lang w:val="en-US" w:eastAsia="zh-CN"/>
              </w:rPr>
              <w:t>加强、日常环境管理，有效保证居民生活环境</w:t>
            </w:r>
            <w:r>
              <w:rPr>
                <w:rFonts w:ascii="Times New Roman" w:hAnsi="Times New Roman" w:cs="Times New Roman"/>
                <w:color w:val="auto"/>
                <w:sz w:val="24"/>
                <w:u w:val="none" w:color="auto"/>
              </w:rPr>
              <w:t>。</w:t>
            </w:r>
          </w:p>
          <w:p w14:paraId="6C165E3F">
            <w:pPr>
              <w:adjustRightInd w:val="0"/>
              <w:snapToGrid w:val="0"/>
              <w:spacing w:line="360" w:lineRule="auto"/>
              <w:ind w:firstLine="480" w:firstLineChars="200"/>
              <w:rPr>
                <w:rFonts w:ascii="Times New Roman" w:hAnsi="Times New Roman" w:cs="Times New Roman"/>
                <w:color w:val="auto"/>
                <w:sz w:val="24"/>
                <w:u w:val="none" w:color="auto"/>
              </w:rPr>
            </w:pPr>
            <w:r>
              <w:rPr>
                <w:rFonts w:ascii="Times New Roman" w:hAnsi="Times New Roman" w:cs="Times New Roman"/>
                <w:color w:val="auto"/>
                <w:sz w:val="24"/>
                <w:u w:val="none" w:color="auto"/>
              </w:rPr>
              <w:t>（2）如产</w:t>
            </w:r>
            <w:r>
              <w:rPr>
                <w:rFonts w:hint="eastAsia" w:ascii="Times New Roman" w:hAnsi="Times New Roman" w:cs="Times New Roman"/>
                <w:color w:val="auto"/>
                <w:sz w:val="24"/>
                <w:u w:val="none" w:color="auto"/>
                <w:lang w:val="en-US" w:eastAsia="zh-CN"/>
              </w:rPr>
              <w:t>项目规模</w:t>
            </w:r>
            <w:r>
              <w:rPr>
                <w:rFonts w:ascii="Times New Roman" w:hAnsi="Times New Roman" w:cs="Times New Roman"/>
                <w:color w:val="auto"/>
                <w:sz w:val="24"/>
                <w:u w:val="none" w:color="auto"/>
              </w:rPr>
              <w:t>、</w:t>
            </w:r>
            <w:r>
              <w:rPr>
                <w:rFonts w:hint="eastAsia" w:ascii="Times New Roman" w:hAnsi="Times New Roman" w:cs="Times New Roman"/>
                <w:color w:val="auto"/>
                <w:sz w:val="24"/>
                <w:u w:val="none" w:color="auto"/>
                <w:lang w:val="en-US" w:eastAsia="zh-CN"/>
              </w:rPr>
              <w:t>位置等</w:t>
            </w:r>
            <w:r>
              <w:rPr>
                <w:rFonts w:ascii="Times New Roman" w:hAnsi="Times New Roman" w:cs="Times New Roman"/>
                <w:color w:val="auto"/>
                <w:sz w:val="24"/>
                <w:u w:val="none" w:color="auto"/>
              </w:rPr>
              <w:t>情况有大的变动，应及时向有关部门申报。</w:t>
            </w:r>
          </w:p>
          <w:p w14:paraId="007F3205">
            <w:pPr>
              <w:adjustRightInd w:val="0"/>
              <w:snapToGrid w:val="0"/>
              <w:spacing w:line="360" w:lineRule="auto"/>
              <w:ind w:firstLine="480" w:firstLineChars="200"/>
              <w:rPr>
                <w:rFonts w:hint="eastAsia" w:ascii="Times New Roman" w:hAnsi="Times New Roman" w:cs="Times New Roman"/>
                <w:color w:val="auto"/>
                <w:sz w:val="24"/>
                <w:u w:val="none" w:color="auto"/>
                <w:lang w:val="en-US" w:eastAsia="zh-CN"/>
              </w:rPr>
            </w:pPr>
            <w:r>
              <w:rPr>
                <w:rFonts w:ascii="Times New Roman" w:hAnsi="Times New Roman" w:cs="Times New Roman"/>
                <w:color w:val="auto"/>
                <w:sz w:val="24"/>
                <w:u w:val="none" w:color="auto"/>
              </w:rPr>
              <w:t>（3）</w:t>
            </w:r>
            <w:r>
              <w:rPr>
                <w:rFonts w:hint="eastAsia" w:ascii="Times New Roman" w:hAnsi="Times New Roman" w:cs="Times New Roman"/>
                <w:color w:val="auto"/>
                <w:sz w:val="24"/>
                <w:u w:val="none" w:color="auto"/>
                <w:lang w:val="en-US" w:eastAsia="zh-CN"/>
              </w:rPr>
              <w:t>积极推广生活垃圾分类收集、处理。</w:t>
            </w:r>
          </w:p>
          <w:p w14:paraId="435A047B">
            <w:pPr>
              <w:adjustRightInd w:val="0"/>
              <w:snapToGrid w:val="0"/>
              <w:spacing w:line="360" w:lineRule="auto"/>
              <w:ind w:firstLine="480" w:firstLineChars="200"/>
              <w:rPr>
                <w:rFonts w:hint="eastAsia" w:ascii="Times New Roman" w:hAnsi="Times New Roman" w:cs="Times New Roman"/>
                <w:color w:val="auto"/>
                <w:sz w:val="24"/>
                <w:u w:val="none" w:color="auto"/>
                <w:lang w:val="en-US" w:eastAsia="zh-CN"/>
              </w:rPr>
            </w:pPr>
            <w:r>
              <w:rPr>
                <w:rFonts w:hint="eastAsia" w:ascii="Times New Roman" w:hAnsi="Times New Roman" w:cs="Times New Roman"/>
                <w:color w:val="auto"/>
                <w:sz w:val="24"/>
                <w:u w:val="none" w:color="auto"/>
                <w:lang w:val="en-US" w:eastAsia="zh-CN"/>
              </w:rPr>
              <w:t>（4）</w:t>
            </w:r>
            <w:r>
              <w:rPr>
                <w:rFonts w:hint="eastAsia"/>
                <w:color w:val="auto"/>
                <w:sz w:val="24"/>
                <w:u w:val="none" w:color="auto"/>
              </w:rPr>
              <w:t>必须严格执行建设项目竣工环保验收制度，对项目废水、噪声、固废采取相应的治理措施，并将环保治理措施上报环保管理部门备案。</w:t>
            </w:r>
          </w:p>
          <w:p w14:paraId="4EAEBFFE">
            <w:pPr>
              <w:spacing w:line="360" w:lineRule="auto"/>
              <w:rPr>
                <w:rFonts w:ascii="宋体" w:cs="宋体"/>
                <w:color w:val="auto"/>
                <w:sz w:val="24"/>
                <w:u w:val="none" w:color="auto"/>
              </w:rPr>
            </w:pPr>
          </w:p>
        </w:tc>
      </w:tr>
    </w:tbl>
    <w:p w14:paraId="204AA87F">
      <w:pPr>
        <w:rPr>
          <w:rFonts w:ascii="宋体"/>
          <w:color w:val="auto"/>
          <w:u w:val="none" w:color="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589F6CE">
      <w:pPr>
        <w:jc w:val="center"/>
        <w:outlineLvl w:val="0"/>
        <w:rPr>
          <w:rFonts w:ascii="方正小标宋_GBK" w:hAnsi="黑体" w:eastAsia="方正小标宋_GBK"/>
          <w:snapToGrid w:val="0"/>
          <w:color w:val="auto"/>
          <w:kern w:val="0"/>
          <w:sz w:val="38"/>
          <w:szCs w:val="38"/>
          <w:u w:val="none" w:color="auto"/>
        </w:rPr>
      </w:pPr>
      <w:bookmarkStart w:id="77" w:name="_Toc17020"/>
      <w:bookmarkStart w:id="78" w:name="_Toc19926"/>
      <w:bookmarkStart w:id="79" w:name="_Toc21806"/>
      <w:bookmarkStart w:id="80" w:name="_Toc23553"/>
      <w:bookmarkStart w:id="81" w:name="_Toc26270"/>
      <w:r>
        <w:rPr>
          <w:rFonts w:hint="eastAsia" w:ascii="方正小标宋_GBK" w:hAnsi="黑体" w:eastAsia="方正小标宋_GBK"/>
          <w:snapToGrid w:val="0"/>
          <w:color w:val="auto"/>
          <w:kern w:val="0"/>
          <w:sz w:val="38"/>
          <w:szCs w:val="38"/>
          <w:u w:val="none" w:color="auto"/>
        </w:rPr>
        <w:t>附图</w:t>
      </w:r>
      <w:bookmarkEnd w:id="77"/>
      <w:bookmarkEnd w:id="78"/>
      <w:bookmarkEnd w:id="79"/>
      <w:bookmarkEnd w:id="80"/>
      <w:bookmarkEnd w:id="81"/>
    </w:p>
    <w:p w14:paraId="55B78FC8">
      <w:pPr>
        <w:widowControl/>
        <w:spacing w:line="360" w:lineRule="auto"/>
        <w:outlineLvl w:val="1"/>
        <w:rPr>
          <w:color w:val="auto"/>
          <w:u w:val="none" w:color="auto"/>
        </w:rPr>
      </w:pPr>
      <w:bookmarkStart w:id="82" w:name="_Toc632"/>
      <w:bookmarkStart w:id="83" w:name="_Toc23407"/>
      <w:bookmarkStart w:id="84" w:name="_Toc5793"/>
      <w:bookmarkStart w:id="85" w:name="_Toc14292"/>
      <w:bookmarkStart w:id="86" w:name="_Toc8779"/>
      <w:bookmarkStart w:id="87" w:name="_Toc14548"/>
      <w:bookmarkStart w:id="88" w:name="_Toc2754"/>
      <w:r>
        <w:rPr>
          <w:b/>
          <w:bCs/>
          <w:color w:val="auto"/>
          <w:sz w:val="28"/>
          <w:szCs w:val="28"/>
          <w:u w:val="none" w:color="auto"/>
        </w:rPr>
        <w:t>附图1 项目地理位置图</w:t>
      </w:r>
      <w:bookmarkEnd w:id="82"/>
      <w:bookmarkEnd w:id="83"/>
      <w:bookmarkEnd w:id="84"/>
      <w:bookmarkEnd w:id="85"/>
      <w:bookmarkEnd w:id="86"/>
      <w:bookmarkEnd w:id="87"/>
      <w:bookmarkEnd w:id="88"/>
    </w:p>
    <w:p w14:paraId="10AF8AAE">
      <w:pPr>
        <w:jc w:val="center"/>
        <w:rPr>
          <w:color w:val="auto"/>
          <w:u w:val="none" w:color="auto"/>
        </w:rPr>
        <w:sectPr>
          <w:footerReference r:id="rId7"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ascii="Times New Roman" w:hAnsi="Times New Roman" w:eastAsia="仿宋_GB2312" w:cs="Times New Roman"/>
          <w:snapToGrid w:val="0"/>
          <w:color w:val="auto"/>
          <w:spacing w:val="0"/>
          <w:kern w:val="0"/>
          <w:position w:val="0"/>
          <w:sz w:val="28"/>
          <w:szCs w:val="28"/>
          <w:u w:val="none" w:color="auto"/>
          <w:lang w:val="en-US" w:eastAsia="en-US" w:bidi="ar-SA"/>
        </w:rPr>
        <w:drawing>
          <wp:inline distT="0" distB="0" distL="114300" distR="114300">
            <wp:extent cx="6126480" cy="4584700"/>
            <wp:effectExtent l="19050" t="19050" r="26670" b="254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9"/>
                    <a:stretch>
                      <a:fillRect/>
                    </a:stretch>
                  </pic:blipFill>
                  <pic:spPr>
                    <a:xfrm>
                      <a:off x="0" y="0"/>
                      <a:ext cx="6126480" cy="4584700"/>
                    </a:xfrm>
                    <a:prstGeom prst="rect">
                      <a:avLst/>
                    </a:prstGeom>
                    <a:noFill/>
                    <a:ln w="19050" cmpd="sng">
                      <a:solidFill>
                        <a:schemeClr val="tx1"/>
                      </a:solidFill>
                      <a:prstDash val="solid"/>
                    </a:ln>
                  </pic:spPr>
                </pic:pic>
              </a:graphicData>
            </a:graphic>
          </wp:inline>
        </w:drawing>
      </w:r>
    </w:p>
    <w:p w14:paraId="5F18017E">
      <w:pPr>
        <w:widowControl/>
        <w:spacing w:line="360" w:lineRule="auto"/>
        <w:outlineLvl w:val="1"/>
        <w:rPr>
          <w:b/>
          <w:bCs/>
          <w:color w:val="auto"/>
          <w:sz w:val="28"/>
          <w:szCs w:val="28"/>
          <w:u w:val="none" w:color="auto"/>
        </w:rPr>
      </w:pPr>
      <w:bookmarkStart w:id="89" w:name="_Toc32167"/>
      <w:bookmarkStart w:id="90" w:name="_Toc1772"/>
      <w:bookmarkStart w:id="91" w:name="_Toc29913"/>
      <w:bookmarkStart w:id="92" w:name="_Toc7238"/>
      <w:bookmarkStart w:id="93" w:name="_Toc1855"/>
      <w:bookmarkStart w:id="94" w:name="_Toc25904"/>
      <w:bookmarkStart w:id="95" w:name="_Toc24086"/>
      <w:bookmarkStart w:id="96" w:name="_Toc23410"/>
      <w:r>
        <w:rPr>
          <w:b/>
          <w:bCs/>
          <w:color w:val="auto"/>
          <w:sz w:val="28"/>
          <w:szCs w:val="28"/>
          <w:u w:val="none" w:color="auto"/>
        </w:rPr>
        <w:t xml:space="preserve">附图2 </w:t>
      </w:r>
      <w:r>
        <w:rPr>
          <w:rFonts w:hint="eastAsia"/>
          <w:b/>
          <w:bCs/>
          <w:color w:val="auto"/>
          <w:sz w:val="28"/>
          <w:szCs w:val="28"/>
          <w:u w:val="none" w:color="auto"/>
          <w:lang w:val="en-US" w:eastAsia="zh-CN"/>
        </w:rPr>
        <w:t>项目</w:t>
      </w:r>
      <w:r>
        <w:rPr>
          <w:b/>
          <w:bCs/>
          <w:color w:val="auto"/>
          <w:sz w:val="28"/>
          <w:szCs w:val="28"/>
          <w:u w:val="none" w:color="auto"/>
        </w:rPr>
        <w:t>平面布置图</w:t>
      </w:r>
      <w:bookmarkEnd w:id="89"/>
      <w:bookmarkEnd w:id="90"/>
      <w:bookmarkEnd w:id="91"/>
      <w:bookmarkEnd w:id="92"/>
      <w:bookmarkEnd w:id="93"/>
      <w:bookmarkEnd w:id="94"/>
      <w:bookmarkEnd w:id="95"/>
      <w:bookmarkEnd w:id="96"/>
    </w:p>
    <w:p w14:paraId="00F85F9B">
      <w:pPr>
        <w:rPr>
          <w:color w:val="auto"/>
          <w:u w:val="none" w:color="auto"/>
        </w:rPr>
      </w:pPr>
    </w:p>
    <w:p w14:paraId="71D942F0">
      <w:pPr>
        <w:jc w:val="center"/>
        <w:rPr>
          <w:rFonts w:hint="eastAsia"/>
          <w:color w:val="auto"/>
          <w:u w:val="none" w:color="auto"/>
          <w:lang w:val="en-US" w:eastAsia="zh-CN"/>
        </w:rPr>
      </w:pPr>
      <w:r>
        <w:rPr>
          <w:color w:val="auto"/>
          <w:u w:val="none" w:color="auto"/>
        </w:rPr>
        <w:drawing>
          <wp:inline distT="0" distB="0" distL="114300" distR="114300">
            <wp:extent cx="7496810" cy="4867910"/>
            <wp:effectExtent l="0" t="0" r="8890" b="8890"/>
            <wp:docPr id="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
                    <pic:cNvPicPr>
                      <a:picLocks noChangeAspect="1"/>
                    </pic:cNvPicPr>
                  </pic:nvPicPr>
                  <pic:blipFill>
                    <a:blip r:embed="rId50"/>
                    <a:stretch>
                      <a:fillRect/>
                    </a:stretch>
                  </pic:blipFill>
                  <pic:spPr>
                    <a:xfrm>
                      <a:off x="0" y="0"/>
                      <a:ext cx="7496810" cy="4867910"/>
                    </a:xfrm>
                    <a:prstGeom prst="rect">
                      <a:avLst/>
                    </a:prstGeom>
                    <a:noFill/>
                    <a:ln>
                      <a:noFill/>
                    </a:ln>
                  </pic:spPr>
                </pic:pic>
              </a:graphicData>
            </a:graphic>
          </wp:inline>
        </w:drawing>
      </w:r>
      <w:r>
        <w:rPr>
          <w:rFonts w:hint="eastAsia"/>
          <w:color w:val="auto"/>
          <w:u w:val="none" w:color="auto"/>
          <w:lang w:val="en-US" w:eastAsia="zh-CN"/>
        </w:rPr>
        <w:br w:type="page"/>
      </w:r>
    </w:p>
    <w:p w14:paraId="0A219A16">
      <w:pPr>
        <w:widowControl/>
        <w:spacing w:line="360" w:lineRule="auto"/>
        <w:outlineLvl w:val="1"/>
        <w:rPr>
          <w:b/>
          <w:bCs/>
          <w:color w:val="auto"/>
          <w:sz w:val="28"/>
          <w:szCs w:val="28"/>
          <w:u w:val="none" w:color="auto"/>
        </w:rPr>
      </w:pPr>
      <w:bookmarkStart w:id="97" w:name="_Toc2185"/>
      <w:bookmarkStart w:id="98" w:name="_Toc32110"/>
      <w:bookmarkStart w:id="99" w:name="_Toc7053"/>
      <w:bookmarkStart w:id="100" w:name="_Toc14316"/>
      <w:bookmarkStart w:id="101" w:name="_Toc22328"/>
      <w:bookmarkStart w:id="102" w:name="_Toc15686"/>
      <w:bookmarkStart w:id="103" w:name="_Toc10638"/>
      <w:bookmarkStart w:id="104" w:name="_Toc4653"/>
      <w:r>
        <w:rPr>
          <w:b/>
          <w:bCs/>
          <w:color w:val="auto"/>
          <w:sz w:val="28"/>
          <w:szCs w:val="28"/>
          <w:u w:val="none" w:color="auto"/>
        </w:rPr>
        <w:t>附图</w:t>
      </w:r>
      <w:r>
        <w:rPr>
          <w:rFonts w:hint="eastAsia"/>
          <w:b/>
          <w:bCs/>
          <w:color w:val="auto"/>
          <w:sz w:val="28"/>
          <w:szCs w:val="28"/>
          <w:u w:val="none" w:color="auto"/>
        </w:rPr>
        <w:t>3</w:t>
      </w:r>
      <w:r>
        <w:rPr>
          <w:b/>
          <w:bCs/>
          <w:color w:val="auto"/>
          <w:sz w:val="28"/>
          <w:szCs w:val="28"/>
          <w:u w:val="none" w:color="auto"/>
        </w:rPr>
        <w:t xml:space="preserve"> </w:t>
      </w:r>
      <w:r>
        <w:rPr>
          <w:rFonts w:hint="eastAsia"/>
          <w:b/>
          <w:bCs/>
          <w:color w:val="auto"/>
          <w:sz w:val="28"/>
          <w:szCs w:val="28"/>
          <w:u w:val="none" w:color="auto"/>
        </w:rPr>
        <w:t>项目周边环境及敏感目标</w:t>
      </w:r>
      <w:r>
        <w:rPr>
          <w:b/>
          <w:bCs/>
          <w:color w:val="auto"/>
          <w:sz w:val="28"/>
          <w:szCs w:val="28"/>
          <w:u w:val="none" w:color="auto"/>
        </w:rPr>
        <w:t>图</w:t>
      </w:r>
      <w:bookmarkEnd w:id="97"/>
      <w:bookmarkEnd w:id="98"/>
      <w:bookmarkEnd w:id="99"/>
      <w:bookmarkEnd w:id="100"/>
      <w:bookmarkEnd w:id="101"/>
      <w:bookmarkEnd w:id="102"/>
      <w:bookmarkEnd w:id="103"/>
      <w:bookmarkEnd w:id="104"/>
    </w:p>
    <w:p w14:paraId="49952E79">
      <w:pPr>
        <w:widowControl/>
        <w:spacing w:line="360" w:lineRule="auto"/>
        <w:outlineLvl w:val="1"/>
        <w:rPr>
          <w:b/>
          <w:bCs/>
          <w:color w:val="auto"/>
          <w:sz w:val="28"/>
          <w:szCs w:val="28"/>
          <w:u w:val="none" w:color="auto"/>
        </w:rPr>
      </w:pPr>
      <w:bookmarkStart w:id="105" w:name="_Toc31269"/>
      <w:bookmarkStart w:id="106" w:name="_Toc25131"/>
      <w:bookmarkStart w:id="107" w:name="_Toc29403"/>
      <w:r>
        <w:rPr>
          <w:color w:val="auto"/>
          <w:sz w:val="18"/>
          <w:u w:val="none" w:color="auto"/>
        </w:rPr>
        <mc:AlternateContent>
          <mc:Choice Requires="wps">
            <w:drawing>
              <wp:anchor distT="0" distB="0" distL="114300" distR="114300" simplePos="0" relativeHeight="251700224" behindDoc="0" locked="0" layoutInCell="1" allowOverlap="1">
                <wp:simplePos x="0" y="0"/>
                <wp:positionH relativeFrom="column">
                  <wp:posOffset>3378835</wp:posOffset>
                </wp:positionH>
                <wp:positionV relativeFrom="paragraph">
                  <wp:posOffset>3681730</wp:posOffset>
                </wp:positionV>
                <wp:extent cx="911860" cy="530225"/>
                <wp:effectExtent l="0" t="0" r="0" b="0"/>
                <wp:wrapNone/>
                <wp:docPr id="142" name="矩形 142"/>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DCEB5AB">
                            <w:pPr>
                              <w:jc w:val="center"/>
                              <w:rPr>
                                <w:rFonts w:hint="eastAsia"/>
                                <w:color w:val="auto"/>
                                <w:lang w:val="en-US" w:eastAsia="zh-CN"/>
                              </w:rPr>
                            </w:pPr>
                            <w:r>
                              <w:rPr>
                                <w:rFonts w:hint="eastAsia"/>
                                <w:color w:val="auto"/>
                                <w:lang w:val="en-US" w:eastAsia="zh-CN"/>
                              </w:rPr>
                              <w:t>团洲乡散</w:t>
                            </w:r>
                          </w:p>
                          <w:p w14:paraId="270D5AA4">
                            <w:pPr>
                              <w:jc w:val="center"/>
                              <w:rPr>
                                <w:rFonts w:hint="default" w:eastAsia="宋体"/>
                                <w:color w:val="auto"/>
                                <w:lang w:val="en-US" w:eastAsia="zh-CN"/>
                              </w:rPr>
                            </w:pPr>
                            <w:r>
                              <w:rPr>
                                <w:rFonts w:hint="eastAsia"/>
                                <w:color w:val="auto"/>
                                <w:lang w:val="en-US" w:eastAsia="zh-CN"/>
                              </w:rPr>
                              <w:t>户居民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05pt;margin-top:289.9pt;height:41.75pt;width:71.8pt;z-index:251700224;v-text-anchor:middle;mso-width-relative:page;mso-height-relative:page;" filled="f" stroked="f" coordsize="21600,21600" o:gfxdata="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GQkCf2QAAAAsB&#10;AAAPAAAAAAAAAAEAIAAAACIAAABkcnMvZG93bnJldi54bWxQSwECFAAUAAAACACHTuJAbO8cHFMC&#10;AACZBAAADgAAAAAAAAABACAAAAAoAQAAZHJzL2Uyb0RvYy54bWxQSwUGAAAAAAYABgBZAQAA7QUA&#10;AAAA&#10;">
                <v:fill on="f" focussize="0,0"/>
                <v:stroke on="f" weight="2pt"/>
                <v:imagedata o:title=""/>
                <o:lock v:ext="edit" aspectratio="f"/>
                <v:textbox>
                  <w:txbxContent>
                    <w:p w14:paraId="5DCEB5AB">
                      <w:pPr>
                        <w:jc w:val="center"/>
                        <w:rPr>
                          <w:rFonts w:hint="eastAsia"/>
                          <w:color w:val="auto"/>
                          <w:lang w:val="en-US" w:eastAsia="zh-CN"/>
                        </w:rPr>
                      </w:pPr>
                      <w:r>
                        <w:rPr>
                          <w:rFonts w:hint="eastAsia"/>
                          <w:color w:val="auto"/>
                          <w:lang w:val="en-US" w:eastAsia="zh-CN"/>
                        </w:rPr>
                        <w:t>团洲乡散</w:t>
                      </w:r>
                    </w:p>
                    <w:p w14:paraId="270D5AA4">
                      <w:pPr>
                        <w:jc w:val="center"/>
                        <w:rPr>
                          <w:rFonts w:hint="default" w:eastAsia="宋体"/>
                          <w:color w:val="auto"/>
                          <w:lang w:val="en-US" w:eastAsia="zh-CN"/>
                        </w:rPr>
                      </w:pPr>
                      <w:r>
                        <w:rPr>
                          <w:rFonts w:hint="eastAsia"/>
                          <w:color w:val="auto"/>
                          <w:lang w:val="en-US" w:eastAsia="zh-CN"/>
                        </w:rPr>
                        <w:t>户居民</w:t>
                      </w:r>
                    </w:p>
                  </w:txbxContent>
                </v:textbox>
              </v:rect>
            </w:pict>
          </mc:Fallback>
        </mc:AlternateContent>
      </w:r>
      <w:r>
        <w:rPr>
          <w:color w:val="auto"/>
          <w:sz w:val="18"/>
          <w:u w:val="none" w:color="auto"/>
        </w:rPr>
        <mc:AlternateContent>
          <mc:Choice Requires="wps">
            <w:drawing>
              <wp:anchor distT="0" distB="0" distL="114300" distR="114300" simplePos="0" relativeHeight="251699200" behindDoc="0" locked="0" layoutInCell="1" allowOverlap="1">
                <wp:simplePos x="0" y="0"/>
                <wp:positionH relativeFrom="column">
                  <wp:posOffset>2854960</wp:posOffset>
                </wp:positionH>
                <wp:positionV relativeFrom="paragraph">
                  <wp:posOffset>2357755</wp:posOffset>
                </wp:positionV>
                <wp:extent cx="911860" cy="530225"/>
                <wp:effectExtent l="0" t="0" r="0" b="0"/>
                <wp:wrapNone/>
                <wp:docPr id="141" name="矩形 141"/>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6150E20">
                            <w:pPr>
                              <w:jc w:val="center"/>
                              <w:rPr>
                                <w:rFonts w:hint="eastAsia"/>
                                <w:color w:val="auto"/>
                                <w:lang w:val="en-US" w:eastAsia="zh-CN"/>
                              </w:rPr>
                            </w:pPr>
                            <w:r>
                              <w:rPr>
                                <w:rFonts w:hint="eastAsia"/>
                                <w:color w:val="auto"/>
                                <w:lang w:val="en-US" w:eastAsia="zh-CN"/>
                              </w:rPr>
                              <w:t>团洲乡散</w:t>
                            </w:r>
                          </w:p>
                          <w:p w14:paraId="067AB28E">
                            <w:pPr>
                              <w:jc w:val="center"/>
                              <w:rPr>
                                <w:rFonts w:hint="default" w:eastAsia="宋体"/>
                                <w:color w:val="auto"/>
                                <w:lang w:val="en-US" w:eastAsia="zh-CN"/>
                              </w:rPr>
                            </w:pPr>
                            <w:r>
                              <w:rPr>
                                <w:rFonts w:hint="eastAsia"/>
                                <w:color w:val="auto"/>
                                <w:lang w:val="en-US" w:eastAsia="zh-CN"/>
                              </w:rPr>
                              <w:t>户居民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8pt;margin-top:185.65pt;height:41.75pt;width:71.8pt;z-index:251699200;v-text-anchor:middle;mso-width-relative:page;mso-height-relative:page;" filled="f" stroked="f" coordsize="21600,21600" o:gfxdata="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KrpwM2gAAAAsB&#10;AAAPAAAAAAAAAAEAIAAAACIAAABkcnMvZG93bnJldi54bWxQSwECFAAUAAAACACHTuJATkHaIlIC&#10;AACZBAAADgAAAAAAAAABACAAAAApAQAAZHJzL2Uyb0RvYy54bWxQSwUGAAAAAAYABgBZAQAA7QUA&#10;AAAA&#10;">
                <v:fill on="f" focussize="0,0"/>
                <v:stroke on="f" weight="2pt"/>
                <v:imagedata o:title=""/>
                <o:lock v:ext="edit" aspectratio="f"/>
                <v:textbox>
                  <w:txbxContent>
                    <w:p w14:paraId="36150E20">
                      <w:pPr>
                        <w:jc w:val="center"/>
                        <w:rPr>
                          <w:rFonts w:hint="eastAsia"/>
                          <w:color w:val="auto"/>
                          <w:lang w:val="en-US" w:eastAsia="zh-CN"/>
                        </w:rPr>
                      </w:pPr>
                      <w:r>
                        <w:rPr>
                          <w:rFonts w:hint="eastAsia"/>
                          <w:color w:val="auto"/>
                          <w:lang w:val="en-US" w:eastAsia="zh-CN"/>
                        </w:rPr>
                        <w:t>团洲乡散</w:t>
                      </w:r>
                    </w:p>
                    <w:p w14:paraId="067AB28E">
                      <w:pPr>
                        <w:jc w:val="center"/>
                        <w:rPr>
                          <w:rFonts w:hint="default" w:eastAsia="宋体"/>
                          <w:color w:val="auto"/>
                          <w:lang w:val="en-US" w:eastAsia="zh-CN"/>
                        </w:rPr>
                      </w:pPr>
                      <w:r>
                        <w:rPr>
                          <w:rFonts w:hint="eastAsia"/>
                          <w:color w:val="auto"/>
                          <w:lang w:val="en-US" w:eastAsia="zh-CN"/>
                        </w:rPr>
                        <w:t>户居民</w:t>
                      </w:r>
                    </w:p>
                  </w:txbxContent>
                </v:textbox>
              </v:rect>
            </w:pict>
          </mc:Fallback>
        </mc:AlternateContent>
      </w:r>
      <w:r>
        <w:rPr>
          <w:color w:val="auto"/>
          <w:sz w:val="18"/>
          <w:u w:val="none" w:color="auto"/>
        </w:rPr>
        <mc:AlternateContent>
          <mc:Choice Requires="wps">
            <w:drawing>
              <wp:anchor distT="0" distB="0" distL="114300" distR="114300" simplePos="0" relativeHeight="251671552" behindDoc="0" locked="0" layoutInCell="1" allowOverlap="1">
                <wp:simplePos x="0" y="0"/>
                <wp:positionH relativeFrom="column">
                  <wp:posOffset>1397635</wp:posOffset>
                </wp:positionH>
                <wp:positionV relativeFrom="paragraph">
                  <wp:posOffset>1290955</wp:posOffset>
                </wp:positionV>
                <wp:extent cx="911860" cy="530225"/>
                <wp:effectExtent l="0" t="0" r="0" b="0"/>
                <wp:wrapNone/>
                <wp:docPr id="35" name="矩形 35"/>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50F63F9">
                            <w:pPr>
                              <w:jc w:val="center"/>
                              <w:rPr>
                                <w:rFonts w:hint="eastAsia"/>
                                <w:color w:val="auto"/>
                                <w:lang w:val="en-US" w:eastAsia="zh-CN"/>
                              </w:rPr>
                            </w:pPr>
                            <w:r>
                              <w:rPr>
                                <w:rFonts w:hint="eastAsia"/>
                                <w:color w:val="auto"/>
                                <w:lang w:val="en-US" w:eastAsia="zh-CN"/>
                              </w:rPr>
                              <w:t>团洲乡散</w:t>
                            </w:r>
                          </w:p>
                          <w:p w14:paraId="457D324A">
                            <w:pPr>
                              <w:jc w:val="center"/>
                              <w:rPr>
                                <w:rFonts w:hint="default" w:eastAsia="宋体"/>
                                <w:color w:val="auto"/>
                                <w:lang w:val="en-US" w:eastAsia="zh-CN"/>
                              </w:rPr>
                            </w:pPr>
                            <w:r>
                              <w:rPr>
                                <w:rFonts w:hint="eastAsia"/>
                                <w:color w:val="auto"/>
                                <w:lang w:val="en-US" w:eastAsia="zh-CN"/>
                              </w:rPr>
                              <w:t>户居民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05pt;margin-top:101.65pt;height:41.75pt;width:71.8pt;z-index:251671552;v-text-anchor:middle;mso-width-relative:page;mso-height-relative:page;" filled="f" stroked="f" coordsize="21600,21600" o:gfxdata="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ohzbF2QAAAAsB&#10;AAAPAAAAAAAAAAEAIAAAACIAAABkcnMvZG93bnJldi54bWxQSwECFAAUAAAACACHTuJAsoZZflMC&#10;AACXBAAADgAAAAAAAAABACAAAAAoAQAAZHJzL2Uyb0RvYy54bWxQSwUGAAAAAAYABgBZAQAA7QUA&#10;AAAA&#10;">
                <v:fill on="f" focussize="0,0"/>
                <v:stroke on="f" weight="2pt"/>
                <v:imagedata o:title=""/>
                <o:lock v:ext="edit" aspectratio="f"/>
                <v:textbox>
                  <w:txbxContent>
                    <w:p w14:paraId="750F63F9">
                      <w:pPr>
                        <w:jc w:val="center"/>
                        <w:rPr>
                          <w:rFonts w:hint="eastAsia"/>
                          <w:color w:val="auto"/>
                          <w:lang w:val="en-US" w:eastAsia="zh-CN"/>
                        </w:rPr>
                      </w:pPr>
                      <w:r>
                        <w:rPr>
                          <w:rFonts w:hint="eastAsia"/>
                          <w:color w:val="auto"/>
                          <w:lang w:val="en-US" w:eastAsia="zh-CN"/>
                        </w:rPr>
                        <w:t>团洲乡散</w:t>
                      </w:r>
                    </w:p>
                    <w:p w14:paraId="457D324A">
                      <w:pPr>
                        <w:jc w:val="center"/>
                        <w:rPr>
                          <w:rFonts w:hint="default" w:eastAsia="宋体"/>
                          <w:color w:val="auto"/>
                          <w:lang w:val="en-US" w:eastAsia="zh-CN"/>
                        </w:rPr>
                      </w:pPr>
                      <w:r>
                        <w:rPr>
                          <w:rFonts w:hint="eastAsia"/>
                          <w:color w:val="auto"/>
                          <w:lang w:val="en-US" w:eastAsia="zh-CN"/>
                        </w:rPr>
                        <w:t>户居民</w:t>
                      </w:r>
                    </w:p>
                  </w:txbxContent>
                </v:textbox>
              </v:rect>
            </w:pict>
          </mc:Fallback>
        </mc:AlternateContent>
      </w:r>
      <w:r>
        <w:rPr>
          <w:color w:val="auto"/>
          <w:sz w:val="18"/>
          <w:u w:val="none" w:color="auto"/>
        </w:rPr>
        <mc:AlternateContent>
          <mc:Choice Requires="wps">
            <w:drawing>
              <wp:anchor distT="0" distB="0" distL="114300" distR="114300" simplePos="0" relativeHeight="251698176" behindDoc="0" locked="0" layoutInCell="1" allowOverlap="1">
                <wp:simplePos x="0" y="0"/>
                <wp:positionH relativeFrom="column">
                  <wp:posOffset>2045335</wp:posOffset>
                </wp:positionH>
                <wp:positionV relativeFrom="paragraph">
                  <wp:posOffset>1262380</wp:posOffset>
                </wp:positionV>
                <wp:extent cx="911860" cy="530225"/>
                <wp:effectExtent l="0" t="0" r="0" b="0"/>
                <wp:wrapNone/>
                <wp:docPr id="140" name="矩形 140"/>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61C1F65">
                            <w:pPr>
                              <w:jc w:val="center"/>
                              <w:rPr>
                                <w:rFonts w:hint="eastAsia"/>
                                <w:color w:val="auto"/>
                                <w:lang w:val="en-US" w:eastAsia="zh-CN"/>
                              </w:rPr>
                            </w:pPr>
                            <w:r>
                              <w:rPr>
                                <w:rFonts w:hint="eastAsia"/>
                                <w:color w:val="auto"/>
                                <w:lang w:val="en-US" w:eastAsia="zh-CN"/>
                              </w:rPr>
                              <w:t>团洲乡中</w:t>
                            </w:r>
                          </w:p>
                          <w:p w14:paraId="26BCC177">
                            <w:pPr>
                              <w:jc w:val="center"/>
                              <w:rPr>
                                <w:rFonts w:hint="default" w:eastAsia="宋体"/>
                                <w:color w:val="auto"/>
                                <w:lang w:val="en-US" w:eastAsia="zh-CN"/>
                              </w:rPr>
                            </w:pPr>
                            <w:r>
                              <w:rPr>
                                <w:rFonts w:hint="eastAsia"/>
                                <w:color w:val="auto"/>
                                <w:lang w:val="en-US" w:eastAsia="zh-CN"/>
                              </w:rPr>
                              <w:t>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1.05pt;margin-top:99.4pt;height:41.75pt;width:71.8pt;z-index:251698176;v-text-anchor:middle;mso-width-relative:page;mso-height-relative:page;" filled="f" stroked="f" coordsize="21600,21600" o:gfxdata="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8A8MTZAAAACwEA&#10;AA8AAAAAAAAAAQAgAAAAIgAAAGRycy9kb3ducmV2LnhtbFBLAQIUABQAAAAIAIdO4kBQ22c3UgIA&#10;AJkEAAAOAAAAAAAAAAEAIAAAACgBAABkcnMvZTJvRG9jLnhtbFBLBQYAAAAABgAGAFkBAADsBQAA&#10;AAA=&#10;">
                <v:fill on="f" focussize="0,0"/>
                <v:stroke on="f" weight="2pt"/>
                <v:imagedata o:title=""/>
                <o:lock v:ext="edit" aspectratio="f"/>
                <v:textbox>
                  <w:txbxContent>
                    <w:p w14:paraId="661C1F65">
                      <w:pPr>
                        <w:jc w:val="center"/>
                        <w:rPr>
                          <w:rFonts w:hint="eastAsia"/>
                          <w:color w:val="auto"/>
                          <w:lang w:val="en-US" w:eastAsia="zh-CN"/>
                        </w:rPr>
                      </w:pPr>
                      <w:r>
                        <w:rPr>
                          <w:rFonts w:hint="eastAsia"/>
                          <w:color w:val="auto"/>
                          <w:lang w:val="en-US" w:eastAsia="zh-CN"/>
                        </w:rPr>
                        <w:t>团洲乡中</w:t>
                      </w:r>
                    </w:p>
                    <w:p w14:paraId="26BCC177">
                      <w:pPr>
                        <w:jc w:val="center"/>
                        <w:rPr>
                          <w:rFonts w:hint="default" w:eastAsia="宋体"/>
                          <w:color w:val="auto"/>
                          <w:lang w:val="en-US" w:eastAsia="zh-CN"/>
                        </w:rPr>
                      </w:pPr>
                      <w:r>
                        <w:rPr>
                          <w:rFonts w:hint="eastAsia"/>
                          <w:color w:val="auto"/>
                          <w:lang w:val="en-US" w:eastAsia="zh-CN"/>
                        </w:rPr>
                        <w:t>心小学</w:t>
                      </w:r>
                    </w:p>
                  </w:txbxContent>
                </v:textbox>
              </v:rect>
            </w:pict>
          </mc:Fallback>
        </mc:AlternateContent>
      </w:r>
      <w:r>
        <w:rPr>
          <w:color w:val="auto"/>
          <w:sz w:val="18"/>
          <w:u w:val="none" w:color="auto"/>
        </w:rPr>
        <mc:AlternateContent>
          <mc:Choice Requires="wps">
            <w:drawing>
              <wp:anchor distT="0" distB="0" distL="114300" distR="114300" simplePos="0" relativeHeight="251697152" behindDoc="0" locked="0" layoutInCell="1" allowOverlap="1">
                <wp:simplePos x="0" y="0"/>
                <wp:positionH relativeFrom="column">
                  <wp:posOffset>3927475</wp:posOffset>
                </wp:positionH>
                <wp:positionV relativeFrom="paragraph">
                  <wp:posOffset>2894330</wp:posOffset>
                </wp:positionV>
                <wp:extent cx="1101725" cy="448945"/>
                <wp:effectExtent l="0" t="0" r="0" b="0"/>
                <wp:wrapNone/>
                <wp:docPr id="137" name="矩形 137"/>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01B7469">
                            <w:pPr>
                              <w:jc w:val="center"/>
                              <w:rPr>
                                <w:rFonts w:hint="default" w:eastAsia="宋体"/>
                                <w:lang w:val="en-US" w:eastAsia="zh-CN"/>
                              </w:rPr>
                            </w:pPr>
                            <w:r>
                              <w:rPr>
                                <w:rFonts w:hint="eastAsia"/>
                                <w:lang w:val="en-US" w:eastAsia="zh-CN"/>
                              </w:rPr>
                              <w:t>安置区三期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25pt;margin-top:227.9pt;height:35.35pt;width:86.75pt;z-index:251697152;v-text-anchor:middle;mso-width-relative:page;mso-height-relative:page;" filled="f" stroked="f" coordsize="21600,21600" o:gfxdata="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nPZr9oA&#10;AAALAQAADwAAAAAAAAABACAAAAAiAAAAZHJzL2Rvd25yZXYueG1sUEsBAhQAFAAAAAgAh07iQIJz&#10;GuhWAgAAmgQAAA4AAAAAAAAAAQAgAAAAKQEAAGRycy9lMm9Eb2MueG1sUEsFBgAAAAAGAAYAWQEA&#10;APEFAAAAAA==&#10;">
                <v:fill on="f" focussize="0,0"/>
                <v:stroke on="f" weight="2pt"/>
                <v:imagedata o:title=""/>
                <o:lock v:ext="edit" aspectratio="f"/>
                <v:textbox>
                  <w:txbxContent>
                    <w:p w14:paraId="301B7469">
                      <w:pPr>
                        <w:jc w:val="center"/>
                        <w:rPr>
                          <w:rFonts w:hint="default" w:eastAsia="宋体"/>
                          <w:lang w:val="en-US" w:eastAsia="zh-CN"/>
                        </w:rPr>
                      </w:pPr>
                      <w:r>
                        <w:rPr>
                          <w:rFonts w:hint="eastAsia"/>
                          <w:lang w:val="en-US" w:eastAsia="zh-CN"/>
                        </w:rPr>
                        <w:t>安置区三期</w:t>
                      </w:r>
                    </w:p>
                  </w:txbxContent>
                </v:textbox>
              </v:rect>
            </w:pict>
          </mc:Fallback>
        </mc:AlternateContent>
      </w:r>
      <w:r>
        <w:rPr>
          <w:color w:val="auto"/>
          <w:sz w:val="18"/>
          <w:u w:val="none" w:color="auto"/>
        </w:rPr>
        <mc:AlternateContent>
          <mc:Choice Requires="wps">
            <w:drawing>
              <wp:anchor distT="0" distB="0" distL="114300" distR="114300" simplePos="0" relativeHeight="251696128" behindDoc="0" locked="0" layoutInCell="1" allowOverlap="1">
                <wp:simplePos x="0" y="0"/>
                <wp:positionH relativeFrom="column">
                  <wp:posOffset>2593975</wp:posOffset>
                </wp:positionH>
                <wp:positionV relativeFrom="paragraph">
                  <wp:posOffset>1370330</wp:posOffset>
                </wp:positionV>
                <wp:extent cx="1101725" cy="448945"/>
                <wp:effectExtent l="0" t="0" r="0" b="0"/>
                <wp:wrapNone/>
                <wp:docPr id="136" name="矩形 136"/>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4EB122">
                            <w:pPr>
                              <w:jc w:val="center"/>
                              <w:rPr>
                                <w:rFonts w:hint="default" w:eastAsia="宋体"/>
                                <w:lang w:val="en-US" w:eastAsia="zh-CN"/>
                              </w:rPr>
                            </w:pPr>
                            <w:r>
                              <w:rPr>
                                <w:rFonts w:hint="eastAsia"/>
                                <w:lang w:val="en-US" w:eastAsia="zh-CN"/>
                              </w:rPr>
                              <w:t>安置区一期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25pt;margin-top:107.9pt;height:35.35pt;width:86.75pt;z-index:251696128;v-text-anchor:middle;mso-width-relative:page;mso-height-relative:page;" filled="f" stroked="f" coordsize="21600,21600" o:gfxdata="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mKxWbZAAAA&#10;CwEAAA8AAAAAAAAAAQAgAAAAIgAAAGRycy9kb3ducmV2LnhtbFBLAQIUABQAAAAIAIdO4kB78wAS&#10;VQIAAJoEAAAOAAAAAAAAAAEAIAAAACgBAABkcnMvZTJvRG9jLnhtbFBLBQYAAAAABgAGAFkBAADv&#10;BQAAAAA=&#10;">
                <v:fill on="f" focussize="0,0"/>
                <v:stroke on="f" weight="2pt"/>
                <v:imagedata o:title=""/>
                <o:lock v:ext="edit" aspectratio="f"/>
                <v:textbox>
                  <w:txbxContent>
                    <w:p w14:paraId="714EB122">
                      <w:pPr>
                        <w:jc w:val="center"/>
                        <w:rPr>
                          <w:rFonts w:hint="default" w:eastAsia="宋体"/>
                          <w:lang w:val="en-US" w:eastAsia="zh-CN"/>
                        </w:rPr>
                      </w:pPr>
                      <w:r>
                        <w:rPr>
                          <w:rFonts w:hint="eastAsia"/>
                          <w:lang w:val="en-US" w:eastAsia="zh-CN"/>
                        </w:rPr>
                        <w:t>安置区一期</w:t>
                      </w:r>
                    </w:p>
                  </w:txbxContent>
                </v:textbox>
              </v:rect>
            </w:pict>
          </mc:Fallback>
        </mc:AlternateContent>
      </w:r>
      <w:r>
        <w:rPr>
          <w:color w:val="auto"/>
          <w:sz w:val="18"/>
          <w:u w:val="none" w:color="auto"/>
        </w:rPr>
        <mc:AlternateContent>
          <mc:Choice Requires="wps">
            <w:drawing>
              <wp:anchor distT="0" distB="0" distL="114300" distR="114300" simplePos="0" relativeHeight="251669504" behindDoc="0" locked="0" layoutInCell="1" allowOverlap="1">
                <wp:simplePos x="0" y="0"/>
                <wp:positionH relativeFrom="column">
                  <wp:posOffset>4175125</wp:posOffset>
                </wp:positionH>
                <wp:positionV relativeFrom="paragraph">
                  <wp:posOffset>1808480</wp:posOffset>
                </wp:positionV>
                <wp:extent cx="1101725" cy="448945"/>
                <wp:effectExtent l="0" t="0" r="0" b="0"/>
                <wp:wrapNone/>
                <wp:docPr id="31" name="矩形 31"/>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382503D">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8.75pt;margin-top:142.4pt;height:35.35pt;width:86.75pt;z-index:251669504;v-text-anchor:middle;mso-width-relative:page;mso-height-relative:page;" filled="f" stroked="f" coordsize="21600,21600" o:gfxdata="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7dUAdoAAAALAQAADwAAAAAAAAABACAAAAAiAAAAZHJzL2Rvd25yZXYueG1sUEsBAhQAFAAA&#10;AAgAh07iQF1i5IJfAgAApAQAAA4AAAAAAAAAAQAgAAAAKQEAAGRycy9lMm9Eb2MueG1sUEsFBgAA&#10;AAAGAAYAWQEAAPoFAAAAAA==&#10;">
                <v:fill on="f" focussize="0,0"/>
                <v:stroke on="f" weight="2pt"/>
                <v:imagedata o:title=""/>
                <o:lock v:ext="edit" aspectratio="f"/>
                <v:textbox>
                  <w:txbxContent>
                    <w:p w14:paraId="7382503D">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sz w:val="18"/>
          <w:u w:val="none" w:color="auto"/>
        </w:rPr>
        <mc:AlternateContent>
          <mc:Choice Requires="wps">
            <w:drawing>
              <wp:anchor distT="0" distB="0" distL="114300" distR="114300" simplePos="0" relativeHeight="251670528" behindDoc="0" locked="0" layoutInCell="1" allowOverlap="1">
                <wp:simplePos x="0" y="0"/>
                <wp:positionH relativeFrom="column">
                  <wp:posOffset>3092450</wp:posOffset>
                </wp:positionH>
                <wp:positionV relativeFrom="paragraph">
                  <wp:posOffset>1635125</wp:posOffset>
                </wp:positionV>
                <wp:extent cx="1101725" cy="448945"/>
                <wp:effectExtent l="0" t="0" r="0" b="0"/>
                <wp:wrapNone/>
                <wp:docPr id="32" name="矩形 32"/>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45473A0">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3.5pt;margin-top:128.75pt;height:35.35pt;width:86.75pt;z-index:251670528;v-text-anchor:middle;mso-width-relative:page;mso-height-relative:page;" filled="f" stroked="f" coordsize="21600,21600" o:gfxdata="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sOwjG2gAA&#10;AAsBAAAPAAAAAAAAAAEAIAAAACIAAABkcnMvZG93bnJldi54bWxQSwECFAAUAAAACACHTuJAg24S&#10;nlUCAACYBAAADgAAAAAAAAABACAAAAApAQAAZHJzL2Uyb0RvYy54bWxQSwUGAAAAAAYABgBZAQAA&#10;8AUAAAAA&#10;">
                <v:fill on="f" focussize="0,0"/>
                <v:stroke on="f" weight="2pt"/>
                <v:imagedata o:title=""/>
                <o:lock v:ext="edit" aspectratio="f"/>
                <v:textbox>
                  <w:txbxContent>
                    <w:p w14:paraId="645473A0">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21"/>
          <w:u w:val="none" w:color="auto"/>
        </w:rPr>
        <mc:AlternateContent>
          <mc:Choice Requires="wps">
            <w:drawing>
              <wp:anchor distT="0" distB="0" distL="114300" distR="114300" simplePos="0" relativeHeight="251695104" behindDoc="0" locked="0" layoutInCell="1" allowOverlap="1">
                <wp:simplePos x="0" y="0"/>
                <wp:positionH relativeFrom="column">
                  <wp:posOffset>2388870</wp:posOffset>
                </wp:positionH>
                <wp:positionV relativeFrom="paragraph">
                  <wp:posOffset>4837430</wp:posOffset>
                </wp:positionV>
                <wp:extent cx="1190625" cy="381000"/>
                <wp:effectExtent l="0" t="0" r="0" b="0"/>
                <wp:wrapNone/>
                <wp:docPr id="135" name="文本框 135"/>
                <wp:cNvGraphicFramePr/>
                <a:graphic xmlns:a="http://schemas.openxmlformats.org/drawingml/2006/main">
                  <a:graphicData uri="http://schemas.microsoft.com/office/word/2010/wordprocessingShape">
                    <wps:wsp>
                      <wps:cNvSpPr txBox="1"/>
                      <wps:spPr>
                        <a:xfrm>
                          <a:off x="3531870" y="6148070"/>
                          <a:ext cx="119062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7FB18">
                            <w:pPr>
                              <w:rPr>
                                <w:rFonts w:hint="eastAsia" w:eastAsia="宋体"/>
                                <w:lang w:val="en-US" w:eastAsia="zh-CN"/>
                              </w:rPr>
                            </w:pPr>
                            <w:r>
                              <w:rPr>
                                <w:rFonts w:hint="eastAsia"/>
                                <w:lang w:val="en-US" w:eastAsia="zh-CN"/>
                              </w:rPr>
                              <w:t>藕池河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1pt;margin-top:380.9pt;height:30pt;width:93.75pt;z-index:251695104;mso-width-relative:page;mso-height-relative:page;" filled="f" stroked="f" coordsize="21600,21600" o:gfxdata="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VixD72wAAAAsBAAAPAAAAAAAA&#10;AAEAIAAAACIAAABkcnMvZG93bnJldi54bWxQSwECFAAUAAAACACHTuJApnucckgCAAB2BAAADgAA&#10;AAAAAAABACAAAAAqAQAAZHJzL2Uyb0RvYy54bWxQSwUGAAAAAAYABgBZAQAA5AUAAAAA&#10;">
                <v:fill on="f" focussize="0,0"/>
                <v:stroke on="f" weight="0.5pt"/>
                <v:imagedata o:title=""/>
                <o:lock v:ext="edit" aspectratio="f"/>
                <v:textbox>
                  <w:txbxContent>
                    <w:p w14:paraId="5627FB18">
                      <w:pPr>
                        <w:rPr>
                          <w:rFonts w:hint="eastAsia" w:eastAsia="宋体"/>
                          <w:lang w:val="en-US" w:eastAsia="zh-CN"/>
                        </w:rPr>
                      </w:pPr>
                      <w:r>
                        <w:rPr>
                          <w:rFonts w:hint="eastAsia"/>
                          <w:lang w:val="en-US" w:eastAsia="zh-CN"/>
                        </w:rPr>
                        <w:t>藕池河</w:t>
                      </w:r>
                    </w:p>
                  </w:txbxContent>
                </v:textbox>
              </v:shape>
            </w:pict>
          </mc:Fallback>
        </mc:AlternateContent>
      </w:r>
      <w:r>
        <w:rPr>
          <w:color w:val="auto"/>
          <w:sz w:val="21"/>
          <w:u w:val="none" w:color="auto"/>
        </w:rPr>
        <mc:AlternateContent>
          <mc:Choice Requires="wps">
            <w:drawing>
              <wp:anchor distT="0" distB="0" distL="114300" distR="114300" simplePos="0" relativeHeight="251694080" behindDoc="0" locked="0" layoutInCell="1" allowOverlap="1">
                <wp:simplePos x="0" y="0"/>
                <wp:positionH relativeFrom="column">
                  <wp:posOffset>2598420</wp:posOffset>
                </wp:positionH>
                <wp:positionV relativeFrom="paragraph">
                  <wp:posOffset>2055495</wp:posOffset>
                </wp:positionV>
                <wp:extent cx="2466975" cy="2752725"/>
                <wp:effectExtent l="12700" t="12700" r="15875" b="15875"/>
                <wp:wrapNone/>
                <wp:docPr id="134" name="任意多边形 134"/>
                <wp:cNvGraphicFramePr/>
                <a:graphic xmlns:a="http://schemas.openxmlformats.org/drawingml/2006/main">
                  <a:graphicData uri="http://schemas.microsoft.com/office/word/2010/wordprocessingShape">
                    <wps:wsp>
                      <wps:cNvSpPr/>
                      <wps:spPr>
                        <a:xfrm>
                          <a:off x="3741420" y="3366135"/>
                          <a:ext cx="2466975" cy="2752725"/>
                        </a:xfrm>
                        <a:custGeom>
                          <a:avLst/>
                          <a:gdLst>
                            <a:gd name="connisteX0" fmla="*/ 542925 w 2466975"/>
                            <a:gd name="connsiteY0" fmla="*/ 0 h 2752725"/>
                            <a:gd name="connisteX1" fmla="*/ 466725 w 2466975"/>
                            <a:gd name="connsiteY1" fmla="*/ 323850 h 2752725"/>
                            <a:gd name="connisteX2" fmla="*/ 38100 w 2466975"/>
                            <a:gd name="connsiteY2" fmla="*/ 171450 h 2752725"/>
                            <a:gd name="connisteX3" fmla="*/ 0 w 2466975"/>
                            <a:gd name="connsiteY3" fmla="*/ 304800 h 2752725"/>
                            <a:gd name="connisteX4" fmla="*/ 285750 w 2466975"/>
                            <a:gd name="connsiteY4" fmla="*/ 381000 h 2752725"/>
                            <a:gd name="connisteX5" fmla="*/ 219075 w 2466975"/>
                            <a:gd name="connsiteY5" fmla="*/ 733425 h 2752725"/>
                            <a:gd name="connisteX6" fmla="*/ 866775 w 2466975"/>
                            <a:gd name="connsiteY6" fmla="*/ 866775 h 2752725"/>
                            <a:gd name="connisteX7" fmla="*/ 771525 w 2466975"/>
                            <a:gd name="connsiteY7" fmla="*/ 1285875 h 2752725"/>
                            <a:gd name="connisteX8" fmla="*/ 561975 w 2466975"/>
                            <a:gd name="connsiteY8" fmla="*/ 1266825 h 2752725"/>
                            <a:gd name="connisteX9" fmla="*/ 523875 w 2466975"/>
                            <a:gd name="connsiteY9" fmla="*/ 1352550 h 2752725"/>
                            <a:gd name="connisteX10" fmla="*/ 180975 w 2466975"/>
                            <a:gd name="connsiteY10" fmla="*/ 1276350 h 2752725"/>
                            <a:gd name="connisteX11" fmla="*/ 19050 w 2466975"/>
                            <a:gd name="connsiteY11" fmla="*/ 1885950 h 2752725"/>
                            <a:gd name="connisteX12" fmla="*/ 685800 w 2466975"/>
                            <a:gd name="connsiteY12" fmla="*/ 2228850 h 2752725"/>
                            <a:gd name="connisteX13" fmla="*/ 657225 w 2466975"/>
                            <a:gd name="connsiteY13" fmla="*/ 2352675 h 2752725"/>
                            <a:gd name="connisteX14" fmla="*/ 1609725 w 2466975"/>
                            <a:gd name="connsiteY14" fmla="*/ 2752725 h 2752725"/>
                            <a:gd name="connisteX15" fmla="*/ 1638300 w 2466975"/>
                            <a:gd name="connsiteY15" fmla="*/ 2628900 h 2752725"/>
                            <a:gd name="connisteX16" fmla="*/ 790575 w 2466975"/>
                            <a:gd name="connsiteY16" fmla="*/ 2276475 h 2752725"/>
                            <a:gd name="connisteX17" fmla="*/ 838200 w 2466975"/>
                            <a:gd name="connsiteY17" fmla="*/ 2133600 h 2752725"/>
                            <a:gd name="connisteX18" fmla="*/ 1628775 w 2466975"/>
                            <a:gd name="connsiteY18" fmla="*/ 2324100 h 2752725"/>
                            <a:gd name="connisteX19" fmla="*/ 1628775 w 2466975"/>
                            <a:gd name="connsiteY19" fmla="*/ 2457450 h 2752725"/>
                            <a:gd name="connisteX20" fmla="*/ 2305050 w 2466975"/>
                            <a:gd name="connsiteY20" fmla="*/ 2619375 h 2752725"/>
                            <a:gd name="connisteX21" fmla="*/ 2466975 w 2466975"/>
                            <a:gd name="connsiteY21" fmla="*/ 1981200 h 2752725"/>
                            <a:gd name="connisteX22" fmla="*/ 2400300 w 2466975"/>
                            <a:gd name="connsiteY22" fmla="*/ 1943100 h 2752725"/>
                            <a:gd name="connisteX23" fmla="*/ 1914525 w 2466975"/>
                            <a:gd name="connsiteY23" fmla="*/ 1819275 h 2752725"/>
                            <a:gd name="connisteX24" fmla="*/ 1695450 w 2466975"/>
                            <a:gd name="connsiteY24" fmla="*/ 1762125 h 2752725"/>
                            <a:gd name="connisteX25" fmla="*/ 1743075 w 2466975"/>
                            <a:gd name="connsiteY25" fmla="*/ 1628775 h 2752725"/>
                            <a:gd name="connisteX26" fmla="*/ 942975 w 2466975"/>
                            <a:gd name="connsiteY26" fmla="*/ 1447800 h 2752725"/>
                            <a:gd name="connisteX27" fmla="*/ 1200150 w 2466975"/>
                            <a:gd name="connsiteY27" fmla="*/ 523875 h 2752725"/>
                            <a:gd name="connisteX28" fmla="*/ 1028700 w 2466975"/>
                            <a:gd name="connsiteY28" fmla="*/ 466725 h 2752725"/>
                            <a:gd name="connisteX29" fmla="*/ 1152525 w 2466975"/>
                            <a:gd name="connsiteY29" fmla="*/ 123825 h 2752725"/>
                            <a:gd name="connisteX30" fmla="*/ 542925 w 2466975"/>
                            <a:gd name="connsiteY30" fmla="*/ 0 h 27527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Lst>
                          <a:rect l="l" t="t" r="r" b="b"/>
                          <a:pathLst>
                            <a:path w="2466975" h="2752725">
                              <a:moveTo>
                                <a:pt x="542925" y="0"/>
                              </a:moveTo>
                              <a:lnTo>
                                <a:pt x="466725" y="323850"/>
                              </a:lnTo>
                              <a:lnTo>
                                <a:pt x="38100" y="171450"/>
                              </a:lnTo>
                              <a:lnTo>
                                <a:pt x="0" y="304800"/>
                              </a:lnTo>
                              <a:lnTo>
                                <a:pt x="285750" y="381000"/>
                              </a:lnTo>
                              <a:lnTo>
                                <a:pt x="219075" y="733425"/>
                              </a:lnTo>
                              <a:lnTo>
                                <a:pt x="866775" y="866775"/>
                              </a:lnTo>
                              <a:lnTo>
                                <a:pt x="771525" y="1285875"/>
                              </a:lnTo>
                              <a:lnTo>
                                <a:pt x="561975" y="1266825"/>
                              </a:lnTo>
                              <a:lnTo>
                                <a:pt x="523875" y="1352550"/>
                              </a:lnTo>
                              <a:lnTo>
                                <a:pt x="180975" y="1276350"/>
                              </a:lnTo>
                              <a:lnTo>
                                <a:pt x="19050" y="1885950"/>
                              </a:lnTo>
                              <a:lnTo>
                                <a:pt x="685800" y="2228850"/>
                              </a:lnTo>
                              <a:lnTo>
                                <a:pt x="657225" y="2352675"/>
                              </a:lnTo>
                              <a:lnTo>
                                <a:pt x="1609725" y="2752725"/>
                              </a:lnTo>
                              <a:lnTo>
                                <a:pt x="1638300" y="2628900"/>
                              </a:lnTo>
                              <a:lnTo>
                                <a:pt x="790575" y="2276475"/>
                              </a:lnTo>
                              <a:lnTo>
                                <a:pt x="838200" y="2133600"/>
                              </a:lnTo>
                              <a:lnTo>
                                <a:pt x="1628775" y="2324100"/>
                              </a:lnTo>
                              <a:lnTo>
                                <a:pt x="1628775" y="2457450"/>
                              </a:lnTo>
                              <a:lnTo>
                                <a:pt x="2305050" y="2619375"/>
                              </a:lnTo>
                              <a:lnTo>
                                <a:pt x="2466975" y="1981200"/>
                              </a:lnTo>
                              <a:lnTo>
                                <a:pt x="2400300" y="1943100"/>
                              </a:lnTo>
                              <a:lnTo>
                                <a:pt x="1914525" y="1819275"/>
                              </a:lnTo>
                              <a:lnTo>
                                <a:pt x="1695450" y="1762125"/>
                              </a:lnTo>
                              <a:lnTo>
                                <a:pt x="1743075" y="1628775"/>
                              </a:lnTo>
                              <a:lnTo>
                                <a:pt x="942975" y="1447800"/>
                              </a:lnTo>
                              <a:lnTo>
                                <a:pt x="1200150" y="523875"/>
                              </a:lnTo>
                              <a:lnTo>
                                <a:pt x="1028700" y="466725"/>
                              </a:lnTo>
                              <a:lnTo>
                                <a:pt x="1152525" y="123825"/>
                              </a:lnTo>
                              <a:lnTo>
                                <a:pt x="542925"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04.6pt;margin-top:161.85pt;height:216.75pt;width:194.25pt;z-index:251694080;mso-width-relative:page;mso-height-relative:page;" filled="f" stroked="t" coordsize="2466975,2752725" o:gfxdata="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" path="m542925,0l466725,323850,38100,171450,0,304800,285750,381000,219075,733425,866775,866775,771525,1285875,561975,1266825,523875,1352550,180975,1276350,19050,1885950,685800,2228850,657225,2352675,1609725,2752725,1638300,2628900,790575,2276475,838200,2133600,1628775,2324100,1628775,2457450,2305050,2619375,2466975,1981200,2400300,1943100,1914525,1819275,1695450,1762125,1743075,1628775,942975,1447800,1200150,523875,1028700,466725,1152525,123825,542925,0xe">
                <v:path o:connectlocs="542925,0;466725,323850;38100,171450;0,304800;285750,381000;219075,733425;866775,866775;771525,1285875;561975,1266825;523875,1352550;180975,1276350;19050,1885950;685800,2228850;657225,2352675;1609725,2752725;1638300,2628900;790575,2276475;838200,2133600;1628775,2324100;1628775,2457450;2305050,2619375;2466975,1981200;2400300,1943100;1914525,1819275;1695450,1762125;1743075,1628775;942975,1447800;1200150,523875;1028700,466725;1152525,123825;542925,0" o:connectangles="0,0,0,0,0,0,0,0,0,0,0,0,0,0,0,0,0,0,0,0,0,0,0,0,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93056" behindDoc="0" locked="0" layoutInCell="1" allowOverlap="1">
                <wp:simplePos x="0" y="0"/>
                <wp:positionH relativeFrom="column">
                  <wp:posOffset>1760220</wp:posOffset>
                </wp:positionH>
                <wp:positionV relativeFrom="paragraph">
                  <wp:posOffset>1064895</wp:posOffset>
                </wp:positionV>
                <wp:extent cx="600075" cy="1114425"/>
                <wp:effectExtent l="12700" t="12700" r="15875" b="15875"/>
                <wp:wrapNone/>
                <wp:docPr id="133" name="任意多边形 133"/>
                <wp:cNvGraphicFramePr/>
                <a:graphic xmlns:a="http://schemas.openxmlformats.org/drawingml/2006/main">
                  <a:graphicData uri="http://schemas.microsoft.com/office/word/2010/wordprocessingShape">
                    <wps:wsp>
                      <wps:cNvSpPr/>
                      <wps:spPr>
                        <a:xfrm>
                          <a:off x="2903220" y="2375535"/>
                          <a:ext cx="600075" cy="1114425"/>
                        </a:xfrm>
                        <a:custGeom>
                          <a:avLst/>
                          <a:gdLst>
                            <a:gd name="connisteX0" fmla="*/ 228600 w 600075"/>
                            <a:gd name="connsiteY0" fmla="*/ 0 h 1114425"/>
                            <a:gd name="connisteX1" fmla="*/ 0 w 600075"/>
                            <a:gd name="connsiteY1" fmla="*/ 971550 h 1114425"/>
                            <a:gd name="connisteX2" fmla="*/ 552450 w 600075"/>
                            <a:gd name="connsiteY2" fmla="*/ 1114425 h 1114425"/>
                            <a:gd name="connisteX3" fmla="*/ 600075 w 600075"/>
                            <a:gd name="connsiteY3" fmla="*/ 828675 h 1114425"/>
                            <a:gd name="connisteX4" fmla="*/ 314325 w 600075"/>
                            <a:gd name="connsiteY4" fmla="*/ 742950 h 1114425"/>
                            <a:gd name="connisteX5" fmla="*/ 342900 w 600075"/>
                            <a:gd name="connsiteY5" fmla="*/ 571500 h 1114425"/>
                            <a:gd name="connisteX6" fmla="*/ 428625 w 600075"/>
                            <a:gd name="connsiteY6" fmla="*/ 590550 h 1114425"/>
                            <a:gd name="connisteX7" fmla="*/ 561975 w 600075"/>
                            <a:gd name="connsiteY7" fmla="*/ 47625 h 1114425"/>
                            <a:gd name="connisteX8" fmla="*/ 228600 w 600075"/>
                            <a:gd name="connsiteY8" fmla="*/ 0 h 11144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600075" h="1114425">
                              <a:moveTo>
                                <a:pt x="228600" y="0"/>
                              </a:moveTo>
                              <a:lnTo>
                                <a:pt x="0" y="971550"/>
                              </a:lnTo>
                              <a:lnTo>
                                <a:pt x="552450" y="1114425"/>
                              </a:lnTo>
                              <a:lnTo>
                                <a:pt x="600075" y="828675"/>
                              </a:lnTo>
                              <a:lnTo>
                                <a:pt x="314325" y="742950"/>
                              </a:lnTo>
                              <a:lnTo>
                                <a:pt x="342900" y="571500"/>
                              </a:lnTo>
                              <a:lnTo>
                                <a:pt x="428625" y="590550"/>
                              </a:lnTo>
                              <a:lnTo>
                                <a:pt x="561975" y="47625"/>
                              </a:lnTo>
                              <a:lnTo>
                                <a:pt x="22860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38.6pt;margin-top:83.85pt;height:87.75pt;width:47.25pt;z-index:251693056;mso-width-relative:page;mso-height-relative:page;" filled="f" stroked="t" coordsize="600075,1114425" o:gfxdata="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CTn5Fi2gAAAAsBAAAPAAAAAAAA&#10;AAEAIAAAACIAAABkcnMvZG93bnJldi54bWxQSwECFAAUAAAACACHTuJAFkXW/p8DAACICwAADgAA&#10;AAAAAAABACAAAAApAQAAZHJzL2Uyb0RvYy54bWxQSwUGAAAAAAYABgBZAQAAOgcAAAAA&#10;" path="m228600,0l0,971550,552450,1114425,600075,828675,314325,742950,342900,571500,428625,590550,561975,47625,228600,0xe">
                <v:path o:connectlocs="228600,0;0,971550;552450,1114425;600075,828675;314325,742950;342900,571500;428625,590550;561975,47625;228600,0" o:connectangles="0,0,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92032" behindDoc="0" locked="0" layoutInCell="1" allowOverlap="1">
                <wp:simplePos x="0" y="0"/>
                <wp:positionH relativeFrom="column">
                  <wp:posOffset>3617595</wp:posOffset>
                </wp:positionH>
                <wp:positionV relativeFrom="paragraph">
                  <wp:posOffset>2210435</wp:posOffset>
                </wp:positionV>
                <wp:extent cx="1752600" cy="1590675"/>
                <wp:effectExtent l="12700" t="12700" r="25400" b="15875"/>
                <wp:wrapNone/>
                <wp:docPr id="132" name="任意多边形 132"/>
                <wp:cNvGraphicFramePr/>
                <a:graphic xmlns:a="http://schemas.openxmlformats.org/drawingml/2006/main">
                  <a:graphicData uri="http://schemas.microsoft.com/office/word/2010/wordprocessingShape">
                    <wps:wsp>
                      <wps:cNvSpPr/>
                      <wps:spPr>
                        <a:xfrm>
                          <a:off x="4760595" y="3521075"/>
                          <a:ext cx="1752600" cy="1590675"/>
                        </a:xfrm>
                        <a:custGeom>
                          <a:avLst/>
                          <a:gdLst>
                            <a:gd name="connisteX0" fmla="*/ 247650 w 1752600"/>
                            <a:gd name="connsiteY0" fmla="*/ 0 h 1590675"/>
                            <a:gd name="connisteX1" fmla="*/ 161925 w 1752600"/>
                            <a:gd name="connsiteY1" fmla="*/ 333375 h 1590675"/>
                            <a:gd name="connisteX2" fmla="*/ 257175 w 1752600"/>
                            <a:gd name="connsiteY2" fmla="*/ 342900 h 1590675"/>
                            <a:gd name="connisteX3" fmla="*/ 0 w 1752600"/>
                            <a:gd name="connsiteY3" fmla="*/ 1257300 h 1590675"/>
                            <a:gd name="connisteX4" fmla="*/ 1390650 w 1752600"/>
                            <a:gd name="connsiteY4" fmla="*/ 1590675 h 1590675"/>
                            <a:gd name="connisteX5" fmla="*/ 1466850 w 1752600"/>
                            <a:gd name="connsiteY5" fmla="*/ 1590675 h 1590675"/>
                            <a:gd name="connisteX6" fmla="*/ 1752600 w 1752600"/>
                            <a:gd name="connsiteY6" fmla="*/ 371475 h 1590675"/>
                            <a:gd name="connisteX7" fmla="*/ 1095375 w 1752600"/>
                            <a:gd name="connsiteY7" fmla="*/ 200025 h 1590675"/>
                            <a:gd name="connisteX8" fmla="*/ 1028700 w 1752600"/>
                            <a:gd name="connsiteY8" fmla="*/ 514350 h 1590675"/>
                            <a:gd name="connisteX9" fmla="*/ 714375 w 1752600"/>
                            <a:gd name="connsiteY9" fmla="*/ 447675 h 1590675"/>
                            <a:gd name="connisteX10" fmla="*/ 790575 w 1752600"/>
                            <a:gd name="connsiteY10" fmla="*/ 95250 h 1590675"/>
                            <a:gd name="connisteX11" fmla="*/ 247650 w 1752600"/>
                            <a:gd name="connsiteY11" fmla="*/ 0 h 15906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1752600" h="1590675">
                              <a:moveTo>
                                <a:pt x="247650" y="0"/>
                              </a:moveTo>
                              <a:lnTo>
                                <a:pt x="161925" y="333375"/>
                              </a:lnTo>
                              <a:lnTo>
                                <a:pt x="257175" y="342900"/>
                              </a:lnTo>
                              <a:lnTo>
                                <a:pt x="0" y="1257300"/>
                              </a:lnTo>
                              <a:lnTo>
                                <a:pt x="1390650" y="1590675"/>
                              </a:lnTo>
                              <a:lnTo>
                                <a:pt x="1466850" y="1590675"/>
                              </a:lnTo>
                              <a:lnTo>
                                <a:pt x="1752600" y="371475"/>
                              </a:lnTo>
                              <a:lnTo>
                                <a:pt x="1095375" y="200025"/>
                              </a:lnTo>
                              <a:lnTo>
                                <a:pt x="1028700" y="514350"/>
                              </a:lnTo>
                              <a:lnTo>
                                <a:pt x="714375" y="447675"/>
                              </a:lnTo>
                              <a:lnTo>
                                <a:pt x="790575" y="95250"/>
                              </a:lnTo>
                              <a:lnTo>
                                <a:pt x="24765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84.85pt;margin-top:174.05pt;height:125.25pt;width:138pt;z-index:251692032;mso-width-relative:page;mso-height-relative:page;" filled="f" stroked="t" coordsize="1752600,1590675" o:gfxdata="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SIQeQNcAAAALAQAADwAAAAAAAAABACAAAAAiAAAAZHJzL2Rvd25yZXYu&#10;eG1sUEsBAhQAFAAAAAgAh07iQDpLrSL9AwAAIg4AAA4AAAAAAAAAAQAgAAAAJgEAAGRycy9lMm9E&#10;b2MueG1sUEsFBgAAAAAGAAYAWQEAAJUHAAAAAA==&#10;" path="m247650,0l161925,333375,257175,342900,0,1257300,1390650,1590675,1466850,1590675,1752600,371475,1095375,200025,1028700,514350,714375,447675,790575,95250,247650,0xe">
                <v:path o:connectlocs="247650,0;161925,333375;257175,342900;0,1257300;1390650,1590675;1466850,1590675;1752600,371475;1095375,200025;1028700,514350;714375,447675;790575,95250;247650,0" o:connectangles="0,0,0,0,0,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91008" behindDoc="0" locked="0" layoutInCell="1" allowOverlap="1">
                <wp:simplePos x="0" y="0"/>
                <wp:positionH relativeFrom="column">
                  <wp:posOffset>2636520</wp:posOffset>
                </wp:positionH>
                <wp:positionV relativeFrom="paragraph">
                  <wp:posOffset>1231265</wp:posOffset>
                </wp:positionV>
                <wp:extent cx="1314450" cy="666750"/>
                <wp:effectExtent l="12700" t="12700" r="25400" b="25400"/>
                <wp:wrapNone/>
                <wp:docPr id="131" name="任意多边形 131"/>
                <wp:cNvGraphicFramePr/>
                <a:graphic xmlns:a="http://schemas.openxmlformats.org/drawingml/2006/main">
                  <a:graphicData uri="http://schemas.microsoft.com/office/word/2010/wordprocessingShape">
                    <wps:wsp>
                      <wps:cNvSpPr/>
                      <wps:spPr>
                        <a:xfrm>
                          <a:off x="3779520" y="2541905"/>
                          <a:ext cx="1314450" cy="666750"/>
                        </a:xfrm>
                        <a:custGeom>
                          <a:avLst/>
                          <a:gdLst>
                            <a:gd name="connisteX0" fmla="*/ 114300 w 1314450"/>
                            <a:gd name="connsiteY0" fmla="*/ 0 h 666750"/>
                            <a:gd name="connisteX1" fmla="*/ 1314450 w 1314450"/>
                            <a:gd name="connsiteY1" fmla="*/ 276225 h 666750"/>
                            <a:gd name="connisteX2" fmla="*/ 1295400 w 1314450"/>
                            <a:gd name="connsiteY2" fmla="*/ 352425 h 666750"/>
                            <a:gd name="connisteX3" fmla="*/ 914400 w 1314450"/>
                            <a:gd name="connsiteY3" fmla="*/ 276225 h 666750"/>
                            <a:gd name="connisteX4" fmla="*/ 866775 w 1314450"/>
                            <a:gd name="connsiteY4" fmla="*/ 476250 h 666750"/>
                            <a:gd name="connisteX5" fmla="*/ 847725 w 1314450"/>
                            <a:gd name="connsiteY5" fmla="*/ 485775 h 666750"/>
                            <a:gd name="connisteX6" fmla="*/ 581025 w 1314450"/>
                            <a:gd name="connsiteY6" fmla="*/ 438150 h 666750"/>
                            <a:gd name="connisteX7" fmla="*/ 504825 w 1314450"/>
                            <a:gd name="connsiteY7" fmla="*/ 666750 h 666750"/>
                            <a:gd name="connisteX8" fmla="*/ 0 w 1314450"/>
                            <a:gd name="connsiteY8" fmla="*/ 552450 h 666750"/>
                            <a:gd name="connisteX9" fmla="*/ 114300 w 1314450"/>
                            <a:gd name="connsiteY9" fmla="*/ 0 h 666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Lst>
                          <a:rect l="l" t="t" r="r" b="b"/>
                          <a:pathLst>
                            <a:path w="1314450" h="666750">
                              <a:moveTo>
                                <a:pt x="114300" y="0"/>
                              </a:moveTo>
                              <a:lnTo>
                                <a:pt x="1314450" y="276225"/>
                              </a:lnTo>
                              <a:lnTo>
                                <a:pt x="1295400" y="352425"/>
                              </a:lnTo>
                              <a:lnTo>
                                <a:pt x="914400" y="276225"/>
                              </a:lnTo>
                              <a:lnTo>
                                <a:pt x="866775" y="476250"/>
                              </a:lnTo>
                              <a:lnTo>
                                <a:pt x="847725" y="485775"/>
                              </a:lnTo>
                              <a:lnTo>
                                <a:pt x="581025" y="438150"/>
                              </a:lnTo>
                              <a:lnTo>
                                <a:pt x="504825" y="666750"/>
                              </a:lnTo>
                              <a:lnTo>
                                <a:pt x="0" y="552450"/>
                              </a:lnTo>
                              <a:lnTo>
                                <a:pt x="11430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07.6pt;margin-top:96.95pt;height:52.5pt;width:103.5pt;z-index:251691008;mso-width-relative:page;mso-height-relative:page;" filled="f" stroked="t" coordsize="1314450,666750" o:gfxdata="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" path="m114300,0l1314450,276225,1295400,352425,914400,276225,866775,476250,847725,485775,581025,438150,504825,666750,0,552450,114300,0xe">
                <v:path o:connectlocs="114300,0;1314450,276225;1295400,352425;914400,276225;866775,476250;847725,485775;581025,438150;504825,666750;0,552450;114300,0" o:connectangles="0,0,0,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89984" behindDoc="0" locked="0" layoutInCell="1" allowOverlap="1">
                <wp:simplePos x="0" y="0"/>
                <wp:positionH relativeFrom="column">
                  <wp:posOffset>3188970</wp:posOffset>
                </wp:positionH>
                <wp:positionV relativeFrom="paragraph">
                  <wp:posOffset>1565910</wp:posOffset>
                </wp:positionV>
                <wp:extent cx="733425" cy="495300"/>
                <wp:effectExtent l="12700" t="12700" r="15875" b="25400"/>
                <wp:wrapNone/>
                <wp:docPr id="130" name="任意多边形 130"/>
                <wp:cNvGraphicFramePr/>
                <a:graphic xmlns:a="http://schemas.openxmlformats.org/drawingml/2006/main">
                  <a:graphicData uri="http://schemas.microsoft.com/office/word/2010/wordprocessingShape">
                    <wps:wsp>
                      <wps:cNvSpPr/>
                      <wps:spPr>
                        <a:xfrm>
                          <a:off x="4331970" y="2876550"/>
                          <a:ext cx="733425" cy="495300"/>
                        </a:xfrm>
                        <a:custGeom>
                          <a:avLst/>
                          <a:gdLst>
                            <a:gd name="connisteX0" fmla="*/ 609600 w 733425"/>
                            <a:gd name="connsiteY0" fmla="*/ 495300 h 495300"/>
                            <a:gd name="connisteX1" fmla="*/ 0 w 733425"/>
                            <a:gd name="connsiteY1" fmla="*/ 352425 h 495300"/>
                            <a:gd name="connisteX2" fmla="*/ 47625 w 733425"/>
                            <a:gd name="connsiteY2" fmla="*/ 142875 h 495300"/>
                            <a:gd name="connisteX3" fmla="*/ 333375 w 733425"/>
                            <a:gd name="connsiteY3" fmla="*/ 200025 h 495300"/>
                            <a:gd name="connisteX4" fmla="*/ 381000 w 733425"/>
                            <a:gd name="connsiteY4" fmla="*/ 0 h 495300"/>
                            <a:gd name="connisteX5" fmla="*/ 733425 w 733425"/>
                            <a:gd name="connsiteY5" fmla="*/ 66675 h 495300"/>
                            <a:gd name="connisteX6" fmla="*/ 609600 w 733425"/>
                            <a:gd name="connsiteY6" fmla="*/ 495300 h 4953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733425" h="495300">
                              <a:moveTo>
                                <a:pt x="609600" y="495300"/>
                              </a:moveTo>
                              <a:lnTo>
                                <a:pt x="0" y="352425"/>
                              </a:lnTo>
                              <a:lnTo>
                                <a:pt x="47625" y="142875"/>
                              </a:lnTo>
                              <a:lnTo>
                                <a:pt x="333375" y="200025"/>
                              </a:lnTo>
                              <a:lnTo>
                                <a:pt x="381000" y="0"/>
                              </a:lnTo>
                              <a:lnTo>
                                <a:pt x="733425" y="66675"/>
                              </a:lnTo>
                              <a:lnTo>
                                <a:pt x="609600" y="49530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1.1pt;margin-top:123.3pt;height:39pt;width:57.75pt;z-index:251689984;mso-width-relative:page;mso-height-relative:page;" filled="f" stroked="t" coordsize="733425,495300" o:gfxdata="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6BOTA2AAAAAsBAAAPAAAAAAAAAAEAIAAAACIAAABkcnMvZG93bnJldi54bWxQ&#10;SwECFAAUAAAACACHTuJAqPxnRk0DAADhCQAADgAAAAAAAAABACAAAAAnAQAAZHJzL2Uyb0RvYy54&#10;bWxQSwUGAAAAAAYABgBZAQAA5gYAAAAA&#10;" path="m609600,495300l0,352425,47625,142875,333375,200025,381000,0,733425,66675,609600,495300xe">
                <v:path o:connectlocs="609600,495300;0,352425;47625,142875;333375,200025;381000,0;733425,66675;609600,495300" o:connectangles="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88960" behindDoc="0" locked="0" layoutInCell="1" allowOverlap="1">
                <wp:simplePos x="0" y="0"/>
                <wp:positionH relativeFrom="column">
                  <wp:posOffset>2226945</wp:posOffset>
                </wp:positionH>
                <wp:positionV relativeFrom="paragraph">
                  <wp:posOffset>1146810</wp:posOffset>
                </wp:positionV>
                <wp:extent cx="466725" cy="619125"/>
                <wp:effectExtent l="12700" t="12700" r="15875" b="15875"/>
                <wp:wrapNone/>
                <wp:docPr id="129" name="任意多边形 129"/>
                <wp:cNvGraphicFramePr/>
                <a:graphic xmlns:a="http://schemas.openxmlformats.org/drawingml/2006/main">
                  <a:graphicData uri="http://schemas.microsoft.com/office/word/2010/wordprocessingShape">
                    <wps:wsp>
                      <wps:cNvSpPr/>
                      <wps:spPr>
                        <a:xfrm>
                          <a:off x="3331845" y="2457450"/>
                          <a:ext cx="466725" cy="619125"/>
                        </a:xfrm>
                        <a:custGeom>
                          <a:avLst/>
                          <a:gdLst>
                            <a:gd name="connisteX0" fmla="*/ 152400 w 504825"/>
                            <a:gd name="connsiteY0" fmla="*/ 0 h 619125"/>
                            <a:gd name="connisteX1" fmla="*/ 504825 w 504825"/>
                            <a:gd name="connsiteY1" fmla="*/ 85725 h 619125"/>
                            <a:gd name="connisteX2" fmla="*/ 390525 w 504825"/>
                            <a:gd name="connsiteY2" fmla="*/ 619125 h 619125"/>
                            <a:gd name="connisteX3" fmla="*/ 0 w 504825"/>
                            <a:gd name="connsiteY3" fmla="*/ 561975 h 619125"/>
                            <a:gd name="connisteX4" fmla="*/ 152400 w 504825"/>
                            <a:gd name="connsiteY4" fmla="*/ 0 h 6191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04825" h="619125">
                              <a:moveTo>
                                <a:pt x="152400" y="0"/>
                              </a:moveTo>
                              <a:lnTo>
                                <a:pt x="504825" y="85725"/>
                              </a:lnTo>
                              <a:lnTo>
                                <a:pt x="390525" y="619125"/>
                              </a:lnTo>
                              <a:lnTo>
                                <a:pt x="0" y="561975"/>
                              </a:lnTo>
                              <a:lnTo>
                                <a:pt x="15240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75.35pt;margin-top:90.3pt;height:48.75pt;width:36.75pt;z-index:251688960;mso-width-relative:page;mso-height-relative:page;" filled="f" stroked="t" coordsize="504825,619125" o:gfxdata="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MN0QhvaAAAACwEAAA8AAAAAAAAAAQAgAAAAIgAAAGRycy9kb3ducmV2Lnht&#10;bFBLAQIUABQAAAAIAIdO4kCNM/ysFAMAADcIAAAOAAAAAAAAAAEAIAAAACkBAABkcnMvZTJvRG9j&#10;LnhtbFBLBQYAAAAABgAGAFkBAACvBgAAAAA=&#10;" path="m152400,0l504825,85725,390525,619125,0,561975,152400,0xe">
                <v:path o:connectlocs="140898,0;466725,85725;361051,619125;0,561975;140898,0" o:connectangles="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87936" behindDoc="0" locked="0" layoutInCell="1" allowOverlap="1">
                <wp:simplePos x="0" y="0"/>
                <wp:positionH relativeFrom="column">
                  <wp:posOffset>3903345</wp:posOffset>
                </wp:positionH>
                <wp:positionV relativeFrom="paragraph">
                  <wp:posOffset>1527810</wp:posOffset>
                </wp:positionV>
                <wp:extent cx="1790700" cy="962025"/>
                <wp:effectExtent l="12700" t="12700" r="25400" b="15875"/>
                <wp:wrapNone/>
                <wp:docPr id="128" name="任意多边形 128"/>
                <wp:cNvGraphicFramePr/>
                <a:graphic xmlns:a="http://schemas.openxmlformats.org/drawingml/2006/main">
                  <a:graphicData uri="http://schemas.microsoft.com/office/word/2010/wordprocessingShape">
                    <wps:wsp>
                      <wps:cNvSpPr/>
                      <wps:spPr>
                        <a:xfrm>
                          <a:off x="5046345" y="2838450"/>
                          <a:ext cx="1790700" cy="962025"/>
                        </a:xfrm>
                        <a:custGeom>
                          <a:avLst/>
                          <a:gdLst>
                            <a:gd name="connisteX0" fmla="*/ 114300 w 1790700"/>
                            <a:gd name="connsiteY0" fmla="*/ 0 h 962025"/>
                            <a:gd name="connisteX1" fmla="*/ 1790700 w 1790700"/>
                            <a:gd name="connsiteY1" fmla="*/ 390525 h 962025"/>
                            <a:gd name="connisteX2" fmla="*/ 1600200 w 1790700"/>
                            <a:gd name="connsiteY2" fmla="*/ 923925 h 962025"/>
                            <a:gd name="connisteX3" fmla="*/ 1600200 w 1790700"/>
                            <a:gd name="connsiteY3" fmla="*/ 962025 h 962025"/>
                            <a:gd name="connisteX4" fmla="*/ 0 w 1790700"/>
                            <a:gd name="connsiteY4" fmla="*/ 590550 h 962025"/>
                            <a:gd name="connisteX5" fmla="*/ 57150 w 1790700"/>
                            <a:gd name="connsiteY5" fmla="*/ 333375 h 962025"/>
                            <a:gd name="connisteX6" fmla="*/ 219075 w 1790700"/>
                            <a:gd name="connsiteY6" fmla="*/ 381000 h 962025"/>
                            <a:gd name="connisteX7" fmla="*/ 266700 w 1790700"/>
                            <a:gd name="connsiteY7" fmla="*/ 152400 h 962025"/>
                            <a:gd name="connisteX8" fmla="*/ 95250 w 1790700"/>
                            <a:gd name="connsiteY8" fmla="*/ 142875 h 962025"/>
                            <a:gd name="connisteX9" fmla="*/ 114300 w 1790700"/>
                            <a:gd name="connsiteY9" fmla="*/ 0 h 9620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Lst>
                          <a:rect l="l" t="t" r="r" b="b"/>
                          <a:pathLst>
                            <a:path w="1790700" h="962025">
                              <a:moveTo>
                                <a:pt x="114300" y="0"/>
                              </a:moveTo>
                              <a:lnTo>
                                <a:pt x="1790700" y="390525"/>
                              </a:lnTo>
                              <a:lnTo>
                                <a:pt x="1600200" y="923925"/>
                              </a:lnTo>
                              <a:lnTo>
                                <a:pt x="1600200" y="962025"/>
                              </a:lnTo>
                              <a:lnTo>
                                <a:pt x="0" y="590550"/>
                              </a:lnTo>
                              <a:lnTo>
                                <a:pt x="57150" y="333375"/>
                              </a:lnTo>
                              <a:lnTo>
                                <a:pt x="219075" y="381000"/>
                              </a:lnTo>
                              <a:lnTo>
                                <a:pt x="266700" y="152400"/>
                              </a:lnTo>
                              <a:lnTo>
                                <a:pt x="95250" y="142875"/>
                              </a:lnTo>
                              <a:lnTo>
                                <a:pt x="11430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07.35pt;margin-top:120.3pt;height:75.75pt;width:141pt;z-index:251687936;mso-width-relative:page;mso-height-relative:page;" filled="f" stroked="t" coordsize="1790700,962025" o:gfxdata="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At13Nn2gAAAAsBAAAPAAAAAAAAAAEAIAAAACIAAABkcnMvZG93bnJldi54bWxQSwEC&#10;FAAUAAAACACHTuJAVv4jZ7oDAABcDAAADgAAAAAAAAABACAAAAApAQAAZHJzL2Uyb0RvYy54bWxQ&#10;SwUGAAAAAAYABgBZAQAAVQcAAAAA&#10;" path="m114300,0l1790700,390525,1600200,923925,1600200,962025,0,590550,57150,333375,219075,381000,266700,152400,95250,142875,114300,0xe">
                <v:path o:connectlocs="114300,0;1790700,390525;1600200,923925;1600200,962025;0,590550;57150,333375;219075,381000;266700,152400;95250,142875;114300,0" o:connectangles="0,0,0,0,0,0,0,0,0,0"/>
                <v:fill on="f" focussize="0,0"/>
                <v:stroke weight="2pt" color="#FFFF00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686912" behindDoc="0" locked="0" layoutInCell="1" allowOverlap="1">
                <wp:simplePos x="0" y="0"/>
                <wp:positionH relativeFrom="column">
                  <wp:posOffset>4379595</wp:posOffset>
                </wp:positionH>
                <wp:positionV relativeFrom="paragraph">
                  <wp:posOffset>2389505</wp:posOffset>
                </wp:positionV>
                <wp:extent cx="400050" cy="1647825"/>
                <wp:effectExtent l="18415" t="4445" r="19685" b="5080"/>
                <wp:wrapNone/>
                <wp:docPr id="108" name="直接连接符 108"/>
                <wp:cNvGraphicFramePr/>
                <a:graphic xmlns:a="http://schemas.openxmlformats.org/drawingml/2006/main">
                  <a:graphicData uri="http://schemas.microsoft.com/office/word/2010/wordprocessingShape">
                    <wps:wsp>
                      <wps:cNvCnPr/>
                      <wps:spPr>
                        <a:xfrm flipH="1">
                          <a:off x="5522595" y="3700145"/>
                          <a:ext cx="400050" cy="16478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44.85pt;margin-top:188.15pt;height:129.75pt;width:31.5pt;z-index:251686912;mso-width-relative:page;mso-height-relative:page;" filled="f" stroked="t" coordsize="21600,21600" o:gfxdata="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aeZ+K2gAAAAsBAAAPAAAAAAAAAAEAIAAAACIAAABkcnMvZG93bnJldi54&#10;bWxQSwECFAAUAAAACACHTuJAckQ4NvgBAAC6AwAADgAAAAAAAAABACAAAAApAQAAZHJzL2Uyb0Rv&#10;Yy54bWxQSwUGAAAAAAYABgBZAQAAkwUAAAAA&#10;">
                <v:fill on="f" focussize="0,0"/>
                <v:stroke weight="3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85888" behindDoc="0" locked="0" layoutInCell="1" allowOverlap="1">
                <wp:simplePos x="0" y="0"/>
                <wp:positionH relativeFrom="column">
                  <wp:posOffset>3331845</wp:posOffset>
                </wp:positionH>
                <wp:positionV relativeFrom="paragraph">
                  <wp:posOffset>1513205</wp:posOffset>
                </wp:positionV>
                <wp:extent cx="666750" cy="2638425"/>
                <wp:effectExtent l="18415" t="4445" r="19685" b="5080"/>
                <wp:wrapNone/>
                <wp:docPr id="107" name="直接连接符 107"/>
                <wp:cNvGraphicFramePr/>
                <a:graphic xmlns:a="http://schemas.openxmlformats.org/drawingml/2006/main">
                  <a:graphicData uri="http://schemas.microsoft.com/office/word/2010/wordprocessingShape">
                    <wps:wsp>
                      <wps:cNvCnPr/>
                      <wps:spPr>
                        <a:xfrm flipH="1">
                          <a:off x="4474845" y="2823845"/>
                          <a:ext cx="666750" cy="26384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62.35pt;margin-top:119.15pt;height:207.75pt;width:52.5pt;z-index:251685888;mso-width-relative:page;mso-height-relative:page;" filled="f" stroked="t" coordsize="21600,21600" o:gfxdata="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9/LH2gAAAAsBAAAPAAAAAAAAAAEAIAAAACIAAABkcnMvZG93bnJldi54bWxQ&#10;SwECFAAUAAAACACHTuJA4HFdx/UBAAC6AwAADgAAAAAAAAABACAAAAApAQAAZHJzL2Uyb0RvYy54&#10;bWxQSwUGAAAAAAYABgBZAQAAkAUAAAAA&#10;">
                <v:fill on="f" focussize="0,0"/>
                <v:stroke weight="3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84864" behindDoc="0" locked="0" layoutInCell="1" allowOverlap="1">
                <wp:simplePos x="0" y="0"/>
                <wp:positionH relativeFrom="column">
                  <wp:posOffset>2103120</wp:posOffset>
                </wp:positionH>
                <wp:positionV relativeFrom="paragraph">
                  <wp:posOffset>1760855</wp:posOffset>
                </wp:positionV>
                <wp:extent cx="3352800" cy="771525"/>
                <wp:effectExtent l="4445" t="18415" r="14605" b="29210"/>
                <wp:wrapNone/>
                <wp:docPr id="105" name="直接连接符 105"/>
                <wp:cNvGraphicFramePr/>
                <a:graphic xmlns:a="http://schemas.openxmlformats.org/drawingml/2006/main">
                  <a:graphicData uri="http://schemas.microsoft.com/office/word/2010/wordprocessingShape">
                    <wps:wsp>
                      <wps:cNvCnPr/>
                      <wps:spPr>
                        <a:xfrm>
                          <a:off x="3246120" y="3071495"/>
                          <a:ext cx="3352800" cy="7715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5.6pt;margin-top:138.65pt;height:60.75pt;width:264pt;z-index:251684864;mso-width-relative:page;mso-height-relative:page;" filled="f" stroked="t" coordsize="21600,21600" o:gfxdata="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H8nBt0AAAALAQAADwAAAAAAAAABACAAAAAiAAAAZHJzL2Rvd25yZXYueG1sUEsBAhQA&#10;FAAAAAgAh07iQFCJFJvtAQAAsAMAAA4AAAAAAAAAAQAgAAAALAEAAGRycy9lMm9Eb2MueG1sUEsF&#10;BgAAAAAGAAYAWQEAAIsFAAAAAA==&#10;">
                <v:fill on="f" focussize="0,0"/>
                <v:stroke weight="3pt" color="#FF0000 [3204]" joinstyle="round"/>
                <v:imagedata o:title=""/>
                <o:lock v:ext="edit" aspectratio="f"/>
              </v:line>
            </w:pict>
          </mc:Fallback>
        </mc:AlternateContent>
      </w:r>
      <w:r>
        <w:rPr>
          <w:rFonts w:hint="default" w:ascii="Times New Roman" w:hAnsi="Times New Roman" w:cs="Times New Roman"/>
          <w:color w:val="auto"/>
          <w:u w:val="none" w:color="auto"/>
        </w:rPr>
        <w:drawing>
          <wp:anchor distT="0" distB="0" distL="114300" distR="114300" simplePos="0" relativeHeight="251683840" behindDoc="0" locked="0" layoutInCell="1" allowOverlap="1">
            <wp:simplePos x="0" y="0"/>
            <wp:positionH relativeFrom="column">
              <wp:posOffset>7880350</wp:posOffset>
            </wp:positionH>
            <wp:positionV relativeFrom="paragraph">
              <wp:posOffset>15240</wp:posOffset>
            </wp:positionV>
            <wp:extent cx="529590" cy="689610"/>
            <wp:effectExtent l="0" t="0" r="3810" b="15240"/>
            <wp:wrapNone/>
            <wp:docPr id="100"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11"/>
                    <pic:cNvPicPr>
                      <a:picLocks noChangeAspect="1"/>
                    </pic:cNvPicPr>
                  </pic:nvPicPr>
                  <pic:blipFill>
                    <a:blip r:embed="rId51"/>
                    <a:stretch>
                      <a:fillRect/>
                    </a:stretch>
                  </pic:blipFill>
                  <pic:spPr>
                    <a:xfrm>
                      <a:off x="0" y="0"/>
                      <a:ext cx="529590" cy="689610"/>
                    </a:xfrm>
                    <a:prstGeom prst="rect">
                      <a:avLst/>
                    </a:prstGeom>
                    <a:noFill/>
                    <a:ln>
                      <a:noFill/>
                    </a:ln>
                  </pic:spPr>
                </pic:pic>
              </a:graphicData>
            </a:graphic>
          </wp:anchor>
        </w:drawing>
      </w:r>
      <w:r>
        <w:rPr>
          <w:color w:val="auto"/>
          <w:u w:val="none" w:color="auto"/>
        </w:rPr>
        <w:drawing>
          <wp:inline distT="0" distB="0" distL="114300" distR="114300">
            <wp:extent cx="8397240" cy="5233670"/>
            <wp:effectExtent l="0" t="0" r="3810" b="5080"/>
            <wp:docPr id="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
                    <pic:cNvPicPr>
                      <a:picLocks noChangeAspect="1"/>
                    </pic:cNvPicPr>
                  </pic:nvPicPr>
                  <pic:blipFill>
                    <a:blip r:embed="rId52"/>
                    <a:stretch>
                      <a:fillRect/>
                    </a:stretch>
                  </pic:blipFill>
                  <pic:spPr>
                    <a:xfrm>
                      <a:off x="0" y="0"/>
                      <a:ext cx="8397240" cy="5233670"/>
                    </a:xfrm>
                    <a:prstGeom prst="rect">
                      <a:avLst/>
                    </a:prstGeom>
                    <a:noFill/>
                    <a:ln>
                      <a:noFill/>
                    </a:ln>
                  </pic:spPr>
                </pic:pic>
              </a:graphicData>
            </a:graphic>
          </wp:inline>
        </w:drawing>
      </w:r>
      <w:bookmarkEnd w:id="105"/>
      <w:bookmarkEnd w:id="106"/>
      <w:bookmarkEnd w:id="107"/>
    </w:p>
    <w:p w14:paraId="27A89564">
      <w:pPr>
        <w:widowControl/>
        <w:spacing w:line="360" w:lineRule="auto"/>
        <w:outlineLvl w:val="1"/>
        <w:rPr>
          <w:b/>
          <w:bCs/>
          <w:color w:val="auto"/>
          <w:sz w:val="28"/>
          <w:szCs w:val="28"/>
          <w:u w:val="none" w:color="auto"/>
        </w:rPr>
      </w:pPr>
      <w:bookmarkStart w:id="108" w:name="_Toc1752"/>
      <w:bookmarkStart w:id="109" w:name="_Toc22142"/>
      <w:bookmarkStart w:id="110" w:name="_Toc32712"/>
      <w:bookmarkStart w:id="111" w:name="_Toc20729"/>
      <w:r>
        <w:rPr>
          <w:b/>
          <w:bCs/>
          <w:color w:val="auto"/>
          <w:sz w:val="28"/>
          <w:szCs w:val="28"/>
          <w:u w:val="none" w:color="auto"/>
        </w:rPr>
        <w:t>附图</w:t>
      </w:r>
      <w:r>
        <w:rPr>
          <w:rFonts w:hint="eastAsia"/>
          <w:b/>
          <w:bCs/>
          <w:color w:val="auto"/>
          <w:sz w:val="28"/>
          <w:szCs w:val="28"/>
          <w:u w:val="none" w:color="auto"/>
          <w:lang w:val="en-US" w:eastAsia="zh-CN"/>
        </w:rPr>
        <w:t>4</w:t>
      </w:r>
      <w:r>
        <w:rPr>
          <w:b/>
          <w:bCs/>
          <w:color w:val="auto"/>
          <w:sz w:val="28"/>
          <w:szCs w:val="28"/>
          <w:u w:val="none" w:color="auto"/>
        </w:rPr>
        <w:t xml:space="preserve"> </w:t>
      </w:r>
      <w:r>
        <w:rPr>
          <w:rFonts w:hint="eastAsia"/>
          <w:b/>
          <w:bCs/>
          <w:color w:val="auto"/>
          <w:sz w:val="28"/>
          <w:szCs w:val="28"/>
          <w:u w:val="none" w:color="auto"/>
          <w:lang w:val="en-US" w:eastAsia="zh-CN"/>
        </w:rPr>
        <w:t>噪声监测布点</w:t>
      </w:r>
      <w:r>
        <w:rPr>
          <w:b/>
          <w:bCs/>
          <w:color w:val="auto"/>
          <w:sz w:val="28"/>
          <w:szCs w:val="28"/>
          <w:u w:val="none" w:color="auto"/>
        </w:rPr>
        <w:t>图</w:t>
      </w:r>
      <w:bookmarkEnd w:id="108"/>
      <w:bookmarkEnd w:id="109"/>
      <w:bookmarkEnd w:id="110"/>
      <w:bookmarkEnd w:id="111"/>
    </w:p>
    <w:p w14:paraId="7DFC3A64">
      <w:pPr>
        <w:widowControl/>
        <w:spacing w:line="360" w:lineRule="auto"/>
        <w:outlineLvl w:val="1"/>
        <w:rPr>
          <w:b/>
          <w:bCs/>
          <w:color w:val="auto"/>
          <w:sz w:val="28"/>
          <w:szCs w:val="28"/>
          <w:u w:val="none" w:color="auto"/>
        </w:rPr>
      </w:pPr>
      <w:bookmarkStart w:id="112" w:name="_Toc19616"/>
      <w:bookmarkStart w:id="113" w:name="_Toc26934"/>
      <w:bookmarkStart w:id="114" w:name="_Toc24319"/>
      <w:r>
        <w:rPr>
          <w:rFonts w:hint="default" w:ascii="Times New Roman" w:hAnsi="Times New Roman" w:cs="Times New Roman"/>
          <w:color w:val="auto"/>
          <w:u w:val="none" w:color="auto"/>
        </w:rPr>
        <w:drawing>
          <wp:anchor distT="0" distB="0" distL="114300" distR="114300" simplePos="0" relativeHeight="251664384" behindDoc="0" locked="0" layoutInCell="1" allowOverlap="1">
            <wp:simplePos x="0" y="0"/>
            <wp:positionH relativeFrom="column">
              <wp:posOffset>7873365</wp:posOffset>
            </wp:positionH>
            <wp:positionV relativeFrom="paragraph">
              <wp:posOffset>52705</wp:posOffset>
            </wp:positionV>
            <wp:extent cx="529590" cy="689610"/>
            <wp:effectExtent l="0" t="0" r="3810" b="15240"/>
            <wp:wrapNone/>
            <wp:docPr id="38"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1"/>
                    <pic:cNvPicPr>
                      <a:picLocks noChangeAspect="1"/>
                    </pic:cNvPicPr>
                  </pic:nvPicPr>
                  <pic:blipFill>
                    <a:blip r:embed="rId51"/>
                    <a:stretch>
                      <a:fillRect/>
                    </a:stretch>
                  </pic:blipFill>
                  <pic:spPr>
                    <a:xfrm>
                      <a:off x="0" y="0"/>
                      <a:ext cx="529590" cy="689610"/>
                    </a:xfrm>
                    <a:prstGeom prst="rect">
                      <a:avLst/>
                    </a:prstGeom>
                    <a:noFill/>
                    <a:ln>
                      <a:noFill/>
                    </a:ln>
                  </pic:spPr>
                </pic:pic>
              </a:graphicData>
            </a:graphic>
          </wp:anchor>
        </w:drawing>
      </w:r>
      <w:r>
        <w:rPr>
          <w:color w:val="auto"/>
          <w:sz w:val="21"/>
          <w:u w:val="none" w:color="auto"/>
        </w:rPr>
        <mc:AlternateContent>
          <mc:Choice Requires="wps">
            <w:drawing>
              <wp:anchor distT="0" distB="0" distL="114300" distR="114300" simplePos="0" relativeHeight="251711488" behindDoc="0" locked="0" layoutInCell="1" allowOverlap="1">
                <wp:simplePos x="0" y="0"/>
                <wp:positionH relativeFrom="column">
                  <wp:posOffset>3922395</wp:posOffset>
                </wp:positionH>
                <wp:positionV relativeFrom="paragraph">
                  <wp:posOffset>3472815</wp:posOffset>
                </wp:positionV>
                <wp:extent cx="371475" cy="257175"/>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4584A">
                            <w:pPr>
                              <w:rPr>
                                <w:rFonts w:hint="default" w:eastAsia="宋体"/>
                                <w:lang w:val="en-US" w:eastAsia="zh-CN"/>
                              </w:rPr>
                            </w:pPr>
                            <w:r>
                              <w:rPr>
                                <w:rFonts w:hint="eastAsia"/>
                                <w:lang w:val="en-US" w:eastAsia="zh-CN"/>
                              </w:rPr>
                              <w:t>N9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8.85pt;margin-top:273.45pt;height:20.25pt;width:29.25pt;z-index:251711488;mso-width-relative:page;mso-height-relative:page;" filled="f" stroked="f" coordsize="21600,21600" o:gfxdata="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&#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Y+9e3AAAAAsBAAAPAAAAAAAAAAEAIAAAACIAAABk&#10;cnMvZG93bnJldi54bWxQSwECFAAUAAAACACHTuJAjqsFZDsCAABpBAAADgAAAAAAAAABACAAAAAr&#10;AQAAZHJzL2Uyb0RvYy54bWxQSwUGAAAAAAYABgBZAQAA2AUAAAAA&#10;">
                <v:fill on="f" focussize="0,0"/>
                <v:stroke on="f" weight="0.5pt"/>
                <v:imagedata o:title=""/>
                <o:lock v:ext="edit" aspectratio="f"/>
                <v:textbox>
                  <w:txbxContent>
                    <w:p w14:paraId="41B4584A">
                      <w:pPr>
                        <w:rPr>
                          <w:rFonts w:hint="default" w:eastAsia="宋体"/>
                          <w:lang w:val="en-US" w:eastAsia="zh-CN"/>
                        </w:rPr>
                      </w:pPr>
                      <w:r>
                        <w:rPr>
                          <w:rFonts w:hint="eastAsia"/>
                          <w:lang w:val="en-US" w:eastAsia="zh-CN"/>
                        </w:rPr>
                        <w:t>N9</w:t>
                      </w:r>
                    </w:p>
                  </w:txbxContent>
                </v:textbox>
              </v:shape>
            </w:pict>
          </mc:Fallback>
        </mc:AlternateContent>
      </w:r>
      <w:r>
        <w:rPr>
          <w:color w:val="auto"/>
          <w:sz w:val="21"/>
          <w:u w:val="none" w:color="auto"/>
        </w:rPr>
        <mc:AlternateContent>
          <mc:Choice Requires="wps">
            <w:drawing>
              <wp:anchor distT="0" distB="0" distL="114300" distR="114300" simplePos="0" relativeHeight="251712512" behindDoc="0" locked="0" layoutInCell="1" allowOverlap="1">
                <wp:simplePos x="0" y="0"/>
                <wp:positionH relativeFrom="column">
                  <wp:posOffset>5284470</wp:posOffset>
                </wp:positionH>
                <wp:positionV relativeFrom="paragraph">
                  <wp:posOffset>3177540</wp:posOffset>
                </wp:positionV>
                <wp:extent cx="371475" cy="2667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37147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A686D">
                            <w:pPr>
                              <w:rPr>
                                <w:rFonts w:hint="default" w:eastAsia="宋体"/>
                                <w:lang w:val="en-US" w:eastAsia="zh-CN"/>
                              </w:rPr>
                            </w:pPr>
                            <w:r>
                              <w:rPr>
                                <w:rFonts w:hint="eastAsia"/>
                                <w:lang w:val="en-US" w:eastAsia="zh-CN"/>
                              </w:rPr>
                              <w:t>N8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6.1pt;margin-top:250.2pt;height:21pt;width:29.25pt;z-index:251712512;mso-width-relative:page;mso-height-relative:page;" filled="f" stroked="f" coordsize="21600,21600" o:gfxdata="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iSnJ/3AAAAAsBAAAPAAAAAAAAAAEAIAAAACIA&#10;AABkcnMvZG93bnJldi54bWxQSwECFAAUAAAACACHTuJAE9K6dD4CAABpBAAADgAAAAAAAAABACAA&#10;AAArAQAAZHJzL2Uyb0RvYy54bWxQSwUGAAAAAAYABgBZAQAA2wUAAAAA&#10;">
                <v:fill on="f" focussize="0,0"/>
                <v:stroke on="f" weight="0.5pt"/>
                <v:imagedata o:title=""/>
                <o:lock v:ext="edit" aspectratio="f"/>
                <v:textbox>
                  <w:txbxContent>
                    <w:p w14:paraId="10BA686D">
                      <w:pPr>
                        <w:rPr>
                          <w:rFonts w:hint="default" w:eastAsia="宋体"/>
                          <w:lang w:val="en-US" w:eastAsia="zh-CN"/>
                        </w:rPr>
                      </w:pPr>
                      <w:r>
                        <w:rPr>
                          <w:rFonts w:hint="eastAsia"/>
                          <w:lang w:val="en-US" w:eastAsia="zh-CN"/>
                        </w:rPr>
                        <w:t>N8</w:t>
                      </w:r>
                    </w:p>
                  </w:txbxContent>
                </v:textbox>
              </v:shape>
            </w:pict>
          </mc:Fallback>
        </mc:AlternateContent>
      </w:r>
      <w:r>
        <w:rPr>
          <w:color w:val="auto"/>
          <w:sz w:val="21"/>
          <w:u w:val="none" w:color="auto"/>
        </w:rPr>
        <mc:AlternateContent>
          <mc:Choice Requires="wps">
            <w:drawing>
              <wp:anchor distT="0" distB="0" distL="114300" distR="114300" simplePos="0" relativeHeight="251718656" behindDoc="0" locked="0" layoutInCell="1" allowOverlap="1">
                <wp:simplePos x="0" y="0"/>
                <wp:positionH relativeFrom="column">
                  <wp:posOffset>5189220</wp:posOffset>
                </wp:positionH>
                <wp:positionV relativeFrom="paragraph">
                  <wp:posOffset>3253740</wp:posOffset>
                </wp:positionV>
                <wp:extent cx="123825" cy="123825"/>
                <wp:effectExtent l="12700" t="12700" r="15875" b="15875"/>
                <wp:wrapNone/>
                <wp:docPr id="162" name="流程图: 摘录 162"/>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408.6pt;margin-top:256.2pt;height:9.75pt;width:9.75pt;z-index:251718656;v-text-anchor:middle;mso-width-relative:page;mso-height-relative:page;" fillcolor="#92D050" filled="t" stroked="t" coordsize="21600,21600" o:gfxdata="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y&#10;eAaR2gAAAAsBAAAPAAAAAAAAAAEAIAAAACIAAABkcnMvZG93bnJldi54bWxQSwECFAAUAAAACACH&#10;TuJA/SYbFJQCAAAZBQAADgAAAAAAAAABACAAAAApAQAAZHJzL2Uyb0RvYy54bWxQSwUGAAAAAAYA&#10;BgBZAQAAL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10464" behindDoc="0" locked="0" layoutInCell="1" allowOverlap="1">
                <wp:simplePos x="0" y="0"/>
                <wp:positionH relativeFrom="column">
                  <wp:posOffset>3884295</wp:posOffset>
                </wp:positionH>
                <wp:positionV relativeFrom="paragraph">
                  <wp:posOffset>3625215</wp:posOffset>
                </wp:positionV>
                <wp:extent cx="123825" cy="123825"/>
                <wp:effectExtent l="12700" t="12700" r="15875" b="15875"/>
                <wp:wrapNone/>
                <wp:docPr id="153" name="流程图: 摘录 153"/>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305.85pt;margin-top:285.45pt;height:9.75pt;width:9.75pt;z-index:251710464;v-text-anchor:middle;mso-width-relative:page;mso-height-relative:page;" fillcolor="#92D050" filled="t" stroked="t" coordsize="21600,21600" o:gfxdata="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h&#10;jBnr2gAAAAsBAAAPAAAAAAAAAAEAIAAAACIAAABkcnMvZG93bnJldi54bWxQSwECFAAUAAAACACH&#10;TuJAUbH8FpQCAAAZBQAADgAAAAAAAAABACAAAAApAQAAZHJzL2Uyb0RvYy54bWxQSwUGAAAAAAYA&#10;BgBZAQAAL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19680" behindDoc="0" locked="0" layoutInCell="1" allowOverlap="1">
                <wp:simplePos x="0" y="0"/>
                <wp:positionH relativeFrom="column">
                  <wp:posOffset>3884295</wp:posOffset>
                </wp:positionH>
                <wp:positionV relativeFrom="paragraph">
                  <wp:posOffset>2406015</wp:posOffset>
                </wp:positionV>
                <wp:extent cx="371475" cy="257175"/>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E0B4F">
                            <w:pPr>
                              <w:rPr>
                                <w:rFonts w:hint="default" w:eastAsia="宋体"/>
                                <w:lang w:val="en-US" w:eastAsia="zh-CN"/>
                              </w:rPr>
                            </w:pPr>
                            <w:r>
                              <w:rPr>
                                <w:rFonts w:hint="eastAsia"/>
                                <w:lang w:val="en-US" w:eastAsia="zh-CN"/>
                              </w:rPr>
                              <w:t>N5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85pt;margin-top:189.45pt;height:20.25pt;width:29.25pt;z-index:251719680;mso-width-relative:page;mso-height-relative:page;" filled="f" stroked="f" coordsize="21600,21600" o:gfxdata="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CsQn3dAAAACwEAAA8AAAAAAAAAAQAgAAAAIgAA&#10;AGRycy9kb3ducmV2LnhtbFBLAQIUABQAAAAIAIdO4kBjmgRmPAIAAGkEAAAOAAAAAAAAAAEAIAAA&#10;ACwBAABkcnMvZTJvRG9jLnhtbFBLBQYAAAAABgAGAFkBAADaBQAAAAA=&#10;">
                <v:fill on="f" focussize="0,0"/>
                <v:stroke on="f" weight="0.5pt"/>
                <v:imagedata o:title=""/>
                <o:lock v:ext="edit" aspectratio="f"/>
                <v:textbox>
                  <w:txbxContent>
                    <w:p w14:paraId="57DE0B4F">
                      <w:pPr>
                        <w:rPr>
                          <w:rFonts w:hint="default" w:eastAsia="宋体"/>
                          <w:lang w:val="en-US" w:eastAsia="zh-CN"/>
                        </w:rPr>
                      </w:pPr>
                      <w:r>
                        <w:rPr>
                          <w:rFonts w:hint="eastAsia"/>
                          <w:lang w:val="en-US" w:eastAsia="zh-CN"/>
                        </w:rPr>
                        <w:t>N5</w:t>
                      </w:r>
                    </w:p>
                  </w:txbxContent>
                </v:textbox>
              </v:shape>
            </w:pict>
          </mc:Fallback>
        </mc:AlternateContent>
      </w:r>
      <w:r>
        <w:rPr>
          <w:color w:val="auto"/>
          <w:sz w:val="21"/>
          <w:u w:val="none" w:color="auto"/>
        </w:rPr>
        <mc:AlternateContent>
          <mc:Choice Requires="wps">
            <w:drawing>
              <wp:anchor distT="0" distB="0" distL="114300" distR="114300" simplePos="0" relativeHeight="251720704" behindDoc="0" locked="0" layoutInCell="1" allowOverlap="1">
                <wp:simplePos x="0" y="0"/>
                <wp:positionH relativeFrom="column">
                  <wp:posOffset>5551170</wp:posOffset>
                </wp:positionH>
                <wp:positionV relativeFrom="paragraph">
                  <wp:posOffset>2415540</wp:posOffset>
                </wp:positionV>
                <wp:extent cx="371475" cy="257175"/>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21E1A">
                            <w:pPr>
                              <w:rPr>
                                <w:rFonts w:hint="default" w:eastAsia="宋体"/>
                                <w:lang w:val="en-US" w:eastAsia="zh-CN"/>
                              </w:rPr>
                            </w:pPr>
                            <w:r>
                              <w:rPr>
                                <w:rFonts w:hint="eastAsia"/>
                                <w:lang w:val="en-US" w:eastAsia="zh-CN"/>
                              </w:rPr>
                              <w:t>N7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7.1pt;margin-top:190.2pt;height:20.25pt;width:29.25pt;z-index:251720704;mso-width-relative:page;mso-height-relative:page;" filled="f" stroked="f" coordsize="21600,21600" o:gfxdata="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v33/3dAAAACwEAAA8AAAAAAAAAAQAgAAAAIgAA&#10;AGRycy9kb3ducmV2LnhtbFBLAQIUABQAAAAIAIdO4kDpzv2PPAIAAGkEAAAOAAAAAAAAAAEAIAAA&#10;ACwBAABkcnMvZTJvRG9jLnhtbFBLBQYAAAAABgAGAFkBAADaBQAAAAA=&#10;">
                <v:fill on="f" focussize="0,0"/>
                <v:stroke on="f" weight="0.5pt"/>
                <v:imagedata o:title=""/>
                <o:lock v:ext="edit" aspectratio="f"/>
                <v:textbox>
                  <w:txbxContent>
                    <w:p w14:paraId="79521E1A">
                      <w:pPr>
                        <w:rPr>
                          <w:rFonts w:hint="default" w:eastAsia="宋体"/>
                          <w:lang w:val="en-US" w:eastAsia="zh-CN"/>
                        </w:rPr>
                      </w:pPr>
                      <w:r>
                        <w:rPr>
                          <w:rFonts w:hint="eastAsia"/>
                          <w:lang w:val="en-US" w:eastAsia="zh-CN"/>
                        </w:rPr>
                        <w:t>N7</w:t>
                      </w:r>
                    </w:p>
                  </w:txbxContent>
                </v:textbox>
              </v:shape>
            </w:pict>
          </mc:Fallback>
        </mc:AlternateContent>
      </w:r>
      <w:r>
        <w:rPr>
          <w:color w:val="auto"/>
          <w:sz w:val="21"/>
          <w:u w:val="none" w:color="auto"/>
        </w:rPr>
        <mc:AlternateContent>
          <mc:Choice Requires="wps">
            <w:drawing>
              <wp:anchor distT="0" distB="0" distL="114300" distR="114300" simplePos="0" relativeHeight="251721728" behindDoc="0" locked="0" layoutInCell="1" allowOverlap="1">
                <wp:simplePos x="0" y="0"/>
                <wp:positionH relativeFrom="column">
                  <wp:posOffset>4798695</wp:posOffset>
                </wp:positionH>
                <wp:positionV relativeFrom="paragraph">
                  <wp:posOffset>1443990</wp:posOffset>
                </wp:positionV>
                <wp:extent cx="371475" cy="257175"/>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D52B1">
                            <w:pPr>
                              <w:rPr>
                                <w:rFonts w:hint="default" w:eastAsia="宋体"/>
                                <w:lang w:val="en-US" w:eastAsia="zh-CN"/>
                              </w:rPr>
                            </w:pPr>
                            <w:r>
                              <w:rPr>
                                <w:rFonts w:hint="eastAsia"/>
                                <w:lang w:val="en-US" w:eastAsia="zh-CN"/>
                              </w:rPr>
                              <w:t>N6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7.85pt;margin-top:113.7pt;height:20.25pt;width:29.25pt;z-index:251721728;mso-width-relative:page;mso-height-relative:page;" filled="f" stroked="f" coordsize="21600,21600" o:gfxdata="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lpqU9wAAAALAQAADwAAAAAAAAABACAAAAAiAAAA&#10;ZHJzL2Rvd25yZXYueG1sUEsBAhQAFAAAAAgAh07iQGTB5bk8AgAAaQQAAA4AAAAAAAAAAQAgAAAA&#10;KwEAAGRycy9lMm9Eb2MueG1sUEsFBgAAAAAGAAYAWQEAANkFAAAAAA==&#10;">
                <v:fill on="f" focussize="0,0"/>
                <v:stroke on="f" weight="0.5pt"/>
                <v:imagedata o:title=""/>
                <o:lock v:ext="edit" aspectratio="f"/>
                <v:textbox>
                  <w:txbxContent>
                    <w:p w14:paraId="781D52B1">
                      <w:pPr>
                        <w:rPr>
                          <w:rFonts w:hint="default" w:eastAsia="宋体"/>
                          <w:lang w:val="en-US" w:eastAsia="zh-CN"/>
                        </w:rPr>
                      </w:pPr>
                      <w:r>
                        <w:rPr>
                          <w:rFonts w:hint="eastAsia"/>
                          <w:lang w:val="en-US" w:eastAsia="zh-CN"/>
                        </w:rPr>
                        <w:t>N6</w:t>
                      </w:r>
                    </w:p>
                  </w:txbxContent>
                </v:textbox>
              </v:shape>
            </w:pict>
          </mc:Fallback>
        </mc:AlternateContent>
      </w:r>
      <w:r>
        <w:rPr>
          <w:color w:val="auto"/>
          <w:sz w:val="21"/>
          <w:u w:val="none" w:color="auto"/>
        </w:rPr>
        <mc:AlternateContent>
          <mc:Choice Requires="wps">
            <w:drawing>
              <wp:anchor distT="0" distB="0" distL="114300" distR="114300" simplePos="0" relativeHeight="251717632" behindDoc="0" locked="0" layoutInCell="1" allowOverlap="1">
                <wp:simplePos x="0" y="0"/>
                <wp:positionH relativeFrom="column">
                  <wp:posOffset>5427345</wp:posOffset>
                </wp:positionH>
                <wp:positionV relativeFrom="paragraph">
                  <wp:posOffset>2472690</wp:posOffset>
                </wp:positionV>
                <wp:extent cx="123825" cy="123825"/>
                <wp:effectExtent l="12700" t="12700" r="15875" b="15875"/>
                <wp:wrapNone/>
                <wp:docPr id="161" name="流程图: 摘录 161"/>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427.35pt;margin-top:194.7pt;height:9.75pt;width:9.75pt;z-index:251717632;v-text-anchor:middle;mso-width-relative:page;mso-height-relative:page;" fillcolor="#92D050" filled="t" stroked="t" coordsize="21600,21600" o:gfxdata="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m&#10;3hLb2gAAAAsBAAAPAAAAAAAAAAEAIAAAACIAAABkcnMvZG93bnJldi54bWxQSwECFAAUAAAACACH&#10;TuJAIxNgsZQCAAAZBQAADgAAAAAAAAABACAAAAApAQAAZHJzL2Uyb0RvYy54bWxQSwUGAAAAAAYA&#10;BgBZAQAAL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9440" behindDoc="0" locked="0" layoutInCell="1" allowOverlap="1">
                <wp:simplePos x="0" y="0"/>
                <wp:positionH relativeFrom="column">
                  <wp:posOffset>3760470</wp:posOffset>
                </wp:positionH>
                <wp:positionV relativeFrom="paragraph">
                  <wp:posOffset>2444115</wp:posOffset>
                </wp:positionV>
                <wp:extent cx="123825" cy="123825"/>
                <wp:effectExtent l="12700" t="12700" r="15875" b="15875"/>
                <wp:wrapNone/>
                <wp:docPr id="152" name="流程图: 摘录 152"/>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96.1pt;margin-top:192.45pt;height:9.75pt;width:9.75pt;z-index:251709440;v-text-anchor:middle;mso-width-relative:page;mso-height-relative:page;" fillcolor="#92D050" filled="t" stroked="t" coordsize="21600,21600" o:gfxdata="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MNA&#10;+c7ZAAAACwEAAA8AAAAAAAAAAQAgAAAAIgAAAGRycy9kb3ducmV2LnhtbFBLAQIUABQAAAAIAIdO&#10;4kAbotV1lAIAABkFAAAOAAAAAAAAAAEAIAAAACgBAABkcnMvZTJvRG9jLnhtbFBLBQYAAAAABgAG&#10;AFkBAAAuBg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8416" behindDoc="0" locked="0" layoutInCell="1" allowOverlap="1">
                <wp:simplePos x="0" y="0"/>
                <wp:positionH relativeFrom="column">
                  <wp:posOffset>4789170</wp:posOffset>
                </wp:positionH>
                <wp:positionV relativeFrom="paragraph">
                  <wp:posOffset>1596390</wp:posOffset>
                </wp:positionV>
                <wp:extent cx="123825" cy="123825"/>
                <wp:effectExtent l="12700" t="12700" r="15875" b="15875"/>
                <wp:wrapNone/>
                <wp:docPr id="151" name="流程图: 摘录 151"/>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377.1pt;margin-top:125.7pt;height:9.75pt;width:9.75pt;z-index:251708416;v-text-anchor:middle;mso-width-relative:page;mso-height-relative:page;" fillcolor="#92D050" filled="t" stroked="t" coordsize="21600,21600" o:gfxdata="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IpL&#10;YrnaAAAACwEAAA8AAAAAAAAAAQAgAAAAIgAAAGRycy9kb3ducmV2LnhtbFBLAQIUABQAAAAIAIdO&#10;4kDFl67QkwIAABkFAAAOAAAAAAAAAAEAIAAAACkBAABkcnMvZTJvRG9jLnhtbFBLBQYAAAAABgAG&#10;AFkBAAAuBg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13536" behindDoc="0" locked="0" layoutInCell="1" allowOverlap="1">
                <wp:simplePos x="0" y="0"/>
                <wp:positionH relativeFrom="column">
                  <wp:posOffset>2855595</wp:posOffset>
                </wp:positionH>
                <wp:positionV relativeFrom="paragraph">
                  <wp:posOffset>1739265</wp:posOffset>
                </wp:positionV>
                <wp:extent cx="371475" cy="257175"/>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ED854">
                            <w:pPr>
                              <w:rPr>
                                <w:rFonts w:hint="default" w:eastAsia="宋体"/>
                                <w:lang w:val="en-US" w:eastAsia="zh-CN"/>
                              </w:rPr>
                            </w:pPr>
                            <w:r>
                              <w:rPr>
                                <w:rFonts w:hint="eastAsia"/>
                                <w:lang w:val="en-US" w:eastAsia="zh-CN"/>
                              </w:rPr>
                              <w:t>N4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85pt;margin-top:136.95pt;height:20.25pt;width:29.25pt;z-index:251713536;mso-width-relative:page;mso-height-relative:page;" filled="f" stroked="f" coordsize="21600,21600" o:gfxdata="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P5TADdAAAACwEAAA8AAAAAAAAAAQAgAAAAIgAA&#10;AGRycy9kb3ducmV2LnhtbFBLAQIUABQAAAAIAIdO4kCUtDUIPAIAAGkEAAAOAAAAAAAAAAEAIAAA&#10;ACwBAABkcnMvZTJvRG9jLnhtbFBLBQYAAAAABgAGAFkBAADaBQAAAAA=&#10;">
                <v:fill on="f" focussize="0,0"/>
                <v:stroke on="f" weight="0.5pt"/>
                <v:imagedata o:title=""/>
                <o:lock v:ext="edit" aspectratio="f"/>
                <v:textbox>
                  <w:txbxContent>
                    <w:p w14:paraId="222ED854">
                      <w:pPr>
                        <w:rPr>
                          <w:rFonts w:hint="default" w:eastAsia="宋体"/>
                          <w:lang w:val="en-US" w:eastAsia="zh-CN"/>
                        </w:rPr>
                      </w:pPr>
                      <w:r>
                        <w:rPr>
                          <w:rFonts w:hint="eastAsia"/>
                          <w:lang w:val="en-US" w:eastAsia="zh-CN"/>
                        </w:rPr>
                        <w:t>N4</w:t>
                      </w:r>
                    </w:p>
                  </w:txbxContent>
                </v:textbox>
              </v:shape>
            </w:pict>
          </mc:Fallback>
        </mc:AlternateContent>
      </w:r>
      <w:r>
        <w:rPr>
          <w:color w:val="auto"/>
          <w:sz w:val="21"/>
          <w:u w:val="none" w:color="auto"/>
        </w:rPr>
        <mc:AlternateContent>
          <mc:Choice Requires="wps">
            <w:drawing>
              <wp:anchor distT="0" distB="0" distL="114300" distR="114300" simplePos="0" relativeHeight="251716608" behindDoc="0" locked="0" layoutInCell="1" allowOverlap="1">
                <wp:simplePos x="0" y="0"/>
                <wp:positionH relativeFrom="column">
                  <wp:posOffset>2436495</wp:posOffset>
                </wp:positionH>
                <wp:positionV relativeFrom="paragraph">
                  <wp:posOffset>1301115</wp:posOffset>
                </wp:positionV>
                <wp:extent cx="371475" cy="257175"/>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A8563">
                            <w:pPr>
                              <w:rPr>
                                <w:rFonts w:hint="default" w:eastAsia="宋体"/>
                                <w:lang w:val="en-US" w:eastAsia="zh-CN"/>
                              </w:rPr>
                            </w:pPr>
                            <w:r>
                              <w:rPr>
                                <w:rFonts w:hint="eastAsia"/>
                                <w:lang w:val="en-US" w:eastAsia="zh-CN"/>
                              </w:rPr>
                              <w:t>N1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85pt;margin-top:102.45pt;height:20.25pt;width:29.25pt;z-index:251716608;mso-width-relative:page;mso-height-relative:page;" filled="f" stroked="f" coordsize="21600,21600" o:gfxdata="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jqIq53AAAAAsBAAAPAAAAAAAAAAEAIAAAACIAAABk&#10;cnMvZG93bnJldi54bWxQSwECFAAUAAAACACHTuJAwLRM5DsCAABpBAAADgAAAAAAAAABACAAAAAr&#10;AQAAZHJzL2Uyb0RvYy54bWxQSwUGAAAAAAYABgBZAQAA2AUAAAAA&#10;">
                <v:fill on="f" focussize="0,0"/>
                <v:stroke on="f" weight="0.5pt"/>
                <v:imagedata o:title=""/>
                <o:lock v:ext="edit" aspectratio="f"/>
                <v:textbox>
                  <w:txbxContent>
                    <w:p w14:paraId="147A8563">
                      <w:pPr>
                        <w:rPr>
                          <w:rFonts w:hint="default" w:eastAsia="宋体"/>
                          <w:lang w:val="en-US" w:eastAsia="zh-CN"/>
                        </w:rPr>
                      </w:pPr>
                      <w:r>
                        <w:rPr>
                          <w:rFonts w:hint="eastAsia"/>
                          <w:lang w:val="en-US" w:eastAsia="zh-CN"/>
                        </w:rPr>
                        <w:t>N1</w:t>
                      </w:r>
                    </w:p>
                  </w:txbxContent>
                </v:textbox>
              </v:shape>
            </w:pict>
          </mc:Fallback>
        </mc:AlternateContent>
      </w:r>
      <w:r>
        <w:rPr>
          <w:color w:val="auto"/>
          <w:sz w:val="21"/>
          <w:u w:val="none" w:color="auto"/>
        </w:rPr>
        <mc:AlternateContent>
          <mc:Choice Requires="wps">
            <w:drawing>
              <wp:anchor distT="0" distB="0" distL="114300" distR="114300" simplePos="0" relativeHeight="251714560" behindDoc="0" locked="0" layoutInCell="1" allowOverlap="1">
                <wp:simplePos x="0" y="0"/>
                <wp:positionH relativeFrom="column">
                  <wp:posOffset>3589020</wp:posOffset>
                </wp:positionH>
                <wp:positionV relativeFrom="paragraph">
                  <wp:posOffset>1567815</wp:posOffset>
                </wp:positionV>
                <wp:extent cx="371475" cy="257175"/>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73982">
                            <w:pPr>
                              <w:rPr>
                                <w:rFonts w:hint="default" w:eastAsia="宋体"/>
                                <w:lang w:val="en-US" w:eastAsia="zh-CN"/>
                              </w:rPr>
                            </w:pPr>
                            <w:r>
                              <w:rPr>
                                <w:rFonts w:hint="eastAsia"/>
                                <w:lang w:val="en-US" w:eastAsia="zh-CN"/>
                              </w:rPr>
                              <w:t>N3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6pt;margin-top:123.45pt;height:20.25pt;width:29.25pt;z-index:251714560;mso-width-relative:page;mso-height-relative:page;" filled="f" stroked="f" coordsize="21600,21600" o:gfxdata="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WcDTNwAAAALAQAADwAAAAAAAAABACAAAAAiAAAA&#10;ZHJzL2Rvd25yZXYueG1sUEsBAhQAFAAAAAgAh07iQB7gzOE8AgAAaQQAAA4AAAAAAAAAAQAgAAAA&#10;KwEAAGRycy9lMm9Eb2MueG1sUEsFBgAAAAAGAAYAWQEAANkFAAAAAA==&#10;">
                <v:fill on="f" focussize="0,0"/>
                <v:stroke on="f" weight="0.5pt"/>
                <v:imagedata o:title=""/>
                <o:lock v:ext="edit" aspectratio="f"/>
                <v:textbox>
                  <w:txbxContent>
                    <w:p w14:paraId="3A773982">
                      <w:pPr>
                        <w:rPr>
                          <w:rFonts w:hint="default" w:eastAsia="宋体"/>
                          <w:lang w:val="en-US" w:eastAsia="zh-CN"/>
                        </w:rPr>
                      </w:pPr>
                      <w:r>
                        <w:rPr>
                          <w:rFonts w:hint="eastAsia"/>
                          <w:lang w:val="en-US" w:eastAsia="zh-CN"/>
                        </w:rPr>
                        <w:t>N3</w:t>
                      </w:r>
                    </w:p>
                  </w:txbxContent>
                </v:textbox>
              </v:shape>
            </w:pict>
          </mc:Fallback>
        </mc:AlternateContent>
      </w:r>
      <w:r>
        <w:rPr>
          <w:color w:val="auto"/>
          <w:sz w:val="21"/>
          <w:u w:val="none" w:color="auto"/>
        </w:rPr>
        <mc:AlternateContent>
          <mc:Choice Requires="wps">
            <w:drawing>
              <wp:anchor distT="0" distB="0" distL="114300" distR="114300" simplePos="0" relativeHeight="251715584" behindDoc="0" locked="0" layoutInCell="1" allowOverlap="1">
                <wp:simplePos x="0" y="0"/>
                <wp:positionH relativeFrom="column">
                  <wp:posOffset>2969895</wp:posOffset>
                </wp:positionH>
                <wp:positionV relativeFrom="paragraph">
                  <wp:posOffset>1015365</wp:posOffset>
                </wp:positionV>
                <wp:extent cx="371475" cy="257175"/>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371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4AFA7">
                            <w:pPr>
                              <w:rPr>
                                <w:rFonts w:hint="default" w:eastAsia="宋体"/>
                                <w:lang w:val="en-US" w:eastAsia="zh-CN"/>
                              </w:rPr>
                            </w:pPr>
                            <w:r>
                              <w:rPr>
                                <w:rFonts w:hint="eastAsia"/>
                                <w:lang w:val="en-US" w:eastAsia="zh-CN"/>
                              </w:rPr>
                              <w:t>N2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85pt;margin-top:79.95pt;height:20.25pt;width:29.25pt;z-index:251715584;mso-width-relative:page;mso-height-relative:page;" filled="f" stroked="f" coordsize="21600,21600" o:gfxdata="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zWua9wAAAALAQAADwAAAAAAAAABACAAAAAiAAAA&#10;ZHJzL2Rvd25yZXYueG1sUEsBAhQAFAAAAAgAh07iQJPv1Nc8AgAAaQQAAA4AAAAAAAAAAQAgAAAA&#10;KwEAAGRycy9lMm9Eb2MueG1sUEsFBgAAAAAGAAYAWQEAANkFAAAAAA==&#10;">
                <v:fill on="f" focussize="0,0"/>
                <v:stroke on="f" weight="0.5pt"/>
                <v:imagedata o:title=""/>
                <o:lock v:ext="edit" aspectratio="f"/>
                <v:textbox>
                  <w:txbxContent>
                    <w:p w14:paraId="29D4AFA7">
                      <w:pPr>
                        <w:rPr>
                          <w:rFonts w:hint="default" w:eastAsia="宋体"/>
                          <w:lang w:val="en-US" w:eastAsia="zh-CN"/>
                        </w:rPr>
                      </w:pPr>
                      <w:r>
                        <w:rPr>
                          <w:rFonts w:hint="eastAsia"/>
                          <w:lang w:val="en-US" w:eastAsia="zh-CN"/>
                        </w:rPr>
                        <w:t>N2</w:t>
                      </w:r>
                    </w:p>
                  </w:txbxContent>
                </v:textbox>
              </v:shape>
            </w:pict>
          </mc:Fallback>
        </mc:AlternateContent>
      </w:r>
      <w:r>
        <w:rPr>
          <w:color w:val="auto"/>
          <w:sz w:val="21"/>
          <w:u w:val="none" w:color="auto"/>
        </w:rPr>
        <mc:AlternateContent>
          <mc:Choice Requires="wps">
            <w:drawing>
              <wp:anchor distT="0" distB="0" distL="114300" distR="114300" simplePos="0" relativeHeight="251707392" behindDoc="0" locked="0" layoutInCell="1" allowOverlap="1">
                <wp:simplePos x="0" y="0"/>
                <wp:positionH relativeFrom="column">
                  <wp:posOffset>2541270</wp:posOffset>
                </wp:positionH>
                <wp:positionV relativeFrom="paragraph">
                  <wp:posOffset>1482090</wp:posOffset>
                </wp:positionV>
                <wp:extent cx="123825" cy="123825"/>
                <wp:effectExtent l="12700" t="12700" r="15875" b="15875"/>
                <wp:wrapNone/>
                <wp:docPr id="150" name="流程图: 摘录 150"/>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00.1pt;margin-top:116.7pt;height:9.75pt;width:9.75pt;z-index:251707392;v-text-anchor:middle;mso-width-relative:page;mso-height-relative:page;" fillcolor="#92D050" filled="t" stroked="t" coordsize="21600,21600" o:gfxdata="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7fmM&#10;JtoAAAALAQAADwAAAAAAAAABACAAAAAiAAAAZHJzL2Rvd25yZXYueG1sUEsBAhQAFAAAAAgAh07i&#10;QI+Eh7OSAgAAGQUAAA4AAAAAAAAAAQAgAAAAKQEAAGRycy9lMm9Eb2MueG1sUEsFBgAAAAAGAAYA&#10;WQEAAC0GA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6368" behindDoc="0" locked="0" layoutInCell="1" allowOverlap="1">
                <wp:simplePos x="0" y="0"/>
                <wp:positionH relativeFrom="column">
                  <wp:posOffset>3569970</wp:posOffset>
                </wp:positionH>
                <wp:positionV relativeFrom="paragraph">
                  <wp:posOffset>1510665</wp:posOffset>
                </wp:positionV>
                <wp:extent cx="123825" cy="123825"/>
                <wp:effectExtent l="12700" t="12700" r="15875" b="15875"/>
                <wp:wrapNone/>
                <wp:docPr id="149" name="流程图: 摘录 149"/>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81.1pt;margin-top:118.95pt;height:9.75pt;width:9.75pt;z-index:251706368;v-text-anchor:middle;mso-width-relative:page;mso-height-relative:page;" fillcolor="#92D050" filled="t" stroked="t" coordsize="21600,21600" o:gfxdata="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z&#10;K7sn2gAAAAsBAAAPAAAAAAAAAAEAIAAAACIAAABkcnMvZG93bnJldi54bWxQSwECFAAUAAAACACH&#10;TuJAioBu6ZQCAAAZBQAADgAAAAAAAAABACAAAAApAQAAZHJzL2Uyb0RvYy54bWxQSwUGAAAAAAYA&#10;BgBZAQAAL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4320" behindDoc="0" locked="0" layoutInCell="1" allowOverlap="1">
                <wp:simplePos x="0" y="0"/>
                <wp:positionH relativeFrom="column">
                  <wp:posOffset>3036570</wp:posOffset>
                </wp:positionH>
                <wp:positionV relativeFrom="paragraph">
                  <wp:posOffset>1205865</wp:posOffset>
                </wp:positionV>
                <wp:extent cx="123825" cy="123825"/>
                <wp:effectExtent l="12700" t="12700" r="15875" b="15875"/>
                <wp:wrapNone/>
                <wp:docPr id="147" name="流程图: 摘录 147"/>
                <wp:cNvGraphicFramePr/>
                <a:graphic xmlns:a="http://schemas.openxmlformats.org/drawingml/2006/main">
                  <a:graphicData uri="http://schemas.microsoft.com/office/word/2010/wordprocessingShape">
                    <wps:wsp>
                      <wps:cNvSpPr/>
                      <wps:spPr>
                        <a:xfrm>
                          <a:off x="3750945" y="2687955"/>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39.1pt;margin-top:94.95pt;height:9.75pt;width:9.75pt;z-index:251704320;v-text-anchor:middle;mso-width-relative:page;mso-height-relative:page;" fillcolor="#92D050" filled="t" stroked="t" coordsize="21600,21600" o:gfxdata="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v/pB2QAAAAsBAAAPAAAAAAAAAAEAIAAAACIAAABkcnMvZG93bnJldi54bWxQ&#10;SwECFAAUAAAACACHTuJA6e9EG6ECAAAlBQAADgAAAAAAAAABACAAAAAoAQAAZHJzL2Uyb0RvYy54&#10;bWxQSwUGAAAAAAYABgBZAQAAO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5344" behindDoc="0" locked="0" layoutInCell="1" allowOverlap="1">
                <wp:simplePos x="0" y="0"/>
                <wp:positionH relativeFrom="column">
                  <wp:posOffset>3141345</wp:posOffset>
                </wp:positionH>
                <wp:positionV relativeFrom="paragraph">
                  <wp:posOffset>1834515</wp:posOffset>
                </wp:positionV>
                <wp:extent cx="123825" cy="123825"/>
                <wp:effectExtent l="12700" t="12700" r="15875" b="15875"/>
                <wp:wrapNone/>
                <wp:docPr id="148" name="流程图: 摘录 148"/>
                <wp:cNvGraphicFramePr/>
                <a:graphic xmlns:a="http://schemas.openxmlformats.org/drawingml/2006/main">
                  <a:graphicData uri="http://schemas.microsoft.com/office/word/2010/wordprocessingShape">
                    <wps:wsp>
                      <wps:cNvSpPr/>
                      <wps:spPr>
                        <a:xfrm>
                          <a:off x="0" y="0"/>
                          <a:ext cx="123825" cy="123825"/>
                        </a:xfrm>
                        <a:prstGeom prst="flowChartExtract">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47.35pt;margin-top:144.45pt;height:9.75pt;width:9.75pt;z-index:251705344;v-text-anchor:middle;mso-width-relative:page;mso-height-relative:page;" fillcolor="#92D050" filled="t" stroked="t" coordsize="21600,21600" o:gfxdata="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P&#10;vAFj2gAAAAsBAAAPAAAAAAAAAAEAIAAAACIAAABkcnMvZG93bnJldi54bWxQSwECFAAUAAAACACH&#10;TuJAwJNHipQCAAAZBQAADgAAAAAAAAABACAAAAApAQAAZHJzL2Uyb0RvYy54bWxQSwUGAAAAAAYA&#10;BgBZAQAALw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01248" behindDoc="0" locked="0" layoutInCell="1" allowOverlap="1">
                <wp:simplePos x="0" y="0"/>
                <wp:positionH relativeFrom="column">
                  <wp:posOffset>3331845</wp:posOffset>
                </wp:positionH>
                <wp:positionV relativeFrom="paragraph">
                  <wp:posOffset>1513205</wp:posOffset>
                </wp:positionV>
                <wp:extent cx="666750" cy="2638425"/>
                <wp:effectExtent l="18415" t="4445" r="19685" b="5080"/>
                <wp:wrapNone/>
                <wp:docPr id="144" name="直接连接符 144"/>
                <wp:cNvGraphicFramePr/>
                <a:graphic xmlns:a="http://schemas.openxmlformats.org/drawingml/2006/main">
                  <a:graphicData uri="http://schemas.microsoft.com/office/word/2010/wordprocessingShape">
                    <wps:wsp>
                      <wps:cNvCnPr/>
                      <wps:spPr>
                        <a:xfrm flipH="1">
                          <a:off x="0" y="0"/>
                          <a:ext cx="666750" cy="26384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62.35pt;margin-top:119.15pt;height:207.75pt;width:52.5pt;z-index:251701248;mso-width-relative:page;mso-height-relative:page;" filled="f" stroked="t" coordsize="21600,21600" o:gfxdata="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j&#10;9/LH2gAAAAsBAAAPAAAAAAAAAAEAIAAAACIAAABkcnMvZG93bnJldi54bWxQSwECFAAUAAAACACH&#10;TuJAvlTwZOkBAACuAwAADgAAAAAAAAABACAAAAApAQAAZHJzL2Uyb0RvYy54bWxQSwUGAAAAAAYA&#10;BgBZAQAAhAUAAAAA&#10;">
                <v:fill on="f" focussize="0,0"/>
                <v:stroke weight="3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02272" behindDoc="0" locked="0" layoutInCell="1" allowOverlap="1">
                <wp:simplePos x="0" y="0"/>
                <wp:positionH relativeFrom="column">
                  <wp:posOffset>2103120</wp:posOffset>
                </wp:positionH>
                <wp:positionV relativeFrom="paragraph">
                  <wp:posOffset>1760855</wp:posOffset>
                </wp:positionV>
                <wp:extent cx="3352800" cy="771525"/>
                <wp:effectExtent l="4445" t="18415" r="14605" b="29210"/>
                <wp:wrapNone/>
                <wp:docPr id="145" name="直接连接符 145"/>
                <wp:cNvGraphicFramePr/>
                <a:graphic xmlns:a="http://schemas.openxmlformats.org/drawingml/2006/main">
                  <a:graphicData uri="http://schemas.microsoft.com/office/word/2010/wordprocessingShape">
                    <wps:wsp>
                      <wps:cNvCnPr/>
                      <wps:spPr>
                        <a:xfrm>
                          <a:off x="0" y="0"/>
                          <a:ext cx="3352800" cy="7715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5.6pt;margin-top:138.65pt;height:60.75pt;width:264pt;z-index:251702272;mso-width-relative:page;mso-height-relative:page;" filled="f" stroked="t" coordsize="21600,21600" o:gfxdata="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H8nBt0A&#10;AAALAQAADwAAAAAAAAABACAAAAAiAAAAZHJzL2Rvd25yZXYueG1sUEsBAhQAFAAAAAgAh07iQLf1&#10;r7LhAQAApAMAAA4AAAAAAAAAAQAgAAAALAEAAGRycy9lMm9Eb2MueG1sUEsFBgAAAAAGAAYAWQEA&#10;AH8FAAAAAA==&#10;">
                <v:fill on="f" focussize="0,0"/>
                <v:stroke weight="3pt" color="#FF00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03296" behindDoc="0" locked="0" layoutInCell="1" allowOverlap="1">
                <wp:simplePos x="0" y="0"/>
                <wp:positionH relativeFrom="column">
                  <wp:posOffset>4379595</wp:posOffset>
                </wp:positionH>
                <wp:positionV relativeFrom="paragraph">
                  <wp:posOffset>2389505</wp:posOffset>
                </wp:positionV>
                <wp:extent cx="400050" cy="1647825"/>
                <wp:effectExtent l="18415" t="4445" r="19685" b="5080"/>
                <wp:wrapNone/>
                <wp:docPr id="146" name="直接连接符 146"/>
                <wp:cNvGraphicFramePr/>
                <a:graphic xmlns:a="http://schemas.openxmlformats.org/drawingml/2006/main">
                  <a:graphicData uri="http://schemas.microsoft.com/office/word/2010/wordprocessingShape">
                    <wps:wsp>
                      <wps:cNvCnPr/>
                      <wps:spPr>
                        <a:xfrm flipH="1">
                          <a:off x="0" y="0"/>
                          <a:ext cx="400050" cy="1647825"/>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44.85pt;margin-top:188.15pt;height:129.75pt;width:31.5pt;z-index:251703296;mso-width-relative:page;mso-height-relative:page;" filled="f" stroked="t" coordsize="21600,21600" o:gfxdata="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a&#10;eZ+K2gAAAAsBAAAPAAAAAAAAAAEAIAAAACIAAABkcnMvZG93bnJldi54bWxQSwECFAAUAAAACACH&#10;TuJA05kbA+kBAACuAwAADgAAAAAAAAABACAAAAApAQAAZHJzL2Uyb0RvYy54bWxQSwUGAAAAAAYA&#10;BgBZAQAAhAUAAAAA&#10;">
                <v:fill on="f" focussize="0,0"/>
                <v:stroke weight="3pt" color="#FF0000 [3204]" joinstyle="round"/>
                <v:imagedata o:title=""/>
                <o:lock v:ext="edit" aspectratio="f"/>
              </v:line>
            </w:pict>
          </mc:Fallback>
        </mc:AlternateContent>
      </w:r>
      <w:r>
        <w:rPr>
          <w:color w:val="auto"/>
          <w:u w:val="none" w:color="auto"/>
        </w:rPr>
        <w:drawing>
          <wp:inline distT="0" distB="0" distL="114300" distR="114300">
            <wp:extent cx="8397240" cy="5233670"/>
            <wp:effectExtent l="0" t="0" r="3810" b="5080"/>
            <wp:docPr id="1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
                    <pic:cNvPicPr>
                      <a:picLocks noChangeAspect="1"/>
                    </pic:cNvPicPr>
                  </pic:nvPicPr>
                  <pic:blipFill>
                    <a:blip r:embed="rId52"/>
                    <a:stretch>
                      <a:fillRect/>
                    </a:stretch>
                  </pic:blipFill>
                  <pic:spPr>
                    <a:xfrm>
                      <a:off x="0" y="0"/>
                      <a:ext cx="8397240" cy="5233670"/>
                    </a:xfrm>
                    <a:prstGeom prst="rect">
                      <a:avLst/>
                    </a:prstGeom>
                    <a:noFill/>
                    <a:ln>
                      <a:noFill/>
                    </a:ln>
                  </pic:spPr>
                </pic:pic>
              </a:graphicData>
            </a:graphic>
          </wp:inline>
        </w:drawing>
      </w:r>
      <w:bookmarkEnd w:id="112"/>
      <w:bookmarkEnd w:id="113"/>
      <w:bookmarkEnd w:id="114"/>
    </w:p>
    <w:p w14:paraId="2DFEF67E">
      <w:pPr>
        <w:widowControl/>
        <w:spacing w:line="360" w:lineRule="auto"/>
        <w:outlineLvl w:val="1"/>
        <w:rPr>
          <w:rFonts w:hint="default"/>
          <w:b/>
          <w:bCs/>
          <w:color w:val="auto"/>
          <w:sz w:val="28"/>
          <w:szCs w:val="28"/>
          <w:u w:val="none" w:color="auto"/>
          <w:lang w:val="en-US"/>
        </w:rPr>
      </w:pPr>
      <w:bookmarkStart w:id="115" w:name="_Toc19812"/>
      <w:bookmarkStart w:id="116" w:name="_Toc4071"/>
      <w:bookmarkStart w:id="117" w:name="_Toc23607"/>
      <w:bookmarkStart w:id="118" w:name="_Toc24537"/>
      <w:bookmarkStart w:id="119" w:name="_Toc13492"/>
      <w:r>
        <w:rPr>
          <w:b/>
          <w:bCs/>
          <w:color w:val="auto"/>
          <w:sz w:val="28"/>
          <w:szCs w:val="28"/>
          <w:u w:val="none" w:color="auto"/>
        </w:rPr>
        <w:t>附图</w:t>
      </w:r>
      <w:r>
        <w:rPr>
          <w:rFonts w:hint="eastAsia"/>
          <w:b/>
          <w:bCs/>
          <w:color w:val="auto"/>
          <w:sz w:val="28"/>
          <w:szCs w:val="28"/>
          <w:u w:val="none" w:color="auto"/>
          <w:lang w:val="en-US" w:eastAsia="zh-CN"/>
        </w:rPr>
        <w:t>5</w:t>
      </w:r>
      <w:r>
        <w:rPr>
          <w:b/>
          <w:bCs/>
          <w:color w:val="auto"/>
          <w:sz w:val="28"/>
          <w:szCs w:val="28"/>
          <w:u w:val="none" w:color="auto"/>
        </w:rPr>
        <w:t xml:space="preserve"> </w:t>
      </w:r>
      <w:r>
        <w:rPr>
          <w:rFonts w:hint="eastAsia"/>
          <w:b/>
          <w:bCs/>
          <w:color w:val="auto"/>
          <w:sz w:val="28"/>
          <w:szCs w:val="28"/>
          <w:u w:val="none" w:color="auto"/>
          <w:lang w:val="en-US" w:eastAsia="zh-CN"/>
        </w:rPr>
        <w:t>本项目与湖南东洞庭湖国家级自然保护区位置示意图</w:t>
      </w:r>
      <w:bookmarkEnd w:id="115"/>
      <w:r>
        <w:rPr>
          <w:rFonts w:hint="eastAsia"/>
          <w:b/>
          <w:bCs/>
          <w:color w:val="auto"/>
          <w:sz w:val="28"/>
          <w:szCs w:val="28"/>
          <w:u w:val="none" w:color="auto"/>
          <w:lang w:val="en-US" w:eastAsia="zh-CN"/>
        </w:rPr>
        <w:t>（调整前及调整后）</w:t>
      </w:r>
      <w:bookmarkEnd w:id="116"/>
      <w:bookmarkEnd w:id="117"/>
      <w:bookmarkEnd w:id="118"/>
      <w:bookmarkEnd w:id="119"/>
    </w:p>
    <w:p w14:paraId="181FE246">
      <w:pPr>
        <w:rPr>
          <w:color w:val="auto"/>
          <w:u w:val="none" w:color="auto"/>
        </w:rPr>
      </w:pPr>
      <w:r>
        <w:rPr>
          <w:color w:val="auto"/>
          <w:sz w:val="21"/>
          <w:u w:val="none" w:color="auto"/>
        </w:rPr>
        <mc:AlternateContent>
          <mc:Choice Requires="wps">
            <w:drawing>
              <wp:anchor distT="0" distB="0" distL="114300" distR="114300" simplePos="0" relativeHeight="251666432" behindDoc="0" locked="0" layoutInCell="1" allowOverlap="1">
                <wp:simplePos x="0" y="0"/>
                <wp:positionH relativeFrom="column">
                  <wp:posOffset>2600960</wp:posOffset>
                </wp:positionH>
                <wp:positionV relativeFrom="paragraph">
                  <wp:posOffset>1749425</wp:posOffset>
                </wp:positionV>
                <wp:extent cx="976630" cy="424815"/>
                <wp:effectExtent l="0" t="0" r="0" b="0"/>
                <wp:wrapNone/>
                <wp:docPr id="58" name="矩形 58"/>
                <wp:cNvGraphicFramePr/>
                <a:graphic xmlns:a="http://schemas.openxmlformats.org/drawingml/2006/main">
                  <a:graphicData uri="http://schemas.microsoft.com/office/word/2010/wordprocessingShape">
                    <wps:wsp>
                      <wps:cNvSpPr/>
                      <wps:spPr>
                        <a:xfrm>
                          <a:off x="3971925" y="316992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14:paraId="375C4845">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8pt;margin-top:137.75pt;height:33.45pt;width:76.9pt;z-index:251666432;v-text-anchor:middle;mso-width-relative:page;mso-height-relative:page;" filled="f" stroked="f" coordsize="21600,21600" o:gfxdata="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KF8hbbAAAACwEAAA8AAAAAAAAAAQAgAAAAIgAAAGRycy9kb3ducmV2LnhtbFBLAQIUABQA&#10;AAAIAIdO4kBcsakeXwIAAKMEAAAOAAAAAAAAAAEAIAAAACoBAABkcnMvZTJvRG9jLnhtbFBLBQYA&#10;AAAABgAGAFkBAAD7BQAAAAA=&#10;">
                <v:fill on="f" focussize="0,0"/>
                <v:stroke on="f" weight="1.25pt"/>
                <v:imagedata o:title=""/>
                <o:lock v:ext="edit" aspectratio="f"/>
                <v:textbox>
                  <w:txbxContent>
                    <w:p w14:paraId="375C4845">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u w:val="none" w:color="auto"/>
        </w:rPr>
        <mc:AlternateContent>
          <mc:Choice Requires="wps">
            <w:drawing>
              <wp:anchor distT="0" distB="0" distL="114300" distR="114300" simplePos="0" relativeHeight="251665408" behindDoc="0" locked="0" layoutInCell="1" allowOverlap="1">
                <wp:simplePos x="0" y="0"/>
                <wp:positionH relativeFrom="column">
                  <wp:posOffset>3041650</wp:posOffset>
                </wp:positionH>
                <wp:positionV relativeFrom="paragraph">
                  <wp:posOffset>2122170</wp:posOffset>
                </wp:positionV>
                <wp:extent cx="97790" cy="102235"/>
                <wp:effectExtent l="4445" t="4445" r="12065" b="7620"/>
                <wp:wrapNone/>
                <wp:docPr id="59" name="五角星 59"/>
                <wp:cNvGraphicFramePr/>
                <a:graphic xmlns:a="http://schemas.openxmlformats.org/drawingml/2006/main">
                  <a:graphicData uri="http://schemas.microsoft.com/office/word/2010/wordprocessingShape">
                    <wps:wsp>
                      <wps:cNvSpPr/>
                      <wps:spPr>
                        <a:xfrm>
                          <a:off x="4241165" y="3517265"/>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9.5pt;margin-top:167.1pt;height:8.05pt;width:7.7pt;z-index:251665408;v-text-anchor:middle;mso-width-relative:page;mso-height-relative:page;" fillcolor="#C0504D [3205]" filled="t" stroked="t" coordsize="97790,102235" o:gfxdata="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TlcgvXAAAACwEAAA8AAAAAAAAAAQAgAAAAIgAA&#10;AGRycy9kb3ducmV2LnhtbFBLAQIUABQAAAAIAIdO4kC07eYvewIAAOwEAAAOAAAAAAAAAAEAIAAA&#10;ACYBAABkcnMvZTJvRG9jLnhtbFBLBQYAAAAABgAGAFkBAAAT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color w:val="auto"/>
          <w:u w:val="none" w:color="auto"/>
        </w:rPr>
        <w:drawing>
          <wp:inline distT="0" distB="0" distL="114300" distR="114300">
            <wp:extent cx="8048625" cy="5265420"/>
            <wp:effectExtent l="0" t="0" r="9525" b="11430"/>
            <wp:docPr id="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53"/>
                    <a:stretch>
                      <a:fillRect/>
                    </a:stretch>
                  </pic:blipFill>
                  <pic:spPr>
                    <a:xfrm>
                      <a:off x="0" y="0"/>
                      <a:ext cx="8048625" cy="5265420"/>
                    </a:xfrm>
                    <a:prstGeom prst="rect">
                      <a:avLst/>
                    </a:prstGeom>
                    <a:noFill/>
                    <a:ln>
                      <a:noFill/>
                    </a:ln>
                  </pic:spPr>
                </pic:pic>
              </a:graphicData>
            </a:graphic>
          </wp:inline>
        </w:drawing>
      </w:r>
    </w:p>
    <w:p w14:paraId="7EC423C5">
      <w:pPr>
        <w:rPr>
          <w:rFonts w:hint="eastAsia" w:eastAsia="宋体"/>
          <w:color w:val="auto"/>
          <w:u w:val="none" w:color="auto"/>
          <w:lang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color w:val="auto"/>
          <w:u w:val="none" w:color="auto"/>
          <w:lang w:eastAsia="zh-CN"/>
        </w:rPr>
        <w:drawing>
          <wp:inline distT="0" distB="0" distL="114300" distR="114300">
            <wp:extent cx="8190230" cy="5725795"/>
            <wp:effectExtent l="0" t="0" r="1270" b="8255"/>
            <wp:docPr id="26" name="图片 26" descr="0e0ff5dcd1ae8b1b665183315c5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e0ff5dcd1ae8b1b665183315c58220"/>
                    <pic:cNvPicPr>
                      <a:picLocks noChangeAspect="1"/>
                    </pic:cNvPicPr>
                  </pic:nvPicPr>
                  <pic:blipFill>
                    <a:blip r:embed="rId54"/>
                    <a:stretch>
                      <a:fillRect/>
                    </a:stretch>
                  </pic:blipFill>
                  <pic:spPr>
                    <a:xfrm>
                      <a:off x="0" y="0"/>
                      <a:ext cx="8190230" cy="5725795"/>
                    </a:xfrm>
                    <a:prstGeom prst="rect">
                      <a:avLst/>
                    </a:prstGeom>
                  </pic:spPr>
                </pic:pic>
              </a:graphicData>
            </a:graphic>
          </wp:inline>
        </w:drawing>
      </w:r>
      <w:r>
        <w:rPr>
          <w:color w:val="auto"/>
          <w:sz w:val="21"/>
          <w:u w:val="none" w:color="auto"/>
        </w:rPr>
        <mc:AlternateContent>
          <mc:Choice Requires="wps">
            <w:drawing>
              <wp:anchor distT="0" distB="0" distL="114300" distR="114300" simplePos="0" relativeHeight="251667456" behindDoc="0" locked="0" layoutInCell="1" allowOverlap="1">
                <wp:simplePos x="0" y="0"/>
                <wp:positionH relativeFrom="column">
                  <wp:posOffset>2611120</wp:posOffset>
                </wp:positionH>
                <wp:positionV relativeFrom="paragraph">
                  <wp:posOffset>2320925</wp:posOffset>
                </wp:positionV>
                <wp:extent cx="976630" cy="424815"/>
                <wp:effectExtent l="0" t="0" r="0" b="0"/>
                <wp:wrapNone/>
                <wp:docPr id="27" name="矩形 27"/>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14:paraId="09FA40DC">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6pt;margin-top:182.75pt;height:33.45pt;width:76.9pt;z-index:251667456;v-text-anchor:middle;mso-width-relative:page;mso-height-relative:page;" filled="f" stroked="f" coordsize="21600,21600" o:gfxdata="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JTe4jYAAAACwEA&#10;AA8AAAAAAAAAAQAgAAAAIgAAAGRycy9kb3ducmV2LnhtbFBLAQIUABQAAAAIAIdO4kA7K1mJUwIA&#10;AJcEAAAOAAAAAAAAAAEAIAAAACcBAABkcnMvZTJvRG9jLnhtbFBLBQYAAAAABgAGAFkBAADsBQAA&#10;AAA=&#10;">
                <v:fill on="f" focussize="0,0"/>
                <v:stroke on="f" weight="1.25pt"/>
                <v:imagedata o:title=""/>
                <o:lock v:ext="edit" aspectratio="f"/>
                <v:textbox>
                  <w:txbxContent>
                    <w:p w14:paraId="09FA40DC">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u w:val="none" w:color="auto"/>
        </w:rPr>
        <mc:AlternateContent>
          <mc:Choice Requires="wps">
            <w:drawing>
              <wp:anchor distT="0" distB="0" distL="114300" distR="114300" simplePos="0" relativeHeight="251668480" behindDoc="0" locked="0" layoutInCell="1" allowOverlap="1">
                <wp:simplePos x="0" y="0"/>
                <wp:positionH relativeFrom="column">
                  <wp:posOffset>3126105</wp:posOffset>
                </wp:positionH>
                <wp:positionV relativeFrom="paragraph">
                  <wp:posOffset>2698115</wp:posOffset>
                </wp:positionV>
                <wp:extent cx="97790" cy="102235"/>
                <wp:effectExtent l="4445" t="4445" r="12065" b="7620"/>
                <wp:wrapNone/>
                <wp:docPr id="62" name="五角星 62"/>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6.15pt;margin-top:212.45pt;height:8.05pt;width:7.7pt;z-index:251668480;v-text-anchor:middle;mso-width-relative:page;mso-height-relative:page;" fillcolor="#C0504D [3205]" filled="t" stroked="t" coordsize="97790,102235" o:gfxdata="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8atdXXAAAACwEAAA8AAAAAAAAAAQAgAAAAIgAAAGRycy9kb3ducmV2Lnht&#10;bFBLAQIUABQAAAAIAIdO4kBhTGj3bAIAAOAEAAAOAAAAAAAAAAEAIAAAACYBAABkcnMvZTJvRG9j&#10;LnhtbFBLBQYAAAAABgAGAFkBAAAE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p>
    <w:p w14:paraId="5C5B5201">
      <w:pPr>
        <w:rPr>
          <w:rFonts w:hint="eastAsia" w:eastAsia="宋体"/>
          <w:color w:val="auto"/>
          <w:u w:val="none" w:color="auto"/>
          <w:lang w:eastAsia="zh-CN"/>
        </w:rPr>
      </w:pPr>
      <w:r>
        <w:rPr>
          <w:color w:val="auto"/>
          <w:sz w:val="21"/>
          <w:u w:val="none" w:color="auto"/>
        </w:rPr>
        <mc:AlternateContent>
          <mc:Choice Requires="wps">
            <w:drawing>
              <wp:anchor distT="0" distB="0" distL="114300" distR="114300" simplePos="0" relativeHeight="251672576" behindDoc="0" locked="0" layoutInCell="1" allowOverlap="1">
                <wp:simplePos x="0" y="0"/>
                <wp:positionH relativeFrom="column">
                  <wp:posOffset>2611120</wp:posOffset>
                </wp:positionH>
                <wp:positionV relativeFrom="paragraph">
                  <wp:posOffset>2320925</wp:posOffset>
                </wp:positionV>
                <wp:extent cx="976630" cy="424815"/>
                <wp:effectExtent l="0" t="0" r="0" b="0"/>
                <wp:wrapNone/>
                <wp:docPr id="30" name="矩形 30"/>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14:paraId="72DF3B47">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6pt;margin-top:182.75pt;height:33.45pt;width:76.9pt;z-index:251672576;v-text-anchor:middle;mso-width-relative:page;mso-height-relative:page;" filled="f" stroked="f" coordsize="21600,21600" o:gfxdata="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yU3uI2AAAAAsBAAAP&#10;AAAAAAAAAAEAIAAAACIAAABkcnMvZG93bnJldi54bWxQSwECFAAUAAAACACHTuJA20F2DlECAACX&#10;BAAADgAAAAAAAAABACAAAAAnAQAAZHJzL2Uyb0RvYy54bWxQSwUGAAAAAAYABgBZAQAA6gUAAAAA&#10;">
                <v:fill on="f" focussize="0,0"/>
                <v:stroke on="f" weight="1.25pt"/>
                <v:imagedata o:title=""/>
                <o:lock v:ext="edit" aspectratio="f"/>
                <v:textbox>
                  <w:txbxContent>
                    <w:p w14:paraId="72DF3B47">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u w:val="none" w:color="auto"/>
        </w:rPr>
        <mc:AlternateContent>
          <mc:Choice Requires="wps">
            <w:drawing>
              <wp:anchor distT="0" distB="0" distL="114300" distR="114300" simplePos="0" relativeHeight="251673600" behindDoc="0" locked="0" layoutInCell="1" allowOverlap="1">
                <wp:simplePos x="0" y="0"/>
                <wp:positionH relativeFrom="column">
                  <wp:posOffset>3126105</wp:posOffset>
                </wp:positionH>
                <wp:positionV relativeFrom="paragraph">
                  <wp:posOffset>2698115</wp:posOffset>
                </wp:positionV>
                <wp:extent cx="97790" cy="102235"/>
                <wp:effectExtent l="4445" t="4445" r="12065" b="7620"/>
                <wp:wrapNone/>
                <wp:docPr id="40" name="五角星 40"/>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6.15pt;margin-top:212.45pt;height:8.05pt;width:7.7pt;z-index:251673600;v-text-anchor:middle;mso-width-relative:page;mso-height-relative:page;" fillcolor="#C0504D [3205]" filled="t" stroked="t" coordsize="97790,102235" o:gfxdata="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GrXV1wAAAAsBAAAPAAAAAAAAAAEAIAAAACIAAABkcnMvZG93bnJldi54bWxQ&#10;SwECFAAUAAAACACHTuJAH6AIYGoCAADgBAAADgAAAAAAAAABACAAAAAmAQAAZHJzL2Uyb0RvYy54&#10;bWxQSwUGAAAAAAYABgBZAQAAAgY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u w:val="none" w:color="auto"/>
          <w:lang w:eastAsia="zh-CN"/>
        </w:rPr>
        <w:drawing>
          <wp:inline distT="0" distB="0" distL="114300" distR="114300">
            <wp:extent cx="8072120" cy="5419725"/>
            <wp:effectExtent l="0" t="0" r="5080" b="9525"/>
            <wp:docPr id="41" name="图片 41" descr="d94741a5bbb773df5d1adb930f9a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94741a5bbb773df5d1adb930f9a125"/>
                    <pic:cNvPicPr>
                      <a:picLocks noChangeAspect="1"/>
                    </pic:cNvPicPr>
                  </pic:nvPicPr>
                  <pic:blipFill>
                    <a:blip r:embed="rId55"/>
                    <a:stretch>
                      <a:fillRect/>
                    </a:stretch>
                  </pic:blipFill>
                  <pic:spPr>
                    <a:xfrm>
                      <a:off x="0" y="0"/>
                      <a:ext cx="8072120" cy="5419725"/>
                    </a:xfrm>
                    <a:prstGeom prst="rect">
                      <a:avLst/>
                    </a:prstGeom>
                  </pic:spPr>
                </pic:pic>
              </a:graphicData>
            </a:graphic>
          </wp:inline>
        </w:drawing>
      </w:r>
    </w:p>
    <w:p w14:paraId="59CBFDB7">
      <w:pPr>
        <w:rPr>
          <w:rFonts w:hint="eastAsia" w:eastAsia="宋体"/>
          <w:color w:val="auto"/>
          <w:u w:val="none" w:color="auto"/>
          <w:lang w:eastAsia="zh-CN"/>
        </w:rPr>
      </w:pPr>
    </w:p>
    <w:p w14:paraId="07928269">
      <w:pPr>
        <w:rPr>
          <w:rFonts w:hint="default" w:eastAsia="宋体"/>
          <w:color w:val="auto"/>
          <w:u w:val="none" w:color="auto"/>
          <w:lang w:val="en-US" w:eastAsia="zh-CN"/>
        </w:rPr>
      </w:pPr>
      <w:bookmarkStart w:id="120" w:name="_Toc13715"/>
      <w:r>
        <w:rPr>
          <w:b/>
          <w:bCs/>
          <w:color w:val="auto"/>
          <w:sz w:val="28"/>
          <w:szCs w:val="28"/>
          <w:u w:val="none" w:color="auto"/>
        </w:rPr>
        <w:t>附图</w:t>
      </w:r>
      <w:r>
        <w:rPr>
          <w:rFonts w:hint="eastAsia"/>
          <w:b/>
          <w:bCs/>
          <w:color w:val="auto"/>
          <w:sz w:val="28"/>
          <w:szCs w:val="28"/>
          <w:u w:val="none" w:color="auto"/>
          <w:lang w:val="en-US" w:eastAsia="zh-CN"/>
        </w:rPr>
        <w:t>6</w:t>
      </w:r>
      <w:r>
        <w:rPr>
          <w:b/>
          <w:bCs/>
          <w:color w:val="auto"/>
          <w:sz w:val="28"/>
          <w:szCs w:val="28"/>
          <w:u w:val="none" w:color="auto"/>
        </w:rPr>
        <w:t xml:space="preserve"> </w:t>
      </w:r>
      <w:r>
        <w:rPr>
          <w:rFonts w:hint="eastAsia"/>
          <w:b/>
          <w:bCs/>
          <w:color w:val="auto"/>
          <w:sz w:val="28"/>
          <w:szCs w:val="28"/>
          <w:u w:val="none" w:color="auto"/>
          <w:lang w:val="en-US" w:eastAsia="zh-CN"/>
        </w:rPr>
        <w:t>项目及周边土地利用现状图</w:t>
      </w:r>
      <w:bookmarkEnd w:id="120"/>
    </w:p>
    <w:p w14:paraId="051B6C81">
      <w:pPr>
        <w:rPr>
          <w:color w:val="auto"/>
          <w:u w:val="none" w:color="auto"/>
        </w:rPr>
      </w:pPr>
      <w:r>
        <w:rPr>
          <w:color w:val="auto"/>
          <w:sz w:val="21"/>
          <w:u w:val="none" w:color="auto"/>
        </w:rPr>
        <mc:AlternateContent>
          <mc:Choice Requires="wps">
            <w:drawing>
              <wp:anchor distT="0" distB="0" distL="114300" distR="114300" simplePos="0" relativeHeight="251726848" behindDoc="0" locked="0" layoutInCell="1" allowOverlap="1">
                <wp:simplePos x="0" y="0"/>
                <wp:positionH relativeFrom="column">
                  <wp:posOffset>874395</wp:posOffset>
                </wp:positionH>
                <wp:positionV relativeFrom="paragraph">
                  <wp:posOffset>4799965</wp:posOffset>
                </wp:positionV>
                <wp:extent cx="209550" cy="5080"/>
                <wp:effectExtent l="0" t="0" r="0" b="0"/>
                <wp:wrapNone/>
                <wp:docPr id="174" name="直接连接符 174"/>
                <wp:cNvGraphicFramePr/>
                <a:graphic xmlns:a="http://schemas.openxmlformats.org/drawingml/2006/main">
                  <a:graphicData uri="http://schemas.microsoft.com/office/word/2010/wordprocessingShape">
                    <wps:wsp>
                      <wps:cNvCnPr>
                        <a:stCxn id="173" idx="1"/>
                      </wps:cNvCnPr>
                      <wps:spPr>
                        <a:xfrm flipV="1">
                          <a:off x="2017395" y="6101080"/>
                          <a:ext cx="209550" cy="5080"/>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8.85pt;margin-top:377.95pt;height:0.4pt;width:16.5pt;z-index:251726848;mso-width-relative:page;mso-height-relative:page;" filled="f" stroked="t" coordsize="21600,21600" o:gfxdata="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fQ73toAAAALAQAADwAAAAAAAAABACAAAAAiAAAAZHJzL2Rv&#10;d25yZXYueG1sUEsBAhQAFAAAAAgAh07iQB/ojLT/AQAA3wMAAA4AAAAAAAAAAQAgAAAAKQEAAGRy&#10;cy9lMm9Eb2MueG1sUEsFBgAAAAAGAAYAWQEAAJoFAAAAAA==&#10;">
                <v:fill on="f" focussize="0,0"/>
                <v:stroke weight="2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25824" behindDoc="0" locked="0" layoutInCell="1" allowOverlap="1">
                <wp:simplePos x="0" y="0"/>
                <wp:positionH relativeFrom="column">
                  <wp:posOffset>874395</wp:posOffset>
                </wp:positionH>
                <wp:positionV relativeFrom="paragraph">
                  <wp:posOffset>4666615</wp:posOffset>
                </wp:positionV>
                <wp:extent cx="894715" cy="276225"/>
                <wp:effectExtent l="4445" t="4445" r="15240" b="5080"/>
                <wp:wrapNone/>
                <wp:docPr id="173" name="文本框 173"/>
                <wp:cNvGraphicFramePr/>
                <a:graphic xmlns:a="http://schemas.openxmlformats.org/drawingml/2006/main">
                  <a:graphicData uri="http://schemas.microsoft.com/office/word/2010/wordprocessingShape">
                    <wps:wsp>
                      <wps:cNvSpPr txBox="1"/>
                      <wps:spPr>
                        <a:xfrm>
                          <a:off x="2017395" y="5977255"/>
                          <a:ext cx="89471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AE346B">
                            <w:pPr>
                              <w:rPr>
                                <w:rFonts w:hint="default" w:eastAsia="宋体"/>
                                <w:lang w:val="en-US" w:eastAsia="zh-CN"/>
                              </w:rPr>
                            </w:pPr>
                            <w:r>
                              <w:rPr>
                                <w:rFonts w:hint="eastAsia"/>
                                <w:lang w:val="en-US" w:eastAsia="zh-CN"/>
                              </w:rPr>
                              <w:t xml:space="preserve">  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85pt;margin-top:367.45pt;height:21.75pt;width:70.45pt;z-index:251725824;mso-width-relative:page;mso-height-relative:page;" fillcolor="#FFFFFF [3201]" filled="t" stroked="t" coordsize="21600,21600" o:gfxdata="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ehjdgAAAALAQAADwAAAAAAAAABACAAAAAiAAAAZHJzL2Rvd25yZXYueG1sUEsB&#10;AhQAFAAAAAgAh07iQIsVzrJnAgAAxgQAAA4AAAAAAAAAAQAgAAAAJwEAAGRycy9lMm9Eb2MueG1s&#10;UEsFBgAAAAAGAAYAWQEAAAAGAAAAAA==&#10;">
                <v:fill on="t" focussize="0,0"/>
                <v:stroke weight="0.5pt" color="#000000 [3204]" joinstyle="round"/>
                <v:imagedata o:title=""/>
                <o:lock v:ext="edit" aspectratio="f"/>
                <v:textbox>
                  <w:txbxContent>
                    <w:p w14:paraId="40AE346B">
                      <w:pPr>
                        <w:rPr>
                          <w:rFonts w:hint="default" w:eastAsia="宋体"/>
                          <w:lang w:val="en-US" w:eastAsia="zh-CN"/>
                        </w:rPr>
                      </w:pPr>
                      <w:r>
                        <w:rPr>
                          <w:rFonts w:hint="eastAsia"/>
                          <w:lang w:val="en-US" w:eastAsia="zh-CN"/>
                        </w:rPr>
                        <w:t xml:space="preserve">  本项目</w:t>
                      </w:r>
                    </w:p>
                  </w:txbxContent>
                </v:textbox>
              </v:shape>
            </w:pict>
          </mc:Fallback>
        </mc:AlternateContent>
      </w:r>
      <w:r>
        <w:rPr>
          <w:color w:val="auto"/>
          <w:sz w:val="21"/>
          <w:u w:val="none" w:color="auto"/>
        </w:rPr>
        <mc:AlternateContent>
          <mc:Choice Requires="wps">
            <w:drawing>
              <wp:anchor distT="0" distB="0" distL="114300" distR="114300" simplePos="0" relativeHeight="251724800" behindDoc="0" locked="0" layoutInCell="1" allowOverlap="1">
                <wp:simplePos x="0" y="0"/>
                <wp:positionH relativeFrom="column">
                  <wp:posOffset>3960495</wp:posOffset>
                </wp:positionH>
                <wp:positionV relativeFrom="paragraph">
                  <wp:posOffset>2533015</wp:posOffset>
                </wp:positionV>
                <wp:extent cx="161925" cy="590550"/>
                <wp:effectExtent l="18415" t="5080" r="29210" b="13970"/>
                <wp:wrapNone/>
                <wp:docPr id="172" name="直接连接符 172"/>
                <wp:cNvGraphicFramePr/>
                <a:graphic xmlns:a="http://schemas.openxmlformats.org/drawingml/2006/main">
                  <a:graphicData uri="http://schemas.microsoft.com/office/word/2010/wordprocessingShape">
                    <wps:wsp>
                      <wps:cNvCnPr/>
                      <wps:spPr>
                        <a:xfrm flipH="1">
                          <a:off x="5846445" y="2967355"/>
                          <a:ext cx="161925" cy="59055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11.85pt;margin-top:199.45pt;height:46.5pt;width:12.75pt;z-index:251724800;mso-width-relative:page;mso-height-relative:page;" filled="f" stroked="t" coordsize="21600,21600" o:gfxdata="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Hk05NoAAAALAQAADwAAAAAAAAABACAAAAAiAAAAZHJzL2Rvd25yZXYu&#10;eG1sUEsBAhQAFAAAAAgAh07iQB2Aeub5AQAAuQMAAA4AAAAAAAAAAQAgAAAAKQEAAGRycy9lMm9E&#10;b2MueG1sUEsFBgAAAAAGAAYAWQEAAJQFA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23776" behindDoc="0" locked="0" layoutInCell="1" allowOverlap="1">
                <wp:simplePos x="0" y="0"/>
                <wp:positionH relativeFrom="column">
                  <wp:posOffset>3569970</wp:posOffset>
                </wp:positionH>
                <wp:positionV relativeFrom="paragraph">
                  <wp:posOffset>2209165</wp:posOffset>
                </wp:positionV>
                <wp:extent cx="257175" cy="952500"/>
                <wp:effectExtent l="18415" t="5080" r="29210" b="13970"/>
                <wp:wrapNone/>
                <wp:docPr id="171" name="直接连接符 171"/>
                <wp:cNvGraphicFramePr/>
                <a:graphic xmlns:a="http://schemas.openxmlformats.org/drawingml/2006/main">
                  <a:graphicData uri="http://schemas.microsoft.com/office/word/2010/wordprocessingShape">
                    <wps:wsp>
                      <wps:cNvCnPr/>
                      <wps:spPr>
                        <a:xfrm flipH="1">
                          <a:off x="4712970" y="3519805"/>
                          <a:ext cx="257175" cy="95250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81.1pt;margin-top:173.95pt;height:75pt;width:20.25pt;z-index:251723776;mso-width-relative:page;mso-height-relative:page;" filled="f" stroked="t" coordsize="21600,21600" o:gfxdata="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yApQTZAAAACwEAAA8AAAAAAAAAAQAgAAAAIgAAAGRycy9kb3ducmV2Lnht&#10;bFBLAQIUABQAAAAIAIdO4kAxKVOY+AEAALkDAAAOAAAAAAAAAAEAIAAAACgBAABkcnMvZTJvRG9j&#10;LnhtbFBLBQYAAAAABgAGAFkBAACSBQ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22752" behindDoc="0" locked="0" layoutInCell="1" allowOverlap="1">
                <wp:simplePos x="0" y="0"/>
                <wp:positionH relativeFrom="column">
                  <wp:posOffset>3122295</wp:posOffset>
                </wp:positionH>
                <wp:positionV relativeFrom="paragraph">
                  <wp:posOffset>2294890</wp:posOffset>
                </wp:positionV>
                <wp:extent cx="1257300" cy="314325"/>
                <wp:effectExtent l="4445" t="18415" r="14605" b="29210"/>
                <wp:wrapNone/>
                <wp:docPr id="170" name="直接连接符 170"/>
                <wp:cNvGraphicFramePr/>
                <a:graphic xmlns:a="http://schemas.openxmlformats.org/drawingml/2006/main">
                  <a:graphicData uri="http://schemas.microsoft.com/office/word/2010/wordprocessingShape">
                    <wps:wsp>
                      <wps:cNvCnPr/>
                      <wps:spPr>
                        <a:xfrm>
                          <a:off x="4265295" y="3605530"/>
                          <a:ext cx="1257300" cy="314325"/>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45.85pt;margin-top:180.7pt;height:24.75pt;width:99pt;z-index:251722752;mso-width-relative:page;mso-height-relative:page;" filled="f" stroked="t" coordsize="21600,21600" o:gfxdata="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8I/e3YAAAACwEAAA8AAAAAAAAAAQAgAAAAIgAAAGRycy9kb3ducmV2LnhtbFBLAQIUABQAAAAI&#10;AIdO4kBA4bG/7QEAALADAAAOAAAAAAAAAAEAIAAAACcBAABkcnMvZTJvRG9jLnhtbFBLBQYAAAAA&#10;BgAGAFkBAACGBQAAAAA=&#10;">
                <v:fill on="f" focussize="0,0"/>
                <v:stroke weight="3pt" color="#002060 [3204]" joinstyle="round"/>
                <v:imagedata o:title=""/>
                <o:lock v:ext="edit" aspectratio="f"/>
              </v:line>
            </w:pict>
          </mc:Fallback>
        </mc:AlternateContent>
      </w:r>
      <w:r>
        <w:rPr>
          <w:color w:val="auto"/>
          <w:u w:val="none" w:color="auto"/>
        </w:rPr>
        <w:drawing>
          <wp:inline distT="0" distB="0" distL="114300" distR="114300">
            <wp:extent cx="8065135" cy="5120005"/>
            <wp:effectExtent l="0" t="0" r="12065" b="444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56"/>
                    <a:srcRect t="3252" r="58"/>
                    <a:stretch>
                      <a:fillRect/>
                    </a:stretch>
                  </pic:blipFill>
                  <pic:spPr>
                    <a:xfrm>
                      <a:off x="0" y="0"/>
                      <a:ext cx="8065135" cy="5120005"/>
                    </a:xfrm>
                    <a:prstGeom prst="rect">
                      <a:avLst/>
                    </a:prstGeom>
                    <a:noFill/>
                    <a:ln>
                      <a:noFill/>
                    </a:ln>
                  </pic:spPr>
                </pic:pic>
              </a:graphicData>
            </a:graphic>
          </wp:inline>
        </w:drawing>
      </w:r>
    </w:p>
    <w:p w14:paraId="414DB652">
      <w:pPr>
        <w:rPr>
          <w:color w:val="auto"/>
          <w:u w:val="none" w:color="auto"/>
        </w:rPr>
      </w:pPr>
    </w:p>
    <w:p w14:paraId="65DC2360">
      <w:pPr>
        <w:widowControl/>
        <w:spacing w:line="360" w:lineRule="auto"/>
        <w:outlineLvl w:val="1"/>
        <w:rPr>
          <w:rFonts w:hint="default" w:eastAsia="宋体"/>
          <w:color w:val="auto"/>
          <w:u w:val="none" w:color="auto"/>
          <w:lang w:val="en-US" w:eastAsia="zh-CN"/>
        </w:rPr>
      </w:pPr>
      <w:bookmarkStart w:id="121" w:name="_Toc20035"/>
      <w:bookmarkStart w:id="122" w:name="_Toc14348"/>
      <w:bookmarkStart w:id="123" w:name="_Toc5510"/>
      <w:bookmarkStart w:id="124" w:name="_Toc1419"/>
      <w:bookmarkStart w:id="125" w:name="_Toc3491"/>
      <w:r>
        <w:rPr>
          <w:b/>
          <w:bCs/>
          <w:color w:val="auto"/>
          <w:sz w:val="28"/>
          <w:szCs w:val="28"/>
          <w:u w:val="none" w:color="auto"/>
        </w:rPr>
        <w:t>附图</w:t>
      </w:r>
      <w:r>
        <w:rPr>
          <w:rFonts w:hint="eastAsia"/>
          <w:b/>
          <w:bCs/>
          <w:color w:val="auto"/>
          <w:sz w:val="28"/>
          <w:szCs w:val="28"/>
          <w:u w:val="none" w:color="auto"/>
          <w:lang w:val="en-US" w:eastAsia="zh-CN"/>
        </w:rPr>
        <w:t>7</w:t>
      </w:r>
      <w:r>
        <w:rPr>
          <w:b/>
          <w:bCs/>
          <w:color w:val="auto"/>
          <w:sz w:val="28"/>
          <w:szCs w:val="28"/>
          <w:u w:val="none" w:color="auto"/>
        </w:rPr>
        <w:t xml:space="preserve"> </w:t>
      </w:r>
      <w:r>
        <w:rPr>
          <w:rFonts w:hint="eastAsia"/>
          <w:b/>
          <w:bCs/>
          <w:color w:val="auto"/>
          <w:sz w:val="28"/>
          <w:szCs w:val="28"/>
          <w:u w:val="none" w:color="auto"/>
          <w:lang w:val="en-US" w:eastAsia="zh-CN"/>
        </w:rPr>
        <w:t>项目及周边区域植被分布图</w:t>
      </w:r>
      <w:bookmarkEnd w:id="121"/>
      <w:bookmarkEnd w:id="122"/>
      <w:bookmarkEnd w:id="123"/>
      <w:bookmarkEnd w:id="124"/>
      <w:bookmarkEnd w:id="125"/>
    </w:p>
    <w:p w14:paraId="5D60794E">
      <w:pPr>
        <w:rPr>
          <w:color w:val="auto"/>
          <w:u w:val="none" w:color="auto"/>
        </w:rPr>
      </w:pPr>
      <w:r>
        <w:rPr>
          <w:color w:val="auto"/>
          <w:sz w:val="21"/>
          <w:u w:val="none" w:color="auto"/>
        </w:rPr>
        <mc:AlternateContent>
          <mc:Choice Requires="wps">
            <w:drawing>
              <wp:anchor distT="0" distB="0" distL="114300" distR="114300" simplePos="0" relativeHeight="251731968" behindDoc="0" locked="0" layoutInCell="1" allowOverlap="1">
                <wp:simplePos x="0" y="0"/>
                <wp:positionH relativeFrom="column">
                  <wp:posOffset>912495</wp:posOffset>
                </wp:positionH>
                <wp:positionV relativeFrom="paragraph">
                  <wp:posOffset>4707890</wp:posOffset>
                </wp:positionV>
                <wp:extent cx="180975" cy="1905"/>
                <wp:effectExtent l="0" t="12700" r="9525" b="13970"/>
                <wp:wrapNone/>
                <wp:docPr id="179" name="直接连接符 179"/>
                <wp:cNvGraphicFramePr/>
                <a:graphic xmlns:a="http://schemas.openxmlformats.org/drawingml/2006/main">
                  <a:graphicData uri="http://schemas.microsoft.com/office/word/2010/wordprocessingShape">
                    <wps:wsp>
                      <wps:cNvCnPr>
                        <a:stCxn id="178" idx="1"/>
                      </wps:cNvCnPr>
                      <wps:spPr>
                        <a:xfrm flipV="1">
                          <a:off x="2055495" y="6009005"/>
                          <a:ext cx="180975" cy="1905"/>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71.85pt;margin-top:370.7pt;height:0.15pt;width:14.25pt;z-index:251731968;mso-width-relative:page;mso-height-relative:page;" filled="f" stroked="t" coordsize="21600,21600" o:gfxdata="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Y3XSI2wAAAAsBAAAPAAAAAAAAAAEAIAAAACIAAABk&#10;cnMvZG93bnJldi54bWxQSwECFAAUAAAACACHTuJAfYgKrwMCAADfAwAADgAAAAAAAAABACAAAAAq&#10;AQAAZHJzL2Uyb0RvYy54bWxQSwUGAAAAAAYABgBZAQAAnwUAAAAA&#10;">
                <v:fill on="f" focussize="0,0"/>
                <v:stroke weight="2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0944" behindDoc="0" locked="0" layoutInCell="1" allowOverlap="1">
                <wp:simplePos x="0" y="0"/>
                <wp:positionH relativeFrom="column">
                  <wp:posOffset>912495</wp:posOffset>
                </wp:positionH>
                <wp:positionV relativeFrom="paragraph">
                  <wp:posOffset>4571365</wp:posOffset>
                </wp:positionV>
                <wp:extent cx="894715" cy="276225"/>
                <wp:effectExtent l="4445" t="4445" r="15240" b="5080"/>
                <wp:wrapNone/>
                <wp:docPr id="178" name="文本框 178"/>
                <wp:cNvGraphicFramePr/>
                <a:graphic xmlns:a="http://schemas.openxmlformats.org/drawingml/2006/main">
                  <a:graphicData uri="http://schemas.microsoft.com/office/word/2010/wordprocessingShape">
                    <wps:wsp>
                      <wps:cNvSpPr txBox="1"/>
                      <wps:spPr>
                        <a:xfrm>
                          <a:off x="0" y="0"/>
                          <a:ext cx="89471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40A725">
                            <w:pPr>
                              <w:rPr>
                                <w:rFonts w:hint="default" w:eastAsia="宋体"/>
                                <w:lang w:val="en-US" w:eastAsia="zh-CN"/>
                              </w:rPr>
                            </w:pPr>
                            <w:r>
                              <w:rPr>
                                <w:rFonts w:hint="eastAsia"/>
                                <w:lang w:val="en-US" w:eastAsia="zh-CN"/>
                              </w:rPr>
                              <w:t xml:space="preserve">  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85pt;margin-top:359.95pt;height:21.75pt;width:70.45pt;z-index:251730944;mso-width-relative:page;mso-height-relative:page;" fillcolor="#FFFFFF [3201]" filled="t" stroked="t" coordsize="21600,21600" o:gfxdata="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8kZtcA&#10;AAALAQAADwAAAAAAAAABACAAAAAiAAAAZHJzL2Rvd25yZXYueG1sUEsBAhQAFAAAAAgAh07iQNb4&#10;cHJZAgAAugQAAA4AAAAAAAAAAQAgAAAAJgEAAGRycy9lMm9Eb2MueG1sUEsFBgAAAAAGAAYAWQEA&#10;APEFAAAAAA==&#10;">
                <v:fill on="t" focussize="0,0"/>
                <v:stroke weight="0.5pt" color="#000000 [3204]" joinstyle="round"/>
                <v:imagedata o:title=""/>
                <o:lock v:ext="edit" aspectratio="f"/>
                <v:textbox>
                  <w:txbxContent>
                    <w:p w14:paraId="7840A725">
                      <w:pPr>
                        <w:rPr>
                          <w:rFonts w:hint="default" w:eastAsia="宋体"/>
                          <w:lang w:val="en-US" w:eastAsia="zh-CN"/>
                        </w:rPr>
                      </w:pPr>
                      <w:r>
                        <w:rPr>
                          <w:rFonts w:hint="eastAsia"/>
                          <w:lang w:val="en-US" w:eastAsia="zh-CN"/>
                        </w:rPr>
                        <w:t xml:space="preserve">  本项目</w:t>
                      </w:r>
                    </w:p>
                  </w:txbxContent>
                </v:textbox>
              </v:shape>
            </w:pict>
          </mc:Fallback>
        </mc:AlternateContent>
      </w:r>
      <w:r>
        <w:rPr>
          <w:color w:val="auto"/>
          <w:sz w:val="21"/>
          <w:u w:val="none" w:color="auto"/>
        </w:rPr>
        <mc:AlternateContent>
          <mc:Choice Requires="wps">
            <w:drawing>
              <wp:anchor distT="0" distB="0" distL="114300" distR="114300" simplePos="0" relativeHeight="251729920" behindDoc="0" locked="0" layoutInCell="1" allowOverlap="1">
                <wp:simplePos x="0" y="0"/>
                <wp:positionH relativeFrom="column">
                  <wp:posOffset>4227195</wp:posOffset>
                </wp:positionH>
                <wp:positionV relativeFrom="paragraph">
                  <wp:posOffset>2599690</wp:posOffset>
                </wp:positionV>
                <wp:extent cx="161925" cy="590550"/>
                <wp:effectExtent l="18415" t="5080" r="29210" b="13970"/>
                <wp:wrapNone/>
                <wp:docPr id="177" name="直接连接符 177"/>
                <wp:cNvGraphicFramePr/>
                <a:graphic xmlns:a="http://schemas.openxmlformats.org/drawingml/2006/main">
                  <a:graphicData uri="http://schemas.microsoft.com/office/word/2010/wordprocessingShape">
                    <wps:wsp>
                      <wps:cNvCnPr/>
                      <wps:spPr>
                        <a:xfrm flipH="1">
                          <a:off x="0" y="0"/>
                          <a:ext cx="161925" cy="59055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32.85pt;margin-top:204.7pt;height:46.5pt;width:12.75pt;z-index:251729920;mso-width-relative:page;mso-height-relative:page;" filled="f" stroked="t" coordsize="21600,21600" o:gfxdata="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M69wtkAAAALAQAADwAAAAAAAAABACAAAAAiAAAAZHJzL2Rvd25yZXYueG1sUEsBAhQAFAAAAAgA&#10;h07iQAtWDmTrAQAArQMAAA4AAAAAAAAAAQAgAAAAKAEAAGRycy9lMm9Eb2MueG1sUEsFBgAAAAAG&#10;AAYAWQEAAIUFA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28896" behindDoc="0" locked="0" layoutInCell="1" allowOverlap="1">
                <wp:simplePos x="0" y="0"/>
                <wp:positionH relativeFrom="column">
                  <wp:posOffset>3846195</wp:posOffset>
                </wp:positionH>
                <wp:positionV relativeFrom="paragraph">
                  <wp:posOffset>2247265</wp:posOffset>
                </wp:positionV>
                <wp:extent cx="257175" cy="952500"/>
                <wp:effectExtent l="18415" t="5080" r="29210" b="13970"/>
                <wp:wrapNone/>
                <wp:docPr id="176" name="直接连接符 176"/>
                <wp:cNvGraphicFramePr/>
                <a:graphic xmlns:a="http://schemas.openxmlformats.org/drawingml/2006/main">
                  <a:graphicData uri="http://schemas.microsoft.com/office/word/2010/wordprocessingShape">
                    <wps:wsp>
                      <wps:cNvCnPr/>
                      <wps:spPr>
                        <a:xfrm flipH="1">
                          <a:off x="0" y="0"/>
                          <a:ext cx="257175" cy="95250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02.85pt;margin-top:176.95pt;height:75pt;width:20.25pt;z-index:251728896;mso-width-relative:page;mso-height-relative:page;" filled="f" stroked="t" coordsize="21600,21600" o:gfxdata="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f&#10;TEMK2QAAAAsBAAAPAAAAAAAAAAEAIAAAACIAAABkcnMvZG93bnJldi54bWxQSwECFAAUAAAACACH&#10;TuJAu0ddmOoBAACtAwAADgAAAAAAAAABACAAAAAoAQAAZHJzL2Uyb0RvYy54bWxQSwUGAAAAAAYA&#10;BgBZAQAAhAU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27872" behindDoc="0" locked="0" layoutInCell="1" allowOverlap="1">
                <wp:simplePos x="0" y="0"/>
                <wp:positionH relativeFrom="column">
                  <wp:posOffset>3408045</wp:posOffset>
                </wp:positionH>
                <wp:positionV relativeFrom="paragraph">
                  <wp:posOffset>2332990</wp:posOffset>
                </wp:positionV>
                <wp:extent cx="1257300" cy="314325"/>
                <wp:effectExtent l="4445" t="18415" r="14605" b="29210"/>
                <wp:wrapNone/>
                <wp:docPr id="175" name="直接连接符 175"/>
                <wp:cNvGraphicFramePr/>
                <a:graphic xmlns:a="http://schemas.openxmlformats.org/drawingml/2006/main">
                  <a:graphicData uri="http://schemas.microsoft.com/office/word/2010/wordprocessingShape">
                    <wps:wsp>
                      <wps:cNvCnPr/>
                      <wps:spPr>
                        <a:xfrm>
                          <a:off x="0" y="0"/>
                          <a:ext cx="1257300" cy="314325"/>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8.35pt;margin-top:183.7pt;height:24.75pt;width:99pt;z-index:251727872;mso-width-relative:page;mso-height-relative:page;" filled="f" stroked="t" coordsize="21600,21600" o:gfxdata="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uYUB3YAAAACwEA&#10;AA8AAAAAAAAAAQAgAAAAIgAAAGRycy9kb3ducmV2LnhtbFBLAQIUABQAAAAIAIdO4kAu/p4u4QEA&#10;AKQDAAAOAAAAAAAAAAEAIAAAACcBAABkcnMvZTJvRG9jLnhtbFBLBQYAAAAABgAGAFkBAAB6BQAA&#10;AAA=&#10;">
                <v:fill on="f" focussize="0,0"/>
                <v:stroke weight="3pt" color="#002060 [3204]" joinstyle="round"/>
                <v:imagedata o:title=""/>
                <o:lock v:ext="edit" aspectratio="f"/>
              </v:line>
            </w:pict>
          </mc:Fallback>
        </mc:AlternateContent>
      </w:r>
      <w:r>
        <w:rPr>
          <w:color w:val="auto"/>
          <w:u w:val="none" w:color="auto"/>
        </w:rPr>
        <w:drawing>
          <wp:inline distT="0" distB="0" distL="114300" distR="114300">
            <wp:extent cx="8261985" cy="5045075"/>
            <wp:effectExtent l="0" t="0" r="5715" b="3175"/>
            <wp:docPr id="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
                    <pic:cNvPicPr>
                      <a:picLocks noChangeAspect="1"/>
                    </pic:cNvPicPr>
                  </pic:nvPicPr>
                  <pic:blipFill>
                    <a:blip r:embed="rId57"/>
                    <a:srcRect t="5776" r="216"/>
                    <a:stretch>
                      <a:fillRect/>
                    </a:stretch>
                  </pic:blipFill>
                  <pic:spPr>
                    <a:xfrm>
                      <a:off x="0" y="0"/>
                      <a:ext cx="8261985" cy="5045075"/>
                    </a:xfrm>
                    <a:prstGeom prst="rect">
                      <a:avLst/>
                    </a:prstGeom>
                    <a:noFill/>
                    <a:ln>
                      <a:noFill/>
                    </a:ln>
                  </pic:spPr>
                </pic:pic>
              </a:graphicData>
            </a:graphic>
          </wp:inline>
        </w:drawing>
      </w:r>
    </w:p>
    <w:p w14:paraId="19BCB8A8">
      <w:pPr>
        <w:rPr>
          <w:color w:val="auto"/>
          <w:u w:val="none" w:color="auto"/>
        </w:rPr>
      </w:pPr>
    </w:p>
    <w:p w14:paraId="419EB0BF">
      <w:pPr>
        <w:widowControl/>
        <w:spacing w:line="360" w:lineRule="auto"/>
        <w:outlineLvl w:val="1"/>
        <w:rPr>
          <w:rFonts w:hint="default" w:eastAsia="宋体"/>
          <w:color w:val="auto"/>
          <w:u w:val="none" w:color="auto"/>
          <w:lang w:val="en-US" w:eastAsia="zh-CN"/>
        </w:rPr>
      </w:pPr>
      <w:bookmarkStart w:id="126" w:name="_Toc20990"/>
      <w:bookmarkStart w:id="127" w:name="_Toc4630"/>
      <w:bookmarkStart w:id="128" w:name="_Toc27558"/>
      <w:bookmarkStart w:id="129" w:name="_Toc5804"/>
      <w:bookmarkStart w:id="130" w:name="_Toc4938"/>
      <w:r>
        <w:rPr>
          <w:b/>
          <w:bCs/>
          <w:color w:val="auto"/>
          <w:sz w:val="28"/>
          <w:szCs w:val="28"/>
          <w:u w:val="none" w:color="auto"/>
        </w:rPr>
        <w:t>附图</w:t>
      </w:r>
      <w:r>
        <w:rPr>
          <w:rFonts w:hint="eastAsia"/>
          <w:b/>
          <w:bCs/>
          <w:color w:val="auto"/>
          <w:sz w:val="28"/>
          <w:szCs w:val="28"/>
          <w:u w:val="none" w:color="auto"/>
          <w:lang w:val="en-US" w:eastAsia="zh-CN"/>
        </w:rPr>
        <w:t>8</w:t>
      </w:r>
      <w:r>
        <w:rPr>
          <w:b/>
          <w:bCs/>
          <w:color w:val="auto"/>
          <w:sz w:val="28"/>
          <w:szCs w:val="28"/>
          <w:u w:val="none" w:color="auto"/>
        </w:rPr>
        <w:t xml:space="preserve"> </w:t>
      </w:r>
      <w:r>
        <w:rPr>
          <w:rFonts w:hint="eastAsia"/>
          <w:b/>
          <w:bCs/>
          <w:color w:val="auto"/>
          <w:sz w:val="28"/>
          <w:szCs w:val="28"/>
          <w:u w:val="none" w:color="auto"/>
          <w:lang w:val="en-US" w:eastAsia="zh-CN"/>
        </w:rPr>
        <w:t>项目三区三线套合图</w:t>
      </w:r>
      <w:bookmarkEnd w:id="126"/>
      <w:bookmarkEnd w:id="127"/>
      <w:bookmarkEnd w:id="128"/>
      <w:bookmarkEnd w:id="129"/>
      <w:bookmarkEnd w:id="130"/>
    </w:p>
    <w:p w14:paraId="40DF9203">
      <w:pPr>
        <w:jc w:val="center"/>
        <w:rPr>
          <w:color w:val="auto"/>
          <w:u w:val="none" w:color="auto"/>
        </w:rPr>
      </w:pPr>
      <w:r>
        <w:rPr>
          <w:color w:val="auto"/>
          <w:sz w:val="21"/>
          <w:u w:val="none" w:color="auto"/>
        </w:rPr>
        <mc:AlternateContent>
          <mc:Choice Requires="wps">
            <w:drawing>
              <wp:anchor distT="0" distB="0" distL="114300" distR="114300" simplePos="0" relativeHeight="251736064" behindDoc="0" locked="0" layoutInCell="1" allowOverlap="1">
                <wp:simplePos x="0" y="0"/>
                <wp:positionH relativeFrom="column">
                  <wp:posOffset>6716395</wp:posOffset>
                </wp:positionH>
                <wp:positionV relativeFrom="paragraph">
                  <wp:posOffset>5043805</wp:posOffset>
                </wp:positionV>
                <wp:extent cx="211455" cy="0"/>
                <wp:effectExtent l="0" t="12700" r="17145" b="15875"/>
                <wp:wrapNone/>
                <wp:docPr id="183" name="直接连接符 183"/>
                <wp:cNvGraphicFramePr/>
                <a:graphic xmlns:a="http://schemas.openxmlformats.org/drawingml/2006/main">
                  <a:graphicData uri="http://schemas.microsoft.com/office/word/2010/wordprocessingShape">
                    <wps:wsp>
                      <wps:cNvCnPr/>
                      <wps:spPr>
                        <a:xfrm>
                          <a:off x="7859395" y="6354445"/>
                          <a:ext cx="211455" cy="0"/>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28.85pt;margin-top:397.15pt;height:0pt;width:16.65pt;z-index:251736064;mso-width-relative:page;mso-height-relative:page;" filled="f" stroked="t" coordsize="21600,21600" o:gfxdata="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vnrr2wAAAA0BAAAPAAAAAAAAAAEAIAAAACIAAABkcnMvZG93bnJldi54bWxQSwECFAAUAAAA&#10;CACHTuJA1GT62esBAACqAwAADgAAAAAAAAABACAAAAAqAQAAZHJzL2Uyb0RvYy54bWxQSwUGAAAA&#10;AAYABgBZAQAAhwUAAAAA&#10;">
                <v:fill on="f" focussize="0,0"/>
                <v:stroke weight="2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5040" behindDoc="0" locked="0" layoutInCell="1" allowOverlap="1">
                <wp:simplePos x="0" y="0"/>
                <wp:positionH relativeFrom="column">
                  <wp:posOffset>4165600</wp:posOffset>
                </wp:positionH>
                <wp:positionV relativeFrom="paragraph">
                  <wp:posOffset>2842895</wp:posOffset>
                </wp:positionV>
                <wp:extent cx="233680" cy="885190"/>
                <wp:effectExtent l="18415" t="5080" r="33655" b="5080"/>
                <wp:wrapNone/>
                <wp:docPr id="182" name="直接连接符 182"/>
                <wp:cNvGraphicFramePr/>
                <a:graphic xmlns:a="http://schemas.openxmlformats.org/drawingml/2006/main">
                  <a:graphicData uri="http://schemas.microsoft.com/office/word/2010/wordprocessingShape">
                    <wps:wsp>
                      <wps:cNvCnPr/>
                      <wps:spPr>
                        <a:xfrm flipH="1">
                          <a:off x="0" y="0"/>
                          <a:ext cx="233680" cy="88519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28pt;margin-top:223.85pt;height:69.7pt;width:18.4pt;z-index:251735040;mso-width-relative:page;mso-height-relative:page;" filled="f" stroked="t" coordsize="21600,21600" o:gfxdata="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4lKX2gAAAAsBAAAPAAAAAAAAAAEAIAAAACIAAABkcnMvZG93bnJldi54bWxQSwECFAAUAAAACACH&#10;TuJAdMg6MOkBAACtAwAADgAAAAAAAAABACAAAAApAQAAZHJzL2Uyb0RvYy54bWxQSwUGAAAAAAYA&#10;BgBZAQAAhAU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4016" behindDoc="0" locked="0" layoutInCell="1" allowOverlap="1">
                <wp:simplePos x="0" y="0"/>
                <wp:positionH relativeFrom="column">
                  <wp:posOffset>3700145</wp:posOffset>
                </wp:positionH>
                <wp:positionV relativeFrom="paragraph">
                  <wp:posOffset>2426970</wp:posOffset>
                </wp:positionV>
                <wp:extent cx="349885" cy="1341120"/>
                <wp:effectExtent l="18415" t="5080" r="31750" b="6350"/>
                <wp:wrapNone/>
                <wp:docPr id="181" name="直接连接符 181"/>
                <wp:cNvGraphicFramePr/>
                <a:graphic xmlns:a="http://schemas.openxmlformats.org/drawingml/2006/main">
                  <a:graphicData uri="http://schemas.microsoft.com/office/word/2010/wordprocessingShape">
                    <wps:wsp>
                      <wps:cNvCnPr/>
                      <wps:spPr>
                        <a:xfrm flipH="1">
                          <a:off x="0" y="0"/>
                          <a:ext cx="349885" cy="134112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91.35pt;margin-top:191.1pt;height:105.6pt;width:27.55pt;z-index:251734016;mso-width-relative:page;mso-height-relative:page;" filled="f" stroked="t" coordsize="21600,21600" o:gfxdata="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g6QW9kAAAALAQAADwAAAAAAAAABACAAAAAiAAAAZHJzL2Rvd25yZXYueG1sUEsBAhQAFAAAAAgA&#10;h07iQJjaRgDrAQAArgMAAA4AAAAAAAAAAQAgAAAAKAEAAGRycy9lMm9Eb2MueG1sUEsFBgAAAAAG&#10;AAYAWQEAAIUFA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2992" behindDoc="0" locked="0" layoutInCell="1" allowOverlap="1">
                <wp:simplePos x="0" y="0"/>
                <wp:positionH relativeFrom="column">
                  <wp:posOffset>3027680</wp:posOffset>
                </wp:positionH>
                <wp:positionV relativeFrom="paragraph">
                  <wp:posOffset>2527935</wp:posOffset>
                </wp:positionV>
                <wp:extent cx="1646555" cy="412750"/>
                <wp:effectExtent l="4445" t="18415" r="6350" b="26035"/>
                <wp:wrapNone/>
                <wp:docPr id="180" name="直接连接符 180"/>
                <wp:cNvGraphicFramePr/>
                <a:graphic xmlns:a="http://schemas.openxmlformats.org/drawingml/2006/main">
                  <a:graphicData uri="http://schemas.microsoft.com/office/word/2010/wordprocessingShape">
                    <wps:wsp>
                      <wps:cNvCnPr/>
                      <wps:spPr>
                        <a:xfrm>
                          <a:off x="0" y="0"/>
                          <a:ext cx="1646555" cy="41275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38.4pt;margin-top:199.05pt;height:32.5pt;width:129.65pt;z-index:251732992;mso-width-relative:page;mso-height-relative:page;" filled="f" stroked="t" coordsize="21600,21600" o:gfxdata="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wpxk2AAAAAsB&#10;AAAPAAAAAAAAAAEAIAAAACIAAABkcnMvZG93bnJldi54bWxQSwECFAAUAAAACACHTuJADrIhe+IB&#10;AACkAwAADgAAAAAAAAABACAAAAAnAQAAZHJzL2Uyb0RvYy54bWxQSwUGAAAAAAYABgBZAQAAewUA&#10;AAAA&#10;">
                <v:fill on="f" focussize="0,0"/>
                <v:stroke weight="3pt" color="#002060 [3204]" joinstyle="round"/>
                <v:imagedata o:title=""/>
                <o:lock v:ext="edit" aspectratio="f"/>
              </v:line>
            </w:pict>
          </mc:Fallback>
        </mc:AlternateContent>
      </w:r>
      <w:r>
        <w:rPr>
          <w:color w:val="auto"/>
          <w:u w:val="none" w:color="auto"/>
        </w:rPr>
        <w:drawing>
          <wp:inline distT="0" distB="0" distL="114300" distR="114300">
            <wp:extent cx="7486650" cy="5302250"/>
            <wp:effectExtent l="0" t="0" r="0" b="12700"/>
            <wp:docPr id="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
                    <pic:cNvPicPr>
                      <a:picLocks noChangeAspect="1"/>
                    </pic:cNvPicPr>
                  </pic:nvPicPr>
                  <pic:blipFill>
                    <a:blip r:embed="rId58"/>
                    <a:stretch>
                      <a:fillRect/>
                    </a:stretch>
                  </pic:blipFill>
                  <pic:spPr>
                    <a:xfrm>
                      <a:off x="0" y="0"/>
                      <a:ext cx="7486650" cy="5302250"/>
                    </a:xfrm>
                    <a:prstGeom prst="rect">
                      <a:avLst/>
                    </a:prstGeom>
                    <a:noFill/>
                    <a:ln>
                      <a:noFill/>
                    </a:ln>
                  </pic:spPr>
                </pic:pic>
              </a:graphicData>
            </a:graphic>
          </wp:inline>
        </w:drawing>
      </w:r>
    </w:p>
    <w:p w14:paraId="7606AE17">
      <w:pPr>
        <w:widowControl/>
        <w:spacing w:line="360" w:lineRule="auto"/>
        <w:outlineLvl w:val="1"/>
        <w:rPr>
          <w:rFonts w:hint="default" w:eastAsia="宋体"/>
          <w:color w:val="auto"/>
          <w:u w:val="none" w:color="auto"/>
          <w:lang w:val="en-US" w:eastAsia="zh-CN"/>
        </w:rPr>
      </w:pPr>
      <w:bookmarkStart w:id="131" w:name="_Toc1773"/>
      <w:bookmarkStart w:id="132" w:name="_Toc17567"/>
      <w:bookmarkStart w:id="133" w:name="_Toc913"/>
      <w:bookmarkStart w:id="134" w:name="_Toc29208"/>
      <w:bookmarkStart w:id="135" w:name="_Toc13383"/>
      <w:r>
        <w:rPr>
          <w:b/>
          <w:bCs/>
          <w:color w:val="auto"/>
          <w:sz w:val="28"/>
          <w:szCs w:val="28"/>
          <w:u w:val="none" w:color="auto"/>
        </w:rPr>
        <w:t>附图</w:t>
      </w:r>
      <w:r>
        <w:rPr>
          <w:rFonts w:hint="eastAsia"/>
          <w:b/>
          <w:bCs/>
          <w:color w:val="auto"/>
          <w:sz w:val="28"/>
          <w:szCs w:val="28"/>
          <w:u w:val="none" w:color="auto"/>
          <w:lang w:val="en-US" w:eastAsia="zh-CN"/>
        </w:rPr>
        <w:t>9</w:t>
      </w:r>
      <w:r>
        <w:rPr>
          <w:b/>
          <w:bCs/>
          <w:color w:val="auto"/>
          <w:sz w:val="28"/>
          <w:szCs w:val="28"/>
          <w:u w:val="none" w:color="auto"/>
        </w:rPr>
        <w:t xml:space="preserve"> </w:t>
      </w:r>
      <w:r>
        <w:rPr>
          <w:rFonts w:hint="eastAsia"/>
          <w:b/>
          <w:bCs/>
          <w:color w:val="auto"/>
          <w:sz w:val="28"/>
          <w:szCs w:val="28"/>
          <w:u w:val="none" w:color="auto"/>
          <w:lang w:val="en-US" w:eastAsia="zh-CN"/>
        </w:rPr>
        <w:t>项目调查样方调查分布图</w:t>
      </w:r>
      <w:bookmarkEnd w:id="131"/>
      <w:bookmarkEnd w:id="132"/>
      <w:bookmarkEnd w:id="133"/>
      <w:bookmarkEnd w:id="134"/>
      <w:bookmarkEnd w:id="135"/>
    </w:p>
    <w:p w14:paraId="39B27530">
      <w:pPr>
        <w:rPr>
          <w:color w:val="auto"/>
          <w:u w:val="none" w:color="auto"/>
        </w:rPr>
      </w:pPr>
      <w:r>
        <w:rPr>
          <w:color w:val="auto"/>
          <w:sz w:val="21"/>
          <w:u w:val="none" w:color="auto"/>
        </w:rPr>
        <mc:AlternateContent>
          <mc:Choice Requires="wps">
            <w:drawing>
              <wp:anchor distT="0" distB="0" distL="114300" distR="114300" simplePos="0" relativeHeight="251744256" behindDoc="0" locked="0" layoutInCell="1" allowOverlap="1">
                <wp:simplePos x="0" y="0"/>
                <wp:positionH relativeFrom="column">
                  <wp:posOffset>355600</wp:posOffset>
                </wp:positionH>
                <wp:positionV relativeFrom="paragraph">
                  <wp:posOffset>4350385</wp:posOffset>
                </wp:positionV>
                <wp:extent cx="169545" cy="0"/>
                <wp:effectExtent l="0" t="4445" r="0" b="5080"/>
                <wp:wrapNone/>
                <wp:docPr id="190" name="直接连接符 190"/>
                <wp:cNvGraphicFramePr/>
                <a:graphic xmlns:a="http://schemas.openxmlformats.org/drawingml/2006/main">
                  <a:graphicData uri="http://schemas.microsoft.com/office/word/2010/wordprocessingShape">
                    <wps:wsp>
                      <wps:cNvCnPr/>
                      <wps:spPr>
                        <a:xfrm>
                          <a:off x="1477645" y="5788025"/>
                          <a:ext cx="169545" cy="0"/>
                        </a:xfrm>
                        <a:prstGeom prst="line">
                          <a:avLst/>
                        </a:prstGeom>
                        <a:ln w="3175">
                          <a:solidFill>
                            <a:srgbClr val="FF0000"/>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8pt;margin-top:342.55pt;height:0pt;width:13.35pt;z-index:251744256;mso-width-relative:page;mso-height-relative:page;" filled="f" stroked="t" coordsize="21600,21600" o:gfxdata="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Hz1H&#10;1wAAAAkBAAAPAAAAAAAAAAEAIAAAACIAAABkcnMvZG93bnJldi54bWxQSwECFAAUAAAACACHTuJA&#10;xCkwtekBAACoAwAADgAAAAAAAAABACAAAAAmAQAAZHJzL2Uyb0RvYy54bWxQSwUGAAAAAAYABgBZ&#10;AQAAgQUAAAAA&#10;">
                <v:fill on="f" focussize="0,0"/>
                <v:stroke weight="0.25pt" color="#FF0000 [3204]" joinstyle="round" dashstyle="dash"/>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43232" behindDoc="0" locked="0" layoutInCell="1" allowOverlap="1">
                <wp:simplePos x="0" y="0"/>
                <wp:positionH relativeFrom="column">
                  <wp:posOffset>387350</wp:posOffset>
                </wp:positionH>
                <wp:positionV relativeFrom="paragraph">
                  <wp:posOffset>4149090</wp:posOffset>
                </wp:positionV>
                <wp:extent cx="158750" cy="8890"/>
                <wp:effectExtent l="0" t="0" r="0" b="0"/>
                <wp:wrapNone/>
                <wp:docPr id="189" name="直接连接符 189"/>
                <wp:cNvGraphicFramePr/>
                <a:graphic xmlns:a="http://schemas.openxmlformats.org/drawingml/2006/main">
                  <a:graphicData uri="http://schemas.microsoft.com/office/word/2010/wordprocessingShape">
                    <wps:wsp>
                      <wps:cNvCnPr/>
                      <wps:spPr>
                        <a:xfrm flipV="1">
                          <a:off x="1445895" y="5586730"/>
                          <a:ext cx="158750" cy="8890"/>
                        </a:xfrm>
                        <a:prstGeom prst="line">
                          <a:avLst/>
                        </a:prstGeom>
                        <a:ln>
                          <a:solidFill>
                            <a:srgbClr val="FFFF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0.5pt;margin-top:326.7pt;height:0.7pt;width:12.5pt;z-index:251743232;mso-width-relative:page;mso-height-relative:page;" filled="f" stroked="t" coordsize="21600,21600" o:gfxdata="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cwK31wAAAAkBAAAPAAAAAAAAAAEAIAAAACIAAABkcnMvZG93bnJldi54bWxQSwECFAAU&#10;AAAACACHTuJAPWUC/PIBAAC3AwAADgAAAAAAAAABACAAAAAmAQAAZHJzL2Uyb0RvYy54bWxQSwUG&#10;AAAAAAYABgBZAQAAigUAAAAA&#10;">
                <v:fill on="f" focussize="0,0"/>
                <v:stroke weight="2pt" color="#FFFF0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42208" behindDoc="0" locked="0" layoutInCell="1" allowOverlap="1">
                <wp:simplePos x="0" y="0"/>
                <wp:positionH relativeFrom="column">
                  <wp:posOffset>420370</wp:posOffset>
                </wp:positionH>
                <wp:positionV relativeFrom="paragraph">
                  <wp:posOffset>3926840</wp:posOffset>
                </wp:positionV>
                <wp:extent cx="75565" cy="75565"/>
                <wp:effectExtent l="12700" t="12700" r="26035" b="26035"/>
                <wp:wrapNone/>
                <wp:docPr id="188" name="椭圆 188"/>
                <wp:cNvGraphicFramePr/>
                <a:graphic xmlns:a="http://schemas.openxmlformats.org/drawingml/2006/main">
                  <a:graphicData uri="http://schemas.microsoft.com/office/word/2010/wordprocessingShape">
                    <wps:wsp>
                      <wps:cNvSpPr/>
                      <wps:spPr>
                        <a:xfrm>
                          <a:off x="2694940" y="4528820"/>
                          <a:ext cx="75565" cy="75565"/>
                        </a:xfrm>
                        <a:prstGeom prst="ellipse">
                          <a:avLst/>
                        </a:prstGeom>
                        <a:solidFill>
                          <a:srgbClr val="92D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1pt;margin-top:309.2pt;height:5.95pt;width:5.95pt;z-index:251742208;v-text-anchor:middle;mso-width-relative:page;mso-height-relative:page;" fillcolor="#92D050" filled="t" stroked="t" coordsize="21600,21600" o:gfxdata="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w/0w72gAAAAkBAAAPAAAA&#10;AAAAAAEAIAAAACIAAABkcnMvZG93bnJldi54bWxQSwECFAAUAAAACACHTuJA8P6BQoUCAAAPBQAA&#10;DgAAAAAAAAABACAAAAApAQAAZHJzL2Uyb0RvYy54bWxQSwUGAAAAAAYABgBZAQAAIAYAAAAA&#10;">
                <v:fill on="t" focussize="0,0"/>
                <v:stroke weight="2pt" color="#376092 [2404]" joinstyle="round"/>
                <v:imagedata o:title=""/>
                <o:lock v:ext="edit" aspectratio="f"/>
              </v:shape>
            </w:pict>
          </mc:Fallback>
        </mc:AlternateContent>
      </w:r>
      <w:r>
        <w:rPr>
          <w:color w:val="auto"/>
          <w:sz w:val="21"/>
          <w:u w:val="none" w:color="auto"/>
        </w:rPr>
        <mc:AlternateContent>
          <mc:Choice Requires="wps">
            <w:drawing>
              <wp:anchor distT="0" distB="0" distL="114300" distR="114300" simplePos="0" relativeHeight="251741184" behindDoc="0" locked="0" layoutInCell="1" allowOverlap="1">
                <wp:simplePos x="0" y="0"/>
                <wp:positionH relativeFrom="column">
                  <wp:posOffset>302895</wp:posOffset>
                </wp:positionH>
                <wp:positionV relativeFrom="paragraph">
                  <wp:posOffset>3619500</wp:posOffset>
                </wp:positionV>
                <wp:extent cx="1016000" cy="1056640"/>
                <wp:effectExtent l="4445" t="4445" r="8255" b="5715"/>
                <wp:wrapNone/>
                <wp:docPr id="187" name="文本框 187"/>
                <wp:cNvGraphicFramePr/>
                <a:graphic xmlns:a="http://schemas.openxmlformats.org/drawingml/2006/main">
                  <a:graphicData uri="http://schemas.microsoft.com/office/word/2010/wordprocessingShape">
                    <wps:wsp>
                      <wps:cNvSpPr txBox="1"/>
                      <wps:spPr>
                        <a:xfrm>
                          <a:off x="1466850" y="5203825"/>
                          <a:ext cx="1016000" cy="1056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6F6A93">
                            <w:pPr>
                              <w:jc w:val="center"/>
                              <w:rPr>
                                <w:rFonts w:hint="eastAsia"/>
                                <w:lang w:val="en-US" w:eastAsia="zh-CN"/>
                              </w:rPr>
                            </w:pPr>
                            <w:r>
                              <w:rPr>
                                <w:rFonts w:hint="eastAsia"/>
                                <w:lang w:val="en-US" w:eastAsia="zh-CN"/>
                              </w:rPr>
                              <w:t>图例</w:t>
                            </w:r>
                          </w:p>
                          <w:p w14:paraId="6273702A">
                            <w:pPr>
                              <w:jc w:val="center"/>
                              <w:rPr>
                                <w:rFonts w:hint="default"/>
                                <w:lang w:val="en-US" w:eastAsia="zh-CN"/>
                              </w:rPr>
                            </w:pPr>
                            <w:r>
                              <w:rPr>
                                <w:rFonts w:hint="eastAsia"/>
                                <w:lang w:val="en-US" w:eastAsia="zh-CN"/>
                              </w:rPr>
                              <w:t>样点</w:t>
                            </w:r>
                          </w:p>
                          <w:p w14:paraId="3EBE39CA">
                            <w:pPr>
                              <w:jc w:val="center"/>
                              <w:rPr>
                                <w:rFonts w:hint="eastAsia"/>
                                <w:lang w:val="en-US" w:eastAsia="zh-CN"/>
                              </w:rPr>
                            </w:pPr>
                            <w:r>
                              <w:rPr>
                                <w:rFonts w:hint="eastAsia"/>
                                <w:lang w:val="en-US" w:eastAsia="zh-CN"/>
                              </w:rPr>
                              <w:t>样线</w:t>
                            </w:r>
                          </w:p>
                          <w:p w14:paraId="773F33A7">
                            <w:pPr>
                              <w:jc w:val="center"/>
                              <w:rPr>
                                <w:rFonts w:hint="eastAsia"/>
                                <w:lang w:val="en-US" w:eastAsia="zh-CN"/>
                              </w:rPr>
                            </w:pPr>
                            <w:r>
                              <w:rPr>
                                <w:rFonts w:hint="eastAsia"/>
                                <w:lang w:val="en-US" w:eastAsia="zh-CN"/>
                              </w:rPr>
                              <w:t>评价范围</w:t>
                            </w:r>
                          </w:p>
                          <w:p w14:paraId="211907CD">
                            <w:pPr>
                              <w:jc w:val="center"/>
                              <w:rPr>
                                <w:rFonts w:hint="default"/>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pt;margin-top:285pt;height:83.2pt;width:80pt;z-index:251741184;mso-width-relative:page;mso-height-relative:page;" fillcolor="#FFFFFF [3201]" filled="t" stroked="t" coordsize="21600,21600" o:gfxdata="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oOR+J9YAAAAKAQAADwAAAAAAAAABACAAAAAiAAAAZHJzL2Rvd25yZXYueG1sUEsBAhQA&#10;FAAAAAgAh07iQAo+FyZmAgAAyAQAAA4AAAAAAAAAAQAgAAAAJQEAAGRycy9lMm9Eb2MueG1sUEsF&#10;BgAAAAAGAAYAWQEAAP0FAAAAAA==&#10;">
                <v:fill on="t" focussize="0,0"/>
                <v:stroke weight="0.5pt" color="#000000 [3204]" joinstyle="round"/>
                <v:imagedata o:title=""/>
                <o:lock v:ext="edit" aspectratio="f"/>
                <v:textbox>
                  <w:txbxContent>
                    <w:p w14:paraId="5C6F6A93">
                      <w:pPr>
                        <w:jc w:val="center"/>
                        <w:rPr>
                          <w:rFonts w:hint="eastAsia"/>
                          <w:lang w:val="en-US" w:eastAsia="zh-CN"/>
                        </w:rPr>
                      </w:pPr>
                      <w:r>
                        <w:rPr>
                          <w:rFonts w:hint="eastAsia"/>
                          <w:lang w:val="en-US" w:eastAsia="zh-CN"/>
                        </w:rPr>
                        <w:t>图例</w:t>
                      </w:r>
                    </w:p>
                    <w:p w14:paraId="6273702A">
                      <w:pPr>
                        <w:jc w:val="center"/>
                        <w:rPr>
                          <w:rFonts w:hint="default"/>
                          <w:lang w:val="en-US" w:eastAsia="zh-CN"/>
                        </w:rPr>
                      </w:pPr>
                      <w:r>
                        <w:rPr>
                          <w:rFonts w:hint="eastAsia"/>
                          <w:lang w:val="en-US" w:eastAsia="zh-CN"/>
                        </w:rPr>
                        <w:t>样点</w:t>
                      </w:r>
                    </w:p>
                    <w:p w14:paraId="3EBE39CA">
                      <w:pPr>
                        <w:jc w:val="center"/>
                        <w:rPr>
                          <w:rFonts w:hint="eastAsia"/>
                          <w:lang w:val="en-US" w:eastAsia="zh-CN"/>
                        </w:rPr>
                      </w:pPr>
                      <w:r>
                        <w:rPr>
                          <w:rFonts w:hint="eastAsia"/>
                          <w:lang w:val="en-US" w:eastAsia="zh-CN"/>
                        </w:rPr>
                        <w:t>样线</w:t>
                      </w:r>
                    </w:p>
                    <w:p w14:paraId="773F33A7">
                      <w:pPr>
                        <w:jc w:val="center"/>
                        <w:rPr>
                          <w:rFonts w:hint="eastAsia"/>
                          <w:lang w:val="en-US" w:eastAsia="zh-CN"/>
                        </w:rPr>
                      </w:pPr>
                      <w:r>
                        <w:rPr>
                          <w:rFonts w:hint="eastAsia"/>
                          <w:lang w:val="en-US" w:eastAsia="zh-CN"/>
                        </w:rPr>
                        <w:t>评价范围</w:t>
                      </w:r>
                    </w:p>
                    <w:p w14:paraId="211907CD">
                      <w:pPr>
                        <w:jc w:val="center"/>
                        <w:rPr>
                          <w:rFonts w:hint="default"/>
                          <w:lang w:val="en-US" w:eastAsia="zh-CN"/>
                        </w:rPr>
                      </w:pPr>
                      <w:r>
                        <w:rPr>
                          <w:rFonts w:hint="eastAsia"/>
                          <w:lang w:val="en-US" w:eastAsia="zh-CN"/>
                        </w:rPr>
                        <w:t>本项目</w:t>
                      </w:r>
                    </w:p>
                  </w:txbxContent>
                </v:textbox>
              </v:shape>
            </w:pict>
          </mc:Fallback>
        </mc:AlternateContent>
      </w:r>
      <w:r>
        <w:rPr>
          <w:color w:val="auto"/>
          <w:sz w:val="21"/>
          <w:u w:val="none" w:color="auto"/>
        </w:rPr>
        <mc:AlternateContent>
          <mc:Choice Requires="wps">
            <w:drawing>
              <wp:anchor distT="0" distB="0" distL="114300" distR="114300" simplePos="0" relativeHeight="251746304" behindDoc="0" locked="0" layoutInCell="1" allowOverlap="1">
                <wp:simplePos x="0" y="0"/>
                <wp:positionH relativeFrom="column">
                  <wp:posOffset>338455</wp:posOffset>
                </wp:positionH>
                <wp:positionV relativeFrom="paragraph">
                  <wp:posOffset>4555490</wp:posOffset>
                </wp:positionV>
                <wp:extent cx="158750" cy="8890"/>
                <wp:effectExtent l="0" t="0" r="0" b="0"/>
                <wp:wrapNone/>
                <wp:docPr id="191" name="直接连接符 191"/>
                <wp:cNvGraphicFramePr/>
                <a:graphic xmlns:a="http://schemas.openxmlformats.org/drawingml/2006/main">
                  <a:graphicData uri="http://schemas.microsoft.com/office/word/2010/wordprocessingShape">
                    <wps:wsp>
                      <wps:cNvCnPr/>
                      <wps:spPr>
                        <a:xfrm flipV="1">
                          <a:off x="0" y="0"/>
                          <a:ext cx="158750" cy="8890"/>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65pt;margin-top:358.7pt;height:0.7pt;width:12.5pt;z-index:251746304;mso-width-relative:page;mso-height-relative:page;" filled="f" stroked="t" coordsize="21600,21600" o:gfxdata="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sfZ&#10;SNoAAAAJAQAADwAAAAAAAAABACAAAAAiAAAAZHJzL2Rvd25yZXYueG1sUEsBAhQAFAAAAAgAh07i&#10;QIjxhujnAQAAqwMAAA4AAAAAAAAAAQAgAAAAKQEAAGRycy9lMm9Eb2MueG1sUEsFBgAAAAAGAAYA&#10;WQEAAIIFAAAAAA==&#10;">
                <v:fill on="f" focussize="0,0"/>
                <v:stroke weight="2pt" color="#002060 [3204]" joinstyle="round"/>
                <v:imagedata o:title=""/>
                <o:lock v:ext="edit" aspectratio="f"/>
              </v:line>
            </w:pict>
          </mc:Fallback>
        </mc:AlternateContent>
      </w:r>
      <w:r>
        <w:rPr>
          <w:color w:val="auto"/>
          <w:u w:val="none" w:color="auto"/>
        </w:rPr>
        <w:drawing>
          <wp:inline distT="0" distB="0" distL="114300" distR="114300">
            <wp:extent cx="7664450" cy="4906010"/>
            <wp:effectExtent l="0" t="0" r="12700" b="8890"/>
            <wp:docPr id="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
                    <pic:cNvPicPr>
                      <a:picLocks noChangeAspect="1"/>
                    </pic:cNvPicPr>
                  </pic:nvPicPr>
                  <pic:blipFill>
                    <a:blip r:embed="rId59"/>
                    <a:srcRect t="4144" r="609"/>
                    <a:stretch>
                      <a:fillRect/>
                    </a:stretch>
                  </pic:blipFill>
                  <pic:spPr>
                    <a:xfrm>
                      <a:off x="0" y="0"/>
                      <a:ext cx="7664450" cy="4906010"/>
                    </a:xfrm>
                    <a:prstGeom prst="rect">
                      <a:avLst/>
                    </a:prstGeom>
                    <a:noFill/>
                    <a:ln>
                      <a:noFill/>
                    </a:ln>
                  </pic:spPr>
                </pic:pic>
              </a:graphicData>
            </a:graphic>
          </wp:inline>
        </w:drawing>
      </w:r>
      <w:r>
        <w:rPr>
          <w:color w:val="auto"/>
          <w:sz w:val="21"/>
          <w:u w:val="none" w:color="auto"/>
        </w:rPr>
        <mc:AlternateContent>
          <mc:Choice Requires="wps">
            <w:drawing>
              <wp:anchor distT="0" distB="0" distL="114300" distR="114300" simplePos="0" relativeHeight="251740160" behindDoc="0" locked="0" layoutInCell="1" allowOverlap="1">
                <wp:simplePos x="0" y="0"/>
                <wp:positionH relativeFrom="column">
                  <wp:posOffset>4239895</wp:posOffset>
                </wp:positionH>
                <wp:positionV relativeFrom="paragraph">
                  <wp:posOffset>2684145</wp:posOffset>
                </wp:positionV>
                <wp:extent cx="159385" cy="574040"/>
                <wp:effectExtent l="18415" t="5080" r="31750" b="11430"/>
                <wp:wrapNone/>
                <wp:docPr id="186" name="直接连接符 186"/>
                <wp:cNvGraphicFramePr/>
                <a:graphic xmlns:a="http://schemas.openxmlformats.org/drawingml/2006/main">
                  <a:graphicData uri="http://schemas.microsoft.com/office/word/2010/wordprocessingShape">
                    <wps:wsp>
                      <wps:cNvCnPr/>
                      <wps:spPr>
                        <a:xfrm flipH="1">
                          <a:off x="0" y="0"/>
                          <a:ext cx="159385" cy="57404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33.85pt;margin-top:211.35pt;height:45.2pt;width:12.55pt;z-index:251740160;mso-width-relative:page;mso-height-relative:page;" filled="f" stroked="t" coordsize="21600,21600" o:gfxdata="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lGTkLZAAAACwEAAA8AAAAAAAAAAQAgAAAAIgAAAGRycy9kb3ducmV2LnhtbFBLAQIUABQAAAAI&#10;AIdO4kDMR2z77AEAAK0DAAAOAAAAAAAAAAEAIAAAACgBAABkcnMvZTJvRG9jLnhtbFBLBQYAAAAA&#10;BgAGAFkBAACGBQ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8112" behindDoc="0" locked="0" layoutInCell="1" allowOverlap="1">
                <wp:simplePos x="0" y="0"/>
                <wp:positionH relativeFrom="column">
                  <wp:posOffset>3869690</wp:posOffset>
                </wp:positionH>
                <wp:positionV relativeFrom="paragraph">
                  <wp:posOffset>2352675</wp:posOffset>
                </wp:positionV>
                <wp:extent cx="264795" cy="937260"/>
                <wp:effectExtent l="18415" t="5080" r="21590" b="10160"/>
                <wp:wrapNone/>
                <wp:docPr id="185" name="直接连接符 185"/>
                <wp:cNvGraphicFramePr/>
                <a:graphic xmlns:a="http://schemas.openxmlformats.org/drawingml/2006/main">
                  <a:graphicData uri="http://schemas.microsoft.com/office/word/2010/wordprocessingShape">
                    <wps:wsp>
                      <wps:cNvCnPr/>
                      <wps:spPr>
                        <a:xfrm flipH="1">
                          <a:off x="0" y="0"/>
                          <a:ext cx="264795" cy="93726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04.7pt;margin-top:185.25pt;height:73.8pt;width:20.85pt;z-index:251738112;mso-width-relative:page;mso-height-relative:page;" filled="f" stroked="t" coordsize="21600,21600" o:gfxdata="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Q&#10;mHgD2QAAAAsBAAAPAAAAAAAAAAEAIAAAACIAAABkcnMvZG93bnJldi54bWxQSwECFAAUAAAACACH&#10;TuJA0NjJZeoBAACtAwAADgAAAAAAAAABACAAAAAoAQAAZHJzL2Uyb0RvYy54bWxQSwUGAAAAAAYA&#10;BgBZAQAAhAU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7088" behindDoc="0" locked="0" layoutInCell="1" allowOverlap="1">
                <wp:simplePos x="0" y="0"/>
                <wp:positionH relativeFrom="column">
                  <wp:posOffset>3429635</wp:posOffset>
                </wp:positionH>
                <wp:positionV relativeFrom="paragraph">
                  <wp:posOffset>2453640</wp:posOffset>
                </wp:positionV>
                <wp:extent cx="1191260" cy="264795"/>
                <wp:effectExtent l="4445" t="18415" r="4445" b="21590"/>
                <wp:wrapNone/>
                <wp:docPr id="184" name="直接连接符 184"/>
                <wp:cNvGraphicFramePr/>
                <a:graphic xmlns:a="http://schemas.openxmlformats.org/drawingml/2006/main">
                  <a:graphicData uri="http://schemas.microsoft.com/office/word/2010/wordprocessingShape">
                    <wps:wsp>
                      <wps:cNvCnPr/>
                      <wps:spPr>
                        <a:xfrm>
                          <a:off x="0" y="0"/>
                          <a:ext cx="1191260" cy="264795"/>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70.05pt;margin-top:193.2pt;height:20.85pt;width:93.8pt;z-index:251737088;mso-width-relative:page;mso-height-relative:page;" filled="f" stroked="t" coordsize="21600,21600" o:gfxdata="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Atd3A2QAAAAsB&#10;AAAPAAAAAAAAAAEAIAAAACIAAABkcnMvZG93bnJldi54bWxQSwECFAAUAAAACACHTuJA8unpsOEB&#10;AACkAwAADgAAAAAAAAABACAAAAAoAQAAZHJzL2Uyb0RvYy54bWxQSwUGAAAAAAYABgBZAQAAewUA&#10;AAAA&#10;">
                <v:fill on="f" focussize="0,0"/>
                <v:stroke weight="3pt" color="#002060 [3204]" joinstyle="round"/>
                <v:imagedata o:title=""/>
                <o:lock v:ext="edit" aspectratio="f"/>
              </v:line>
            </w:pict>
          </mc:Fallback>
        </mc:AlternateContent>
      </w:r>
    </w:p>
    <w:p w14:paraId="6E0407BE">
      <w:pPr>
        <w:rPr>
          <w:color w:val="auto"/>
          <w:u w:val="none" w:color="auto"/>
        </w:rPr>
      </w:pPr>
    </w:p>
    <w:p w14:paraId="3F4BCA6D">
      <w:pPr>
        <w:rPr>
          <w:rFonts w:hint="default" w:eastAsia="宋体"/>
          <w:color w:val="auto"/>
          <w:u w:val="none" w:color="auto"/>
          <w:lang w:val="en-US" w:eastAsia="zh-CN"/>
        </w:rPr>
      </w:pPr>
      <w:r>
        <w:rPr>
          <w:b/>
          <w:bCs/>
          <w:color w:val="auto"/>
          <w:sz w:val="28"/>
          <w:szCs w:val="28"/>
          <w:u w:val="none" w:color="auto"/>
        </w:rPr>
        <w:t>附图</w:t>
      </w:r>
      <w:r>
        <w:rPr>
          <w:rFonts w:hint="eastAsia"/>
          <w:b/>
          <w:bCs/>
          <w:color w:val="auto"/>
          <w:sz w:val="28"/>
          <w:szCs w:val="28"/>
          <w:u w:val="none" w:color="auto"/>
          <w:lang w:val="en-US" w:eastAsia="zh-CN"/>
        </w:rPr>
        <w:t>10</w:t>
      </w:r>
      <w:r>
        <w:rPr>
          <w:b/>
          <w:bCs/>
          <w:color w:val="auto"/>
          <w:sz w:val="28"/>
          <w:szCs w:val="28"/>
          <w:u w:val="none" w:color="auto"/>
        </w:rPr>
        <w:t xml:space="preserve"> </w:t>
      </w:r>
      <w:r>
        <w:rPr>
          <w:rFonts w:hint="eastAsia"/>
          <w:b/>
          <w:bCs/>
          <w:color w:val="auto"/>
          <w:sz w:val="28"/>
          <w:szCs w:val="28"/>
          <w:u w:val="none" w:color="auto"/>
          <w:lang w:val="en-US" w:eastAsia="zh-CN"/>
        </w:rPr>
        <w:t>项目及周边生态系统类型图</w:t>
      </w:r>
    </w:p>
    <w:p w14:paraId="78D0528D">
      <w:pPr>
        <w:jc w:val="center"/>
        <w:rPr>
          <w:color w:val="auto"/>
          <w:u w:val="none" w:color="auto"/>
        </w:rPr>
      </w:pPr>
      <w:r>
        <w:rPr>
          <w:color w:val="auto"/>
          <w:sz w:val="21"/>
          <w:u w:val="none" w:color="auto"/>
        </w:rPr>
        <mc:AlternateContent>
          <mc:Choice Requires="wps">
            <w:drawing>
              <wp:anchor distT="0" distB="0" distL="114300" distR="114300" simplePos="0" relativeHeight="251747328" behindDoc="0" locked="0" layoutInCell="1" allowOverlap="1">
                <wp:simplePos x="0" y="0"/>
                <wp:positionH relativeFrom="column">
                  <wp:posOffset>669290</wp:posOffset>
                </wp:positionH>
                <wp:positionV relativeFrom="paragraph">
                  <wp:posOffset>4099560</wp:posOffset>
                </wp:positionV>
                <wp:extent cx="158750" cy="8890"/>
                <wp:effectExtent l="0" t="0" r="0" b="0"/>
                <wp:wrapNone/>
                <wp:docPr id="195" name="直接连接符 195"/>
                <wp:cNvGraphicFramePr/>
                <a:graphic xmlns:a="http://schemas.openxmlformats.org/drawingml/2006/main">
                  <a:graphicData uri="http://schemas.microsoft.com/office/word/2010/wordprocessingShape">
                    <wps:wsp>
                      <wps:cNvCnPr/>
                      <wps:spPr>
                        <a:xfrm flipV="1">
                          <a:off x="0" y="0"/>
                          <a:ext cx="158750" cy="8890"/>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2.7pt;margin-top:322.8pt;height:0.7pt;width:12.5pt;z-index:251747328;mso-width-relative:page;mso-height-relative:page;" filled="f" stroked="t" coordsize="21600,21600" o:gfxdata="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u6X&#10;2QAAAAsBAAAPAAAAAAAAAAEAIAAAACIAAABkcnMvZG93bnJldi54bWxQSwECFAAUAAAACACHTuJA&#10;Nv6cbucBAACrAwAADgAAAAAAAAABACAAAAAoAQAAZHJzL2Uyb0RvYy54bWxQSwUGAAAAAAYABgBZ&#10;AQAAgQUAAAAA&#10;">
                <v:fill on="f" focussize="0,0"/>
                <v:stroke weight="2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48352" behindDoc="0" locked="0" layoutInCell="1" allowOverlap="1">
                <wp:simplePos x="0" y="0"/>
                <wp:positionH relativeFrom="column">
                  <wp:posOffset>4120515</wp:posOffset>
                </wp:positionH>
                <wp:positionV relativeFrom="paragraph">
                  <wp:posOffset>2541270</wp:posOffset>
                </wp:positionV>
                <wp:extent cx="159385" cy="574040"/>
                <wp:effectExtent l="18415" t="5080" r="31750" b="11430"/>
                <wp:wrapNone/>
                <wp:docPr id="194" name="直接连接符 194"/>
                <wp:cNvGraphicFramePr/>
                <a:graphic xmlns:a="http://schemas.openxmlformats.org/drawingml/2006/main">
                  <a:graphicData uri="http://schemas.microsoft.com/office/word/2010/wordprocessingShape">
                    <wps:wsp>
                      <wps:cNvCnPr/>
                      <wps:spPr>
                        <a:xfrm flipH="1">
                          <a:off x="0" y="0"/>
                          <a:ext cx="159385" cy="57404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24.45pt;margin-top:200.1pt;height:45.2pt;width:12.55pt;z-index:251748352;mso-width-relative:page;mso-height-relative:page;" filled="f" stroked="t" coordsize="21600,21600" o:gfxdata="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B0V29gAAAALAQAADwAAAAAAAAABACAAAAAiAAAAZHJzL2Rvd25yZXYueG1sUEsBAhQAFAAAAAgA&#10;h07iQKiEOjjsAQAArQMAAA4AAAAAAAAAAQAgAAAAJwEAAGRycy9lMm9Eb2MueG1sUEsFBgAAAAAG&#10;AAYAWQEAAIUFA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45280" behindDoc="0" locked="0" layoutInCell="1" allowOverlap="1">
                <wp:simplePos x="0" y="0"/>
                <wp:positionH relativeFrom="column">
                  <wp:posOffset>3750945</wp:posOffset>
                </wp:positionH>
                <wp:positionV relativeFrom="paragraph">
                  <wp:posOffset>2233295</wp:posOffset>
                </wp:positionV>
                <wp:extent cx="264795" cy="937260"/>
                <wp:effectExtent l="18415" t="5080" r="21590" b="10160"/>
                <wp:wrapNone/>
                <wp:docPr id="193" name="直接连接符 193"/>
                <wp:cNvGraphicFramePr/>
                <a:graphic xmlns:a="http://schemas.openxmlformats.org/drawingml/2006/main">
                  <a:graphicData uri="http://schemas.microsoft.com/office/word/2010/wordprocessingShape">
                    <wps:wsp>
                      <wps:cNvCnPr/>
                      <wps:spPr>
                        <a:xfrm flipH="1">
                          <a:off x="0" y="0"/>
                          <a:ext cx="264795" cy="937260"/>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95.35pt;margin-top:175.85pt;height:73.8pt;width:20.85pt;z-index:251745280;mso-width-relative:page;mso-height-relative:page;" filled="f" stroked="t" coordsize="21600,21600" o:gfxdata="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CmNlNoAAAALAQAADwAAAAAAAAABACAAAAAiAAAAZHJzL2Rvd25yZXYueG1sUEsBAhQAFAAAAAgA&#10;h07iQAkDZkzqAQAArQMAAA4AAAAAAAAAAQAgAAAAKQEAAGRycy9lMm9Eb2MueG1sUEsFBgAAAAAG&#10;AAYAWQEAAIUFAAAA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739136" behindDoc="0" locked="0" layoutInCell="1" allowOverlap="1">
                <wp:simplePos x="0" y="0"/>
                <wp:positionH relativeFrom="column">
                  <wp:posOffset>3298825</wp:posOffset>
                </wp:positionH>
                <wp:positionV relativeFrom="paragraph">
                  <wp:posOffset>2322830</wp:posOffset>
                </wp:positionV>
                <wp:extent cx="1191260" cy="264795"/>
                <wp:effectExtent l="4445" t="18415" r="4445" b="21590"/>
                <wp:wrapNone/>
                <wp:docPr id="192" name="直接连接符 192"/>
                <wp:cNvGraphicFramePr/>
                <a:graphic xmlns:a="http://schemas.openxmlformats.org/drawingml/2006/main">
                  <a:graphicData uri="http://schemas.microsoft.com/office/word/2010/wordprocessingShape">
                    <wps:wsp>
                      <wps:cNvCnPr/>
                      <wps:spPr>
                        <a:xfrm>
                          <a:off x="0" y="0"/>
                          <a:ext cx="1191260" cy="264795"/>
                        </a:xfrm>
                        <a:prstGeom prst="line">
                          <a:avLst/>
                        </a:prstGeom>
                        <a:ln w="38100">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59.75pt;margin-top:182.9pt;height:20.85pt;width:93.8pt;z-index:251739136;mso-width-relative:page;mso-height-relative:page;" filled="f" stroked="t" coordsize="21600,21600" o:gfxdata="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PlgLdkAAAALAQAA&#10;DwAAAAAAAAABACAAAAAiAAAAZHJzL2Rvd25yZXYueG1sUEsBAhQAFAAAAAgAh07iQHkhRPLfAQAA&#10;pAMAAA4AAAAAAAAAAQAgAAAAKAEAAGRycy9lMm9Eb2MueG1sUEsFBgAAAAAGAAYAWQEAAHkFAAAA&#10;AA==&#10;">
                <v:fill on="f" focussize="0,0"/>
                <v:stroke weight="3pt" color="#002060 [3204]" joinstyle="round"/>
                <v:imagedata o:title=""/>
                <o:lock v:ext="edit" aspectratio="f"/>
              </v:line>
            </w:pict>
          </mc:Fallback>
        </mc:AlternateContent>
      </w:r>
      <w:r>
        <w:rPr>
          <w:color w:val="auto"/>
          <w:sz w:val="21"/>
          <w:u w:val="none" w:color="auto"/>
        </w:rPr>
        <mc:AlternateContent>
          <mc:Choice Requires="wps">
            <w:drawing>
              <wp:anchor distT="0" distB="0" distL="114300" distR="114300" simplePos="0" relativeHeight="251676672" behindDoc="0" locked="0" layoutInCell="1" allowOverlap="1">
                <wp:simplePos x="0" y="0"/>
                <wp:positionH relativeFrom="column">
                  <wp:posOffset>636270</wp:posOffset>
                </wp:positionH>
                <wp:positionV relativeFrom="paragraph">
                  <wp:posOffset>4208780</wp:posOffset>
                </wp:positionV>
                <wp:extent cx="233680" cy="156210"/>
                <wp:effectExtent l="12700" t="12700" r="20320" b="21590"/>
                <wp:wrapNone/>
                <wp:docPr id="126" name="矩形 126"/>
                <wp:cNvGraphicFramePr/>
                <a:graphic xmlns:a="http://schemas.openxmlformats.org/drawingml/2006/main">
                  <a:graphicData uri="http://schemas.microsoft.com/office/word/2010/wordprocessingShape">
                    <wps:wsp>
                      <wps:cNvSpPr/>
                      <wps:spPr>
                        <a:xfrm>
                          <a:off x="1666240" y="5354320"/>
                          <a:ext cx="233680" cy="156210"/>
                        </a:xfrm>
                        <a:prstGeom prst="rect">
                          <a:avLst/>
                        </a:prstGeom>
                        <a:solidFill>
                          <a:srgbClr val="FFFF00"/>
                        </a:solid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1pt;margin-top:331.4pt;height:12.3pt;width:18.4pt;z-index:251676672;v-text-anchor:middle;mso-width-relative:page;mso-height-relative:page;" fillcolor="#FFFF00" filled="t" stroked="t" coordsize="21600,21600" o:gfxdata="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iDMcdkAAAALAQAADwAAAAAAAAABACAAAAAiAAAAZHJzL2Rvd25yZXYu&#10;eG1sUEsBAhQAFAAAAAgAh07iQEhuxaBsAgAA7AQAAA4AAAAAAAAAAQAgAAAAKAEAAGRycy9lMm9E&#10;b2MueG1sUEsFBgAAAAAGAAYAWQEAAAYGAAAAAA==&#10;">
                <v:fill on="t" focussize="0,0"/>
                <v:stroke weight="2pt" color="#FFFF00 [2404]" joinstyle="round"/>
                <v:imagedata o:title=""/>
                <o:lock v:ext="edit" aspectratio="f"/>
              </v:rect>
            </w:pict>
          </mc:Fallback>
        </mc:AlternateContent>
      </w:r>
      <w:r>
        <w:rPr>
          <w:color w:val="auto"/>
          <w:sz w:val="21"/>
          <w:u w:val="none" w:color="auto"/>
        </w:rPr>
        <mc:AlternateContent>
          <mc:Choice Requires="wps">
            <w:drawing>
              <wp:anchor distT="0" distB="0" distL="114300" distR="114300" simplePos="0" relativeHeight="251677696" behindDoc="0" locked="0" layoutInCell="1" allowOverlap="1">
                <wp:simplePos x="0" y="0"/>
                <wp:positionH relativeFrom="column">
                  <wp:posOffset>639445</wp:posOffset>
                </wp:positionH>
                <wp:positionV relativeFrom="paragraph">
                  <wp:posOffset>4403725</wp:posOffset>
                </wp:positionV>
                <wp:extent cx="233680" cy="156210"/>
                <wp:effectExtent l="12700" t="12700" r="20320" b="21590"/>
                <wp:wrapNone/>
                <wp:docPr id="127" name="矩形 127"/>
                <wp:cNvGraphicFramePr/>
                <a:graphic xmlns:a="http://schemas.openxmlformats.org/drawingml/2006/main">
                  <a:graphicData uri="http://schemas.microsoft.com/office/word/2010/wordprocessingShape">
                    <wps:wsp>
                      <wps:cNvSpPr/>
                      <wps:spPr>
                        <a:xfrm>
                          <a:off x="0" y="0"/>
                          <a:ext cx="233680" cy="156210"/>
                        </a:xfrm>
                        <a:prstGeom prst="rect">
                          <a:avLst/>
                        </a:prstGeom>
                        <a:solidFill>
                          <a:srgbClr val="00B0F0"/>
                        </a:solid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35pt;margin-top:346.75pt;height:12.3pt;width:18.4pt;z-index:251677696;v-text-anchor:middle;mso-width-relative:page;mso-height-relative:page;" fillcolor="#00B0F0" filled="t" stroked="t" coordsize="21600,21600" o:gfxdata="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LzV63aAAAACwEAAA8AAAAAAAAAAQAgAAAAIgAAAGRycy9kb3ducmV2LnhtbFBLAQIUABQA&#10;AAAIAIdO4kCYlCvzYAIAAOAEAAAOAAAAAAAAAAEAIAAAACkBAABkcnMvZTJvRG9jLnhtbFBLBQYA&#10;AAAABgAGAFkBAAD7BQAAAAA=&#10;">
                <v:fill on="t" focussize="0,0"/>
                <v:stroke weight="2pt" color="#00B0F0 [2404]" joinstyle="round"/>
                <v:imagedata o:title=""/>
                <o:lock v:ext="edit" aspectratio="f"/>
              </v:rect>
            </w:pict>
          </mc:Fallback>
        </mc:AlternateContent>
      </w:r>
      <w:r>
        <w:rPr>
          <w:color w:val="auto"/>
          <w:sz w:val="21"/>
          <w:u w:val="none" w:color="auto"/>
        </w:rPr>
        <mc:AlternateContent>
          <mc:Choice Requires="wps">
            <w:drawing>
              <wp:anchor distT="0" distB="0" distL="114300" distR="114300" simplePos="0" relativeHeight="251675648" behindDoc="0" locked="0" layoutInCell="1" allowOverlap="1">
                <wp:simplePos x="0" y="0"/>
                <wp:positionH relativeFrom="column">
                  <wp:posOffset>488950</wp:posOffset>
                </wp:positionH>
                <wp:positionV relativeFrom="paragraph">
                  <wp:posOffset>3757930</wp:posOffset>
                </wp:positionV>
                <wp:extent cx="1696720" cy="1151890"/>
                <wp:effectExtent l="5080" t="4445" r="12700" b="5715"/>
                <wp:wrapNone/>
                <wp:docPr id="125" name="文本框 125"/>
                <wp:cNvGraphicFramePr/>
                <a:graphic xmlns:a="http://schemas.openxmlformats.org/drawingml/2006/main">
                  <a:graphicData uri="http://schemas.microsoft.com/office/word/2010/wordprocessingShape">
                    <wps:wsp>
                      <wps:cNvSpPr txBox="1"/>
                      <wps:spPr>
                        <a:xfrm>
                          <a:off x="1631950" y="5077460"/>
                          <a:ext cx="1696720" cy="1151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E7610A">
                            <w:pPr>
                              <w:jc w:val="center"/>
                              <w:rPr>
                                <w:rFonts w:hint="eastAsia"/>
                                <w:lang w:val="en-US" w:eastAsia="zh-CN"/>
                              </w:rPr>
                            </w:pPr>
                            <w:r>
                              <w:rPr>
                                <w:rFonts w:hint="eastAsia"/>
                                <w:lang w:val="en-US" w:eastAsia="zh-CN"/>
                              </w:rPr>
                              <w:t>图例</w:t>
                            </w:r>
                          </w:p>
                          <w:p w14:paraId="2B4484E9">
                            <w:pPr>
                              <w:ind w:firstLine="840" w:firstLineChars="400"/>
                              <w:jc w:val="both"/>
                              <w:rPr>
                                <w:rFonts w:hint="default"/>
                                <w:lang w:val="en-US" w:eastAsia="zh-CN"/>
                              </w:rPr>
                            </w:pPr>
                            <w:r>
                              <w:rPr>
                                <w:rFonts w:hint="eastAsia"/>
                                <w:lang w:val="en-US" w:eastAsia="zh-CN"/>
                              </w:rPr>
                              <w:t>本项目</w:t>
                            </w:r>
                          </w:p>
                          <w:p w14:paraId="5D85F26E">
                            <w:pPr>
                              <w:jc w:val="center"/>
                              <w:rPr>
                                <w:rFonts w:hint="eastAsia"/>
                                <w:sz w:val="18"/>
                                <w:szCs w:val="18"/>
                                <w:lang w:val="en-US" w:eastAsia="zh-CN"/>
                              </w:rPr>
                            </w:pPr>
                            <w:r>
                              <w:rPr>
                                <w:rFonts w:hint="eastAsia"/>
                                <w:lang w:val="en-US" w:eastAsia="zh-CN"/>
                              </w:rPr>
                              <w:t xml:space="preserve">   </w:t>
                            </w:r>
                            <w:r>
                              <w:rPr>
                                <w:rFonts w:hint="eastAsia"/>
                                <w:sz w:val="18"/>
                                <w:szCs w:val="18"/>
                                <w:lang w:val="en-US" w:eastAsia="zh-CN"/>
                              </w:rPr>
                              <w:t>农田生态系统</w:t>
                            </w:r>
                          </w:p>
                          <w:p w14:paraId="16E0E01A">
                            <w:pPr>
                              <w:jc w:val="center"/>
                              <w:rPr>
                                <w:rFonts w:hint="eastAsia"/>
                                <w:sz w:val="18"/>
                                <w:szCs w:val="18"/>
                                <w:lang w:val="en-US" w:eastAsia="zh-CN"/>
                              </w:rPr>
                            </w:pPr>
                            <w:r>
                              <w:rPr>
                                <w:rFonts w:hint="eastAsia"/>
                                <w:sz w:val="18"/>
                                <w:szCs w:val="18"/>
                                <w:lang w:val="en-US" w:eastAsia="zh-CN"/>
                              </w:rPr>
                              <w:t xml:space="preserve">   湿地生态系统</w:t>
                            </w:r>
                          </w:p>
                          <w:p w14:paraId="58268893">
                            <w:pPr>
                              <w:jc w:val="both"/>
                              <w:rPr>
                                <w:rFonts w:hint="default"/>
                                <w:sz w:val="18"/>
                                <w:szCs w:val="18"/>
                                <w:lang w:val="en-US" w:eastAsia="zh-CN"/>
                              </w:rPr>
                            </w:pPr>
                            <w:r>
                              <w:rPr>
                                <w:rFonts w:hint="eastAsia"/>
                                <w:sz w:val="15"/>
                                <w:szCs w:val="15"/>
                                <w:lang w:val="en-US" w:eastAsia="zh-CN"/>
                              </w:rPr>
                              <w:t>其他颜色</w:t>
                            </w:r>
                            <w:r>
                              <w:rPr>
                                <w:rFonts w:hint="eastAsia"/>
                                <w:sz w:val="18"/>
                                <w:szCs w:val="18"/>
                                <w:lang w:val="en-US" w:eastAsia="zh-CN"/>
                              </w:rPr>
                              <w:t xml:space="preserve">   城镇生态系统  </w:t>
                            </w:r>
                          </w:p>
                          <w:p w14:paraId="3A048034">
                            <w:pPr>
                              <w:jc w:val="center"/>
                              <w:rPr>
                                <w:rFonts w:hint="eastAsia"/>
                                <w:sz w:val="18"/>
                                <w:szCs w:val="18"/>
                                <w:lang w:val="en-US" w:eastAsia="zh-CN"/>
                              </w:rPr>
                            </w:pPr>
                          </w:p>
                          <w:p w14:paraId="70DD6425">
                            <w:pPr>
                              <w:jc w:val="center"/>
                              <w:rPr>
                                <w:rFonts w:hint="default"/>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5pt;margin-top:295.9pt;height:90.7pt;width:133.6pt;z-index:251675648;mso-width-relative:page;mso-height-relative:page;" fillcolor="#FFFFFF [3201]" filled="t" stroked="t" coordsize="21600,21600" o:gfxdata="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n/SyCNcAAAAKAQAADwAAAAAAAAABACAAAAAiAAAAZHJzL2Rvd25yZXYueG1sUEsBAhQA&#10;FAAAAAgAh07iQMPxawhlAgAAyAQAAA4AAAAAAAAAAQAgAAAAJgEAAGRycy9lMm9Eb2MueG1sUEsF&#10;BgAAAAAGAAYAWQEAAP0FAAAAAA==&#10;">
                <v:fill on="t" focussize="0,0"/>
                <v:stroke weight="0.5pt" color="#000000 [3204]" joinstyle="round"/>
                <v:imagedata o:title=""/>
                <o:lock v:ext="edit" aspectratio="f"/>
                <v:textbox>
                  <w:txbxContent>
                    <w:p w14:paraId="3EE7610A">
                      <w:pPr>
                        <w:jc w:val="center"/>
                        <w:rPr>
                          <w:rFonts w:hint="eastAsia"/>
                          <w:lang w:val="en-US" w:eastAsia="zh-CN"/>
                        </w:rPr>
                      </w:pPr>
                      <w:r>
                        <w:rPr>
                          <w:rFonts w:hint="eastAsia"/>
                          <w:lang w:val="en-US" w:eastAsia="zh-CN"/>
                        </w:rPr>
                        <w:t>图例</w:t>
                      </w:r>
                    </w:p>
                    <w:p w14:paraId="2B4484E9">
                      <w:pPr>
                        <w:ind w:firstLine="840" w:firstLineChars="400"/>
                        <w:jc w:val="both"/>
                        <w:rPr>
                          <w:rFonts w:hint="default"/>
                          <w:lang w:val="en-US" w:eastAsia="zh-CN"/>
                        </w:rPr>
                      </w:pPr>
                      <w:r>
                        <w:rPr>
                          <w:rFonts w:hint="eastAsia"/>
                          <w:lang w:val="en-US" w:eastAsia="zh-CN"/>
                        </w:rPr>
                        <w:t>本项目</w:t>
                      </w:r>
                    </w:p>
                    <w:p w14:paraId="5D85F26E">
                      <w:pPr>
                        <w:jc w:val="center"/>
                        <w:rPr>
                          <w:rFonts w:hint="eastAsia"/>
                          <w:sz w:val="18"/>
                          <w:szCs w:val="18"/>
                          <w:lang w:val="en-US" w:eastAsia="zh-CN"/>
                        </w:rPr>
                      </w:pPr>
                      <w:r>
                        <w:rPr>
                          <w:rFonts w:hint="eastAsia"/>
                          <w:lang w:val="en-US" w:eastAsia="zh-CN"/>
                        </w:rPr>
                        <w:t xml:space="preserve">   </w:t>
                      </w:r>
                      <w:r>
                        <w:rPr>
                          <w:rFonts w:hint="eastAsia"/>
                          <w:sz w:val="18"/>
                          <w:szCs w:val="18"/>
                          <w:lang w:val="en-US" w:eastAsia="zh-CN"/>
                        </w:rPr>
                        <w:t>农田生态系统</w:t>
                      </w:r>
                    </w:p>
                    <w:p w14:paraId="16E0E01A">
                      <w:pPr>
                        <w:jc w:val="center"/>
                        <w:rPr>
                          <w:rFonts w:hint="eastAsia"/>
                          <w:sz w:val="18"/>
                          <w:szCs w:val="18"/>
                          <w:lang w:val="en-US" w:eastAsia="zh-CN"/>
                        </w:rPr>
                      </w:pPr>
                      <w:r>
                        <w:rPr>
                          <w:rFonts w:hint="eastAsia"/>
                          <w:sz w:val="18"/>
                          <w:szCs w:val="18"/>
                          <w:lang w:val="en-US" w:eastAsia="zh-CN"/>
                        </w:rPr>
                        <w:t xml:space="preserve">   湿地生态系统</w:t>
                      </w:r>
                    </w:p>
                    <w:p w14:paraId="58268893">
                      <w:pPr>
                        <w:jc w:val="both"/>
                        <w:rPr>
                          <w:rFonts w:hint="default"/>
                          <w:sz w:val="18"/>
                          <w:szCs w:val="18"/>
                          <w:lang w:val="en-US" w:eastAsia="zh-CN"/>
                        </w:rPr>
                      </w:pPr>
                      <w:r>
                        <w:rPr>
                          <w:rFonts w:hint="eastAsia"/>
                          <w:sz w:val="15"/>
                          <w:szCs w:val="15"/>
                          <w:lang w:val="en-US" w:eastAsia="zh-CN"/>
                        </w:rPr>
                        <w:t>其他颜色</w:t>
                      </w:r>
                      <w:r>
                        <w:rPr>
                          <w:rFonts w:hint="eastAsia"/>
                          <w:sz w:val="18"/>
                          <w:szCs w:val="18"/>
                          <w:lang w:val="en-US" w:eastAsia="zh-CN"/>
                        </w:rPr>
                        <w:t xml:space="preserve">   城镇生态系统  </w:t>
                      </w:r>
                    </w:p>
                    <w:p w14:paraId="3A048034">
                      <w:pPr>
                        <w:jc w:val="center"/>
                        <w:rPr>
                          <w:rFonts w:hint="eastAsia"/>
                          <w:sz w:val="18"/>
                          <w:szCs w:val="18"/>
                          <w:lang w:val="en-US" w:eastAsia="zh-CN"/>
                        </w:rPr>
                      </w:pPr>
                    </w:p>
                    <w:p w14:paraId="70DD6425">
                      <w:pPr>
                        <w:jc w:val="center"/>
                        <w:rPr>
                          <w:rFonts w:hint="default"/>
                          <w:sz w:val="18"/>
                          <w:szCs w:val="18"/>
                          <w:lang w:val="en-US" w:eastAsia="zh-CN"/>
                        </w:rPr>
                      </w:pPr>
                    </w:p>
                  </w:txbxContent>
                </v:textbox>
              </v:shape>
            </w:pict>
          </mc:Fallback>
        </mc:AlternateContent>
      </w:r>
      <w:r>
        <w:rPr>
          <w:color w:val="auto"/>
          <w:sz w:val="21"/>
          <w:u w:val="none" w:color="auto"/>
        </w:rPr>
        <mc:AlternateContent>
          <mc:Choice Requires="wps">
            <w:drawing>
              <wp:anchor distT="0" distB="0" distL="114300" distR="114300" simplePos="0" relativeHeight="251674624" behindDoc="0" locked="0" layoutInCell="1" allowOverlap="1">
                <wp:simplePos x="0" y="0"/>
                <wp:positionH relativeFrom="column">
                  <wp:posOffset>5720080</wp:posOffset>
                </wp:positionH>
                <wp:positionV relativeFrom="paragraph">
                  <wp:posOffset>3145790</wp:posOffset>
                </wp:positionV>
                <wp:extent cx="2319655" cy="1817370"/>
                <wp:effectExtent l="0" t="0" r="0" b="0"/>
                <wp:wrapNone/>
                <wp:docPr id="123" name="文本框 123"/>
                <wp:cNvGraphicFramePr/>
                <a:graphic xmlns:a="http://schemas.openxmlformats.org/drawingml/2006/main">
                  <a:graphicData uri="http://schemas.microsoft.com/office/word/2010/wordprocessingShape">
                    <wps:wsp>
                      <wps:cNvSpPr txBox="1"/>
                      <wps:spPr>
                        <a:xfrm>
                          <a:off x="6826885" y="4663440"/>
                          <a:ext cx="2319655" cy="1817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75E13">
                            <w:r>
                              <w:drawing>
                                <wp:inline distT="0" distB="0" distL="114300" distR="114300">
                                  <wp:extent cx="2056765" cy="1734820"/>
                                  <wp:effectExtent l="0" t="0" r="0" b="0"/>
                                  <wp:docPr id="1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8"/>
                                          <pic:cNvPicPr>
                                            <a:picLocks noChangeAspect="1"/>
                                          </pic:cNvPicPr>
                                        </pic:nvPicPr>
                                        <pic:blipFill>
                                          <a:blip r:embed="rId60"/>
                                          <a:srcRect l="6279" t="6726"/>
                                          <a:stretch>
                                            <a:fillRect/>
                                          </a:stretch>
                                        </pic:blipFill>
                                        <pic:spPr>
                                          <a:xfrm>
                                            <a:off x="0" y="0"/>
                                            <a:ext cx="2056765" cy="1734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0.4pt;margin-top:247.7pt;height:143.1pt;width:182.65pt;z-index:251674624;mso-width-relative:page;mso-height-relative:page;" filled="f" stroked="f" coordsize="21600,21600" o:gfxdata="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lg5Jz3AAAAAwBAAAPAAAA&#10;AAAAAAEAIAAAACIAAABkcnMvZG93bnJldi54bWxQSwECFAAUAAAACACHTuJA0KyU5EoCAAB3BAAA&#10;DgAAAAAAAAABACAAAAArAQAAZHJzL2Uyb0RvYy54bWxQSwUGAAAAAAYABgBZAQAA5wUAAAAA&#10;">
                <v:fill on="f" focussize="0,0"/>
                <v:stroke on="f" weight="0.5pt"/>
                <v:imagedata o:title=""/>
                <o:lock v:ext="edit" aspectratio="f"/>
                <v:textbox>
                  <w:txbxContent>
                    <w:p w14:paraId="3ED75E13">
                      <w:r>
                        <w:drawing>
                          <wp:inline distT="0" distB="0" distL="114300" distR="114300">
                            <wp:extent cx="2056765" cy="1734820"/>
                            <wp:effectExtent l="0" t="0" r="0" b="0"/>
                            <wp:docPr id="1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8"/>
                                    <pic:cNvPicPr>
                                      <a:picLocks noChangeAspect="1"/>
                                    </pic:cNvPicPr>
                                  </pic:nvPicPr>
                                  <pic:blipFill>
                                    <a:blip r:embed="rId60"/>
                                    <a:srcRect l="6279" t="6726"/>
                                    <a:stretch>
                                      <a:fillRect/>
                                    </a:stretch>
                                  </pic:blipFill>
                                  <pic:spPr>
                                    <a:xfrm>
                                      <a:off x="0" y="0"/>
                                      <a:ext cx="2056765" cy="1734820"/>
                                    </a:xfrm>
                                    <a:prstGeom prst="rect">
                                      <a:avLst/>
                                    </a:prstGeom>
                                    <a:noFill/>
                                    <a:ln>
                                      <a:noFill/>
                                    </a:ln>
                                  </pic:spPr>
                                </pic:pic>
                              </a:graphicData>
                            </a:graphic>
                          </wp:inline>
                        </w:drawing>
                      </w:r>
                    </w:p>
                  </w:txbxContent>
                </v:textbox>
              </v:shape>
            </w:pict>
          </mc:Fallback>
        </mc:AlternateContent>
      </w:r>
      <w:r>
        <w:rPr>
          <w:color w:val="auto"/>
          <w:u w:val="none" w:color="auto"/>
        </w:rPr>
        <w:drawing>
          <wp:inline distT="0" distB="0" distL="114300" distR="114300">
            <wp:extent cx="8065135" cy="5120005"/>
            <wp:effectExtent l="0" t="0" r="12065" b="4445"/>
            <wp:docPr id="1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
                    <pic:cNvPicPr>
                      <a:picLocks noChangeAspect="1"/>
                    </pic:cNvPicPr>
                  </pic:nvPicPr>
                  <pic:blipFill>
                    <a:blip r:embed="rId56"/>
                    <a:srcRect t="3252" r="58"/>
                    <a:stretch>
                      <a:fillRect/>
                    </a:stretch>
                  </pic:blipFill>
                  <pic:spPr>
                    <a:xfrm>
                      <a:off x="0" y="0"/>
                      <a:ext cx="8065135" cy="5120005"/>
                    </a:xfrm>
                    <a:prstGeom prst="rect">
                      <a:avLst/>
                    </a:prstGeom>
                    <a:noFill/>
                    <a:ln>
                      <a:noFill/>
                    </a:ln>
                  </pic:spPr>
                </pic:pic>
              </a:graphicData>
            </a:graphic>
          </wp:inline>
        </w:drawing>
      </w:r>
    </w:p>
    <w:p w14:paraId="6102D911">
      <w:pPr>
        <w:jc w:val="both"/>
        <w:rPr>
          <w:rFonts w:hint="eastAsia"/>
          <w:color w:val="auto"/>
          <w:u w:val="none" w:color="auto"/>
          <w:lang w:eastAsia="zh-CN"/>
        </w:rPr>
      </w:pPr>
    </w:p>
    <w:p w14:paraId="7A660F55">
      <w:pPr>
        <w:jc w:val="both"/>
        <w:rPr>
          <w:rFonts w:hint="eastAsia"/>
          <w:color w:val="auto"/>
          <w:u w:val="none" w:color="auto"/>
          <w:lang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39EB017">
      <w:pPr>
        <w:widowControl/>
        <w:spacing w:line="360" w:lineRule="auto"/>
        <w:outlineLvl w:val="1"/>
        <w:rPr>
          <w:rFonts w:hint="eastAsia"/>
          <w:b/>
          <w:bCs/>
          <w:color w:val="auto"/>
          <w:sz w:val="28"/>
          <w:szCs w:val="28"/>
          <w:u w:val="none" w:color="auto"/>
          <w:lang w:val="en-US" w:eastAsia="zh-CN"/>
        </w:rPr>
      </w:pPr>
      <w:bookmarkStart w:id="136" w:name="_Toc9285"/>
      <w:bookmarkStart w:id="137" w:name="_Toc3911"/>
      <w:bookmarkStart w:id="138" w:name="_Toc26865"/>
      <w:bookmarkStart w:id="139" w:name="_Toc22025"/>
      <w:bookmarkStart w:id="140" w:name="_Toc18817"/>
      <w:r>
        <w:rPr>
          <w:b/>
          <w:bCs/>
          <w:color w:val="auto"/>
          <w:sz w:val="28"/>
          <w:szCs w:val="28"/>
          <w:u w:val="none" w:color="auto"/>
        </w:rPr>
        <w:t>附图</w:t>
      </w:r>
      <w:r>
        <w:rPr>
          <w:rFonts w:hint="eastAsia"/>
          <w:b/>
          <w:bCs/>
          <w:color w:val="auto"/>
          <w:sz w:val="28"/>
          <w:szCs w:val="28"/>
          <w:u w:val="none" w:color="auto"/>
          <w:lang w:val="en-US" w:eastAsia="zh-CN"/>
        </w:rPr>
        <w:t>11</w:t>
      </w:r>
      <w:r>
        <w:rPr>
          <w:b/>
          <w:bCs/>
          <w:color w:val="auto"/>
          <w:sz w:val="28"/>
          <w:szCs w:val="28"/>
          <w:u w:val="none" w:color="auto"/>
        </w:rPr>
        <w:t xml:space="preserve"> </w:t>
      </w:r>
      <w:r>
        <w:rPr>
          <w:rFonts w:hint="eastAsia"/>
          <w:b/>
          <w:bCs/>
          <w:color w:val="auto"/>
          <w:sz w:val="28"/>
          <w:szCs w:val="28"/>
          <w:u w:val="none" w:color="auto"/>
          <w:lang w:val="en-US" w:eastAsia="zh-CN"/>
        </w:rPr>
        <w:t>项目现场照片</w:t>
      </w:r>
      <w:bookmarkEnd w:id="136"/>
      <w:bookmarkEnd w:id="137"/>
      <w:bookmarkEnd w:id="138"/>
    </w:p>
    <w:p w14:paraId="08B543EB">
      <w:pPr>
        <w:widowControl/>
        <w:spacing w:line="360" w:lineRule="auto"/>
        <w:jc w:val="center"/>
        <w:outlineLvl w:val="1"/>
        <w:rPr>
          <w:rFonts w:hint="eastAsia"/>
          <w:b/>
          <w:bCs/>
          <w:color w:val="auto"/>
          <w:sz w:val="28"/>
          <w:szCs w:val="28"/>
          <w:u w:val="none" w:color="auto"/>
          <w:lang w:val="en-US" w:eastAsia="zh-CN"/>
        </w:rPr>
      </w:pPr>
      <w:bookmarkStart w:id="141" w:name="_Toc14265"/>
      <w:bookmarkStart w:id="142" w:name="_Toc3213"/>
      <w:bookmarkStart w:id="143" w:name="_Toc2656"/>
      <w:r>
        <w:rPr>
          <w:color w:val="auto"/>
          <w:u w:val="none" w:color="auto"/>
        </w:rPr>
        <w:drawing>
          <wp:inline distT="0" distB="0" distL="114300" distR="114300">
            <wp:extent cx="5056505" cy="7578725"/>
            <wp:effectExtent l="0" t="0" r="10795" b="3175"/>
            <wp:docPr id="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5"/>
                    <pic:cNvPicPr>
                      <a:picLocks noChangeAspect="1"/>
                    </pic:cNvPicPr>
                  </pic:nvPicPr>
                  <pic:blipFill>
                    <a:blip r:embed="rId61"/>
                    <a:srcRect l="3466" t="898" r="2018" b="1690"/>
                    <a:stretch>
                      <a:fillRect/>
                    </a:stretch>
                  </pic:blipFill>
                  <pic:spPr>
                    <a:xfrm>
                      <a:off x="0" y="0"/>
                      <a:ext cx="5056505" cy="7578725"/>
                    </a:xfrm>
                    <a:prstGeom prst="rect">
                      <a:avLst/>
                    </a:prstGeom>
                    <a:noFill/>
                    <a:ln>
                      <a:noFill/>
                    </a:ln>
                  </pic:spPr>
                </pic:pic>
              </a:graphicData>
            </a:graphic>
          </wp:inline>
        </w:drawing>
      </w:r>
      <w:bookmarkEnd w:id="141"/>
      <w:bookmarkEnd w:id="142"/>
      <w:bookmarkEnd w:id="143"/>
    </w:p>
    <w:p w14:paraId="1F7EC5ED">
      <w:pPr>
        <w:widowControl/>
        <w:spacing w:line="360" w:lineRule="auto"/>
        <w:outlineLvl w:val="1"/>
        <w:rPr>
          <w:color w:val="auto"/>
          <w:u w:val="none" w:color="auto"/>
        </w:rPr>
      </w:pPr>
      <w:bookmarkStart w:id="144" w:name="_Toc22421"/>
      <w:bookmarkStart w:id="145" w:name="_Toc15000"/>
      <w:bookmarkStart w:id="146" w:name="_Toc8283"/>
      <w:r>
        <w:rPr>
          <w:color w:val="auto"/>
          <w:u w:val="none" w:color="auto"/>
        </w:rPr>
        <w:drawing>
          <wp:inline distT="0" distB="0" distL="114300" distR="114300">
            <wp:extent cx="5759450" cy="8218170"/>
            <wp:effectExtent l="0" t="0" r="12700" b="11430"/>
            <wp:docPr id="10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6"/>
                    <pic:cNvPicPr>
                      <a:picLocks noChangeAspect="1"/>
                    </pic:cNvPicPr>
                  </pic:nvPicPr>
                  <pic:blipFill>
                    <a:blip r:embed="rId62"/>
                    <a:stretch>
                      <a:fillRect/>
                    </a:stretch>
                  </pic:blipFill>
                  <pic:spPr>
                    <a:xfrm>
                      <a:off x="0" y="0"/>
                      <a:ext cx="5759450" cy="8218170"/>
                    </a:xfrm>
                    <a:prstGeom prst="rect">
                      <a:avLst/>
                    </a:prstGeom>
                    <a:noFill/>
                    <a:ln>
                      <a:noFill/>
                    </a:ln>
                  </pic:spPr>
                </pic:pic>
              </a:graphicData>
            </a:graphic>
          </wp:inline>
        </w:drawing>
      </w:r>
      <w:bookmarkEnd w:id="144"/>
      <w:bookmarkEnd w:id="145"/>
      <w:bookmarkEnd w:id="146"/>
    </w:p>
    <w:p w14:paraId="1C1E445B">
      <w:pPr>
        <w:widowControl/>
        <w:spacing w:line="360" w:lineRule="auto"/>
        <w:outlineLvl w:val="1"/>
        <w:rPr>
          <w:rFonts w:hint="default"/>
          <w:color w:val="auto"/>
          <w:u w:val="none" w:color="auto"/>
          <w:lang w:val="en-US" w:eastAsia="zh-CN"/>
        </w:rPr>
      </w:pPr>
    </w:p>
    <w:p w14:paraId="754D5E6E">
      <w:pPr>
        <w:jc w:val="center"/>
        <w:outlineLvl w:val="0"/>
        <w:rPr>
          <w:rFonts w:ascii="方正小标宋_GBK" w:hAnsi="黑体" w:eastAsia="方正小标宋_GBK"/>
          <w:snapToGrid w:val="0"/>
          <w:color w:val="auto"/>
          <w:kern w:val="0"/>
          <w:sz w:val="38"/>
          <w:szCs w:val="38"/>
          <w:u w:val="none" w:color="auto"/>
        </w:rPr>
      </w:pPr>
      <w:bookmarkStart w:id="147" w:name="_Toc24253"/>
      <w:bookmarkStart w:id="148" w:name="_Toc27528"/>
      <w:bookmarkStart w:id="149" w:name="_Toc21784"/>
      <w:r>
        <w:rPr>
          <w:rFonts w:hint="eastAsia" w:ascii="方正小标宋_GBK" w:hAnsi="黑体" w:eastAsia="方正小标宋_GBK"/>
          <w:snapToGrid w:val="0"/>
          <w:color w:val="auto"/>
          <w:kern w:val="0"/>
          <w:sz w:val="38"/>
          <w:szCs w:val="38"/>
          <w:u w:val="none" w:color="auto"/>
        </w:rPr>
        <w:t>附件</w:t>
      </w:r>
      <w:bookmarkEnd w:id="139"/>
      <w:bookmarkEnd w:id="140"/>
      <w:bookmarkEnd w:id="147"/>
      <w:bookmarkEnd w:id="148"/>
      <w:bookmarkEnd w:id="149"/>
    </w:p>
    <w:p w14:paraId="274E9261">
      <w:pPr>
        <w:outlineLvl w:val="1"/>
        <w:rPr>
          <w:b/>
          <w:bCs/>
          <w:color w:val="auto"/>
          <w:sz w:val="28"/>
          <w:szCs w:val="28"/>
          <w:u w:val="none" w:color="auto"/>
        </w:rPr>
      </w:pPr>
      <w:bookmarkStart w:id="150" w:name="_Toc5414"/>
      <w:bookmarkStart w:id="151" w:name="_Toc31062"/>
      <w:bookmarkStart w:id="152" w:name="_Toc29118"/>
      <w:bookmarkStart w:id="153" w:name="_Toc17014"/>
      <w:bookmarkStart w:id="154" w:name="_Toc8590"/>
      <w:bookmarkStart w:id="155" w:name="_Toc2869"/>
      <w:bookmarkStart w:id="156" w:name="_Toc6244"/>
      <w:r>
        <w:rPr>
          <w:b/>
          <w:bCs/>
          <w:color w:val="auto"/>
          <w:sz w:val="28"/>
          <w:szCs w:val="28"/>
          <w:u w:val="none" w:color="auto"/>
        </w:rPr>
        <w:t>附</w:t>
      </w:r>
      <w:r>
        <w:rPr>
          <w:rFonts w:hint="eastAsia"/>
          <w:b/>
          <w:bCs/>
          <w:color w:val="auto"/>
          <w:sz w:val="28"/>
          <w:szCs w:val="28"/>
          <w:u w:val="none" w:color="auto"/>
        </w:rPr>
        <w:t>件</w:t>
      </w:r>
      <w:r>
        <w:rPr>
          <w:b/>
          <w:bCs/>
          <w:color w:val="auto"/>
          <w:sz w:val="28"/>
          <w:szCs w:val="28"/>
          <w:u w:val="none" w:color="auto"/>
        </w:rPr>
        <w:t xml:space="preserve">1 </w:t>
      </w:r>
      <w:r>
        <w:rPr>
          <w:rFonts w:hint="eastAsia"/>
          <w:b/>
          <w:bCs/>
          <w:color w:val="auto"/>
          <w:sz w:val="28"/>
          <w:szCs w:val="28"/>
          <w:u w:val="none" w:color="auto"/>
        </w:rPr>
        <w:t>环评委托书</w:t>
      </w:r>
      <w:bookmarkEnd w:id="150"/>
      <w:bookmarkEnd w:id="151"/>
      <w:bookmarkEnd w:id="152"/>
      <w:bookmarkEnd w:id="153"/>
      <w:bookmarkEnd w:id="154"/>
      <w:bookmarkEnd w:id="155"/>
      <w:bookmarkEnd w:id="156"/>
    </w:p>
    <w:p w14:paraId="2C75E2AB">
      <w:pPr>
        <w:tabs>
          <w:tab w:val="left" w:pos="5284"/>
        </w:tabs>
        <w:jc w:val="center"/>
        <w:rPr>
          <w:rFonts w:hint="eastAsia" w:cs="Times New Roman"/>
          <w:b/>
          <w:bCs/>
          <w:color w:val="auto"/>
          <w:sz w:val="52"/>
          <w:szCs w:val="52"/>
          <w:u w:val="none" w:color="auto"/>
          <w:lang w:val="en-US" w:eastAsia="zh-CN"/>
        </w:rPr>
      </w:pPr>
    </w:p>
    <w:p w14:paraId="29D4E806">
      <w:pPr>
        <w:tabs>
          <w:tab w:val="left" w:pos="5284"/>
        </w:tabs>
        <w:jc w:val="center"/>
        <w:rPr>
          <w:rFonts w:hint="eastAsia" w:cs="Times New Roman"/>
          <w:b/>
          <w:bCs/>
          <w:color w:val="auto"/>
          <w:sz w:val="52"/>
          <w:szCs w:val="52"/>
          <w:u w:val="none" w:color="auto"/>
          <w:lang w:val="en-US" w:eastAsia="zh-CN"/>
        </w:rPr>
      </w:pPr>
      <w:r>
        <w:rPr>
          <w:rFonts w:hint="eastAsia" w:cs="Times New Roman"/>
          <w:b/>
          <w:bCs/>
          <w:color w:val="auto"/>
          <w:sz w:val="52"/>
          <w:szCs w:val="52"/>
          <w:u w:val="none" w:color="auto"/>
          <w:lang w:val="en-US" w:eastAsia="zh-CN"/>
        </w:rPr>
        <w:t>委托书</w:t>
      </w:r>
    </w:p>
    <w:p w14:paraId="2D53573E">
      <w:pPr>
        <w:tabs>
          <w:tab w:val="left" w:pos="5284"/>
        </w:tabs>
        <w:jc w:val="both"/>
        <w:rPr>
          <w:rFonts w:hint="eastAsia" w:cs="Times New Roman"/>
          <w:b/>
          <w:bCs/>
          <w:color w:val="auto"/>
          <w:sz w:val="28"/>
          <w:szCs w:val="36"/>
          <w:u w:val="none" w:color="auto"/>
          <w:lang w:val="en-US" w:eastAsia="zh-CN"/>
        </w:rPr>
      </w:pPr>
    </w:p>
    <w:p w14:paraId="22CC1167">
      <w:pPr>
        <w:tabs>
          <w:tab w:val="left" w:pos="5284"/>
        </w:tabs>
        <w:jc w:val="both"/>
        <w:rPr>
          <w:rFonts w:hint="eastAsia" w:cs="Times New Roman"/>
          <w:b/>
          <w:bCs/>
          <w:color w:val="auto"/>
          <w:sz w:val="28"/>
          <w:szCs w:val="36"/>
          <w:u w:val="none" w:color="auto"/>
          <w:lang w:val="en-US" w:eastAsia="zh-CN"/>
        </w:rPr>
      </w:pPr>
      <w:r>
        <w:rPr>
          <w:rFonts w:hint="eastAsia" w:cs="Times New Roman"/>
          <w:b/>
          <w:bCs/>
          <w:color w:val="auto"/>
          <w:sz w:val="28"/>
          <w:szCs w:val="36"/>
          <w:u w:val="none" w:color="auto"/>
          <w:lang w:val="en-US" w:eastAsia="zh-CN"/>
        </w:rPr>
        <w:t>湖南鑫来工程咨询有限公司：</w:t>
      </w:r>
    </w:p>
    <w:p w14:paraId="26E3CE83">
      <w:pPr>
        <w:tabs>
          <w:tab w:val="left" w:pos="5284"/>
        </w:tabs>
        <w:jc w:val="both"/>
        <w:rPr>
          <w:rFonts w:hint="eastAsia" w:cs="Times New Roman"/>
          <w:b/>
          <w:bCs/>
          <w:color w:val="auto"/>
          <w:sz w:val="28"/>
          <w:szCs w:val="36"/>
          <w:u w:val="none" w:color="auto"/>
          <w:lang w:val="en-US" w:eastAsia="zh-CN"/>
        </w:rPr>
      </w:pPr>
    </w:p>
    <w:p w14:paraId="665D0DD3">
      <w:pPr>
        <w:tabs>
          <w:tab w:val="left" w:pos="5284"/>
        </w:tabs>
        <w:ind w:firstLine="560" w:firstLineChars="200"/>
        <w:jc w:val="both"/>
        <w:rPr>
          <w:rFonts w:hint="default" w:cs="Times New Roman"/>
          <w:b w:val="0"/>
          <w:bCs w:val="0"/>
          <w:color w:val="auto"/>
          <w:sz w:val="28"/>
          <w:szCs w:val="36"/>
          <w:u w:val="none" w:color="auto"/>
          <w:lang w:val="en-US" w:eastAsia="zh-CN"/>
        </w:rPr>
      </w:pPr>
      <w:r>
        <w:rPr>
          <w:rFonts w:hint="default" w:cs="Times New Roman"/>
          <w:b w:val="0"/>
          <w:bCs w:val="0"/>
          <w:color w:val="auto"/>
          <w:sz w:val="28"/>
          <w:szCs w:val="36"/>
          <w:u w:val="none" w:color="auto"/>
          <w:lang w:val="en-US" w:eastAsia="zh-CN"/>
        </w:rPr>
        <w:t>根据《中华人民共和国环境影响评价法》、《建设项目环境保护管理条例》和《建设项目环境影响评价分类管理名录》等环保规定，特委托贵单位根据国家有关环保规定完成“</w:t>
      </w:r>
      <w:r>
        <w:rPr>
          <w:rFonts w:hint="default" w:cs="Times New Roman"/>
          <w:b w:val="0"/>
          <w:bCs w:val="0"/>
          <w:color w:val="auto"/>
          <w:sz w:val="28"/>
          <w:szCs w:val="36"/>
          <w:u w:val="none" w:color="auto"/>
          <w:lang w:val="en-US" w:eastAsia="zh-CN"/>
        </w:rPr>
        <w:t>华容县团洲垸灾后重建安置房配套基础设施建设项目_</w:t>
      </w:r>
      <w:r>
        <w:rPr>
          <w:rFonts w:hint="default" w:cs="Times New Roman"/>
          <w:b w:val="0"/>
          <w:bCs w:val="0"/>
          <w:color w:val="auto"/>
          <w:sz w:val="28"/>
          <w:szCs w:val="36"/>
          <w:u w:val="none" w:color="auto"/>
          <w:lang w:val="en-US" w:eastAsia="zh-CN"/>
        </w:rPr>
        <w:t>”的环境影响评价工作，请你单位凭此委托抓紧开展环境影响评价工作。</w:t>
      </w:r>
    </w:p>
    <w:p w14:paraId="0D43C189">
      <w:pPr>
        <w:tabs>
          <w:tab w:val="left" w:pos="5284"/>
        </w:tabs>
        <w:ind w:firstLine="562" w:firstLineChars="200"/>
        <w:jc w:val="both"/>
        <w:rPr>
          <w:rFonts w:hint="default" w:cs="Times New Roman"/>
          <w:b/>
          <w:bCs/>
          <w:color w:val="auto"/>
          <w:sz w:val="28"/>
          <w:szCs w:val="36"/>
          <w:u w:val="none" w:color="auto"/>
          <w:lang w:val="en-US" w:eastAsia="zh-CN"/>
        </w:rPr>
      </w:pPr>
    </w:p>
    <w:p w14:paraId="29458AA5">
      <w:pPr>
        <w:tabs>
          <w:tab w:val="left" w:pos="5284"/>
        </w:tabs>
        <w:ind w:firstLine="562" w:firstLineChars="200"/>
        <w:jc w:val="right"/>
        <w:rPr>
          <w:rFonts w:hint="eastAsia" w:cs="Times New Roman"/>
          <w:b/>
          <w:bCs/>
          <w:color w:val="auto"/>
          <w:sz w:val="28"/>
          <w:szCs w:val="36"/>
          <w:u w:val="none" w:color="auto"/>
          <w:lang w:val="en-US" w:eastAsia="zh-CN"/>
        </w:rPr>
      </w:pPr>
      <w:r>
        <w:rPr>
          <w:rFonts w:hint="eastAsia" w:cs="Times New Roman"/>
          <w:b/>
          <w:bCs/>
          <w:color w:val="auto"/>
          <w:sz w:val="28"/>
          <w:szCs w:val="36"/>
          <w:u w:val="none" w:color="auto"/>
          <w:lang w:val="en-US" w:eastAsia="zh-CN"/>
        </w:rPr>
        <w:t>委托单位（盖章）：华容县城乡建设事务中心</w:t>
      </w:r>
    </w:p>
    <w:p w14:paraId="241C81CE">
      <w:pPr>
        <w:tabs>
          <w:tab w:val="left" w:pos="5284"/>
        </w:tabs>
        <w:ind w:firstLine="562" w:firstLineChars="200"/>
        <w:jc w:val="right"/>
        <w:rPr>
          <w:rFonts w:hint="default" w:cs="Times New Roman"/>
          <w:b/>
          <w:bCs/>
          <w:color w:val="auto"/>
          <w:sz w:val="28"/>
          <w:szCs w:val="36"/>
          <w:u w:val="none" w:color="auto"/>
          <w:lang w:val="en-US" w:eastAsia="zh-CN"/>
        </w:rPr>
      </w:pPr>
      <w:r>
        <w:rPr>
          <w:rFonts w:hint="eastAsia" w:cs="Times New Roman"/>
          <w:b/>
          <w:bCs/>
          <w:color w:val="auto"/>
          <w:sz w:val="28"/>
          <w:szCs w:val="36"/>
          <w:u w:val="none" w:color="auto"/>
          <w:lang w:val="en-US" w:eastAsia="zh-CN"/>
        </w:rPr>
        <w:t xml:space="preserve">    年   月   日</w:t>
      </w:r>
    </w:p>
    <w:p w14:paraId="5459DC68">
      <w:pPr>
        <w:pStyle w:val="68"/>
        <w:ind w:firstLine="480"/>
        <w:rPr>
          <w:rFonts w:hint="default" w:ascii="Times New Roman" w:hAnsi="Times New Roman" w:cs="Times New Roman"/>
          <w:color w:val="auto"/>
          <w:u w:val="none" w:color="auto"/>
        </w:rPr>
      </w:pPr>
    </w:p>
    <w:p w14:paraId="367EEB42">
      <w:pPr>
        <w:pStyle w:val="12"/>
        <w:rPr>
          <w:color w:val="auto"/>
          <w:u w:val="none" w:color="auto"/>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09A633F6">
      <w:pPr>
        <w:outlineLvl w:val="1"/>
        <w:rPr>
          <w:b/>
          <w:bCs/>
          <w:color w:val="auto"/>
          <w:sz w:val="28"/>
          <w:szCs w:val="28"/>
          <w:highlight w:val="none"/>
          <w:u w:val="none" w:color="auto"/>
        </w:rPr>
      </w:pPr>
      <w:bookmarkStart w:id="157" w:name="_Toc16495"/>
      <w:bookmarkStart w:id="158" w:name="_Toc30659"/>
      <w:bookmarkStart w:id="159" w:name="_Toc8645"/>
      <w:bookmarkStart w:id="160" w:name="_Toc1401"/>
      <w:bookmarkStart w:id="161" w:name="_Toc8393"/>
      <w:bookmarkStart w:id="162" w:name="_Toc11325"/>
      <w:bookmarkStart w:id="163" w:name="_Toc19229"/>
      <w:r>
        <w:rPr>
          <w:b/>
          <w:bCs/>
          <w:color w:val="auto"/>
          <w:sz w:val="28"/>
          <w:szCs w:val="28"/>
          <w:highlight w:val="none"/>
          <w:u w:val="none" w:color="auto"/>
        </w:rPr>
        <w:t>附</w:t>
      </w:r>
      <w:r>
        <w:rPr>
          <w:rFonts w:hint="eastAsia"/>
          <w:b/>
          <w:bCs/>
          <w:color w:val="auto"/>
          <w:sz w:val="28"/>
          <w:szCs w:val="28"/>
          <w:highlight w:val="none"/>
          <w:u w:val="none" w:color="auto"/>
        </w:rPr>
        <w:t>件2</w:t>
      </w:r>
      <w:r>
        <w:rPr>
          <w:b/>
          <w:bCs/>
          <w:color w:val="auto"/>
          <w:sz w:val="28"/>
          <w:szCs w:val="28"/>
          <w:highlight w:val="none"/>
          <w:u w:val="none" w:color="auto"/>
        </w:rPr>
        <w:t xml:space="preserve"> </w:t>
      </w:r>
      <w:r>
        <w:rPr>
          <w:rFonts w:hint="eastAsia"/>
          <w:b/>
          <w:bCs/>
          <w:color w:val="auto"/>
          <w:sz w:val="28"/>
          <w:szCs w:val="28"/>
          <w:highlight w:val="none"/>
          <w:u w:val="none" w:color="auto"/>
        </w:rPr>
        <w:t>营业执照</w:t>
      </w:r>
      <w:bookmarkEnd w:id="157"/>
      <w:bookmarkEnd w:id="158"/>
      <w:bookmarkEnd w:id="159"/>
      <w:bookmarkEnd w:id="160"/>
      <w:bookmarkEnd w:id="161"/>
      <w:bookmarkEnd w:id="162"/>
      <w:bookmarkEnd w:id="163"/>
    </w:p>
    <w:p w14:paraId="2E1C69D1">
      <w:pPr>
        <w:jc w:val="center"/>
        <w:rPr>
          <w:color w:val="auto"/>
          <w:u w:val="none" w:color="auto"/>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u w:val="none" w:color="auto"/>
        </w:rPr>
        <w:drawing>
          <wp:inline distT="0" distB="0" distL="114300" distR="114300">
            <wp:extent cx="7985760" cy="5123815"/>
            <wp:effectExtent l="0" t="0" r="1524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3"/>
                    <a:stretch>
                      <a:fillRect/>
                    </a:stretch>
                  </pic:blipFill>
                  <pic:spPr>
                    <a:xfrm>
                      <a:off x="0" y="0"/>
                      <a:ext cx="7985760" cy="5123815"/>
                    </a:xfrm>
                    <a:prstGeom prst="rect">
                      <a:avLst/>
                    </a:prstGeom>
                    <a:noFill/>
                    <a:ln>
                      <a:noFill/>
                    </a:ln>
                  </pic:spPr>
                </pic:pic>
              </a:graphicData>
            </a:graphic>
          </wp:inline>
        </w:drawing>
      </w:r>
    </w:p>
    <w:p w14:paraId="5DCEDAEF">
      <w:pPr>
        <w:outlineLvl w:val="1"/>
        <w:rPr>
          <w:rFonts w:hint="default" w:eastAsia="宋体"/>
          <w:b/>
          <w:bCs/>
          <w:color w:val="auto"/>
          <w:sz w:val="28"/>
          <w:szCs w:val="28"/>
          <w:u w:val="none" w:color="auto"/>
          <w:lang w:val="en-US" w:eastAsia="zh-CN"/>
        </w:rPr>
      </w:pPr>
      <w:bookmarkStart w:id="164" w:name="_Toc17010"/>
      <w:bookmarkStart w:id="165" w:name="_Toc19870"/>
      <w:bookmarkStart w:id="166" w:name="_Toc27929"/>
      <w:bookmarkStart w:id="167" w:name="_Toc2862"/>
      <w:bookmarkStart w:id="168" w:name="_Toc23066"/>
      <w:bookmarkStart w:id="169" w:name="_Toc10619"/>
      <w:bookmarkStart w:id="170" w:name="_Toc7800"/>
      <w:r>
        <w:rPr>
          <w:b/>
          <w:bCs/>
          <w:color w:val="auto"/>
          <w:sz w:val="28"/>
          <w:szCs w:val="28"/>
          <w:u w:val="none" w:color="auto"/>
        </w:rPr>
        <w:t>附</w:t>
      </w:r>
      <w:r>
        <w:rPr>
          <w:rFonts w:hint="eastAsia"/>
          <w:b/>
          <w:bCs/>
          <w:color w:val="auto"/>
          <w:sz w:val="28"/>
          <w:szCs w:val="28"/>
          <w:u w:val="none" w:color="auto"/>
        </w:rPr>
        <w:t>件3</w:t>
      </w:r>
      <w:r>
        <w:rPr>
          <w:b/>
          <w:bCs/>
          <w:color w:val="auto"/>
          <w:sz w:val="28"/>
          <w:szCs w:val="28"/>
          <w:u w:val="none" w:color="auto"/>
        </w:rPr>
        <w:t xml:space="preserve"> </w:t>
      </w:r>
      <w:bookmarkEnd w:id="164"/>
      <w:bookmarkEnd w:id="165"/>
      <w:bookmarkEnd w:id="166"/>
      <w:r>
        <w:rPr>
          <w:rFonts w:hint="eastAsia"/>
          <w:b/>
          <w:bCs/>
          <w:color w:val="auto"/>
          <w:sz w:val="28"/>
          <w:szCs w:val="28"/>
          <w:u w:val="none" w:color="auto"/>
          <w:lang w:val="en-US" w:eastAsia="zh-CN"/>
        </w:rPr>
        <w:t>用地预审意见书</w:t>
      </w:r>
      <w:bookmarkEnd w:id="167"/>
      <w:bookmarkEnd w:id="168"/>
      <w:bookmarkEnd w:id="169"/>
      <w:bookmarkEnd w:id="170"/>
    </w:p>
    <w:p w14:paraId="7CB51DB0">
      <w:pPr>
        <w:keepNext w:val="0"/>
        <w:keepLines w:val="0"/>
        <w:pageBreakBefore w:val="0"/>
        <w:widowControl w:val="0"/>
        <w:kinsoku/>
        <w:wordWrap/>
        <w:overflowPunct/>
        <w:topLinePunct w:val="0"/>
        <w:autoSpaceDE/>
        <w:autoSpaceDN/>
        <w:bidi w:val="0"/>
        <w:adjustRightInd w:val="0"/>
        <w:snapToGrid w:val="0"/>
        <w:spacing w:before="159" w:beforeLines="50" w:after="159" w:afterLines="50" w:afterAutospacing="0" w:line="360" w:lineRule="auto"/>
        <w:ind w:firstLine="420" w:firstLineChars="200"/>
        <w:jc w:val="center"/>
        <w:textAlignment w:val="auto"/>
        <w:outlineLvl w:val="9"/>
        <w:rPr>
          <w:color w:val="auto"/>
          <w:u w:val="none" w:color="auto"/>
        </w:rPr>
      </w:pPr>
      <w:r>
        <w:rPr>
          <w:color w:val="auto"/>
          <w:u w:val="none" w:color="auto"/>
        </w:rPr>
        <w:drawing>
          <wp:inline distT="0" distB="0" distL="114300" distR="114300">
            <wp:extent cx="5724525" cy="7705725"/>
            <wp:effectExtent l="0" t="0" r="9525" b="9525"/>
            <wp:docPr id="1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5"/>
                    <pic:cNvPicPr>
                      <a:picLocks noChangeAspect="1"/>
                    </pic:cNvPicPr>
                  </pic:nvPicPr>
                  <pic:blipFill>
                    <a:blip r:embed="rId64"/>
                    <a:stretch>
                      <a:fillRect/>
                    </a:stretch>
                  </pic:blipFill>
                  <pic:spPr>
                    <a:xfrm>
                      <a:off x="0" y="0"/>
                      <a:ext cx="5724525" cy="7705725"/>
                    </a:xfrm>
                    <a:prstGeom prst="rect">
                      <a:avLst/>
                    </a:prstGeom>
                    <a:noFill/>
                    <a:ln>
                      <a:noFill/>
                    </a:ln>
                  </pic:spPr>
                </pic:pic>
              </a:graphicData>
            </a:graphic>
          </wp:inline>
        </w:drawing>
      </w:r>
      <w:r>
        <w:rPr>
          <w:color w:val="auto"/>
          <w:u w:val="none" w:color="auto"/>
        </w:rPr>
        <w:drawing>
          <wp:inline distT="0" distB="0" distL="114300" distR="114300">
            <wp:extent cx="4848225" cy="6886575"/>
            <wp:effectExtent l="0" t="0" r="9525" b="9525"/>
            <wp:docPr id="1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
                    <pic:cNvPicPr>
                      <a:picLocks noChangeAspect="1"/>
                    </pic:cNvPicPr>
                  </pic:nvPicPr>
                  <pic:blipFill>
                    <a:blip r:embed="rId65"/>
                    <a:stretch>
                      <a:fillRect/>
                    </a:stretch>
                  </pic:blipFill>
                  <pic:spPr>
                    <a:xfrm>
                      <a:off x="0" y="0"/>
                      <a:ext cx="4848225" cy="6886575"/>
                    </a:xfrm>
                    <a:prstGeom prst="rect">
                      <a:avLst/>
                    </a:prstGeom>
                    <a:noFill/>
                    <a:ln>
                      <a:noFill/>
                    </a:ln>
                  </pic:spPr>
                </pic:pic>
              </a:graphicData>
            </a:graphic>
          </wp:inline>
        </w:drawing>
      </w:r>
      <w:r>
        <w:rPr>
          <w:color w:val="auto"/>
          <w:u w:val="none" w:color="auto"/>
        </w:rPr>
        <w:drawing>
          <wp:inline distT="0" distB="0" distL="114300" distR="114300">
            <wp:extent cx="4781550" cy="6667500"/>
            <wp:effectExtent l="0" t="0" r="0" b="0"/>
            <wp:docPr id="1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7"/>
                    <pic:cNvPicPr>
                      <a:picLocks noChangeAspect="1"/>
                    </pic:cNvPicPr>
                  </pic:nvPicPr>
                  <pic:blipFill>
                    <a:blip r:embed="rId66"/>
                    <a:stretch>
                      <a:fillRect/>
                    </a:stretch>
                  </pic:blipFill>
                  <pic:spPr>
                    <a:xfrm>
                      <a:off x="0" y="0"/>
                      <a:ext cx="4781550" cy="6667500"/>
                    </a:xfrm>
                    <a:prstGeom prst="rect">
                      <a:avLst/>
                    </a:prstGeom>
                    <a:noFill/>
                    <a:ln>
                      <a:noFill/>
                    </a:ln>
                  </pic:spPr>
                </pic:pic>
              </a:graphicData>
            </a:graphic>
          </wp:inline>
        </w:drawing>
      </w:r>
    </w:p>
    <w:p w14:paraId="3F03913B">
      <w:pPr>
        <w:rPr>
          <w:color w:val="auto"/>
          <w:u w:val="none" w:color="auto"/>
        </w:rPr>
      </w:pPr>
      <w:r>
        <w:rPr>
          <w:color w:val="auto"/>
          <w:u w:val="none" w:color="auto"/>
        </w:rPr>
        <w:br w:type="page"/>
      </w:r>
    </w:p>
    <w:p w14:paraId="74FE2B6E">
      <w:pPr>
        <w:outlineLvl w:val="1"/>
        <w:rPr>
          <w:rFonts w:hint="eastAsia" w:cs="Times New Roman"/>
          <w:b/>
          <w:bCs/>
          <w:color w:val="auto"/>
          <w:sz w:val="28"/>
          <w:szCs w:val="28"/>
          <w:u w:val="none" w:color="auto"/>
          <w:lang w:val="en-US" w:eastAsia="zh-CN"/>
        </w:rPr>
      </w:pPr>
      <w:bookmarkStart w:id="171" w:name="_Toc8376"/>
      <w:bookmarkStart w:id="172" w:name="_Toc27215"/>
      <w:bookmarkStart w:id="173" w:name="_Toc23395"/>
      <w:bookmarkStart w:id="174" w:name="_Toc29560"/>
      <w:bookmarkStart w:id="175" w:name="_Toc20762"/>
      <w:r>
        <w:rPr>
          <w:rFonts w:hint="eastAsia" w:ascii="Times New Roman" w:hAnsi="Times New Roman" w:eastAsia="宋体" w:cs="Times New Roman"/>
          <w:b/>
          <w:bCs/>
          <w:color w:val="auto"/>
          <w:sz w:val="28"/>
          <w:szCs w:val="28"/>
          <w:u w:val="none" w:color="auto"/>
          <w:lang w:val="en-US" w:eastAsia="zh-CN"/>
        </w:rPr>
        <w:t>附件4</w:t>
      </w:r>
      <w:r>
        <w:rPr>
          <w:rFonts w:hint="eastAsia" w:cs="Times New Roman"/>
          <w:b/>
          <w:bCs/>
          <w:color w:val="auto"/>
          <w:sz w:val="28"/>
          <w:szCs w:val="28"/>
          <w:u w:val="none" w:color="auto"/>
          <w:lang w:val="en-US" w:eastAsia="zh-CN"/>
        </w:rPr>
        <w:t>立项备案文件</w:t>
      </w:r>
      <w:bookmarkEnd w:id="171"/>
      <w:bookmarkEnd w:id="172"/>
      <w:bookmarkEnd w:id="173"/>
    </w:p>
    <w:p w14:paraId="6A78A95E">
      <w:pPr>
        <w:outlineLvl w:val="1"/>
        <w:rPr>
          <w:color w:val="auto"/>
          <w:u w:val="none" w:color="auto"/>
        </w:rPr>
      </w:pPr>
      <w:bookmarkStart w:id="176" w:name="_Toc29953"/>
      <w:bookmarkStart w:id="177" w:name="_Toc9060"/>
      <w:bookmarkStart w:id="178" w:name="_Toc4883"/>
      <w:r>
        <w:rPr>
          <w:color w:val="auto"/>
          <w:u w:val="none" w:color="auto"/>
        </w:rPr>
        <w:drawing>
          <wp:inline distT="0" distB="0" distL="114300" distR="114300">
            <wp:extent cx="5267325" cy="7021830"/>
            <wp:effectExtent l="0" t="0" r="9525" b="7620"/>
            <wp:docPr id="1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
                    <pic:cNvPicPr>
                      <a:picLocks noChangeAspect="1"/>
                    </pic:cNvPicPr>
                  </pic:nvPicPr>
                  <pic:blipFill>
                    <a:blip r:embed="rId67"/>
                    <a:stretch>
                      <a:fillRect/>
                    </a:stretch>
                  </pic:blipFill>
                  <pic:spPr>
                    <a:xfrm>
                      <a:off x="0" y="0"/>
                      <a:ext cx="5267325" cy="7021830"/>
                    </a:xfrm>
                    <a:prstGeom prst="rect">
                      <a:avLst/>
                    </a:prstGeom>
                    <a:noFill/>
                    <a:ln>
                      <a:noFill/>
                    </a:ln>
                  </pic:spPr>
                </pic:pic>
              </a:graphicData>
            </a:graphic>
          </wp:inline>
        </w:drawing>
      </w:r>
      <w:r>
        <w:rPr>
          <w:color w:val="auto"/>
          <w:u w:val="none" w:color="auto"/>
        </w:rPr>
        <w:drawing>
          <wp:inline distT="0" distB="0" distL="114300" distR="114300">
            <wp:extent cx="5267325" cy="7021830"/>
            <wp:effectExtent l="0" t="0" r="9525" b="7620"/>
            <wp:docPr id="20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9"/>
                    <pic:cNvPicPr>
                      <a:picLocks noChangeAspect="1"/>
                    </pic:cNvPicPr>
                  </pic:nvPicPr>
                  <pic:blipFill>
                    <a:blip r:embed="rId68"/>
                    <a:stretch>
                      <a:fillRect/>
                    </a:stretch>
                  </pic:blipFill>
                  <pic:spPr>
                    <a:xfrm>
                      <a:off x="0" y="0"/>
                      <a:ext cx="5267325" cy="7021830"/>
                    </a:xfrm>
                    <a:prstGeom prst="rect">
                      <a:avLst/>
                    </a:prstGeom>
                    <a:noFill/>
                    <a:ln>
                      <a:noFill/>
                    </a:ln>
                  </pic:spPr>
                </pic:pic>
              </a:graphicData>
            </a:graphic>
          </wp:inline>
        </w:drawing>
      </w:r>
      <w:r>
        <w:rPr>
          <w:color w:val="auto"/>
          <w:u w:val="none" w:color="auto"/>
        </w:rPr>
        <w:drawing>
          <wp:inline distT="0" distB="0" distL="114300" distR="114300">
            <wp:extent cx="5267325" cy="7021830"/>
            <wp:effectExtent l="0" t="0" r="9525" b="7620"/>
            <wp:docPr id="2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0"/>
                    <pic:cNvPicPr>
                      <a:picLocks noChangeAspect="1"/>
                    </pic:cNvPicPr>
                  </pic:nvPicPr>
                  <pic:blipFill>
                    <a:blip r:embed="rId69"/>
                    <a:stretch>
                      <a:fillRect/>
                    </a:stretch>
                  </pic:blipFill>
                  <pic:spPr>
                    <a:xfrm>
                      <a:off x="0" y="0"/>
                      <a:ext cx="5267325" cy="7021830"/>
                    </a:xfrm>
                    <a:prstGeom prst="rect">
                      <a:avLst/>
                    </a:prstGeom>
                    <a:noFill/>
                    <a:ln>
                      <a:noFill/>
                    </a:ln>
                  </pic:spPr>
                </pic:pic>
              </a:graphicData>
            </a:graphic>
          </wp:inline>
        </w:drawing>
      </w:r>
      <w:bookmarkEnd w:id="176"/>
      <w:bookmarkEnd w:id="177"/>
      <w:bookmarkEnd w:id="178"/>
    </w:p>
    <w:p w14:paraId="181FA0F3">
      <w:pPr>
        <w:outlineLvl w:val="1"/>
        <w:rPr>
          <w:color w:val="auto"/>
          <w:u w:val="none" w:color="auto"/>
        </w:rPr>
      </w:pPr>
    </w:p>
    <w:p w14:paraId="174F74A0">
      <w:pPr>
        <w:outlineLvl w:val="1"/>
        <w:rPr>
          <w:color w:val="auto"/>
          <w:u w:val="none" w:color="auto"/>
        </w:rPr>
      </w:pPr>
    </w:p>
    <w:p w14:paraId="38920D3D">
      <w:pPr>
        <w:outlineLvl w:val="1"/>
        <w:rPr>
          <w:color w:val="auto"/>
          <w:u w:val="none" w:color="auto"/>
        </w:rPr>
      </w:pPr>
    </w:p>
    <w:p w14:paraId="1FBE9186">
      <w:pPr>
        <w:outlineLvl w:val="1"/>
        <w:rPr>
          <w:color w:val="auto"/>
          <w:u w:val="none" w:color="auto"/>
        </w:rPr>
      </w:pPr>
    </w:p>
    <w:p w14:paraId="7112FEB8">
      <w:pPr>
        <w:outlineLvl w:val="1"/>
        <w:rPr>
          <w:color w:val="auto"/>
          <w:u w:val="none" w:color="auto"/>
        </w:rPr>
      </w:pPr>
    </w:p>
    <w:p w14:paraId="4BBC776A">
      <w:pPr>
        <w:outlineLvl w:val="1"/>
        <w:rPr>
          <w:rFonts w:hint="eastAsia"/>
          <w:color w:val="auto"/>
          <w:u w:val="none" w:color="auto"/>
          <w:lang w:val="en-US" w:eastAsia="zh-CN"/>
        </w:rPr>
      </w:pPr>
    </w:p>
    <w:bookmarkEnd w:id="174"/>
    <w:bookmarkEnd w:id="175"/>
    <w:p w14:paraId="03B300E3">
      <w:pPr>
        <w:jc w:val="left"/>
        <w:outlineLvl w:val="1"/>
        <w:rPr>
          <w:rFonts w:hint="eastAsia"/>
          <w:b/>
          <w:bCs/>
          <w:color w:val="auto"/>
          <w:sz w:val="28"/>
          <w:szCs w:val="28"/>
          <w:u w:val="none" w:color="auto"/>
          <w:lang w:val="en-US" w:eastAsia="zh-CN"/>
        </w:rPr>
      </w:pPr>
      <w:bookmarkStart w:id="179" w:name="_Toc15892"/>
      <w:bookmarkStart w:id="180" w:name="_Toc9835"/>
      <w:bookmarkStart w:id="181" w:name="_Toc6630"/>
      <w:bookmarkStart w:id="182" w:name="_Toc3875"/>
    </w:p>
    <w:p w14:paraId="35281C2D">
      <w:pPr>
        <w:jc w:val="left"/>
        <w:outlineLvl w:val="1"/>
        <w:rPr>
          <w:rFonts w:hint="eastAsia"/>
          <w:b/>
          <w:bCs/>
          <w:color w:val="auto"/>
          <w:sz w:val="28"/>
          <w:szCs w:val="28"/>
          <w:u w:val="none" w:color="auto"/>
          <w:lang w:val="en-US" w:eastAsia="zh-CN"/>
        </w:rPr>
      </w:pPr>
    </w:p>
    <w:p w14:paraId="353B4C3E">
      <w:pPr>
        <w:jc w:val="left"/>
        <w:outlineLvl w:val="1"/>
        <w:rPr>
          <w:rFonts w:hint="eastAsia"/>
          <w:b/>
          <w:bCs/>
          <w:color w:val="auto"/>
          <w:sz w:val="28"/>
          <w:szCs w:val="28"/>
          <w:u w:val="none" w:color="auto"/>
          <w:lang w:val="en-US" w:eastAsia="zh-CN"/>
        </w:rPr>
      </w:pPr>
    </w:p>
    <w:p w14:paraId="7FAB7540">
      <w:pPr>
        <w:jc w:val="left"/>
        <w:outlineLvl w:val="1"/>
        <w:rPr>
          <w:rFonts w:hint="eastAsia"/>
          <w:b/>
          <w:bCs/>
          <w:color w:val="auto"/>
          <w:sz w:val="28"/>
          <w:szCs w:val="28"/>
          <w:u w:val="none" w:color="auto"/>
          <w:lang w:val="en-US" w:eastAsia="zh-CN"/>
        </w:rPr>
      </w:pPr>
    </w:p>
    <w:p w14:paraId="13ED1508">
      <w:pPr>
        <w:jc w:val="left"/>
        <w:outlineLvl w:val="1"/>
        <w:rPr>
          <w:rFonts w:hint="eastAsia" w:cs="Times New Roman"/>
          <w:b/>
          <w:bCs/>
          <w:color w:val="auto"/>
          <w:sz w:val="28"/>
          <w:szCs w:val="28"/>
          <w:u w:val="none" w:color="auto"/>
          <w:lang w:val="en-US" w:eastAsia="zh-CN"/>
        </w:rPr>
      </w:pPr>
      <w:bookmarkStart w:id="183" w:name="_Toc11194"/>
      <w:bookmarkStart w:id="184" w:name="_Toc18065"/>
      <w:bookmarkStart w:id="185" w:name="_Toc1464"/>
      <w:r>
        <w:rPr>
          <w:rFonts w:hint="eastAsia"/>
          <w:b/>
          <w:bCs/>
          <w:color w:val="auto"/>
          <w:sz w:val="28"/>
          <w:szCs w:val="28"/>
          <w:u w:val="none" w:color="auto"/>
          <w:lang w:val="en-US" w:eastAsia="zh-CN"/>
        </w:rPr>
        <w:t>附件</w:t>
      </w:r>
      <w:bookmarkEnd w:id="179"/>
      <w:bookmarkEnd w:id="180"/>
      <w:bookmarkEnd w:id="181"/>
      <w:bookmarkEnd w:id="182"/>
      <w:r>
        <w:rPr>
          <w:rFonts w:hint="eastAsia"/>
          <w:b/>
          <w:bCs/>
          <w:color w:val="auto"/>
          <w:sz w:val="28"/>
          <w:szCs w:val="28"/>
          <w:u w:val="none" w:color="auto"/>
          <w:lang w:val="en-US" w:eastAsia="zh-CN"/>
        </w:rPr>
        <w:t>5</w:t>
      </w:r>
      <w:r>
        <w:rPr>
          <w:rFonts w:hint="eastAsia" w:cs="Times New Roman"/>
          <w:b/>
          <w:bCs/>
          <w:color w:val="auto"/>
          <w:sz w:val="28"/>
          <w:szCs w:val="28"/>
          <w:u w:val="none" w:color="auto"/>
          <w:lang w:val="en-US" w:eastAsia="zh-CN"/>
        </w:rPr>
        <w:t>生物多样性影响评价报告</w:t>
      </w:r>
      <w:bookmarkEnd w:id="183"/>
      <w:bookmarkEnd w:id="184"/>
      <w:bookmarkEnd w:id="185"/>
    </w:p>
    <w:p w14:paraId="5DD1388B">
      <w:pPr>
        <w:jc w:val="left"/>
        <w:outlineLvl w:val="1"/>
        <w:rPr>
          <w:rFonts w:hint="eastAsia" w:cs="Times New Roman"/>
          <w:b/>
          <w:bCs/>
          <w:color w:val="auto"/>
          <w:sz w:val="28"/>
          <w:szCs w:val="28"/>
          <w:u w:val="none" w:color="auto"/>
          <w:lang w:val="en-US" w:eastAsia="zh-CN"/>
        </w:rPr>
      </w:pPr>
      <w:bookmarkStart w:id="186" w:name="_Toc7036"/>
      <w:bookmarkStart w:id="187" w:name="_Toc31646"/>
      <w:bookmarkStart w:id="188" w:name="_Toc13530"/>
      <w:r>
        <w:rPr>
          <w:color w:val="auto"/>
          <w:u w:val="none" w:color="auto"/>
        </w:rPr>
        <w:drawing>
          <wp:inline distT="0" distB="0" distL="114300" distR="114300">
            <wp:extent cx="5047615" cy="6365875"/>
            <wp:effectExtent l="0" t="0" r="635" b="1587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70"/>
                    <a:srcRect r="4286"/>
                    <a:stretch>
                      <a:fillRect/>
                    </a:stretch>
                  </pic:blipFill>
                  <pic:spPr>
                    <a:xfrm>
                      <a:off x="0" y="0"/>
                      <a:ext cx="5047615" cy="6365875"/>
                    </a:xfrm>
                    <a:prstGeom prst="rect">
                      <a:avLst/>
                    </a:prstGeom>
                    <a:noFill/>
                    <a:ln>
                      <a:noFill/>
                    </a:ln>
                  </pic:spPr>
                </pic:pic>
              </a:graphicData>
            </a:graphic>
          </wp:inline>
        </w:drawing>
      </w:r>
      <w:bookmarkEnd w:id="186"/>
      <w:bookmarkEnd w:id="187"/>
      <w:bookmarkEnd w:id="188"/>
    </w:p>
    <w:p w14:paraId="0F0EAA1B">
      <w:pPr>
        <w:rPr>
          <w:color w:val="auto"/>
          <w:u w:val="none" w:color="auto"/>
        </w:rPr>
      </w:pPr>
    </w:p>
    <w:p w14:paraId="7D500C4E">
      <w:pPr>
        <w:pStyle w:val="12"/>
        <w:rPr>
          <w:color w:val="auto"/>
          <w:u w:val="none" w:color="auto"/>
        </w:rPr>
      </w:pPr>
      <w:r>
        <w:rPr>
          <w:color w:val="auto"/>
          <w:u w:val="none" w:color="auto"/>
        </w:rPr>
        <w:drawing>
          <wp:inline distT="0" distB="0" distL="114300" distR="114300">
            <wp:extent cx="5561965" cy="6501130"/>
            <wp:effectExtent l="0" t="0" r="635" b="1397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71"/>
                    <a:stretch>
                      <a:fillRect/>
                    </a:stretch>
                  </pic:blipFill>
                  <pic:spPr>
                    <a:xfrm>
                      <a:off x="0" y="0"/>
                      <a:ext cx="5561965" cy="6501130"/>
                    </a:xfrm>
                    <a:prstGeom prst="rect">
                      <a:avLst/>
                    </a:prstGeom>
                    <a:noFill/>
                    <a:ln>
                      <a:noFill/>
                    </a:ln>
                  </pic:spPr>
                </pic:pic>
              </a:graphicData>
            </a:graphic>
          </wp:inline>
        </w:drawing>
      </w:r>
      <w:r>
        <w:rPr>
          <w:color w:val="auto"/>
          <w:u w:val="none" w:color="auto"/>
        </w:rPr>
        <w:drawing>
          <wp:inline distT="0" distB="0" distL="114300" distR="114300">
            <wp:extent cx="5516245" cy="7983220"/>
            <wp:effectExtent l="0" t="0" r="8255" b="17780"/>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72"/>
                    <a:stretch>
                      <a:fillRect/>
                    </a:stretch>
                  </pic:blipFill>
                  <pic:spPr>
                    <a:xfrm>
                      <a:off x="0" y="0"/>
                      <a:ext cx="5516245" cy="7983220"/>
                    </a:xfrm>
                    <a:prstGeom prst="rect">
                      <a:avLst/>
                    </a:prstGeom>
                    <a:noFill/>
                    <a:ln>
                      <a:noFill/>
                    </a:ln>
                  </pic:spPr>
                </pic:pic>
              </a:graphicData>
            </a:graphic>
          </wp:inline>
        </w:drawing>
      </w:r>
      <w:r>
        <w:rPr>
          <w:color w:val="auto"/>
          <w:u w:val="none" w:color="auto"/>
        </w:rPr>
        <w:drawing>
          <wp:inline distT="0" distB="0" distL="114300" distR="114300">
            <wp:extent cx="5602605" cy="7877175"/>
            <wp:effectExtent l="0" t="0" r="17145" b="9525"/>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73"/>
                    <a:stretch>
                      <a:fillRect/>
                    </a:stretch>
                  </pic:blipFill>
                  <pic:spPr>
                    <a:xfrm>
                      <a:off x="0" y="0"/>
                      <a:ext cx="5602605" cy="7877175"/>
                    </a:xfrm>
                    <a:prstGeom prst="rect">
                      <a:avLst/>
                    </a:prstGeom>
                    <a:noFill/>
                    <a:ln>
                      <a:noFill/>
                    </a:ln>
                  </pic:spPr>
                </pic:pic>
              </a:graphicData>
            </a:graphic>
          </wp:inline>
        </w:drawing>
      </w:r>
      <w:r>
        <w:rPr>
          <w:color w:val="auto"/>
          <w:u w:val="none" w:color="auto"/>
        </w:rPr>
        <w:drawing>
          <wp:inline distT="0" distB="0" distL="114300" distR="114300">
            <wp:extent cx="5655310" cy="7079615"/>
            <wp:effectExtent l="0" t="0" r="2540" b="6985"/>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74"/>
                    <a:stretch>
                      <a:fillRect/>
                    </a:stretch>
                  </pic:blipFill>
                  <pic:spPr>
                    <a:xfrm>
                      <a:off x="0" y="0"/>
                      <a:ext cx="5655310" cy="7079615"/>
                    </a:xfrm>
                    <a:prstGeom prst="rect">
                      <a:avLst/>
                    </a:prstGeom>
                    <a:noFill/>
                    <a:ln>
                      <a:noFill/>
                    </a:ln>
                  </pic:spPr>
                </pic:pic>
              </a:graphicData>
            </a:graphic>
          </wp:inline>
        </w:drawing>
      </w:r>
    </w:p>
    <w:p w14:paraId="0885A9B3">
      <w:pPr>
        <w:rPr>
          <w:color w:val="auto"/>
          <w:u w:val="none" w:color="auto"/>
        </w:rPr>
      </w:pPr>
    </w:p>
    <w:p w14:paraId="0077212F">
      <w:pPr>
        <w:rPr>
          <w:color w:val="auto"/>
          <w:u w:val="none" w:color="auto"/>
        </w:rPr>
      </w:pPr>
    </w:p>
    <w:p w14:paraId="46FA65BF">
      <w:pPr>
        <w:rPr>
          <w:color w:val="auto"/>
          <w:u w:val="none" w:color="auto"/>
        </w:rPr>
      </w:pPr>
    </w:p>
    <w:p w14:paraId="13147F5B">
      <w:pPr>
        <w:rPr>
          <w:color w:val="auto"/>
          <w:u w:val="none" w:color="auto"/>
        </w:rPr>
      </w:pPr>
    </w:p>
    <w:p w14:paraId="0DA50DE2">
      <w:pPr>
        <w:rPr>
          <w:color w:val="auto"/>
          <w:u w:val="none" w:color="auto"/>
        </w:rPr>
      </w:pPr>
    </w:p>
    <w:p w14:paraId="7695F762">
      <w:pPr>
        <w:rPr>
          <w:color w:val="auto"/>
          <w:u w:val="none" w:color="auto"/>
        </w:rPr>
      </w:pPr>
    </w:p>
    <w:p w14:paraId="6022AB7A">
      <w:pPr>
        <w:rPr>
          <w:color w:val="auto"/>
          <w:u w:val="none" w:color="auto"/>
        </w:rPr>
      </w:pPr>
    </w:p>
    <w:p w14:paraId="37B71CC6">
      <w:pPr>
        <w:rPr>
          <w:color w:val="auto"/>
          <w:u w:val="none" w:color="auto"/>
        </w:rPr>
      </w:pPr>
    </w:p>
    <w:p w14:paraId="11F7849B">
      <w:pPr>
        <w:rPr>
          <w:color w:val="auto"/>
          <w:u w:val="none" w:color="auto"/>
        </w:rPr>
      </w:pPr>
    </w:p>
    <w:p w14:paraId="5F983707">
      <w:pPr>
        <w:rPr>
          <w:color w:val="auto"/>
          <w:u w:val="none" w:color="auto"/>
        </w:rPr>
      </w:pPr>
    </w:p>
    <w:p w14:paraId="12AE7230">
      <w:pPr>
        <w:jc w:val="left"/>
        <w:outlineLvl w:val="1"/>
        <w:rPr>
          <w:rFonts w:eastAsiaTheme="minorEastAsia"/>
          <w:color w:val="auto"/>
          <w:u w:val="none" w:color="auto"/>
        </w:rPr>
      </w:pPr>
      <w:bookmarkStart w:id="189" w:name="_Toc23610"/>
      <w:bookmarkStart w:id="190" w:name="_Toc22232"/>
      <w:bookmarkStart w:id="191" w:name="_Toc19020"/>
      <w:bookmarkStart w:id="192" w:name="_Toc5736"/>
      <w:r>
        <w:rPr>
          <w:rFonts w:hint="eastAsia"/>
          <w:b/>
          <w:bCs/>
          <w:color w:val="auto"/>
          <w:sz w:val="28"/>
          <w:szCs w:val="28"/>
          <w:u w:val="none" w:color="auto"/>
          <w:lang w:val="en-US" w:eastAsia="zh-CN"/>
        </w:rPr>
        <w:t xml:space="preserve">附件6  </w:t>
      </w:r>
      <w:r>
        <w:rPr>
          <w:b/>
          <w:bCs/>
          <w:color w:val="auto"/>
          <w:sz w:val="28"/>
          <w:szCs w:val="28"/>
          <w:u w:val="none" w:color="auto"/>
        </w:rPr>
        <w:t>环境现状监测报告</w:t>
      </w:r>
      <w:bookmarkEnd w:id="189"/>
      <w:bookmarkEnd w:id="190"/>
      <w:bookmarkEnd w:id="191"/>
      <w:bookmarkEnd w:id="192"/>
    </w:p>
    <w:p w14:paraId="48352862">
      <w:pPr>
        <w:rPr>
          <w:color w:val="auto"/>
          <w:u w:val="none" w:color="auto"/>
        </w:rPr>
      </w:pPr>
      <w:r>
        <w:rPr>
          <w:color w:val="auto"/>
          <w:u w:val="none" w:color="auto"/>
        </w:rPr>
        <w:drawing>
          <wp:inline distT="0" distB="0" distL="114300" distR="114300">
            <wp:extent cx="5272405" cy="7337425"/>
            <wp:effectExtent l="0" t="0" r="4445" b="15875"/>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75"/>
                    <a:stretch>
                      <a:fillRect/>
                    </a:stretch>
                  </pic:blipFill>
                  <pic:spPr>
                    <a:xfrm>
                      <a:off x="0" y="0"/>
                      <a:ext cx="5272405" cy="7337425"/>
                    </a:xfrm>
                    <a:prstGeom prst="rect">
                      <a:avLst/>
                    </a:prstGeom>
                    <a:noFill/>
                    <a:ln>
                      <a:noFill/>
                    </a:ln>
                  </pic:spPr>
                </pic:pic>
              </a:graphicData>
            </a:graphic>
          </wp:inline>
        </w:drawing>
      </w:r>
      <w:r>
        <w:rPr>
          <w:color w:val="auto"/>
          <w:u w:val="none" w:color="auto"/>
        </w:rPr>
        <w:drawing>
          <wp:inline distT="0" distB="0" distL="114300" distR="114300">
            <wp:extent cx="5270500" cy="7202170"/>
            <wp:effectExtent l="0" t="0" r="6350" b="17780"/>
            <wp:docPr id="1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
                    <pic:cNvPicPr>
                      <a:picLocks noChangeAspect="1"/>
                    </pic:cNvPicPr>
                  </pic:nvPicPr>
                  <pic:blipFill>
                    <a:blip r:embed="rId76"/>
                    <a:stretch>
                      <a:fillRect/>
                    </a:stretch>
                  </pic:blipFill>
                  <pic:spPr>
                    <a:xfrm>
                      <a:off x="0" y="0"/>
                      <a:ext cx="5270500" cy="7202170"/>
                    </a:xfrm>
                    <a:prstGeom prst="rect">
                      <a:avLst/>
                    </a:prstGeom>
                    <a:noFill/>
                    <a:ln>
                      <a:noFill/>
                    </a:ln>
                  </pic:spPr>
                </pic:pic>
              </a:graphicData>
            </a:graphic>
          </wp:inline>
        </w:drawing>
      </w:r>
      <w:r>
        <w:rPr>
          <w:color w:val="auto"/>
          <w:u w:val="none" w:color="auto"/>
        </w:rPr>
        <w:drawing>
          <wp:inline distT="0" distB="0" distL="114300" distR="114300">
            <wp:extent cx="5273675" cy="7451725"/>
            <wp:effectExtent l="0" t="0" r="3175" b="15875"/>
            <wp:docPr id="1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
                    <pic:cNvPicPr>
                      <a:picLocks noChangeAspect="1"/>
                    </pic:cNvPicPr>
                  </pic:nvPicPr>
                  <pic:blipFill>
                    <a:blip r:embed="rId77"/>
                    <a:stretch>
                      <a:fillRect/>
                    </a:stretch>
                  </pic:blipFill>
                  <pic:spPr>
                    <a:xfrm>
                      <a:off x="0" y="0"/>
                      <a:ext cx="5273675" cy="7451725"/>
                    </a:xfrm>
                    <a:prstGeom prst="rect">
                      <a:avLst/>
                    </a:prstGeom>
                    <a:noFill/>
                    <a:ln>
                      <a:noFill/>
                    </a:ln>
                  </pic:spPr>
                </pic:pic>
              </a:graphicData>
            </a:graphic>
          </wp:inline>
        </w:drawing>
      </w:r>
      <w:r>
        <w:rPr>
          <w:color w:val="auto"/>
          <w:u w:val="none" w:color="auto"/>
        </w:rPr>
        <w:drawing>
          <wp:inline distT="0" distB="0" distL="114300" distR="114300">
            <wp:extent cx="5269865" cy="7545070"/>
            <wp:effectExtent l="0" t="0" r="6985" b="17780"/>
            <wp:docPr id="1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
                    <pic:cNvPicPr>
                      <a:picLocks noChangeAspect="1"/>
                    </pic:cNvPicPr>
                  </pic:nvPicPr>
                  <pic:blipFill>
                    <a:blip r:embed="rId78"/>
                    <a:stretch>
                      <a:fillRect/>
                    </a:stretch>
                  </pic:blipFill>
                  <pic:spPr>
                    <a:xfrm>
                      <a:off x="0" y="0"/>
                      <a:ext cx="5269865" cy="7545070"/>
                    </a:xfrm>
                    <a:prstGeom prst="rect">
                      <a:avLst/>
                    </a:prstGeom>
                    <a:noFill/>
                    <a:ln>
                      <a:noFill/>
                    </a:ln>
                  </pic:spPr>
                </pic:pic>
              </a:graphicData>
            </a:graphic>
          </wp:inline>
        </w:drawing>
      </w:r>
      <w:r>
        <w:rPr>
          <w:color w:val="auto"/>
          <w:u w:val="none" w:color="auto"/>
        </w:rPr>
        <w:drawing>
          <wp:inline distT="0" distB="0" distL="114300" distR="114300">
            <wp:extent cx="5274310" cy="7252970"/>
            <wp:effectExtent l="0" t="0" r="2540" b="5080"/>
            <wp:docPr id="1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5"/>
                    <pic:cNvPicPr>
                      <a:picLocks noChangeAspect="1"/>
                    </pic:cNvPicPr>
                  </pic:nvPicPr>
                  <pic:blipFill>
                    <a:blip r:embed="rId79"/>
                    <a:stretch>
                      <a:fillRect/>
                    </a:stretch>
                  </pic:blipFill>
                  <pic:spPr>
                    <a:xfrm>
                      <a:off x="0" y="0"/>
                      <a:ext cx="5274310" cy="7252970"/>
                    </a:xfrm>
                    <a:prstGeom prst="rect">
                      <a:avLst/>
                    </a:prstGeom>
                    <a:noFill/>
                    <a:ln>
                      <a:noFill/>
                    </a:ln>
                  </pic:spPr>
                </pic:pic>
              </a:graphicData>
            </a:graphic>
          </wp:inline>
        </w:drawing>
      </w:r>
      <w:r>
        <w:rPr>
          <w:color w:val="auto"/>
          <w:u w:val="none" w:color="auto"/>
        </w:rPr>
        <w:drawing>
          <wp:inline distT="0" distB="0" distL="114300" distR="114300">
            <wp:extent cx="5273675" cy="7229475"/>
            <wp:effectExtent l="0" t="0" r="3175" b="9525"/>
            <wp:docPr id="1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
                    <pic:cNvPicPr>
                      <a:picLocks noChangeAspect="1"/>
                    </pic:cNvPicPr>
                  </pic:nvPicPr>
                  <pic:blipFill>
                    <a:blip r:embed="rId80"/>
                    <a:stretch>
                      <a:fillRect/>
                    </a:stretch>
                  </pic:blipFill>
                  <pic:spPr>
                    <a:xfrm>
                      <a:off x="0" y="0"/>
                      <a:ext cx="5273675" cy="7229475"/>
                    </a:xfrm>
                    <a:prstGeom prst="rect">
                      <a:avLst/>
                    </a:prstGeom>
                    <a:noFill/>
                    <a:ln>
                      <a:noFill/>
                    </a:ln>
                  </pic:spPr>
                </pic:pic>
              </a:graphicData>
            </a:graphic>
          </wp:inline>
        </w:drawing>
      </w:r>
      <w:r>
        <w:rPr>
          <w:color w:val="auto"/>
          <w:u w:val="none" w:color="auto"/>
        </w:rPr>
        <w:drawing>
          <wp:inline distT="0" distB="0" distL="114300" distR="114300">
            <wp:extent cx="5270500" cy="7429500"/>
            <wp:effectExtent l="0" t="0" r="6350" b="0"/>
            <wp:docPr id="1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7"/>
                    <pic:cNvPicPr>
                      <a:picLocks noChangeAspect="1"/>
                    </pic:cNvPicPr>
                  </pic:nvPicPr>
                  <pic:blipFill>
                    <a:blip r:embed="rId81"/>
                    <a:stretch>
                      <a:fillRect/>
                    </a:stretch>
                  </pic:blipFill>
                  <pic:spPr>
                    <a:xfrm>
                      <a:off x="0" y="0"/>
                      <a:ext cx="5270500" cy="7429500"/>
                    </a:xfrm>
                    <a:prstGeom prst="rect">
                      <a:avLst/>
                    </a:prstGeom>
                    <a:noFill/>
                    <a:ln>
                      <a:noFill/>
                    </a:ln>
                  </pic:spPr>
                </pic:pic>
              </a:graphicData>
            </a:graphic>
          </wp:inline>
        </w:drawing>
      </w:r>
    </w:p>
    <w:p w14:paraId="1772F8D7">
      <w:pPr>
        <w:rPr>
          <w:color w:val="auto"/>
          <w:u w:val="none" w:color="auto"/>
        </w:rPr>
      </w:pPr>
    </w:p>
    <w:p w14:paraId="5265D036">
      <w:pPr>
        <w:rPr>
          <w:color w:val="auto"/>
          <w:u w:val="none" w:color="auto"/>
        </w:rPr>
      </w:pPr>
    </w:p>
    <w:p w14:paraId="39FE4E73">
      <w:pPr>
        <w:rPr>
          <w:color w:val="auto"/>
          <w:u w:val="none" w:color="auto"/>
        </w:rPr>
      </w:pPr>
    </w:p>
    <w:p w14:paraId="3BC43DE7">
      <w:pPr>
        <w:rPr>
          <w:color w:val="auto"/>
          <w:u w:val="none" w:color="auto"/>
        </w:rPr>
      </w:pPr>
    </w:p>
    <w:p w14:paraId="1A68D368">
      <w:pPr>
        <w:rPr>
          <w:color w:val="auto"/>
          <w:u w:val="none" w:color="auto"/>
        </w:rPr>
      </w:pPr>
    </w:p>
    <w:p w14:paraId="2471DD8C">
      <w:pPr>
        <w:rPr>
          <w:color w:val="auto"/>
          <w:u w:val="none" w:color="auto"/>
        </w:rPr>
      </w:pPr>
    </w:p>
    <w:p w14:paraId="0A90C4DA">
      <w:pPr>
        <w:rPr>
          <w:color w:val="auto"/>
          <w:u w:val="none" w:color="auto"/>
        </w:rPr>
      </w:pPr>
    </w:p>
    <w:p w14:paraId="61D0BEB1">
      <w:pPr>
        <w:rPr>
          <w:color w:val="auto"/>
          <w:u w:val="none" w:color="auto"/>
        </w:rPr>
      </w:pPr>
    </w:p>
    <w:p w14:paraId="103899F1">
      <w:pPr>
        <w:rPr>
          <w:color w:val="auto"/>
          <w:u w:val="none" w:color="auto"/>
        </w:rPr>
      </w:pPr>
    </w:p>
    <w:p w14:paraId="093DB565">
      <w:pPr>
        <w:jc w:val="left"/>
        <w:outlineLvl w:val="1"/>
        <w:rPr>
          <w:rFonts w:eastAsiaTheme="minorEastAsia"/>
          <w:color w:val="auto"/>
          <w:u w:val="none" w:color="auto"/>
        </w:rPr>
      </w:pPr>
      <w:bookmarkStart w:id="193" w:name="_Toc22638"/>
      <w:bookmarkStart w:id="194" w:name="_Toc1072"/>
      <w:bookmarkStart w:id="195" w:name="_Toc22029"/>
      <w:r>
        <w:rPr>
          <w:rFonts w:hint="eastAsia"/>
          <w:b/>
          <w:bCs/>
          <w:color w:val="auto"/>
          <w:sz w:val="28"/>
          <w:szCs w:val="28"/>
          <w:u w:val="none" w:color="auto"/>
          <w:lang w:val="en-US" w:eastAsia="zh-CN"/>
        </w:rPr>
        <w:t xml:space="preserve">附件7  </w:t>
      </w:r>
      <w:r>
        <w:rPr>
          <w:rFonts w:hint="eastAsia" w:ascii="Times New Roman" w:hAnsi="Times New Roman" w:eastAsia="宋体" w:cs="Times New Roman"/>
          <w:b/>
          <w:bCs/>
          <w:color w:val="auto"/>
          <w:sz w:val="28"/>
          <w:szCs w:val="28"/>
          <w:u w:val="none" w:color="auto"/>
          <w:lang w:val="en-US" w:eastAsia="zh-CN"/>
        </w:rPr>
        <w:t>样方样线设置情况及调查结果</w:t>
      </w:r>
      <w:bookmarkEnd w:id="193"/>
      <w:bookmarkEnd w:id="194"/>
      <w:bookmarkEnd w:id="195"/>
    </w:p>
    <w:p w14:paraId="02B940EA">
      <w:pPr>
        <w:rPr>
          <w:color w:val="auto"/>
          <w:u w:val="none" w:color="auto"/>
        </w:rPr>
      </w:pPr>
    </w:p>
    <w:p w14:paraId="0D789545">
      <w:pPr>
        <w:rPr>
          <w:color w:val="auto"/>
          <w:u w:val="none" w:color="auto"/>
        </w:rPr>
      </w:pPr>
      <w:r>
        <w:rPr>
          <w:color w:val="auto"/>
          <w:u w:val="none" w:color="auto"/>
        </w:rPr>
        <w:drawing>
          <wp:inline distT="0" distB="0" distL="114300" distR="114300">
            <wp:extent cx="5272405" cy="746125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2"/>
                    <a:srcRect b="5744"/>
                    <a:stretch>
                      <a:fillRect/>
                    </a:stretch>
                  </pic:blipFill>
                  <pic:spPr>
                    <a:xfrm>
                      <a:off x="0" y="0"/>
                      <a:ext cx="5272405" cy="7461250"/>
                    </a:xfrm>
                    <a:prstGeom prst="rect">
                      <a:avLst/>
                    </a:prstGeom>
                    <a:noFill/>
                    <a:ln>
                      <a:noFill/>
                    </a:ln>
                  </pic:spPr>
                </pic:pic>
              </a:graphicData>
            </a:graphic>
          </wp:inline>
        </w:drawing>
      </w:r>
      <w:r>
        <w:rPr>
          <w:color w:val="auto"/>
          <w:u w:val="none" w:color="auto"/>
        </w:rPr>
        <w:drawing>
          <wp:inline distT="0" distB="0" distL="114300" distR="114300">
            <wp:extent cx="5273675" cy="7124065"/>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3"/>
                    <a:srcRect b="5389"/>
                    <a:stretch>
                      <a:fillRect/>
                    </a:stretch>
                  </pic:blipFill>
                  <pic:spPr>
                    <a:xfrm>
                      <a:off x="0" y="0"/>
                      <a:ext cx="5273675" cy="7124065"/>
                    </a:xfrm>
                    <a:prstGeom prst="rect">
                      <a:avLst/>
                    </a:prstGeom>
                    <a:noFill/>
                    <a:ln>
                      <a:noFill/>
                    </a:ln>
                  </pic:spPr>
                </pic:pic>
              </a:graphicData>
            </a:graphic>
          </wp:inline>
        </w:drawing>
      </w:r>
      <w:r>
        <w:rPr>
          <w:color w:val="auto"/>
          <w:u w:val="none" w:color="auto"/>
        </w:rPr>
        <w:drawing>
          <wp:inline distT="0" distB="0" distL="114300" distR="114300">
            <wp:extent cx="5272405" cy="7044690"/>
            <wp:effectExtent l="0" t="0" r="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4"/>
                    <a:srcRect b="7000"/>
                    <a:stretch>
                      <a:fillRect/>
                    </a:stretch>
                  </pic:blipFill>
                  <pic:spPr>
                    <a:xfrm>
                      <a:off x="0" y="0"/>
                      <a:ext cx="5272405" cy="7044690"/>
                    </a:xfrm>
                    <a:prstGeom prst="rect">
                      <a:avLst/>
                    </a:prstGeom>
                    <a:noFill/>
                    <a:ln>
                      <a:noFill/>
                    </a:ln>
                  </pic:spPr>
                </pic:pic>
              </a:graphicData>
            </a:graphic>
          </wp:inline>
        </w:drawing>
      </w:r>
      <w:r>
        <w:rPr>
          <w:color w:val="auto"/>
          <w:u w:val="none" w:color="auto"/>
        </w:rPr>
        <w:drawing>
          <wp:inline distT="0" distB="0" distL="114300" distR="114300">
            <wp:extent cx="5272405" cy="7004685"/>
            <wp:effectExtent l="0" t="0" r="635" b="571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85"/>
                    <a:srcRect b="5975"/>
                    <a:stretch>
                      <a:fillRect/>
                    </a:stretch>
                  </pic:blipFill>
                  <pic:spPr>
                    <a:xfrm>
                      <a:off x="0" y="0"/>
                      <a:ext cx="5272405" cy="7004685"/>
                    </a:xfrm>
                    <a:prstGeom prst="rect">
                      <a:avLst/>
                    </a:prstGeom>
                    <a:noFill/>
                    <a:ln>
                      <a:noFill/>
                    </a:ln>
                  </pic:spPr>
                </pic:pic>
              </a:graphicData>
            </a:graphic>
          </wp:inline>
        </w:drawing>
      </w:r>
      <w:r>
        <w:rPr>
          <w:color w:val="auto"/>
          <w:u w:val="none" w:color="auto"/>
        </w:rPr>
        <w:drawing>
          <wp:inline distT="0" distB="0" distL="114300" distR="114300">
            <wp:extent cx="5269865" cy="7259320"/>
            <wp:effectExtent l="0" t="0" r="0" b="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86"/>
                    <a:srcRect b="4741"/>
                    <a:stretch>
                      <a:fillRect/>
                    </a:stretch>
                  </pic:blipFill>
                  <pic:spPr>
                    <a:xfrm>
                      <a:off x="0" y="0"/>
                      <a:ext cx="5269865" cy="7259320"/>
                    </a:xfrm>
                    <a:prstGeom prst="rect">
                      <a:avLst/>
                    </a:prstGeom>
                    <a:noFill/>
                    <a:ln>
                      <a:noFill/>
                    </a:ln>
                  </pic:spPr>
                </pic:pic>
              </a:graphicData>
            </a:graphic>
          </wp:inline>
        </w:drawing>
      </w:r>
      <w:r>
        <w:rPr>
          <w:color w:val="auto"/>
          <w:u w:val="none" w:color="auto"/>
        </w:rPr>
        <w:drawing>
          <wp:inline distT="0" distB="0" distL="114300" distR="114300">
            <wp:extent cx="5271770" cy="7526020"/>
            <wp:effectExtent l="0" t="0" r="0" b="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87"/>
                    <a:srcRect b="2139"/>
                    <a:stretch>
                      <a:fillRect/>
                    </a:stretch>
                  </pic:blipFill>
                  <pic:spPr>
                    <a:xfrm>
                      <a:off x="0" y="0"/>
                      <a:ext cx="5271770" cy="7526020"/>
                    </a:xfrm>
                    <a:prstGeom prst="rect">
                      <a:avLst/>
                    </a:prstGeom>
                    <a:noFill/>
                    <a:ln>
                      <a:noFill/>
                    </a:ln>
                  </pic:spPr>
                </pic:pic>
              </a:graphicData>
            </a:graphic>
          </wp:inline>
        </w:drawing>
      </w:r>
      <w:r>
        <w:rPr>
          <w:color w:val="auto"/>
          <w:u w:val="none" w:color="auto"/>
        </w:rPr>
        <w:drawing>
          <wp:inline distT="0" distB="0" distL="114300" distR="114300">
            <wp:extent cx="5267960" cy="7352665"/>
            <wp:effectExtent l="0" t="0" r="0" b="0"/>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
                    <pic:cNvPicPr>
                      <a:picLocks noChangeAspect="1"/>
                    </pic:cNvPicPr>
                  </pic:nvPicPr>
                  <pic:blipFill>
                    <a:blip r:embed="rId88"/>
                    <a:srcRect b="5892"/>
                    <a:stretch>
                      <a:fillRect/>
                    </a:stretch>
                  </pic:blipFill>
                  <pic:spPr>
                    <a:xfrm>
                      <a:off x="0" y="0"/>
                      <a:ext cx="5267960" cy="7352665"/>
                    </a:xfrm>
                    <a:prstGeom prst="rect">
                      <a:avLst/>
                    </a:prstGeom>
                    <a:noFill/>
                    <a:ln>
                      <a:noFill/>
                    </a:ln>
                  </pic:spPr>
                </pic:pic>
              </a:graphicData>
            </a:graphic>
          </wp:inline>
        </w:drawing>
      </w:r>
      <w:r>
        <w:rPr>
          <w:color w:val="auto"/>
          <w:u w:val="none" w:color="auto"/>
        </w:rPr>
        <w:drawing>
          <wp:inline distT="0" distB="0" distL="114300" distR="114300">
            <wp:extent cx="5270500" cy="7247255"/>
            <wp:effectExtent l="0" t="0" r="0" b="0"/>
            <wp:docPr id="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
                    <pic:cNvPicPr>
                      <a:picLocks noChangeAspect="1"/>
                    </pic:cNvPicPr>
                  </pic:nvPicPr>
                  <pic:blipFill>
                    <a:blip r:embed="rId89"/>
                    <a:srcRect b="5779"/>
                    <a:stretch>
                      <a:fillRect/>
                    </a:stretch>
                  </pic:blipFill>
                  <pic:spPr>
                    <a:xfrm>
                      <a:off x="0" y="0"/>
                      <a:ext cx="5270500" cy="7247255"/>
                    </a:xfrm>
                    <a:prstGeom prst="rect">
                      <a:avLst/>
                    </a:prstGeom>
                    <a:noFill/>
                    <a:ln>
                      <a:noFill/>
                    </a:ln>
                  </pic:spPr>
                </pic:pic>
              </a:graphicData>
            </a:graphic>
          </wp:inline>
        </w:drawing>
      </w:r>
      <w:r>
        <w:rPr>
          <w:color w:val="auto"/>
          <w:u w:val="none" w:color="auto"/>
        </w:rPr>
        <w:drawing>
          <wp:inline distT="0" distB="0" distL="114300" distR="114300">
            <wp:extent cx="5272405" cy="6881495"/>
            <wp:effectExtent l="0" t="0" r="0" b="0"/>
            <wp:docPr id="7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9"/>
                    <pic:cNvPicPr>
                      <a:picLocks noChangeAspect="1"/>
                    </pic:cNvPicPr>
                  </pic:nvPicPr>
                  <pic:blipFill>
                    <a:blip r:embed="rId90"/>
                    <a:srcRect b="4444"/>
                    <a:stretch>
                      <a:fillRect/>
                    </a:stretch>
                  </pic:blipFill>
                  <pic:spPr>
                    <a:xfrm>
                      <a:off x="0" y="0"/>
                      <a:ext cx="5272405" cy="6881495"/>
                    </a:xfrm>
                    <a:prstGeom prst="rect">
                      <a:avLst/>
                    </a:prstGeom>
                    <a:noFill/>
                    <a:ln>
                      <a:noFill/>
                    </a:ln>
                  </pic:spPr>
                </pic:pic>
              </a:graphicData>
            </a:graphic>
          </wp:inline>
        </w:drawing>
      </w:r>
      <w:r>
        <w:rPr>
          <w:color w:val="auto"/>
          <w:u w:val="none" w:color="auto"/>
        </w:rPr>
        <w:drawing>
          <wp:inline distT="0" distB="0" distL="114300" distR="114300">
            <wp:extent cx="5272405" cy="7318375"/>
            <wp:effectExtent l="0" t="0" r="0" b="0"/>
            <wp:docPr id="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0"/>
                    <pic:cNvPicPr>
                      <a:picLocks noChangeAspect="1"/>
                    </pic:cNvPicPr>
                  </pic:nvPicPr>
                  <pic:blipFill>
                    <a:blip r:embed="rId91"/>
                    <a:srcRect b="5471"/>
                    <a:stretch>
                      <a:fillRect/>
                    </a:stretch>
                  </pic:blipFill>
                  <pic:spPr>
                    <a:xfrm>
                      <a:off x="0" y="0"/>
                      <a:ext cx="5272405" cy="7318375"/>
                    </a:xfrm>
                    <a:prstGeom prst="rect">
                      <a:avLst/>
                    </a:prstGeom>
                    <a:noFill/>
                    <a:ln>
                      <a:noFill/>
                    </a:ln>
                  </pic:spPr>
                </pic:pic>
              </a:graphicData>
            </a:graphic>
          </wp:inline>
        </w:drawing>
      </w:r>
      <w:r>
        <w:rPr>
          <w:color w:val="auto"/>
          <w:u w:val="none" w:color="auto"/>
        </w:rPr>
        <w:drawing>
          <wp:inline distT="0" distB="0" distL="114300" distR="114300">
            <wp:extent cx="5274310" cy="7084695"/>
            <wp:effectExtent l="0" t="0" r="0" b="0"/>
            <wp:docPr id="8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1"/>
                    <pic:cNvPicPr>
                      <a:picLocks noChangeAspect="1"/>
                    </pic:cNvPicPr>
                  </pic:nvPicPr>
                  <pic:blipFill>
                    <a:blip r:embed="rId92"/>
                    <a:srcRect b="5401"/>
                    <a:stretch>
                      <a:fillRect/>
                    </a:stretch>
                  </pic:blipFill>
                  <pic:spPr>
                    <a:xfrm>
                      <a:off x="0" y="0"/>
                      <a:ext cx="5274310" cy="7084695"/>
                    </a:xfrm>
                    <a:prstGeom prst="rect">
                      <a:avLst/>
                    </a:prstGeom>
                    <a:noFill/>
                    <a:ln>
                      <a:noFill/>
                    </a:ln>
                  </pic:spPr>
                </pic:pic>
              </a:graphicData>
            </a:graphic>
          </wp:inline>
        </w:drawing>
      </w:r>
      <w:r>
        <w:rPr>
          <w:color w:val="auto"/>
          <w:u w:val="none" w:color="auto"/>
        </w:rPr>
        <w:drawing>
          <wp:inline distT="0" distB="0" distL="114300" distR="114300">
            <wp:extent cx="5274310" cy="7162165"/>
            <wp:effectExtent l="0" t="0" r="0" b="0"/>
            <wp:docPr id="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2"/>
                    <pic:cNvPicPr>
                      <a:picLocks noChangeAspect="1"/>
                    </pic:cNvPicPr>
                  </pic:nvPicPr>
                  <pic:blipFill>
                    <a:blip r:embed="rId93"/>
                    <a:srcRect b="4391"/>
                    <a:stretch>
                      <a:fillRect/>
                    </a:stretch>
                  </pic:blipFill>
                  <pic:spPr>
                    <a:xfrm>
                      <a:off x="0" y="0"/>
                      <a:ext cx="5274310" cy="7162165"/>
                    </a:xfrm>
                    <a:prstGeom prst="rect">
                      <a:avLst/>
                    </a:prstGeom>
                    <a:noFill/>
                    <a:ln>
                      <a:noFill/>
                    </a:ln>
                  </pic:spPr>
                </pic:pic>
              </a:graphicData>
            </a:graphic>
          </wp:inline>
        </w:drawing>
      </w:r>
      <w:r>
        <w:rPr>
          <w:color w:val="auto"/>
          <w:u w:val="none" w:color="auto"/>
        </w:rPr>
        <w:drawing>
          <wp:inline distT="0" distB="0" distL="114300" distR="114300">
            <wp:extent cx="5269865" cy="7392670"/>
            <wp:effectExtent l="0" t="0" r="0" b="0"/>
            <wp:docPr id="8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3"/>
                    <pic:cNvPicPr>
                      <a:picLocks noChangeAspect="1"/>
                    </pic:cNvPicPr>
                  </pic:nvPicPr>
                  <pic:blipFill>
                    <a:blip r:embed="rId94"/>
                    <a:srcRect b="4394"/>
                    <a:stretch>
                      <a:fillRect/>
                    </a:stretch>
                  </pic:blipFill>
                  <pic:spPr>
                    <a:xfrm>
                      <a:off x="0" y="0"/>
                      <a:ext cx="5269865" cy="7392670"/>
                    </a:xfrm>
                    <a:prstGeom prst="rect">
                      <a:avLst/>
                    </a:prstGeom>
                    <a:noFill/>
                    <a:ln>
                      <a:noFill/>
                    </a:ln>
                  </pic:spPr>
                </pic:pic>
              </a:graphicData>
            </a:graphic>
          </wp:inline>
        </w:drawing>
      </w:r>
      <w:r>
        <w:rPr>
          <w:color w:val="auto"/>
          <w:u w:val="none" w:color="auto"/>
        </w:rPr>
        <w:drawing>
          <wp:inline distT="0" distB="0" distL="114300" distR="114300">
            <wp:extent cx="5268595" cy="7165340"/>
            <wp:effectExtent l="0" t="0" r="0" b="0"/>
            <wp:docPr id="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4"/>
                    <pic:cNvPicPr>
                      <a:picLocks noChangeAspect="1"/>
                    </pic:cNvPicPr>
                  </pic:nvPicPr>
                  <pic:blipFill>
                    <a:blip r:embed="rId95"/>
                    <a:srcRect b="6936"/>
                    <a:stretch>
                      <a:fillRect/>
                    </a:stretch>
                  </pic:blipFill>
                  <pic:spPr>
                    <a:xfrm>
                      <a:off x="0" y="0"/>
                      <a:ext cx="5268595" cy="7165340"/>
                    </a:xfrm>
                    <a:prstGeom prst="rect">
                      <a:avLst/>
                    </a:prstGeom>
                    <a:noFill/>
                    <a:ln>
                      <a:noFill/>
                    </a:ln>
                  </pic:spPr>
                </pic:pic>
              </a:graphicData>
            </a:graphic>
          </wp:inline>
        </w:drawing>
      </w:r>
    </w:p>
    <w:p w14:paraId="3B15D105">
      <w:pPr>
        <w:rPr>
          <w:color w:val="auto"/>
          <w:u w:val="none" w:color="auto"/>
        </w:rPr>
      </w:pPr>
    </w:p>
    <w:p w14:paraId="39ABB559">
      <w:pPr>
        <w:rPr>
          <w:color w:val="auto"/>
          <w:u w:val="none" w:color="auto"/>
        </w:rPr>
      </w:pPr>
    </w:p>
    <w:p w14:paraId="04D16A6F">
      <w:pPr>
        <w:rPr>
          <w:color w:val="auto"/>
          <w:u w:val="none" w:color="auto"/>
        </w:rPr>
      </w:pPr>
    </w:p>
    <w:p w14:paraId="2A03431A">
      <w:pPr>
        <w:rPr>
          <w:color w:val="auto"/>
          <w:u w:val="none" w:color="auto"/>
        </w:rPr>
      </w:pPr>
    </w:p>
    <w:p w14:paraId="2F2FD26B">
      <w:pPr>
        <w:rPr>
          <w:color w:val="auto"/>
          <w:u w:val="none" w:color="auto"/>
        </w:rPr>
      </w:pPr>
    </w:p>
    <w:p w14:paraId="50407A43">
      <w:pPr>
        <w:rPr>
          <w:color w:val="auto"/>
          <w:u w:val="none" w:color="auto"/>
        </w:rPr>
      </w:pPr>
    </w:p>
    <w:p w14:paraId="47ED2E80">
      <w:pPr>
        <w:rPr>
          <w:color w:val="auto"/>
          <w:u w:val="none" w:color="auto"/>
        </w:rPr>
      </w:pPr>
    </w:p>
    <w:p w14:paraId="5CFAC0F7">
      <w:pPr>
        <w:rPr>
          <w:color w:val="auto"/>
          <w:u w:val="none" w:color="auto"/>
        </w:rPr>
      </w:pPr>
    </w:p>
    <w:p w14:paraId="58FEF6EE">
      <w:pPr>
        <w:rPr>
          <w:color w:val="auto"/>
          <w:u w:val="none" w:color="auto"/>
        </w:rPr>
      </w:pPr>
    </w:p>
    <w:p w14:paraId="7A027D21">
      <w:pPr>
        <w:rPr>
          <w:color w:val="auto"/>
          <w:u w:val="none" w:color="auto"/>
        </w:rPr>
      </w:pPr>
    </w:p>
    <w:p w14:paraId="26A7671D">
      <w:pPr>
        <w:rPr>
          <w:color w:val="auto"/>
          <w:u w:val="none" w:color="auto"/>
        </w:rPr>
      </w:pPr>
    </w:p>
    <w:p w14:paraId="3BCBF1DB">
      <w:pPr>
        <w:jc w:val="left"/>
        <w:outlineLvl w:val="1"/>
        <w:rPr>
          <w:rFonts w:hint="eastAsia"/>
          <w:b/>
          <w:bCs/>
          <w:color w:val="auto"/>
          <w:sz w:val="28"/>
          <w:szCs w:val="28"/>
          <w:u w:val="none" w:color="auto"/>
        </w:rPr>
      </w:pPr>
      <w:r>
        <w:rPr>
          <w:rFonts w:hint="eastAsia"/>
          <w:b/>
          <w:bCs/>
          <w:color w:val="auto"/>
          <w:sz w:val="28"/>
          <w:szCs w:val="28"/>
          <w:u w:val="none" w:color="auto"/>
          <w:lang w:val="en-US" w:eastAsia="zh-CN"/>
        </w:rPr>
        <w:t xml:space="preserve">附件8  </w:t>
      </w:r>
      <w:r>
        <w:rPr>
          <w:rFonts w:hint="eastAsia"/>
          <w:b/>
          <w:bCs/>
          <w:color w:val="auto"/>
          <w:sz w:val="28"/>
          <w:szCs w:val="28"/>
          <w:u w:val="none" w:color="auto"/>
        </w:rPr>
        <w:t>林业局关于</w:t>
      </w:r>
      <w:r>
        <w:rPr>
          <w:rFonts w:hint="eastAsia"/>
          <w:b/>
          <w:bCs/>
          <w:color w:val="auto"/>
          <w:sz w:val="28"/>
          <w:szCs w:val="28"/>
          <w:u w:val="none" w:color="auto"/>
          <w:lang w:val="en-US" w:eastAsia="zh-CN"/>
        </w:rPr>
        <w:t>本</w:t>
      </w:r>
      <w:r>
        <w:rPr>
          <w:rFonts w:hint="eastAsia"/>
          <w:b/>
          <w:bCs/>
          <w:color w:val="auto"/>
          <w:sz w:val="28"/>
          <w:szCs w:val="28"/>
          <w:u w:val="none" w:color="auto"/>
        </w:rPr>
        <w:t>项目的意见</w:t>
      </w:r>
    </w:p>
    <w:p w14:paraId="2FA89C61">
      <w:pPr>
        <w:jc w:val="left"/>
        <w:outlineLvl w:val="1"/>
        <w:rPr>
          <w:rFonts w:hint="eastAsia"/>
          <w:b/>
          <w:bCs/>
          <w:color w:val="auto"/>
          <w:sz w:val="28"/>
          <w:szCs w:val="28"/>
          <w:u w:val="none" w:color="auto"/>
        </w:rPr>
      </w:pPr>
      <w:r>
        <w:rPr>
          <w:color w:val="auto"/>
          <w:u w:val="none" w:color="auto"/>
        </w:rPr>
        <w:drawing>
          <wp:inline distT="0" distB="0" distL="114300" distR="114300">
            <wp:extent cx="5274310" cy="7271385"/>
            <wp:effectExtent l="0" t="0" r="2540" b="5715"/>
            <wp:docPr id="1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6"/>
                    <pic:cNvPicPr>
                      <a:picLocks noChangeAspect="1"/>
                    </pic:cNvPicPr>
                  </pic:nvPicPr>
                  <pic:blipFill>
                    <a:blip r:embed="rId96" cstate="print"/>
                    <a:stretch>
                      <a:fillRect/>
                    </a:stretch>
                  </pic:blipFill>
                  <pic:spPr>
                    <a:xfrm>
                      <a:off x="0" y="0"/>
                      <a:ext cx="5274310" cy="7271385"/>
                    </a:xfrm>
                    <a:prstGeom prst="rect">
                      <a:avLst/>
                    </a:prstGeom>
                    <a:noFill/>
                    <a:ln>
                      <a:noFill/>
                    </a:ln>
                  </pic:spPr>
                </pic:pic>
              </a:graphicData>
            </a:graphic>
          </wp:inline>
        </w:drawing>
      </w:r>
      <w:r>
        <w:rPr>
          <w:color w:val="auto"/>
          <w:u w:val="none" w:color="auto"/>
        </w:rPr>
        <w:drawing>
          <wp:inline distT="0" distB="0" distL="114300" distR="114300">
            <wp:extent cx="5181600" cy="6829425"/>
            <wp:effectExtent l="0" t="0" r="0" b="9525"/>
            <wp:docPr id="1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7"/>
                    <pic:cNvPicPr>
                      <a:picLocks noChangeAspect="1"/>
                    </pic:cNvPicPr>
                  </pic:nvPicPr>
                  <pic:blipFill>
                    <a:blip r:embed="rId97" cstate="print"/>
                    <a:stretch>
                      <a:fillRect/>
                    </a:stretch>
                  </pic:blipFill>
                  <pic:spPr>
                    <a:xfrm>
                      <a:off x="0" y="0"/>
                      <a:ext cx="5181600" cy="6829425"/>
                    </a:xfrm>
                    <a:prstGeom prst="rect">
                      <a:avLst/>
                    </a:prstGeom>
                    <a:noFill/>
                    <a:ln>
                      <a:noFill/>
                    </a:ln>
                  </pic:spPr>
                </pic:pic>
              </a:graphicData>
            </a:graphic>
          </wp:inline>
        </w:drawing>
      </w:r>
      <w:r>
        <w:rPr>
          <w:color w:val="auto"/>
          <w:u w:val="none" w:color="auto"/>
        </w:rPr>
        <w:drawing>
          <wp:inline distT="0" distB="0" distL="114300" distR="114300">
            <wp:extent cx="5114925" cy="6877050"/>
            <wp:effectExtent l="0" t="0" r="9525" b="0"/>
            <wp:docPr id="1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8"/>
                    <pic:cNvPicPr>
                      <a:picLocks noChangeAspect="1"/>
                    </pic:cNvPicPr>
                  </pic:nvPicPr>
                  <pic:blipFill>
                    <a:blip r:embed="rId98" cstate="print"/>
                    <a:stretch>
                      <a:fillRect/>
                    </a:stretch>
                  </pic:blipFill>
                  <pic:spPr>
                    <a:xfrm>
                      <a:off x="0" y="0"/>
                      <a:ext cx="5114925" cy="6877050"/>
                    </a:xfrm>
                    <a:prstGeom prst="rect">
                      <a:avLst/>
                    </a:prstGeom>
                    <a:noFill/>
                    <a:ln>
                      <a:noFill/>
                    </a:ln>
                  </pic:spPr>
                </pic:pic>
              </a:graphicData>
            </a:graphic>
          </wp:inline>
        </w:drawing>
      </w:r>
      <w:r>
        <w:rPr>
          <w:color w:val="auto"/>
          <w:u w:val="none" w:color="auto"/>
        </w:rPr>
        <w:drawing>
          <wp:inline distT="0" distB="0" distL="114300" distR="114300">
            <wp:extent cx="5172075" cy="5857875"/>
            <wp:effectExtent l="0" t="0" r="9525" b="9525"/>
            <wp:docPr id="1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9"/>
                    <pic:cNvPicPr>
                      <a:picLocks noChangeAspect="1"/>
                    </pic:cNvPicPr>
                  </pic:nvPicPr>
                  <pic:blipFill>
                    <a:blip r:embed="rId99" cstate="print"/>
                    <a:stretch>
                      <a:fillRect/>
                    </a:stretch>
                  </pic:blipFill>
                  <pic:spPr>
                    <a:xfrm>
                      <a:off x="0" y="0"/>
                      <a:ext cx="5172075" cy="5857875"/>
                    </a:xfrm>
                    <a:prstGeom prst="rect">
                      <a:avLst/>
                    </a:prstGeom>
                    <a:noFill/>
                    <a:ln>
                      <a:noFill/>
                    </a:ln>
                  </pic:spPr>
                </pic:pic>
              </a:graphicData>
            </a:graphic>
          </wp:inline>
        </w:drawing>
      </w:r>
    </w:p>
    <w:p w14:paraId="3DB84357">
      <w:pPr>
        <w:rPr>
          <w:color w:val="auto"/>
          <w:u w:val="none" w:color="auto"/>
        </w:rPr>
      </w:pPr>
    </w:p>
    <w:p w14:paraId="433CFEBD">
      <w:pPr>
        <w:rPr>
          <w:color w:val="auto"/>
          <w:u w:val="none" w:color="auto"/>
        </w:rPr>
      </w:pPr>
    </w:p>
    <w:p w14:paraId="3423D02F">
      <w:pPr>
        <w:rPr>
          <w:color w:val="auto"/>
          <w:u w:val="none" w:color="auto"/>
        </w:rPr>
      </w:pPr>
    </w:p>
    <w:p w14:paraId="62924FEF">
      <w:pPr>
        <w:rPr>
          <w:color w:val="auto"/>
          <w:u w:val="none" w:color="auto"/>
        </w:rPr>
      </w:pPr>
    </w:p>
    <w:p w14:paraId="7049DD16">
      <w:pPr>
        <w:jc w:val="center"/>
        <w:rPr>
          <w:rFonts w:hint="eastAsia" w:eastAsia="宋体"/>
          <w:color w:val="auto"/>
          <w:u w:val="none" w:color="auto"/>
          <w:lang w:eastAsia="zh-CN"/>
        </w:rPr>
      </w:pPr>
    </w:p>
    <w:p w14:paraId="3DFC7861">
      <w:pPr>
        <w:rPr>
          <w:color w:val="auto"/>
          <w:u w:val="none" w:color="auto"/>
        </w:rPr>
      </w:pPr>
    </w:p>
    <w:p w14:paraId="1AB2925E">
      <w:pPr>
        <w:rPr>
          <w:color w:val="auto"/>
          <w:u w:val="none" w:color="auto"/>
        </w:rPr>
      </w:pPr>
    </w:p>
    <w:p w14:paraId="1BC1FA29">
      <w:pPr>
        <w:rPr>
          <w:color w:val="auto"/>
          <w:u w:val="none" w:color="auto"/>
        </w:rPr>
      </w:pPr>
    </w:p>
    <w:p w14:paraId="64998510">
      <w:pPr>
        <w:rPr>
          <w:color w:val="auto"/>
          <w:u w:val="none" w:color="auto"/>
        </w:rPr>
      </w:pPr>
    </w:p>
    <w:p w14:paraId="56FC9EB5">
      <w:pPr>
        <w:rPr>
          <w:color w:val="auto"/>
          <w:u w:val="none" w:color="auto"/>
        </w:rPr>
      </w:pPr>
    </w:p>
    <w:p w14:paraId="6CAF8E85">
      <w:pPr>
        <w:rPr>
          <w:color w:val="auto"/>
          <w:u w:val="none" w:color="auto"/>
        </w:rPr>
      </w:pPr>
    </w:p>
    <w:p w14:paraId="5E27FDB9">
      <w:pPr>
        <w:rPr>
          <w:color w:val="auto"/>
          <w:u w:val="none" w:color="auto"/>
        </w:rPr>
      </w:pPr>
    </w:p>
    <w:p w14:paraId="574B6264">
      <w:pPr>
        <w:rPr>
          <w:color w:val="auto"/>
          <w:u w:val="none" w:color="auto"/>
        </w:rPr>
      </w:pPr>
    </w:p>
    <w:p w14:paraId="5B48CADC">
      <w:pPr>
        <w:rPr>
          <w:color w:val="auto"/>
          <w:u w:val="none" w:color="auto"/>
        </w:rPr>
      </w:pPr>
    </w:p>
    <w:p w14:paraId="3CBE9C7A">
      <w:pPr>
        <w:rPr>
          <w:color w:val="auto"/>
          <w:u w:val="none" w:color="auto"/>
        </w:rPr>
      </w:pPr>
    </w:p>
    <w:p w14:paraId="6D0FD36E">
      <w:pPr>
        <w:rPr>
          <w:color w:val="auto"/>
          <w:u w:val="none" w:color="auto"/>
        </w:rPr>
      </w:pPr>
    </w:p>
    <w:p w14:paraId="626D322C">
      <w:pPr>
        <w:rPr>
          <w:color w:val="auto"/>
          <w:u w:val="none" w:color="auto"/>
        </w:rPr>
      </w:pPr>
    </w:p>
    <w:p w14:paraId="1308B2D1">
      <w:pPr>
        <w:rPr>
          <w:color w:val="auto"/>
          <w:u w:val="none" w:color="auto"/>
        </w:rPr>
      </w:pPr>
    </w:p>
    <w:p w14:paraId="08EBFE9A">
      <w:pPr>
        <w:rPr>
          <w:color w:val="auto"/>
          <w:u w:val="none" w:color="auto"/>
        </w:rPr>
      </w:pPr>
    </w:p>
    <w:p w14:paraId="6103A66F">
      <w:pPr>
        <w:rPr>
          <w:color w:val="auto"/>
          <w:u w:val="none" w:color="auto"/>
        </w:rPr>
      </w:pPr>
    </w:p>
    <w:p w14:paraId="691340BF">
      <w:pPr>
        <w:rPr>
          <w:color w:val="auto"/>
          <w:u w:val="none" w:color="auto"/>
        </w:rPr>
      </w:pPr>
    </w:p>
    <w:p w14:paraId="499C15E3">
      <w:pPr>
        <w:rPr>
          <w:color w:val="auto"/>
          <w:u w:val="none" w:color="auto"/>
        </w:rPr>
      </w:pPr>
    </w:p>
    <w:p w14:paraId="1ACC40B0">
      <w:pPr>
        <w:rPr>
          <w:color w:val="auto"/>
          <w:u w:val="none" w:color="auto"/>
        </w:rPr>
      </w:pPr>
    </w:p>
    <w:p w14:paraId="6053D163">
      <w:pPr>
        <w:rPr>
          <w:color w:val="auto"/>
          <w:u w:val="none" w:color="auto"/>
        </w:rPr>
      </w:pPr>
    </w:p>
    <w:p w14:paraId="5E01ED59">
      <w:pPr>
        <w:rPr>
          <w:color w:val="auto"/>
          <w:u w:val="none" w:color="auto"/>
        </w:rPr>
      </w:pPr>
    </w:p>
    <w:p w14:paraId="5F99A63D">
      <w:pPr>
        <w:rPr>
          <w:color w:val="auto"/>
          <w:u w:val="none" w:color="auto"/>
        </w:rPr>
      </w:pPr>
    </w:p>
    <w:p w14:paraId="674BF9E2">
      <w:pPr>
        <w:rPr>
          <w:color w:val="auto"/>
          <w:u w:val="none" w:color="auto"/>
        </w:rPr>
      </w:pPr>
    </w:p>
    <w:p w14:paraId="53A1110D">
      <w:pPr>
        <w:rPr>
          <w:color w:val="auto"/>
          <w:u w:val="none" w:color="auto"/>
        </w:rPr>
      </w:pPr>
    </w:p>
    <w:p w14:paraId="2221C3AB">
      <w:pPr>
        <w:rPr>
          <w:color w:val="auto"/>
          <w:u w:val="none" w:color="auto"/>
        </w:rPr>
      </w:pPr>
    </w:p>
    <w:p w14:paraId="55C6AFF6">
      <w:pPr>
        <w:rPr>
          <w:color w:val="auto"/>
          <w:u w:val="none" w:color="auto"/>
        </w:rPr>
      </w:pPr>
    </w:p>
    <w:p w14:paraId="2957A0CC">
      <w:pPr>
        <w:rPr>
          <w:color w:val="auto"/>
          <w:u w:val="none" w:color="auto"/>
        </w:rPr>
      </w:pPr>
    </w:p>
    <w:p w14:paraId="6CBE0A8C">
      <w:pPr>
        <w:rPr>
          <w:color w:val="auto"/>
          <w:u w:val="none" w:color="auto"/>
        </w:rPr>
      </w:pPr>
    </w:p>
    <w:p w14:paraId="5BC49600">
      <w:pPr>
        <w:rPr>
          <w:color w:val="auto"/>
          <w:u w:val="none" w:color="auto"/>
        </w:rPr>
      </w:pPr>
    </w:p>
    <w:p w14:paraId="203AEF12">
      <w:pPr>
        <w:rPr>
          <w:color w:val="auto"/>
          <w:u w:val="none" w:color="auto"/>
        </w:rPr>
      </w:pPr>
    </w:p>
    <w:p w14:paraId="59FB261D">
      <w:pPr>
        <w:rPr>
          <w:color w:val="auto"/>
          <w:u w:val="none" w:color="auto"/>
        </w:rPr>
      </w:pPr>
    </w:p>
    <w:p w14:paraId="740ABA9F">
      <w:pPr>
        <w:rPr>
          <w:color w:val="auto"/>
          <w:u w:val="none" w:color="auto"/>
        </w:rPr>
      </w:pPr>
    </w:p>
    <w:p w14:paraId="5EB2F93A">
      <w:pPr>
        <w:rPr>
          <w:color w:val="auto"/>
          <w:u w:val="none" w:color="auto"/>
        </w:rPr>
      </w:pPr>
    </w:p>
    <w:p w14:paraId="49C1E590">
      <w:pPr>
        <w:jc w:val="center"/>
        <w:outlineLvl w:val="0"/>
        <w:rPr>
          <w:rFonts w:hint="default" w:ascii="方正小标宋_GBK" w:hAnsi="黑体" w:eastAsia="方正小标宋_GBK" w:cs="Times New Roman"/>
          <w:snapToGrid w:val="0"/>
          <w:color w:val="auto"/>
          <w:kern w:val="0"/>
          <w:sz w:val="38"/>
          <w:szCs w:val="38"/>
          <w:u w:val="none" w:color="auto"/>
        </w:rPr>
      </w:pPr>
      <w:bookmarkStart w:id="196" w:name="_Toc15581"/>
      <w:bookmarkStart w:id="197" w:name="_Toc23161"/>
      <w:bookmarkStart w:id="198" w:name="_Toc4356"/>
      <w:r>
        <w:rPr>
          <w:rFonts w:hint="default" w:ascii="方正小标宋_GBK" w:hAnsi="黑体" w:eastAsia="方正小标宋_GBK" w:cs="Times New Roman"/>
          <w:snapToGrid w:val="0"/>
          <w:color w:val="auto"/>
          <w:kern w:val="0"/>
          <w:sz w:val="38"/>
          <w:szCs w:val="38"/>
          <w:u w:val="none" w:color="auto"/>
          <w:lang w:val="en-US" w:eastAsia="zh-CN"/>
        </w:rPr>
        <w:t>华容县团洲垸灾后重建安置房配套基础设施建设项目</w:t>
      </w:r>
      <w:bookmarkStart w:id="199" w:name="_Toc15599"/>
      <w:r>
        <w:rPr>
          <w:rFonts w:hint="eastAsia" w:ascii="方正小标宋_GBK" w:hAnsi="黑体" w:eastAsia="方正小标宋_GBK" w:cs="Times New Roman"/>
          <w:snapToGrid w:val="0"/>
          <w:color w:val="auto"/>
          <w:kern w:val="0"/>
          <w:sz w:val="38"/>
          <w:szCs w:val="38"/>
          <w:u w:val="none" w:color="auto"/>
          <w:lang w:eastAsia="zh-CN"/>
        </w:rPr>
        <w:t>生态</w:t>
      </w:r>
      <w:r>
        <w:rPr>
          <w:rFonts w:hint="default" w:ascii="方正小标宋_GBK" w:hAnsi="黑体" w:eastAsia="方正小标宋_GBK" w:cs="Times New Roman"/>
          <w:snapToGrid w:val="0"/>
          <w:color w:val="auto"/>
          <w:kern w:val="0"/>
          <w:sz w:val="38"/>
          <w:szCs w:val="38"/>
          <w:u w:val="none" w:color="auto"/>
        </w:rPr>
        <w:t>环境影响专项报告</w:t>
      </w:r>
      <w:bookmarkEnd w:id="196"/>
      <w:bookmarkEnd w:id="197"/>
      <w:bookmarkEnd w:id="198"/>
      <w:bookmarkEnd w:id="199"/>
    </w:p>
    <w:p w14:paraId="14AD1313">
      <w:pPr>
        <w:spacing w:before="60" w:after="60"/>
        <w:ind w:firstLine="0" w:firstLineChars="0"/>
        <w:jc w:val="center"/>
        <w:rPr>
          <w:rFonts w:hint="default" w:ascii="Times New Roman" w:hAnsi="Times New Roman" w:cs="Times New Roman"/>
          <w:b/>
          <w:bCs/>
          <w:color w:val="auto"/>
          <w:spacing w:val="20"/>
          <w:sz w:val="32"/>
          <w:u w:val="none" w:color="auto"/>
        </w:rPr>
      </w:pPr>
    </w:p>
    <w:p w14:paraId="652B21BF">
      <w:pPr>
        <w:spacing w:before="60" w:after="60"/>
        <w:ind w:firstLine="0" w:firstLineChars="0"/>
        <w:jc w:val="center"/>
        <w:rPr>
          <w:rFonts w:hint="default" w:ascii="Times New Roman" w:hAnsi="Times New Roman" w:cs="Times New Roman"/>
          <w:b/>
          <w:bCs/>
          <w:color w:val="auto"/>
          <w:spacing w:val="20"/>
          <w:sz w:val="32"/>
          <w:u w:val="none" w:color="auto"/>
        </w:rPr>
      </w:pPr>
    </w:p>
    <w:p w14:paraId="03E48387">
      <w:pPr>
        <w:spacing w:before="60" w:after="60"/>
        <w:ind w:firstLine="0" w:firstLineChars="0"/>
        <w:jc w:val="center"/>
        <w:rPr>
          <w:rFonts w:hint="default" w:ascii="Times New Roman" w:hAnsi="Times New Roman" w:cs="Times New Roman"/>
          <w:b/>
          <w:bCs/>
          <w:color w:val="auto"/>
          <w:spacing w:val="20"/>
          <w:sz w:val="32"/>
          <w:u w:val="none" w:color="auto"/>
        </w:rPr>
      </w:pPr>
    </w:p>
    <w:p w14:paraId="1E2B9C69">
      <w:pPr>
        <w:spacing w:before="60" w:after="60"/>
        <w:ind w:firstLine="0" w:firstLineChars="0"/>
        <w:jc w:val="center"/>
        <w:rPr>
          <w:rFonts w:hint="default" w:ascii="Times New Roman" w:hAnsi="Times New Roman" w:cs="Times New Roman"/>
          <w:b/>
          <w:bCs/>
          <w:color w:val="auto"/>
          <w:spacing w:val="20"/>
          <w:sz w:val="32"/>
          <w:u w:val="none" w:color="auto"/>
        </w:rPr>
      </w:pPr>
    </w:p>
    <w:p w14:paraId="2CA6E05D">
      <w:pPr>
        <w:spacing w:before="60" w:after="60"/>
        <w:ind w:firstLine="0" w:firstLineChars="0"/>
        <w:jc w:val="center"/>
        <w:rPr>
          <w:rFonts w:hint="default" w:ascii="Times New Roman" w:hAnsi="Times New Roman" w:cs="Times New Roman"/>
          <w:b/>
          <w:bCs/>
          <w:color w:val="auto"/>
          <w:spacing w:val="20"/>
          <w:sz w:val="32"/>
          <w:u w:val="none" w:color="auto"/>
        </w:rPr>
      </w:pPr>
    </w:p>
    <w:p w14:paraId="1381CFDE">
      <w:pPr>
        <w:spacing w:before="60" w:after="60"/>
        <w:ind w:firstLine="0" w:firstLineChars="0"/>
        <w:jc w:val="center"/>
        <w:rPr>
          <w:rFonts w:hint="default" w:ascii="Times New Roman" w:hAnsi="Times New Roman" w:cs="Times New Roman"/>
          <w:b/>
          <w:bCs/>
          <w:color w:val="auto"/>
          <w:spacing w:val="20"/>
          <w:sz w:val="32"/>
          <w:u w:val="none" w:color="auto"/>
        </w:rPr>
      </w:pPr>
    </w:p>
    <w:p w14:paraId="424C4767">
      <w:pPr>
        <w:spacing w:before="60" w:after="60"/>
        <w:ind w:firstLine="0" w:firstLineChars="0"/>
        <w:jc w:val="center"/>
        <w:rPr>
          <w:rFonts w:hint="default" w:ascii="Times New Roman" w:hAnsi="Times New Roman" w:cs="Times New Roman"/>
          <w:b/>
          <w:bCs/>
          <w:color w:val="auto"/>
          <w:spacing w:val="20"/>
          <w:sz w:val="32"/>
          <w:u w:val="none" w:color="auto"/>
        </w:rPr>
      </w:pPr>
    </w:p>
    <w:p w14:paraId="665686A3">
      <w:pPr>
        <w:spacing w:before="60" w:after="60"/>
        <w:ind w:firstLine="0" w:firstLineChars="0"/>
        <w:jc w:val="center"/>
        <w:rPr>
          <w:rFonts w:hint="default" w:ascii="Times New Roman" w:hAnsi="Times New Roman" w:cs="Times New Roman"/>
          <w:b/>
          <w:bCs/>
          <w:color w:val="auto"/>
          <w:spacing w:val="20"/>
          <w:sz w:val="32"/>
          <w:u w:val="none" w:color="auto"/>
        </w:rPr>
      </w:pPr>
    </w:p>
    <w:p w14:paraId="70631742">
      <w:pPr>
        <w:spacing w:before="60" w:after="60"/>
        <w:ind w:firstLine="0" w:firstLineChars="0"/>
        <w:jc w:val="center"/>
        <w:rPr>
          <w:rFonts w:hint="default" w:ascii="Times New Roman" w:hAnsi="Times New Roman" w:cs="Times New Roman"/>
          <w:b/>
          <w:bCs/>
          <w:color w:val="auto"/>
          <w:spacing w:val="20"/>
          <w:sz w:val="32"/>
          <w:u w:val="none" w:color="auto"/>
        </w:rPr>
      </w:pPr>
    </w:p>
    <w:p w14:paraId="33AE680D">
      <w:pPr>
        <w:spacing w:before="60" w:after="60"/>
        <w:ind w:firstLine="0" w:firstLineChars="0"/>
        <w:jc w:val="center"/>
        <w:rPr>
          <w:rFonts w:hint="default" w:ascii="Times New Roman" w:hAnsi="Times New Roman" w:cs="Times New Roman"/>
          <w:b/>
          <w:bCs/>
          <w:color w:val="auto"/>
          <w:spacing w:val="20"/>
          <w:sz w:val="32"/>
          <w:u w:val="none" w:color="auto"/>
        </w:rPr>
      </w:pPr>
    </w:p>
    <w:p w14:paraId="4BFD2C96">
      <w:pPr>
        <w:spacing w:before="60" w:after="60"/>
        <w:ind w:firstLine="0" w:firstLineChars="0"/>
        <w:jc w:val="center"/>
        <w:rPr>
          <w:rFonts w:hint="default" w:ascii="Times New Roman" w:hAnsi="Times New Roman" w:cs="Times New Roman"/>
          <w:b/>
          <w:bCs/>
          <w:color w:val="auto"/>
          <w:spacing w:val="20"/>
          <w:sz w:val="32"/>
          <w:u w:val="none" w:color="auto"/>
        </w:rPr>
      </w:pPr>
    </w:p>
    <w:p w14:paraId="1BDABE69">
      <w:pPr>
        <w:pStyle w:val="78"/>
        <w:rPr>
          <w:rFonts w:hint="default" w:ascii="Times New Roman" w:hAnsi="Times New Roman" w:cs="Times New Roman"/>
          <w:b/>
          <w:bCs/>
          <w:color w:val="auto"/>
          <w:spacing w:val="20"/>
          <w:sz w:val="32"/>
          <w:u w:val="none" w:color="auto"/>
        </w:rPr>
      </w:pPr>
    </w:p>
    <w:p w14:paraId="45E3BAC8">
      <w:pPr>
        <w:pStyle w:val="78"/>
        <w:rPr>
          <w:rFonts w:hint="default" w:ascii="Times New Roman" w:hAnsi="Times New Roman" w:cs="Times New Roman"/>
          <w:b/>
          <w:bCs/>
          <w:color w:val="auto"/>
          <w:spacing w:val="20"/>
          <w:sz w:val="32"/>
          <w:u w:val="none" w:color="auto"/>
        </w:rPr>
      </w:pPr>
    </w:p>
    <w:p w14:paraId="4F23FF57">
      <w:pPr>
        <w:pStyle w:val="78"/>
        <w:rPr>
          <w:rFonts w:hint="default" w:ascii="Times New Roman" w:hAnsi="Times New Roman" w:cs="Times New Roman"/>
          <w:b/>
          <w:bCs/>
          <w:color w:val="auto"/>
          <w:spacing w:val="20"/>
          <w:sz w:val="32"/>
          <w:u w:val="none" w:color="auto"/>
        </w:rPr>
      </w:pPr>
    </w:p>
    <w:p w14:paraId="4ABD35A0">
      <w:pPr>
        <w:pStyle w:val="78"/>
        <w:ind w:left="0" w:leftChars="0" w:firstLine="0" w:firstLineChars="0"/>
        <w:rPr>
          <w:rFonts w:hint="default" w:ascii="Times New Roman" w:hAnsi="Times New Roman" w:cs="Times New Roman"/>
          <w:b/>
          <w:bCs/>
          <w:color w:val="auto"/>
          <w:spacing w:val="20"/>
          <w:sz w:val="32"/>
          <w:u w:val="none" w:color="auto"/>
        </w:rPr>
      </w:pPr>
    </w:p>
    <w:p w14:paraId="76C2822C">
      <w:pPr>
        <w:spacing w:before="0" w:beforeLines="0" w:after="0" w:afterLines="0"/>
        <w:ind w:firstLine="0" w:firstLineChars="0"/>
        <w:jc w:val="center"/>
        <w:rPr>
          <w:rFonts w:hint="default" w:ascii="Times New Roman" w:hAnsi="Times New Roman" w:cs="Times New Roman"/>
          <w:b/>
          <w:bCs/>
          <w:color w:val="auto"/>
          <w:spacing w:val="20"/>
          <w:sz w:val="32"/>
          <w:highlight w:val="none"/>
          <w:u w:val="none" w:color="auto"/>
          <w:lang w:val="en-US"/>
        </w:rPr>
      </w:pPr>
      <w:r>
        <w:rPr>
          <w:rFonts w:hint="default" w:ascii="Times New Roman" w:hAnsi="Times New Roman" w:cs="Times New Roman"/>
          <w:b/>
          <w:bCs/>
          <w:color w:val="auto"/>
          <w:spacing w:val="20"/>
          <w:sz w:val="32"/>
          <w:highlight w:val="none"/>
          <w:u w:val="none" w:color="auto"/>
          <w:lang w:eastAsia="zh-CN"/>
        </w:rPr>
        <w:t>湖南</w:t>
      </w:r>
      <w:r>
        <w:rPr>
          <w:rFonts w:hint="eastAsia" w:cs="Times New Roman"/>
          <w:b/>
          <w:bCs/>
          <w:color w:val="auto"/>
          <w:spacing w:val="20"/>
          <w:sz w:val="32"/>
          <w:highlight w:val="none"/>
          <w:u w:val="none" w:color="auto"/>
          <w:lang w:val="en-US" w:eastAsia="zh-CN"/>
        </w:rPr>
        <w:t>鑫来工程咨询有限公司</w:t>
      </w:r>
    </w:p>
    <w:p w14:paraId="7398AA9A">
      <w:pPr>
        <w:spacing w:before="0" w:beforeLines="0" w:after="0" w:afterLines="0"/>
        <w:ind w:firstLine="0" w:firstLineChars="0"/>
        <w:jc w:val="center"/>
        <w:rPr>
          <w:rFonts w:hint="default" w:ascii="Times New Roman" w:hAnsi="Times New Roman" w:cs="Times New Roman"/>
          <w:b/>
          <w:bCs/>
          <w:color w:val="auto"/>
          <w:spacing w:val="20"/>
          <w:sz w:val="32"/>
          <w:u w:val="none" w:color="auto"/>
        </w:rPr>
      </w:pPr>
    </w:p>
    <w:p w14:paraId="4E7FBB59">
      <w:pPr>
        <w:spacing w:before="0" w:beforeLines="0" w:after="0" w:afterLines="0"/>
        <w:ind w:firstLine="0" w:firstLineChars="0"/>
        <w:jc w:val="center"/>
        <w:rPr>
          <w:rFonts w:hint="default" w:ascii="Times New Roman" w:hAnsi="Times New Roman" w:eastAsia="宋体" w:cs="Times New Roman"/>
          <w:b/>
          <w:bCs/>
          <w:color w:val="auto"/>
          <w:spacing w:val="20"/>
          <w:sz w:val="32"/>
          <w:u w:val="none" w:color="auto"/>
          <w:lang w:val="en-US" w:eastAsia="zh-CN"/>
        </w:rPr>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b/>
          <w:bCs/>
          <w:color w:val="auto"/>
          <w:spacing w:val="20"/>
          <w:sz w:val="32"/>
          <w:u w:val="none" w:color="auto"/>
        </w:rPr>
        <w:t>二〇</w:t>
      </w:r>
      <w:r>
        <w:rPr>
          <w:rFonts w:hint="default" w:ascii="Times New Roman" w:hAnsi="Times New Roman" w:cs="Times New Roman"/>
          <w:b/>
          <w:bCs/>
          <w:color w:val="auto"/>
          <w:spacing w:val="20"/>
          <w:sz w:val="32"/>
          <w:u w:val="none" w:color="auto"/>
          <w:lang w:eastAsia="zh-CN"/>
        </w:rPr>
        <w:t>二</w:t>
      </w:r>
      <w:r>
        <w:rPr>
          <w:rFonts w:hint="eastAsia" w:cs="Times New Roman"/>
          <w:b/>
          <w:bCs/>
          <w:color w:val="auto"/>
          <w:spacing w:val="20"/>
          <w:sz w:val="32"/>
          <w:u w:val="none" w:color="auto"/>
          <w:lang w:val="en-US" w:eastAsia="zh-CN"/>
        </w:rPr>
        <w:t>六</w:t>
      </w:r>
      <w:r>
        <w:rPr>
          <w:rFonts w:hint="default" w:ascii="Times New Roman" w:hAnsi="Times New Roman" w:cs="Times New Roman"/>
          <w:b/>
          <w:bCs/>
          <w:color w:val="auto"/>
          <w:spacing w:val="20"/>
          <w:sz w:val="32"/>
          <w:u w:val="none" w:color="auto"/>
        </w:rPr>
        <w:t>年</w:t>
      </w:r>
      <w:r>
        <w:rPr>
          <w:rFonts w:hint="eastAsia" w:cs="Times New Roman"/>
          <w:b/>
          <w:bCs/>
          <w:color w:val="auto"/>
          <w:spacing w:val="20"/>
          <w:sz w:val="32"/>
          <w:u w:val="none" w:color="auto"/>
          <w:lang w:val="en-US" w:eastAsia="zh-CN"/>
        </w:rPr>
        <w:t>一月</w:t>
      </w:r>
    </w:p>
    <w:p w14:paraId="663A9BFC">
      <w:pPr>
        <w:widowControl/>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u w:val="none" w:color="auto"/>
          <w:lang w:val="en-US" w:eastAsia="zh-CN" w:bidi="ar-SA"/>
        </w:rPr>
      </w:pPr>
      <w:bookmarkStart w:id="200" w:name="_Toc18292"/>
      <w:bookmarkStart w:id="201" w:name="_Toc20133"/>
      <w:bookmarkStart w:id="202" w:name="_Toc24516"/>
      <w:bookmarkStart w:id="203" w:name="_Toc1145"/>
      <w:bookmarkStart w:id="204" w:name="_Toc24724"/>
      <w:bookmarkStart w:id="205" w:name="_Toc4364"/>
      <w:bookmarkStart w:id="206" w:name="_Toc5976"/>
      <w:r>
        <w:rPr>
          <w:rFonts w:ascii="Times New Roman" w:hAnsi="Times New Roman" w:eastAsia="宋体" w:cs="Times New Roman"/>
          <w:b/>
          <w:snapToGrid w:val="0"/>
          <w:color w:val="auto"/>
          <w:kern w:val="0"/>
          <w:sz w:val="30"/>
          <w:szCs w:val="30"/>
          <w:u w:val="none" w:color="auto"/>
          <w:lang w:val="en-US" w:eastAsia="zh-CN" w:bidi="ar-SA"/>
        </w:rPr>
        <w:t>1总则</w:t>
      </w:r>
      <w:bookmarkEnd w:id="200"/>
      <w:bookmarkEnd w:id="201"/>
      <w:bookmarkEnd w:id="202"/>
      <w:bookmarkEnd w:id="203"/>
      <w:bookmarkEnd w:id="204"/>
      <w:bookmarkEnd w:id="205"/>
      <w:bookmarkEnd w:id="206"/>
    </w:p>
    <w:p w14:paraId="3B78F9C2">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207" w:name="_Toc1053"/>
      <w:bookmarkStart w:id="208" w:name="_Toc9418"/>
      <w:bookmarkStart w:id="209" w:name="_Toc30677"/>
      <w:bookmarkStart w:id="210" w:name="_Toc22364"/>
      <w:bookmarkStart w:id="211" w:name="_Toc1248"/>
      <w:bookmarkStart w:id="212" w:name="_Toc22458"/>
      <w:bookmarkStart w:id="213" w:name="_Toc11810"/>
      <w:bookmarkStart w:id="214" w:name="_Toc17584"/>
      <w:bookmarkStart w:id="215" w:name="_Toc11368"/>
      <w:bookmarkStart w:id="216" w:name="_Toc25514"/>
      <w:r>
        <w:rPr>
          <w:rFonts w:ascii="Times New Roman" w:hAnsi="Times New Roman" w:eastAsia="宋体" w:cs="Times New Roman"/>
          <w:b/>
          <w:bCs/>
          <w:color w:val="auto"/>
          <w:kern w:val="2"/>
          <w:sz w:val="28"/>
          <w:szCs w:val="28"/>
          <w:u w:val="none" w:color="auto"/>
          <w:lang w:val="en-US" w:eastAsia="zh-CN" w:bidi="ar-SA"/>
        </w:rPr>
        <w:t>1.1项目由来</w:t>
      </w:r>
      <w:bookmarkEnd w:id="207"/>
      <w:bookmarkEnd w:id="208"/>
      <w:bookmarkEnd w:id="209"/>
      <w:bookmarkEnd w:id="210"/>
      <w:bookmarkEnd w:id="211"/>
      <w:bookmarkEnd w:id="212"/>
      <w:bookmarkEnd w:id="213"/>
      <w:bookmarkEnd w:id="214"/>
      <w:bookmarkEnd w:id="215"/>
      <w:bookmarkEnd w:id="216"/>
    </w:p>
    <w:p w14:paraId="179AA7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2024年7月5日下午，团洲乡团北村团洲垸洞庭湖一线堤防不幸发生严重决口事件，这场突如其来的自然灾害对当地社区造成了深远影响。团洲垸作为华容县的重要农业生产区域，其92.5%的面积迅速被洪水淹没，平均水深达到约5米，不仅直接威胁到居民的生命安全，更对当地农业生产和基础设施造成了毁灭性打击。面对这一严峻形势，根据国务院及省市级政府关于加强自然灾害防治和灾后恢复重建工作的指导意见，结合华容县具体灾情及发展规划，本项目得到了上级政府部门的明确批复，旨在迅速恢复受灾群众的正常生活秩序，保障基本民生需求，并为未来可持续发展奠定坚实基础。</w:t>
      </w:r>
    </w:p>
    <w:p w14:paraId="1DCC6E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本项目依据《华容县人民政府关于实施团洲垸灾后重建安置房基础设施配套建设项目的批复》，以及《华容县国民经济和社会发展第十四个五年规划》相关精神，结合《华容县团洲乡灾后重建总体规划》提出并批准进行灾后重建安置房基础设施建设工作。项目的实施旨在为灾后重建的居民提供安全、便捷、舒适的居住环境，确保灾后安置房小区的基础设施配套完善，为居民的日常生活和生产提供良好的保障。</w:t>
      </w:r>
    </w:p>
    <w:p w14:paraId="36E15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本项目即为团洲垸灾后重建安置房基础设施配套建设项目，因项目位于湖南东洞庭湖国家级自然保护区实验区范围内，根据《建设项目环境影响报告表编制技术指南（生态影响类）》表1专项评价设置原则表，本次评价设置生态专项评价。</w:t>
      </w:r>
    </w:p>
    <w:p w14:paraId="6E82D42D">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217" w:name="_Toc26230"/>
      <w:bookmarkStart w:id="218" w:name="_Toc23283"/>
      <w:bookmarkStart w:id="219" w:name="_Toc11539"/>
      <w:bookmarkStart w:id="220" w:name="_Toc20034"/>
      <w:bookmarkStart w:id="221" w:name="_Toc12164"/>
      <w:bookmarkStart w:id="222" w:name="_Toc32473"/>
      <w:bookmarkStart w:id="223" w:name="_Toc3286"/>
      <w:bookmarkStart w:id="224" w:name="_Toc7748"/>
      <w:bookmarkStart w:id="225" w:name="_Toc3932"/>
      <w:bookmarkStart w:id="226" w:name="_Toc28784"/>
      <w:r>
        <w:rPr>
          <w:rFonts w:ascii="Times New Roman" w:hAnsi="Times New Roman" w:eastAsia="宋体" w:cs="Times New Roman"/>
          <w:b/>
          <w:bCs/>
          <w:color w:val="auto"/>
          <w:kern w:val="2"/>
          <w:sz w:val="28"/>
          <w:szCs w:val="28"/>
          <w:u w:val="none" w:color="auto"/>
          <w:lang w:val="en-US" w:eastAsia="zh-CN" w:bidi="ar-SA"/>
        </w:rPr>
        <w:t>1.2评价目的和评价原则</w:t>
      </w:r>
      <w:bookmarkEnd w:id="217"/>
      <w:bookmarkEnd w:id="218"/>
      <w:bookmarkEnd w:id="219"/>
      <w:bookmarkEnd w:id="220"/>
      <w:bookmarkEnd w:id="221"/>
      <w:bookmarkEnd w:id="222"/>
      <w:bookmarkEnd w:id="223"/>
      <w:bookmarkEnd w:id="224"/>
      <w:bookmarkEnd w:id="225"/>
      <w:bookmarkEnd w:id="226"/>
    </w:p>
    <w:p w14:paraId="6315A5D4">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以保护优先、适度开发为基本原则，认真落实科学发展观，通过对评价区以及周围生态环境的调查，并对项目周围生态环境和对景区直接或间接影响进行分析和预测，论证生态措施可行性，并提出可操作的环境减缓生态保护对策，以达到经济开发与自然保护双赢的目标。</w:t>
      </w:r>
    </w:p>
    <w:p w14:paraId="1FED9936">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227" w:name="_Toc16216"/>
      <w:bookmarkStart w:id="228" w:name="_Toc19207"/>
      <w:bookmarkStart w:id="229" w:name="_Toc14659"/>
      <w:bookmarkStart w:id="230" w:name="_Toc15346"/>
      <w:bookmarkStart w:id="231" w:name="_Toc1454"/>
      <w:bookmarkStart w:id="232" w:name="_Toc661"/>
      <w:bookmarkStart w:id="233" w:name="_Toc19514"/>
      <w:bookmarkStart w:id="234" w:name="_Toc3301"/>
      <w:bookmarkStart w:id="235" w:name="_Toc3344"/>
      <w:bookmarkStart w:id="236" w:name="_Toc20702"/>
      <w:r>
        <w:rPr>
          <w:rFonts w:ascii="Times New Roman" w:hAnsi="Times New Roman" w:eastAsia="宋体" w:cs="Times New Roman"/>
          <w:b/>
          <w:bCs/>
          <w:color w:val="auto"/>
          <w:kern w:val="2"/>
          <w:sz w:val="28"/>
          <w:szCs w:val="28"/>
          <w:u w:val="none" w:color="auto"/>
          <w:lang w:val="en-US" w:eastAsia="zh-CN" w:bidi="ar-SA"/>
        </w:rPr>
        <w:t>1.3工作原则</w:t>
      </w:r>
      <w:bookmarkEnd w:id="227"/>
      <w:bookmarkEnd w:id="228"/>
      <w:bookmarkEnd w:id="229"/>
      <w:bookmarkEnd w:id="230"/>
      <w:bookmarkEnd w:id="231"/>
      <w:bookmarkEnd w:id="232"/>
      <w:bookmarkEnd w:id="233"/>
      <w:bookmarkEnd w:id="234"/>
      <w:bookmarkEnd w:id="235"/>
      <w:bookmarkEnd w:id="236"/>
    </w:p>
    <w:p w14:paraId="4D4BEABA">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1、在构建社会主义和谐社会的重大战略思想指导下，以保护优先、适度开发为原则，落实科学发展观；</w:t>
      </w:r>
    </w:p>
    <w:p w14:paraId="65CFE68D">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2、紧密结合《全国生态保护纲要》、《环境影响评价技术导则 生态环境》（HJ19-2022）；</w:t>
      </w:r>
    </w:p>
    <w:p w14:paraId="1883FFE1">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3、优先保护生物多样性，以实现保护生态环境、保护珍稀物种；</w:t>
      </w:r>
    </w:p>
    <w:p w14:paraId="0B25BE89">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4、突出生态保护与补偿措施的科学性与可操作性；</w:t>
      </w:r>
    </w:p>
    <w:p w14:paraId="2CEAA937">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u w:val="none" w:color="auto"/>
          <w:lang w:val="en-US" w:eastAsia="zh-CN" w:bidi="ar-SA"/>
        </w:rPr>
      </w:pPr>
      <w:r>
        <w:rPr>
          <w:rFonts w:ascii="Times New Roman" w:hAnsi="Times New Roman" w:eastAsia="宋体" w:cs="Times New Roman"/>
          <w:color w:val="auto"/>
          <w:kern w:val="2"/>
          <w:sz w:val="24"/>
          <w:szCs w:val="24"/>
          <w:u w:val="none" w:color="auto"/>
          <w:lang w:val="en-US" w:eastAsia="zh-CN" w:bidi="ar-SA"/>
        </w:rPr>
        <w:t>5、尽量利用现有资料，全面评估本项目对周围生态环境的影响。</w:t>
      </w:r>
    </w:p>
    <w:p w14:paraId="6DAE4E63">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237" w:name="_Toc11774"/>
      <w:bookmarkStart w:id="238" w:name="_Toc11166"/>
      <w:bookmarkStart w:id="239" w:name="_Toc18759"/>
      <w:bookmarkStart w:id="240" w:name="_Toc28367"/>
      <w:bookmarkStart w:id="241" w:name="_Toc6706"/>
      <w:bookmarkStart w:id="242" w:name="_Toc23370"/>
      <w:bookmarkStart w:id="243" w:name="_Toc30233"/>
      <w:bookmarkStart w:id="244" w:name="_Toc28586"/>
      <w:bookmarkStart w:id="245" w:name="_Toc21445"/>
      <w:bookmarkStart w:id="246" w:name="_Toc31091"/>
      <w:r>
        <w:rPr>
          <w:rFonts w:ascii="Times New Roman" w:hAnsi="Times New Roman" w:eastAsia="宋体" w:cs="Times New Roman"/>
          <w:b/>
          <w:bCs/>
          <w:color w:val="auto"/>
          <w:kern w:val="2"/>
          <w:sz w:val="28"/>
          <w:szCs w:val="28"/>
          <w:u w:val="none" w:color="auto"/>
          <w:lang w:val="en-US" w:eastAsia="zh-CN" w:bidi="ar-SA"/>
        </w:rPr>
        <w:t>1.4评价依据</w:t>
      </w:r>
      <w:bookmarkEnd w:id="237"/>
      <w:bookmarkEnd w:id="238"/>
      <w:bookmarkEnd w:id="239"/>
      <w:bookmarkEnd w:id="240"/>
      <w:bookmarkEnd w:id="241"/>
      <w:bookmarkEnd w:id="242"/>
      <w:bookmarkEnd w:id="243"/>
      <w:bookmarkEnd w:id="244"/>
      <w:bookmarkEnd w:id="245"/>
      <w:bookmarkEnd w:id="246"/>
    </w:p>
    <w:p w14:paraId="4DE40E53">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u w:val="none" w:color="auto"/>
          <w:lang w:val="en-US" w:eastAsia="zh-CN" w:bidi="ar-SA"/>
        </w:rPr>
      </w:pPr>
      <w:bookmarkStart w:id="247" w:name="_Toc27122"/>
      <w:bookmarkStart w:id="248" w:name="_Toc2649"/>
      <w:bookmarkStart w:id="249" w:name="_Toc12619"/>
      <w:bookmarkStart w:id="250" w:name="_Toc17857"/>
      <w:bookmarkStart w:id="251" w:name="_Toc23780"/>
      <w:bookmarkStart w:id="252" w:name="_Toc32608"/>
      <w:r>
        <w:rPr>
          <w:rFonts w:ascii="Times New Roman" w:hAnsi="Times New Roman" w:eastAsia="宋体" w:cs="Times New Roman"/>
          <w:b/>
          <w:color w:val="auto"/>
          <w:kern w:val="2"/>
          <w:sz w:val="24"/>
          <w:szCs w:val="24"/>
          <w:u w:val="none" w:color="auto"/>
          <w:lang w:val="en-US" w:eastAsia="zh-CN" w:bidi="ar-SA"/>
        </w:rPr>
        <w:t>1.4.1</w:t>
      </w:r>
      <w:bookmarkEnd w:id="247"/>
      <w:bookmarkEnd w:id="248"/>
      <w:bookmarkEnd w:id="249"/>
      <w:bookmarkEnd w:id="250"/>
      <w:bookmarkEnd w:id="251"/>
      <w:bookmarkEnd w:id="252"/>
      <w:r>
        <w:rPr>
          <w:rFonts w:hint="eastAsia" w:ascii="Times New Roman" w:hAnsi="Times New Roman" w:eastAsia="宋体" w:cs="Times New Roman"/>
          <w:b/>
          <w:color w:val="auto"/>
          <w:kern w:val="2"/>
          <w:sz w:val="24"/>
          <w:szCs w:val="24"/>
          <w:u w:val="none" w:color="auto"/>
          <w:lang w:val="en-US" w:eastAsia="zh-CN" w:bidi="ar-SA"/>
        </w:rPr>
        <w:t>法律、法规文件</w:t>
      </w:r>
    </w:p>
    <w:p w14:paraId="005A535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（1）《中华人民共和国环境保护法》（2015年1月1日起施行）；</w:t>
      </w:r>
    </w:p>
    <w:p w14:paraId="722B077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（2）《中华人民共和国环境影响评价法》（2018年12月29日修正）；</w:t>
      </w:r>
    </w:p>
    <w:p w14:paraId="0C65DB1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（3）《中华人民共和国水污染防治法》（2018年1月1日起施行）；</w:t>
      </w:r>
    </w:p>
    <w:p w14:paraId="36E4AE4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（4）《中华人民共和国大气污染防治法》（2018年10月26日修正）；</w:t>
      </w:r>
    </w:p>
    <w:p w14:paraId="02445B7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（5）《中华人民共和国噪声污染防治法》（2022年6月5日修改）；</w:t>
      </w:r>
    </w:p>
    <w:p w14:paraId="74588AF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（6）</w:t>
      </w:r>
      <w:r>
        <w:rPr>
          <w:rFonts w:hint="default" w:ascii="Times New Roman" w:hAnsi="Times New Roman" w:eastAsia="宋体" w:cs="Times New Roman"/>
          <w:color w:val="auto"/>
          <w:spacing w:val="-6"/>
          <w:sz w:val="24"/>
          <w:szCs w:val="24"/>
          <w:u w:val="none" w:color="auto"/>
        </w:rPr>
        <w:t>《中华人民共和国固体废物污染环境防治法》（2020年9月1日起施行）；</w:t>
      </w:r>
    </w:p>
    <w:p w14:paraId="464C0661">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（7）《中华人民共和国野生动物保护法》（2018年10月26日修改）；</w:t>
      </w:r>
    </w:p>
    <w:p w14:paraId="7597AAD1">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（8）《中华人民共和国森林法》（2020年7月1日起施行）；</w:t>
      </w:r>
    </w:p>
    <w:p w14:paraId="62C97B3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（9）《中华人民共和国土地管理法》（2020年1月1日起施行）</w:t>
      </w:r>
    </w:p>
    <w:p w14:paraId="11F69C5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（10）《中华人民共和国水土保持法》（2010年12月25日修订）；</w:t>
      </w:r>
    </w:p>
    <w:p w14:paraId="5ACF365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（11）《中华人民共和国野生植物保护条例》（2017年10月7日修改）；</w:t>
      </w:r>
    </w:p>
    <w:p w14:paraId="5D4CF16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（12）《中华人民共和国陆生野生动物保护实施条例》（2016年2月6日</w:t>
      </w:r>
    </w:p>
    <w:p w14:paraId="5DA5876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修订）；</w:t>
      </w:r>
    </w:p>
    <w:p w14:paraId="198BC54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（13）《中华人民共和国森林法实施条例》（2018年3月19日起实施）；</w:t>
      </w:r>
    </w:p>
    <w:p w14:paraId="3EC4467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（14）《建设项目环境保护管理条例》（2017年10月1日起施行）；</w:t>
      </w:r>
    </w:p>
    <w:p w14:paraId="60EFE9C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（15）《湖南省环境保护条例》（2019年9月28日修订）；</w:t>
      </w:r>
    </w:p>
    <w:p w14:paraId="4DE00EB9">
      <w:pPr>
        <w:widowControl w:val="0"/>
        <w:adjustRightInd w:val="0"/>
        <w:snapToGrid w:val="0"/>
        <w:spacing w:line="360" w:lineRule="auto"/>
        <w:ind w:firstLine="480" w:firstLineChars="200"/>
        <w:jc w:val="both"/>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（16）《湖南省野生动植物资源保护条例》（2018年7月19日修正）；</w:t>
      </w:r>
    </w:p>
    <w:p w14:paraId="56B303CA">
      <w:pPr>
        <w:widowControl w:val="0"/>
        <w:adjustRightInd w:val="0"/>
        <w:snapToGrid w:val="0"/>
        <w:spacing w:line="360" w:lineRule="auto"/>
        <w:ind w:firstLine="480" w:firstLineChars="200"/>
        <w:jc w:val="both"/>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17</w:t>
      </w:r>
      <w:r>
        <w:rPr>
          <w:rFonts w:hint="eastAsia"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rPr>
        <w:t>《中华人民共和国自然保护区条例》</w:t>
      </w: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2017年修订</w:t>
      </w:r>
      <w:r>
        <w:rPr>
          <w:rFonts w:hint="eastAsia" w:ascii="Times New Roman" w:hAnsi="Times New Roman" w:eastAsia="宋体" w:cs="Times New Roman"/>
          <w:color w:val="auto"/>
          <w:sz w:val="24"/>
          <w:szCs w:val="24"/>
          <w:u w:val="none" w:color="auto"/>
          <w:lang w:eastAsia="zh-CN"/>
        </w:rPr>
        <w:t>）；</w:t>
      </w:r>
    </w:p>
    <w:p w14:paraId="6D03AA8D">
      <w:pPr>
        <w:widowControl w:val="0"/>
        <w:adjustRightInd w:val="0"/>
        <w:snapToGrid w:val="0"/>
        <w:spacing w:line="360" w:lineRule="auto"/>
        <w:ind w:firstLine="480" w:firstLineChars="200"/>
        <w:jc w:val="both"/>
        <w:rPr>
          <w:rFonts w:hint="eastAsia"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18</w:t>
      </w: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《岳阳市东洞庭湖国家级自然保护区条例》（2021年9月16日发布）；</w:t>
      </w:r>
    </w:p>
    <w:p w14:paraId="13B2C667">
      <w:pPr>
        <w:widowControl w:val="0"/>
        <w:adjustRightInd w:val="0"/>
        <w:snapToGrid w:val="0"/>
        <w:spacing w:line="360" w:lineRule="auto"/>
        <w:ind w:firstLine="480" w:firstLineChars="200"/>
        <w:jc w:val="both"/>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19</w:t>
      </w:r>
      <w:r>
        <w:rPr>
          <w:rFonts w:hint="eastAsia"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《湖南省洞庭湖保护条例》（2021年5月27日湖南省第十三届人民代表大会常务委员会第二十四次会议通过）；</w:t>
      </w:r>
    </w:p>
    <w:p w14:paraId="6903D07C">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u w:val="none" w:color="auto"/>
          <w:lang w:val="en-US" w:eastAsia="zh-CN" w:bidi="ar-SA"/>
        </w:rPr>
      </w:pPr>
      <w:r>
        <w:rPr>
          <w:rFonts w:ascii="Times New Roman" w:hAnsi="Times New Roman" w:eastAsia="宋体" w:cs="Times New Roman"/>
          <w:b/>
          <w:color w:val="auto"/>
          <w:kern w:val="2"/>
          <w:sz w:val="24"/>
          <w:szCs w:val="24"/>
          <w:u w:val="none" w:color="auto"/>
          <w:lang w:val="en-US" w:eastAsia="zh-CN" w:bidi="ar-SA"/>
        </w:rPr>
        <w:t>1.4.</w:t>
      </w:r>
      <w:r>
        <w:rPr>
          <w:rFonts w:hint="eastAsia" w:ascii="Times New Roman" w:hAnsi="Times New Roman" w:eastAsia="宋体" w:cs="Times New Roman"/>
          <w:b/>
          <w:color w:val="auto"/>
          <w:kern w:val="2"/>
          <w:sz w:val="24"/>
          <w:szCs w:val="24"/>
          <w:u w:val="none" w:color="auto"/>
          <w:lang w:val="en-US" w:eastAsia="zh-CN" w:bidi="ar-SA"/>
        </w:rPr>
        <w:t>2规章、规范性文件</w:t>
      </w:r>
    </w:p>
    <w:p w14:paraId="148A83A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（1）《建设项目使用林地审核审批管理办法》（国家林业局令35号，2015年5月1日实施）；</w:t>
      </w:r>
    </w:p>
    <w:p w14:paraId="571AB36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2</w:t>
      </w:r>
      <w:r>
        <w:rPr>
          <w:rFonts w:hint="default" w:ascii="Times New Roman" w:hAnsi="Times New Roman" w:eastAsia="宋体" w:cs="Times New Roman"/>
          <w:color w:val="auto"/>
          <w:sz w:val="24"/>
          <w:szCs w:val="24"/>
          <w:u w:val="none" w:color="auto"/>
        </w:rPr>
        <w:t>）《关于进一步加强生态保护工作的意见》（环发〔2007〕37号）；</w:t>
      </w:r>
    </w:p>
    <w:p w14:paraId="4FB8A5A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3</w:t>
      </w:r>
      <w:r>
        <w:rPr>
          <w:rFonts w:hint="default" w:ascii="Times New Roman" w:hAnsi="Times New Roman" w:eastAsia="宋体" w:cs="Times New Roman"/>
          <w:color w:val="auto"/>
          <w:sz w:val="24"/>
          <w:szCs w:val="24"/>
          <w:u w:val="none" w:color="auto"/>
        </w:rPr>
        <w:t>）</w:t>
      </w:r>
      <w:r>
        <w:rPr>
          <w:rFonts w:hint="default" w:ascii="Times New Roman" w:hAnsi="Times New Roman" w:eastAsia="宋体" w:cs="Times New Roman"/>
          <w:color w:val="auto"/>
          <w:spacing w:val="-6"/>
          <w:sz w:val="24"/>
          <w:szCs w:val="24"/>
          <w:u w:val="none" w:color="auto"/>
        </w:rPr>
        <w:t>（关于进一步加强建设项目环境保护管理工作的通知）（环发[2001]19号）；</w:t>
      </w:r>
    </w:p>
    <w:p w14:paraId="2164440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4</w:t>
      </w:r>
      <w:r>
        <w:rPr>
          <w:rFonts w:hint="default" w:ascii="Times New Roman" w:hAnsi="Times New Roman" w:eastAsia="宋体" w:cs="Times New Roman"/>
          <w:color w:val="auto"/>
          <w:sz w:val="24"/>
          <w:szCs w:val="24"/>
          <w:u w:val="none" w:color="auto"/>
        </w:rPr>
        <w:t>）《湖南省生态保护红线划定工作方案》（湘环发〔2016〕9号）；</w:t>
      </w:r>
    </w:p>
    <w:p w14:paraId="09B062B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5</w:t>
      </w:r>
      <w:r>
        <w:rPr>
          <w:rFonts w:hint="default" w:ascii="Times New Roman" w:hAnsi="Times New Roman" w:eastAsia="宋体" w:cs="Times New Roman"/>
          <w:color w:val="auto"/>
          <w:sz w:val="24"/>
          <w:szCs w:val="24"/>
          <w:u w:val="none" w:color="auto"/>
        </w:rPr>
        <w:t>）《湖南省建设项目环境保护管理办法》（2007年10月1日起施行）；</w:t>
      </w:r>
    </w:p>
    <w:p w14:paraId="1AA8C65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6</w:t>
      </w:r>
      <w:r>
        <w:rPr>
          <w:rFonts w:hint="default" w:ascii="Times New Roman" w:hAnsi="Times New Roman" w:eastAsia="宋体" w:cs="Times New Roman"/>
          <w:color w:val="auto"/>
          <w:sz w:val="24"/>
          <w:szCs w:val="24"/>
          <w:u w:val="none" w:color="auto"/>
        </w:rPr>
        <w:t>）</w:t>
      </w:r>
      <w:r>
        <w:rPr>
          <w:rFonts w:hint="default" w:ascii="Times New Roman" w:hAnsi="Times New Roman" w:eastAsia="宋体" w:cs="Times New Roman"/>
          <w:color w:val="auto"/>
          <w:spacing w:val="-6"/>
          <w:sz w:val="24"/>
          <w:szCs w:val="24"/>
          <w:u w:val="none" w:color="auto"/>
        </w:rPr>
        <w:t>《湖南省实施〈中华人民共和国水土保持法〉办法》（2018年7月修订）；</w:t>
      </w:r>
    </w:p>
    <w:p w14:paraId="4B42ED8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7</w:t>
      </w:r>
      <w:r>
        <w:rPr>
          <w:rFonts w:hint="default" w:ascii="Times New Roman" w:hAnsi="Times New Roman" w:eastAsia="宋体" w:cs="Times New Roman"/>
          <w:color w:val="auto"/>
          <w:sz w:val="24"/>
          <w:szCs w:val="24"/>
          <w:u w:val="none" w:color="auto"/>
        </w:rPr>
        <w:t>）《湖南省古树名木保护办法》（2022年3月12日施行）</w:t>
      </w:r>
      <w:r>
        <w:rPr>
          <w:rFonts w:hint="eastAsia" w:cs="Times New Roman"/>
          <w:color w:val="auto"/>
          <w:sz w:val="24"/>
          <w:szCs w:val="24"/>
          <w:u w:val="none" w:color="auto"/>
          <w:lang w:eastAsia="zh-CN"/>
        </w:rPr>
        <w:t>；</w:t>
      </w:r>
    </w:p>
    <w:p w14:paraId="310E6E89">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u w:val="none" w:color="auto"/>
          <w:lang w:val="en-US" w:eastAsia="zh-CN" w:bidi="ar-SA"/>
        </w:rPr>
      </w:pPr>
      <w:r>
        <w:rPr>
          <w:rFonts w:hint="eastAsia" w:ascii="Times New Roman" w:hAnsi="Times New Roman" w:eastAsia="宋体" w:cs="Times New Roman"/>
          <w:color w:val="auto"/>
          <w:kern w:val="2"/>
          <w:sz w:val="24"/>
          <w:szCs w:val="24"/>
          <w:u w:val="none" w:color="auto"/>
          <w:lang w:val="en-US" w:eastAsia="zh-CN" w:bidi="ar-SA"/>
        </w:rPr>
        <w:t>（8）</w:t>
      </w:r>
      <w:r>
        <w:rPr>
          <w:rFonts w:ascii="Times New Roman" w:hAnsi="Times New Roman" w:eastAsia="宋体" w:cs="Times New Roman"/>
          <w:color w:val="auto"/>
          <w:kern w:val="2"/>
          <w:sz w:val="24"/>
          <w:szCs w:val="24"/>
          <w:u w:val="none" w:color="auto"/>
          <w:lang w:val="en-US" w:eastAsia="zh-CN" w:bidi="ar-SA"/>
        </w:rPr>
        <w:t>《国家重点保护野生动物名录》</w:t>
      </w:r>
      <w:r>
        <w:rPr>
          <w:rFonts w:hint="eastAsia" w:ascii="Times New Roman" w:hAnsi="Times New Roman" w:eastAsia="宋体" w:cs="Times New Roman"/>
          <w:color w:val="auto"/>
          <w:kern w:val="2"/>
          <w:sz w:val="24"/>
          <w:szCs w:val="24"/>
          <w:u w:val="none" w:color="auto"/>
          <w:lang w:val="en-US" w:eastAsia="zh-CN" w:bidi="ar-SA"/>
        </w:rPr>
        <w:t>，</w:t>
      </w:r>
      <w:r>
        <w:rPr>
          <w:rFonts w:ascii="Times New Roman" w:hAnsi="Times New Roman" w:eastAsia="宋体" w:cs="Times New Roman"/>
          <w:color w:val="auto"/>
          <w:kern w:val="2"/>
          <w:sz w:val="24"/>
          <w:szCs w:val="24"/>
          <w:u w:val="none" w:color="auto"/>
          <w:lang w:val="en-US" w:eastAsia="zh-CN" w:bidi="ar-SA"/>
        </w:rPr>
        <w:t>2021年2月11日施行</w:t>
      </w:r>
      <w:r>
        <w:rPr>
          <w:rFonts w:hint="eastAsia" w:ascii="Times New Roman" w:hAnsi="Times New Roman" w:eastAsia="宋体" w:cs="Times New Roman"/>
          <w:color w:val="auto"/>
          <w:kern w:val="2"/>
          <w:sz w:val="24"/>
          <w:szCs w:val="24"/>
          <w:u w:val="none" w:color="auto"/>
          <w:lang w:val="en-US" w:eastAsia="zh-CN" w:bidi="ar-SA"/>
        </w:rPr>
        <w:t>；</w:t>
      </w:r>
    </w:p>
    <w:p w14:paraId="51C23DB1">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default" w:ascii="Times New Roman" w:hAnsi="Times New Roman" w:eastAsia="宋体" w:cs="Times New Roman"/>
          <w:b/>
          <w:color w:val="auto"/>
          <w:kern w:val="2"/>
          <w:sz w:val="24"/>
          <w:szCs w:val="24"/>
          <w:u w:val="none" w:color="auto"/>
          <w:lang w:val="en-US" w:eastAsia="zh-CN" w:bidi="ar-SA"/>
        </w:rPr>
        <w:t>1.</w:t>
      </w:r>
      <w:r>
        <w:rPr>
          <w:rFonts w:hint="eastAsia" w:ascii="Times New Roman" w:hAnsi="Times New Roman" w:eastAsia="宋体" w:cs="Times New Roman"/>
          <w:b/>
          <w:color w:val="auto"/>
          <w:kern w:val="2"/>
          <w:sz w:val="24"/>
          <w:szCs w:val="24"/>
          <w:u w:val="none" w:color="auto"/>
          <w:lang w:val="en-US" w:eastAsia="zh-CN" w:bidi="ar-SA"/>
        </w:rPr>
        <w:t>4</w:t>
      </w:r>
      <w:r>
        <w:rPr>
          <w:rFonts w:hint="default" w:ascii="Times New Roman" w:hAnsi="Times New Roman" w:eastAsia="宋体" w:cs="Times New Roman"/>
          <w:b/>
          <w:color w:val="auto"/>
          <w:kern w:val="2"/>
          <w:sz w:val="24"/>
          <w:szCs w:val="24"/>
          <w:u w:val="none" w:color="auto"/>
          <w:lang w:val="en-US" w:eastAsia="zh-CN" w:bidi="ar-SA"/>
        </w:rPr>
        <w:t>.3区划、规划</w:t>
      </w:r>
    </w:p>
    <w:p w14:paraId="333F220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（1）《全国生态环境保护纲要》（国务院2000年11月26日）；</w:t>
      </w:r>
    </w:p>
    <w:p w14:paraId="4A025A9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（2）《全国生态功能区划》（修编）（2015年11月）；</w:t>
      </w:r>
    </w:p>
    <w:p w14:paraId="1AF95BC5">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（3）《全国生态脆弱区保护规划纲要》（2008年9月）</w:t>
      </w:r>
    </w:p>
    <w:p w14:paraId="46C0300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（4）《全国主体功能区规划》（国发〔2010〕46号）；</w:t>
      </w:r>
    </w:p>
    <w:p w14:paraId="14A0D30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（5）《中国生物多样性保护战略与行动计划》（2011~2030年）；</w:t>
      </w:r>
    </w:p>
    <w:p w14:paraId="21BBB85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6</w:t>
      </w:r>
      <w:r>
        <w:rPr>
          <w:rFonts w:hint="default" w:ascii="Times New Roman" w:hAnsi="Times New Roman" w:eastAsia="宋体" w:cs="Times New Roman"/>
          <w:color w:val="auto"/>
          <w:sz w:val="24"/>
          <w:szCs w:val="24"/>
          <w:u w:val="none" w:color="auto"/>
        </w:rPr>
        <w:t>）《湖南省主体功能区规划》（2012年11月17日）；</w:t>
      </w:r>
    </w:p>
    <w:p w14:paraId="0A4EA69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7</w:t>
      </w:r>
      <w:r>
        <w:rPr>
          <w:rFonts w:hint="default" w:ascii="Times New Roman" w:hAnsi="Times New Roman" w:eastAsia="宋体" w:cs="Times New Roman"/>
          <w:color w:val="auto"/>
          <w:sz w:val="24"/>
          <w:szCs w:val="24"/>
          <w:u w:val="none" w:color="auto"/>
        </w:rPr>
        <w:t>）《湖南省生态功能区划》（2005年11月）；</w:t>
      </w:r>
    </w:p>
    <w:p w14:paraId="36B3B38C">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default" w:ascii="Times New Roman" w:hAnsi="Times New Roman" w:eastAsia="宋体" w:cs="Times New Roman"/>
          <w:b/>
          <w:color w:val="auto"/>
          <w:kern w:val="2"/>
          <w:sz w:val="24"/>
          <w:szCs w:val="24"/>
          <w:u w:val="none" w:color="auto"/>
          <w:lang w:val="en-US" w:eastAsia="zh-CN" w:bidi="ar-SA"/>
        </w:rPr>
        <w:t>1.</w:t>
      </w:r>
      <w:r>
        <w:rPr>
          <w:rFonts w:hint="eastAsia" w:ascii="Times New Roman" w:hAnsi="Times New Roman" w:eastAsia="宋体" w:cs="Times New Roman"/>
          <w:b/>
          <w:color w:val="auto"/>
          <w:kern w:val="2"/>
          <w:sz w:val="24"/>
          <w:szCs w:val="24"/>
          <w:u w:val="none" w:color="auto"/>
          <w:lang w:val="en-US" w:eastAsia="zh-CN" w:bidi="ar-SA"/>
        </w:rPr>
        <w:t>4</w:t>
      </w:r>
      <w:r>
        <w:rPr>
          <w:rFonts w:hint="default" w:ascii="Times New Roman" w:hAnsi="Times New Roman" w:eastAsia="宋体" w:cs="Times New Roman"/>
          <w:b/>
          <w:color w:val="auto"/>
          <w:kern w:val="2"/>
          <w:sz w:val="24"/>
          <w:szCs w:val="24"/>
          <w:u w:val="none" w:color="auto"/>
          <w:lang w:val="en-US" w:eastAsia="zh-CN" w:bidi="ar-SA"/>
        </w:rPr>
        <w:t>.</w:t>
      </w:r>
      <w:r>
        <w:rPr>
          <w:rFonts w:hint="eastAsia" w:ascii="Times New Roman" w:hAnsi="Times New Roman" w:eastAsia="宋体" w:cs="Times New Roman"/>
          <w:b/>
          <w:color w:val="auto"/>
          <w:kern w:val="2"/>
          <w:sz w:val="24"/>
          <w:szCs w:val="24"/>
          <w:u w:val="none" w:color="auto"/>
          <w:lang w:val="en-US" w:eastAsia="zh-CN" w:bidi="ar-SA"/>
        </w:rPr>
        <w:t>4导则、标准、技术规范</w:t>
      </w:r>
    </w:p>
    <w:p w14:paraId="2E64A44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（1）《建设项目环境影响评价技术导则</w:t>
      </w:r>
      <w:r>
        <w:rPr>
          <w:rFonts w:hint="eastAsia" w:ascii="Times New Roman" w:hAnsi="Times New Roman" w:eastAsia="宋体" w:cs="Times New Roman"/>
          <w:color w:val="auto"/>
          <w:sz w:val="24"/>
          <w:szCs w:val="24"/>
          <w:u w:val="none" w:color="auto"/>
          <w:lang w:val="en-US" w:eastAsia="zh-CN"/>
        </w:rPr>
        <w:t xml:space="preserve"> </w:t>
      </w:r>
      <w:r>
        <w:rPr>
          <w:rFonts w:hint="default" w:ascii="Times New Roman" w:hAnsi="Times New Roman" w:eastAsia="宋体" w:cs="Times New Roman"/>
          <w:color w:val="auto"/>
          <w:sz w:val="24"/>
          <w:szCs w:val="24"/>
          <w:u w:val="none" w:color="auto"/>
        </w:rPr>
        <w:t>总纲》（HJ2.1-2016）；</w:t>
      </w:r>
    </w:p>
    <w:p w14:paraId="417819C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（2）《环境影响评价技术导则</w:t>
      </w:r>
      <w:r>
        <w:rPr>
          <w:rFonts w:hint="eastAsia" w:ascii="Times New Roman" w:hAnsi="Times New Roman" w:eastAsia="宋体" w:cs="Times New Roman"/>
          <w:color w:val="auto"/>
          <w:sz w:val="24"/>
          <w:szCs w:val="24"/>
          <w:u w:val="none" w:color="auto"/>
          <w:lang w:val="en-US" w:eastAsia="zh-CN"/>
        </w:rPr>
        <w:t xml:space="preserve"> </w:t>
      </w:r>
      <w:r>
        <w:rPr>
          <w:rFonts w:hint="default" w:ascii="Times New Roman" w:hAnsi="Times New Roman" w:eastAsia="宋体" w:cs="Times New Roman"/>
          <w:color w:val="auto"/>
          <w:sz w:val="24"/>
          <w:szCs w:val="24"/>
          <w:u w:val="none" w:color="auto"/>
        </w:rPr>
        <w:t>生态影响》（HJ19-2022）；</w:t>
      </w:r>
    </w:p>
    <w:p w14:paraId="2070042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eastAsia="宋体" w:cs="Times New Roman"/>
          <w:color w:val="auto"/>
          <w:sz w:val="24"/>
          <w:szCs w:val="24"/>
          <w:u w:val="none" w:color="auto"/>
          <w:lang w:val="en-US" w:eastAsia="zh-CN"/>
        </w:rPr>
        <w:t>3</w:t>
      </w:r>
      <w:r>
        <w:rPr>
          <w:rFonts w:hint="default" w:ascii="Times New Roman" w:hAnsi="Times New Roman" w:eastAsia="宋体" w:cs="Times New Roman"/>
          <w:color w:val="auto"/>
          <w:sz w:val="24"/>
          <w:szCs w:val="24"/>
          <w:u w:val="none" w:color="auto"/>
        </w:rPr>
        <w:t>）《土地利用现状分类》（GB/T21010-2017）；</w:t>
      </w:r>
    </w:p>
    <w:p w14:paraId="0C4078E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eastAsia="宋体" w:cs="Times New Roman"/>
          <w:color w:val="auto"/>
          <w:sz w:val="24"/>
          <w:szCs w:val="24"/>
          <w:u w:val="none" w:color="auto"/>
          <w:lang w:val="en-US" w:eastAsia="zh-CN"/>
        </w:rPr>
        <w:t>4</w:t>
      </w:r>
      <w:r>
        <w:rPr>
          <w:rFonts w:hint="default" w:ascii="Times New Roman" w:hAnsi="Times New Roman" w:eastAsia="宋体" w:cs="Times New Roman"/>
          <w:color w:val="auto"/>
          <w:sz w:val="24"/>
          <w:szCs w:val="24"/>
          <w:u w:val="none" w:color="auto"/>
        </w:rPr>
        <w:t>）《生态环境状况评价技术规范》（HJ192-2015）；</w:t>
      </w:r>
    </w:p>
    <w:p w14:paraId="18CE6D8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eastAsia="宋体" w:cs="Times New Roman"/>
          <w:color w:val="auto"/>
          <w:sz w:val="24"/>
          <w:szCs w:val="24"/>
          <w:u w:val="none" w:color="auto"/>
          <w:lang w:val="en-US" w:eastAsia="zh-CN"/>
        </w:rPr>
        <w:t>5</w:t>
      </w:r>
      <w:r>
        <w:rPr>
          <w:rFonts w:hint="default" w:ascii="Times New Roman" w:hAnsi="Times New Roman" w:eastAsia="宋体" w:cs="Times New Roman"/>
          <w:color w:val="auto"/>
          <w:sz w:val="24"/>
          <w:szCs w:val="24"/>
          <w:u w:val="none" w:color="auto"/>
        </w:rPr>
        <w:t>）《全国植物物种资源调查技术规定（试行）》（公告2010年第27号）；</w:t>
      </w:r>
    </w:p>
    <w:p w14:paraId="32CDB6A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r>
        <w:rPr>
          <w:rFonts w:hint="eastAsia" w:eastAsia="宋体" w:cs="Times New Roman"/>
          <w:color w:val="auto"/>
          <w:sz w:val="24"/>
          <w:szCs w:val="24"/>
          <w:u w:val="none" w:color="auto"/>
          <w:lang w:val="en-US" w:eastAsia="zh-CN"/>
        </w:rPr>
        <w:t>6</w:t>
      </w:r>
      <w:r>
        <w:rPr>
          <w:rFonts w:hint="default" w:ascii="Times New Roman" w:hAnsi="Times New Roman" w:eastAsia="宋体" w:cs="Times New Roman"/>
          <w:color w:val="auto"/>
          <w:sz w:val="24"/>
          <w:szCs w:val="24"/>
          <w:u w:val="none" w:color="auto"/>
        </w:rPr>
        <w:t>）《全国动物物种资源调查技术规定（试行）》（公告2010年第27号）；</w:t>
      </w:r>
    </w:p>
    <w:p w14:paraId="6CCD2FDF">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1.4.5相关技术材料</w:t>
      </w:r>
    </w:p>
    <w:p w14:paraId="087D40E1">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1</w:t>
      </w: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w:t>
      </w:r>
      <w:r>
        <w:rPr>
          <w:rFonts w:hint="eastAsia" w:ascii="Times New Roman" w:hAnsi="Times New Roman" w:eastAsia="宋体" w:cs="Times New Roman"/>
          <w:color w:val="auto"/>
          <w:sz w:val="24"/>
          <w:szCs w:val="24"/>
          <w:u w:val="none" w:color="auto"/>
          <w:lang w:val="en-US" w:eastAsia="zh-CN"/>
        </w:rPr>
        <w:t>华容县</w:t>
      </w:r>
      <w:r>
        <w:rPr>
          <w:rFonts w:hint="eastAsia" w:ascii="Times New Roman" w:hAnsi="Times New Roman" w:eastAsia="宋体" w:cs="宋体"/>
          <w:bCs/>
          <w:color w:val="auto"/>
          <w:sz w:val="24"/>
          <w:szCs w:val="21"/>
          <w:u w:val="none" w:color="auto"/>
          <w:lang w:val="en-US" w:eastAsia="zh-CN"/>
        </w:rPr>
        <w:t>团洲垸灾后重建安置房基础设施配套建设项目</w:t>
      </w:r>
      <w:r>
        <w:rPr>
          <w:rFonts w:hint="eastAsia" w:ascii="Times New Roman" w:hAnsi="Times New Roman" w:eastAsia="宋体" w:cs="Times New Roman"/>
          <w:color w:val="auto"/>
          <w:sz w:val="24"/>
          <w:szCs w:val="24"/>
          <w:u w:val="none" w:color="auto"/>
          <w:lang w:val="en-US" w:eastAsia="zh-CN"/>
        </w:rPr>
        <w:t>可行性研究报告</w:t>
      </w:r>
      <w:r>
        <w:rPr>
          <w:rFonts w:hint="default" w:ascii="Times New Roman" w:hAnsi="Times New Roman" w:eastAsia="宋体" w:cs="Times New Roman"/>
          <w:color w:val="auto"/>
          <w:sz w:val="24"/>
          <w:szCs w:val="24"/>
          <w:u w:val="none" w:color="auto"/>
          <w:lang w:val="en-US" w:eastAsia="zh-CN"/>
        </w:rPr>
        <w:t>》；</w:t>
      </w:r>
    </w:p>
    <w:p w14:paraId="0140A8C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2</w:t>
      </w:r>
      <w:r>
        <w:rPr>
          <w:rFonts w:hint="eastAsia" w:ascii="Times New Roman" w:hAnsi="Times New Roman" w:eastAsia="宋体" w:cs="Times New Roman"/>
          <w:color w:val="auto"/>
          <w:sz w:val="24"/>
          <w:szCs w:val="24"/>
          <w:u w:val="none" w:color="auto"/>
          <w:lang w:val="en-US" w:eastAsia="zh-CN"/>
        </w:rPr>
        <w:t>）华容县发展和改革局“关于</w:t>
      </w:r>
      <w:r>
        <w:rPr>
          <w:rFonts w:hint="eastAsia" w:ascii="Times New Roman" w:hAnsi="Times New Roman" w:eastAsia="宋体" w:cs="宋体"/>
          <w:bCs/>
          <w:color w:val="auto"/>
          <w:sz w:val="24"/>
          <w:szCs w:val="21"/>
          <w:u w:val="none" w:color="auto"/>
          <w:lang w:val="en-US" w:eastAsia="zh-CN"/>
        </w:rPr>
        <w:t>团洲垸灾后重建安置房基础设施配套建设项目</w:t>
      </w:r>
      <w:r>
        <w:rPr>
          <w:rFonts w:hint="eastAsia" w:ascii="Times New Roman" w:hAnsi="Times New Roman" w:eastAsia="宋体" w:cs="Times New Roman"/>
          <w:color w:val="auto"/>
          <w:sz w:val="24"/>
          <w:szCs w:val="24"/>
          <w:u w:val="none" w:color="auto"/>
          <w:lang w:val="en-US" w:eastAsia="zh-CN"/>
        </w:rPr>
        <w:t>可行性研究报告的批复”</w:t>
      </w:r>
      <w:r>
        <w:rPr>
          <w:rFonts w:hint="default" w:ascii="Times New Roman" w:hAnsi="Times New Roman" w:eastAsia="宋体" w:cs="Times New Roman"/>
          <w:color w:val="auto"/>
          <w:sz w:val="24"/>
          <w:szCs w:val="24"/>
          <w:u w:val="none" w:color="auto"/>
          <w:lang w:val="en-US" w:eastAsia="zh-CN"/>
        </w:rPr>
        <w:t>；</w:t>
      </w:r>
    </w:p>
    <w:p w14:paraId="3C787641">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eastAsia="zh-CN"/>
        </w:rPr>
        <w:t>（</w:t>
      </w:r>
      <w:r>
        <w:rPr>
          <w:rFonts w:hint="eastAsia" w:ascii="Times New Roman" w:hAnsi="Times New Roman" w:eastAsia="宋体" w:cs="Times New Roman"/>
          <w:color w:val="auto"/>
          <w:sz w:val="24"/>
          <w:szCs w:val="24"/>
          <w:u w:val="none" w:color="auto"/>
          <w:lang w:val="en-US" w:eastAsia="zh-CN"/>
        </w:rPr>
        <w:t>3</w:t>
      </w: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项目建设单位提供的其他相关资料。</w:t>
      </w:r>
    </w:p>
    <w:p w14:paraId="451EA820">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default" w:ascii="Times New Roman" w:hAnsi="Times New Roman" w:eastAsia="宋体" w:cs="Times New Roman"/>
          <w:b/>
          <w:color w:val="auto"/>
          <w:kern w:val="2"/>
          <w:sz w:val="24"/>
          <w:szCs w:val="24"/>
          <w:u w:val="none" w:color="auto"/>
          <w:lang w:val="en-US" w:eastAsia="zh-CN" w:bidi="ar-SA"/>
        </w:rPr>
        <w:t>1.</w:t>
      </w:r>
      <w:r>
        <w:rPr>
          <w:rFonts w:hint="eastAsia" w:ascii="Times New Roman" w:hAnsi="Times New Roman" w:eastAsia="宋体" w:cs="Times New Roman"/>
          <w:b/>
          <w:color w:val="auto"/>
          <w:kern w:val="2"/>
          <w:sz w:val="24"/>
          <w:szCs w:val="24"/>
          <w:u w:val="none" w:color="auto"/>
          <w:lang w:val="en-US" w:eastAsia="zh-CN" w:bidi="ar-SA"/>
        </w:rPr>
        <w:t>4</w:t>
      </w:r>
      <w:r>
        <w:rPr>
          <w:rFonts w:hint="default" w:ascii="Times New Roman" w:hAnsi="Times New Roman" w:eastAsia="宋体" w:cs="Times New Roman"/>
          <w:b/>
          <w:color w:val="auto"/>
          <w:kern w:val="2"/>
          <w:sz w:val="24"/>
          <w:szCs w:val="24"/>
          <w:u w:val="none" w:color="auto"/>
          <w:lang w:val="en-US" w:eastAsia="zh-CN" w:bidi="ar-SA"/>
        </w:rPr>
        <w:t>.6参考资料</w:t>
      </w:r>
    </w:p>
    <w:p w14:paraId="7F81AD0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（1）《中国植被》（科学出版社，1980年）；</w:t>
      </w:r>
    </w:p>
    <w:p w14:paraId="61C3DEE7">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（2）《中国植物志》（科学出版社，1959-2004年）；</w:t>
      </w:r>
    </w:p>
    <w:p w14:paraId="13DEA8D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（3）《中国高等植物图鉴》（科学出版社，1972-1983年）；</w:t>
      </w:r>
    </w:p>
    <w:p w14:paraId="2C68D0A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（4）《中国动物地理区划》（科学出版社，2011年）；</w:t>
      </w:r>
    </w:p>
    <w:p w14:paraId="3BD09DF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（5）《中国动物志》（两栖纲、爬行纲、鸟纲、哺乳纲）（科学出版社，1978-2009年）；</w:t>
      </w:r>
    </w:p>
    <w:p w14:paraId="6805F7A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（6）《中国两栖动物图鉴》（费梁，1999年）；</w:t>
      </w:r>
    </w:p>
    <w:p w14:paraId="107F7B2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（7）《中国两栖纲和爬行纲动物校正名录》（赵尔宓，张学文等，2000年）；</w:t>
      </w:r>
    </w:p>
    <w:p w14:paraId="2AE8CA0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（8）《中国爬行动物图鉴》（中国野生动物保护协会，2002年）；</w:t>
      </w:r>
    </w:p>
    <w:p w14:paraId="07858C6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（9）《中国鸟类图鉴》（中国野生动物保护协会，1995年）；</w:t>
      </w:r>
    </w:p>
    <w:p w14:paraId="1C69699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（10）《中国鸟类分类与分布名录（第二版）》（科学出版社，2011年）；</w:t>
      </w:r>
    </w:p>
    <w:p w14:paraId="72B0B0D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（11）《中国兽类野外手册》（湖南教育出版社，2009年）；</w:t>
      </w:r>
    </w:p>
    <w:p w14:paraId="268CC24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（12）《中国哺乳动物种和亚种分类名录与分布大全》（中国林业出版社，2003年）；</w:t>
      </w:r>
    </w:p>
    <w:p w14:paraId="13DE866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（13）《中国珍稀濒危保护植物名录（第一册）》（1987年2月）；</w:t>
      </w:r>
    </w:p>
    <w:p w14:paraId="0587543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（14）《中国濒危珍惜动物名录》（2010年10月15日）；</w:t>
      </w:r>
    </w:p>
    <w:p w14:paraId="39164EAA">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（15）《国家重点保护野生植物名录》（2021年8月7日施行）；</w:t>
      </w:r>
    </w:p>
    <w:p w14:paraId="1B43570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（16）《国家重点保护野生动物名录》（2021年2月5日修订）。</w:t>
      </w:r>
    </w:p>
    <w:p w14:paraId="7B746D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（17）《湖南省地方重点保护野生动物名录》（2002年9月修订）；</w:t>
      </w:r>
    </w:p>
    <w:p w14:paraId="0637A2E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（18）《湖南省地方重点保护野生植物名录》（2002年9月修订）；</w:t>
      </w:r>
    </w:p>
    <w:p w14:paraId="11FDC15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（19）《湖南植被》（湖南科学技术出版社，1990年）；</w:t>
      </w:r>
    </w:p>
    <w:p w14:paraId="42582D65">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（20）《湖南植物志》（湖南科学技术出版社，2000年）；</w:t>
      </w:r>
    </w:p>
    <w:p w14:paraId="6769E64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（21）《湖南树木志》（湖南科技出版社，2000年）；</w:t>
      </w:r>
    </w:p>
    <w:p w14:paraId="35926F45">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（22）《湖南种子植物总览》（湖南科学技术出版，2002年）；</w:t>
      </w:r>
    </w:p>
    <w:p w14:paraId="1734B85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（23）《湖南动物志·两栖纲》（湖南科学技术出版社，2014年）；</w:t>
      </w:r>
    </w:p>
    <w:p w14:paraId="69239F9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（24）《湖南动物志·爬行纲》（湖南科学技术出版社，2014年）；</w:t>
      </w:r>
    </w:p>
    <w:p w14:paraId="378981E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（25）《湖南动物志·鸟纲雀形目》（湖南科学技术出版社，2013年）；</w:t>
      </w:r>
    </w:p>
    <w:p w14:paraId="320DF8B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（26）《湖南省野生动物资源概况》（张启湘，易伐桂，1996年）；</w:t>
      </w:r>
    </w:p>
    <w:p w14:paraId="75DB1957">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（27）《湖南省爬行动物区系与地理区划》（邓学建，叶贻云，1998年）；</w:t>
      </w:r>
    </w:p>
    <w:p w14:paraId="4F43C0C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（28）《湖南省生物多样性调查和评价研究报告》（长沙环境保护职业技术学院，2010年1月）；</w:t>
      </w:r>
    </w:p>
    <w:p w14:paraId="2DCEA98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（29）《湖南省鸟类迁徙通道示意图》（邓学建）；</w:t>
      </w:r>
    </w:p>
    <w:p w14:paraId="5B43FE3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（30）《我国森林植被的生物量和净生产量》（方精云，刘国华，徐蒿龄，1996年）。</w:t>
      </w:r>
    </w:p>
    <w:p w14:paraId="30481B70">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u w:val="none" w:color="auto"/>
          <w:lang w:val="en-US" w:eastAsia="zh-CN" w:bidi="ar-SA"/>
        </w:rPr>
      </w:pPr>
      <w:bookmarkStart w:id="253" w:name="_Toc21178"/>
      <w:bookmarkStart w:id="254" w:name="_Toc28262"/>
      <w:bookmarkStart w:id="255" w:name="_Toc5241"/>
      <w:bookmarkStart w:id="256" w:name="_Toc31579"/>
      <w:bookmarkStart w:id="257" w:name="_Toc32261"/>
      <w:bookmarkStart w:id="258" w:name="_Toc2781"/>
      <w:bookmarkStart w:id="259" w:name="_Toc32210"/>
      <w:bookmarkStart w:id="260" w:name="_Toc29023"/>
      <w:bookmarkStart w:id="261" w:name="_Toc7522"/>
      <w:bookmarkStart w:id="262" w:name="_Toc25138"/>
      <w:bookmarkStart w:id="263" w:name="_Toc1968"/>
      <w:bookmarkStart w:id="264" w:name="_Toc26945"/>
      <w:r>
        <w:rPr>
          <w:rFonts w:ascii="Times New Roman" w:hAnsi="Times New Roman" w:eastAsia="宋体" w:cs="Times New Roman"/>
          <w:b/>
          <w:bCs/>
          <w:color w:val="auto"/>
          <w:kern w:val="2"/>
          <w:sz w:val="28"/>
          <w:szCs w:val="28"/>
          <w:u w:val="none" w:color="auto"/>
          <w:lang w:val="en-US" w:eastAsia="zh-CN" w:bidi="ar-SA"/>
        </w:rPr>
        <w:t>1.5生态环境评价工作等级及范围</w:t>
      </w:r>
      <w:bookmarkEnd w:id="253"/>
      <w:bookmarkEnd w:id="254"/>
      <w:bookmarkEnd w:id="255"/>
      <w:bookmarkEnd w:id="256"/>
      <w:bookmarkEnd w:id="257"/>
      <w:bookmarkEnd w:id="258"/>
      <w:bookmarkEnd w:id="259"/>
      <w:bookmarkEnd w:id="260"/>
      <w:bookmarkEnd w:id="261"/>
      <w:bookmarkEnd w:id="262"/>
      <w:bookmarkEnd w:id="263"/>
      <w:bookmarkEnd w:id="264"/>
    </w:p>
    <w:p w14:paraId="5ED7E153">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u w:val="none" w:color="auto"/>
          <w:lang w:val="en-US" w:eastAsia="zh-CN" w:bidi="ar-SA"/>
        </w:rPr>
      </w:pPr>
      <w:bookmarkStart w:id="265" w:name="_Toc27738"/>
      <w:bookmarkStart w:id="266" w:name="_Toc18529"/>
      <w:bookmarkStart w:id="267" w:name="_Toc6365"/>
      <w:bookmarkStart w:id="268" w:name="_Toc30661"/>
      <w:bookmarkStart w:id="269" w:name="_Toc22349"/>
      <w:bookmarkStart w:id="270" w:name="_Toc27312"/>
      <w:bookmarkStart w:id="271" w:name="_Toc5193"/>
      <w:bookmarkStart w:id="272" w:name="_Toc19091"/>
      <w:r>
        <w:rPr>
          <w:rFonts w:ascii="Times New Roman" w:hAnsi="Times New Roman" w:eastAsia="宋体" w:cs="Times New Roman"/>
          <w:b/>
          <w:color w:val="auto"/>
          <w:kern w:val="2"/>
          <w:sz w:val="24"/>
          <w:szCs w:val="24"/>
          <w:u w:val="none" w:color="auto"/>
          <w:lang w:val="en-US" w:eastAsia="zh-CN" w:bidi="ar-SA"/>
        </w:rPr>
        <w:t>1.5.1评价工作等级</w:t>
      </w:r>
      <w:bookmarkEnd w:id="265"/>
      <w:bookmarkEnd w:id="266"/>
      <w:bookmarkEnd w:id="267"/>
      <w:bookmarkEnd w:id="268"/>
      <w:bookmarkEnd w:id="269"/>
      <w:bookmarkEnd w:id="270"/>
      <w:bookmarkEnd w:id="271"/>
      <w:bookmarkEnd w:id="272"/>
    </w:p>
    <w:p w14:paraId="7DB76AEC">
      <w:pPr>
        <w:widowControl/>
        <w:adjustRightInd/>
        <w:snapToGrid/>
        <w:spacing w:line="360" w:lineRule="auto"/>
        <w:ind w:firstLine="480" w:firstLineChars="200"/>
        <w:rPr>
          <w:rFonts w:ascii="Times New Roman" w:hAnsi="Times New Roman" w:eastAsia="宋体" w:cs="Times New Roman"/>
          <w:color w:val="auto"/>
          <w:sz w:val="24"/>
          <w:u w:val="none" w:color="auto"/>
        </w:rPr>
      </w:pPr>
      <w:r>
        <w:rPr>
          <w:rFonts w:ascii="Times New Roman" w:hAnsi="Times New Roman" w:eastAsia="宋体" w:cs="Times New Roman"/>
          <w:color w:val="auto"/>
          <w:sz w:val="24"/>
          <w:u w:val="none" w:color="auto"/>
        </w:rPr>
        <w:t>根据《环境影响评价技术导则-生态影响》（HJ19-2022），依据建设项目影响区域的生态敏感性和影响程度判定生态影响评价等级。</w:t>
      </w:r>
    </w:p>
    <w:p w14:paraId="6AA9FE5E">
      <w:pPr>
        <w:autoSpaceDE w:val="0"/>
        <w:autoSpaceDN w:val="0"/>
        <w:adjustRightInd/>
        <w:snapToGrid/>
        <w:spacing w:line="240" w:lineRule="auto"/>
        <w:ind w:firstLine="0" w:firstLineChars="0"/>
        <w:jc w:val="center"/>
        <w:rPr>
          <w:rFonts w:hint="default" w:ascii="Times New Roman" w:hAnsi="Times New Roman" w:eastAsia="宋体" w:cs="Times New Roman"/>
          <w:b/>
          <w:bCs/>
          <w:iCs/>
          <w:color w:val="auto"/>
          <w:sz w:val="21"/>
          <w:szCs w:val="16"/>
          <w:u w:val="none" w:color="auto"/>
        </w:rPr>
      </w:pPr>
      <w:r>
        <w:rPr>
          <w:rFonts w:hint="default" w:ascii="Times New Roman" w:hAnsi="Times New Roman" w:eastAsia="宋体" w:cs="Times New Roman"/>
          <w:b/>
          <w:bCs/>
          <w:iCs/>
          <w:color w:val="auto"/>
          <w:sz w:val="21"/>
          <w:szCs w:val="16"/>
          <w:u w:val="none" w:color="auto"/>
        </w:rPr>
        <w:t>表1.</w:t>
      </w:r>
      <w:r>
        <w:rPr>
          <w:rFonts w:hint="eastAsia" w:ascii="Times New Roman" w:hAnsi="Times New Roman" w:eastAsia="宋体" w:cs="Times New Roman"/>
          <w:b/>
          <w:bCs/>
          <w:iCs/>
          <w:color w:val="auto"/>
          <w:sz w:val="21"/>
          <w:szCs w:val="16"/>
          <w:u w:val="none" w:color="auto"/>
          <w:lang w:val="en-US" w:eastAsia="zh-CN"/>
        </w:rPr>
        <w:t>5</w:t>
      </w:r>
      <w:r>
        <w:rPr>
          <w:rFonts w:hint="default" w:ascii="Times New Roman" w:hAnsi="Times New Roman" w:eastAsia="宋体" w:cs="Times New Roman"/>
          <w:b/>
          <w:bCs/>
          <w:iCs/>
          <w:color w:val="auto"/>
          <w:sz w:val="21"/>
          <w:szCs w:val="16"/>
          <w:u w:val="none" w:color="auto"/>
        </w:rPr>
        <w:t>-1</w:t>
      </w:r>
      <w:r>
        <w:rPr>
          <w:rFonts w:hint="eastAsia" w:ascii="Times New Roman" w:hAnsi="Times New Roman" w:eastAsia="宋体" w:cs="Times New Roman"/>
          <w:b/>
          <w:bCs/>
          <w:iCs/>
          <w:color w:val="auto"/>
          <w:sz w:val="21"/>
          <w:szCs w:val="16"/>
          <w:u w:val="none" w:color="auto"/>
          <w:lang w:val="en-US" w:eastAsia="zh-CN"/>
        </w:rPr>
        <w:t xml:space="preserve">  </w:t>
      </w:r>
      <w:r>
        <w:rPr>
          <w:rFonts w:hint="default" w:ascii="Times New Roman" w:hAnsi="Times New Roman" w:eastAsia="宋体" w:cs="Times New Roman"/>
          <w:b/>
          <w:bCs/>
          <w:iCs/>
          <w:color w:val="auto"/>
          <w:sz w:val="21"/>
          <w:szCs w:val="16"/>
          <w:u w:val="none" w:color="auto"/>
        </w:rPr>
        <w:t>生态影响评价工作等级划分表</w:t>
      </w:r>
    </w:p>
    <w:tbl>
      <w:tblPr>
        <w:tblStyle w:val="25"/>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193"/>
        <w:gridCol w:w="6199"/>
        <w:gridCol w:w="1128"/>
      </w:tblGrid>
      <w:tr w14:paraId="3E6BB5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35D588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color="auto"/>
              </w:rPr>
            </w:pPr>
            <w:r>
              <w:rPr>
                <w:rFonts w:hint="default" w:ascii="Times New Roman" w:hAnsi="Times New Roman" w:eastAsia="宋体" w:cs="Times New Roman"/>
                <w:b/>
                <w:bCs/>
                <w:color w:val="auto"/>
                <w:sz w:val="21"/>
                <w:szCs w:val="21"/>
                <w:u w:val="none" w:color="auto"/>
                <w:lang w:val="en-US" w:eastAsia="zh-CN" w:bidi="ar"/>
              </w:rPr>
              <w:t>评价等级</w:t>
            </w:r>
          </w:p>
        </w:tc>
        <w:tc>
          <w:tcPr>
            <w:tcW w:w="3637" w:type="pct"/>
            <w:tcBorders>
              <w:tl2br w:val="nil"/>
              <w:tr2bl w:val="nil"/>
            </w:tcBorders>
            <w:noWrap w:val="0"/>
            <w:vAlign w:val="center"/>
          </w:tcPr>
          <w:p w14:paraId="79751E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color="auto"/>
              </w:rPr>
            </w:pPr>
            <w:r>
              <w:rPr>
                <w:rFonts w:hint="default" w:ascii="Times New Roman" w:hAnsi="Times New Roman" w:eastAsia="宋体" w:cs="Times New Roman"/>
                <w:b/>
                <w:bCs/>
                <w:color w:val="auto"/>
                <w:sz w:val="21"/>
                <w:szCs w:val="21"/>
                <w:u w:val="none" w:color="auto"/>
                <w:lang w:val="en-US" w:eastAsia="zh-CN" w:bidi="ar"/>
              </w:rPr>
              <w:t>判定内容</w:t>
            </w:r>
          </w:p>
        </w:tc>
        <w:tc>
          <w:tcPr>
            <w:tcW w:w="662" w:type="pct"/>
            <w:tcBorders>
              <w:tl2br w:val="nil"/>
              <w:tr2bl w:val="nil"/>
            </w:tcBorders>
            <w:noWrap w:val="0"/>
            <w:vAlign w:val="center"/>
          </w:tcPr>
          <w:p w14:paraId="27EB5A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color="auto"/>
              </w:rPr>
            </w:pPr>
            <w:r>
              <w:rPr>
                <w:rFonts w:hint="default" w:ascii="Times New Roman" w:hAnsi="Times New Roman" w:eastAsia="宋体" w:cs="Times New Roman"/>
                <w:b/>
                <w:bCs/>
                <w:color w:val="auto"/>
                <w:sz w:val="21"/>
                <w:szCs w:val="21"/>
                <w:u w:val="none" w:color="auto"/>
                <w:lang w:val="en-US" w:eastAsia="zh-CN" w:bidi="ar"/>
              </w:rPr>
              <w:t>备注</w:t>
            </w:r>
          </w:p>
        </w:tc>
      </w:tr>
      <w:tr w14:paraId="36FD91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7919D8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一级</w:t>
            </w:r>
          </w:p>
        </w:tc>
        <w:tc>
          <w:tcPr>
            <w:tcW w:w="3637" w:type="pct"/>
            <w:tcBorders>
              <w:tl2br w:val="nil"/>
              <w:tr2bl w:val="nil"/>
            </w:tcBorders>
            <w:noWrap w:val="0"/>
            <w:vAlign w:val="center"/>
          </w:tcPr>
          <w:p w14:paraId="57C30A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涉及国家公园、自然保护区、世界自然遗产、重要生境时</w:t>
            </w:r>
          </w:p>
        </w:tc>
        <w:tc>
          <w:tcPr>
            <w:tcW w:w="662" w:type="pct"/>
            <w:tcBorders>
              <w:tl2br w:val="nil"/>
              <w:tr2bl w:val="nil"/>
            </w:tcBorders>
            <w:noWrap w:val="0"/>
            <w:vAlign w:val="center"/>
          </w:tcPr>
          <w:p w14:paraId="694736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涉及</w:t>
            </w:r>
          </w:p>
        </w:tc>
      </w:tr>
      <w:tr w14:paraId="1BD6D0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231F83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二级</w:t>
            </w:r>
          </w:p>
        </w:tc>
        <w:tc>
          <w:tcPr>
            <w:tcW w:w="3637" w:type="pct"/>
            <w:tcBorders>
              <w:tl2br w:val="nil"/>
              <w:tr2bl w:val="nil"/>
            </w:tcBorders>
            <w:noWrap w:val="0"/>
            <w:vAlign w:val="center"/>
          </w:tcPr>
          <w:p w14:paraId="62EB46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涉及自然公园</w:t>
            </w:r>
          </w:p>
        </w:tc>
        <w:tc>
          <w:tcPr>
            <w:tcW w:w="662" w:type="pct"/>
            <w:tcBorders>
              <w:tl2br w:val="nil"/>
              <w:tr2bl w:val="nil"/>
            </w:tcBorders>
            <w:noWrap w:val="0"/>
            <w:vAlign w:val="center"/>
          </w:tcPr>
          <w:p w14:paraId="4850BA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lang w:val="en-US"/>
              </w:rPr>
            </w:pPr>
            <w:r>
              <w:rPr>
                <w:rFonts w:hint="default" w:ascii="Times New Roman" w:hAnsi="Times New Roman" w:eastAsia="宋体" w:cs="Times New Roman"/>
                <w:color w:val="auto"/>
                <w:sz w:val="21"/>
                <w:szCs w:val="21"/>
                <w:u w:val="none" w:color="auto"/>
                <w:lang w:val="en-US" w:eastAsia="zh-CN" w:bidi="ar"/>
              </w:rPr>
              <w:t>不涉及</w:t>
            </w:r>
          </w:p>
        </w:tc>
      </w:tr>
      <w:tr w14:paraId="0D24DD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1" w:hRule="atLeast"/>
          <w:jc w:val="center"/>
        </w:trPr>
        <w:tc>
          <w:tcPr>
            <w:tcW w:w="700" w:type="pct"/>
            <w:tcBorders>
              <w:tl2br w:val="nil"/>
              <w:tr2bl w:val="nil"/>
            </w:tcBorders>
            <w:noWrap w:val="0"/>
            <w:vAlign w:val="center"/>
          </w:tcPr>
          <w:p w14:paraId="6DE969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不低于二级</w:t>
            </w:r>
          </w:p>
        </w:tc>
        <w:tc>
          <w:tcPr>
            <w:tcW w:w="3637" w:type="pct"/>
            <w:tcBorders>
              <w:tl2br w:val="nil"/>
              <w:tr2bl w:val="nil"/>
            </w:tcBorders>
            <w:noWrap w:val="0"/>
            <w:vAlign w:val="center"/>
          </w:tcPr>
          <w:p w14:paraId="54124C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①涉及生态保护红线时；②根据HJ2.3判断属于水文要素影响型且地表水评价等级不低于二级的建设项目；③根据HJ610、HJ964判断地下水水位或土壤影响范围内分布有天然林、公益林、湿地等生态保护目标的建设项目；④当工程占地规模大于20km²时(包括永久和临时占用陆域和水域)。</w:t>
            </w:r>
          </w:p>
        </w:tc>
        <w:tc>
          <w:tcPr>
            <w:tcW w:w="662" w:type="pct"/>
            <w:tcBorders>
              <w:tl2br w:val="nil"/>
              <w:tr2bl w:val="nil"/>
            </w:tcBorders>
            <w:noWrap w:val="0"/>
            <w:vAlign w:val="center"/>
          </w:tcPr>
          <w:p w14:paraId="3F4EF2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不涉及</w:t>
            </w:r>
          </w:p>
        </w:tc>
      </w:tr>
      <w:tr w14:paraId="6B0F99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35989F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三级</w:t>
            </w:r>
          </w:p>
        </w:tc>
        <w:tc>
          <w:tcPr>
            <w:tcW w:w="3637" w:type="pct"/>
            <w:tcBorders>
              <w:tl2br w:val="nil"/>
              <w:tr2bl w:val="nil"/>
            </w:tcBorders>
            <w:noWrap w:val="0"/>
            <w:vAlign w:val="center"/>
          </w:tcPr>
          <w:p w14:paraId="4FDF8A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以上之外的</w:t>
            </w:r>
          </w:p>
        </w:tc>
        <w:tc>
          <w:tcPr>
            <w:tcW w:w="662" w:type="pct"/>
            <w:tcBorders>
              <w:tl2br w:val="nil"/>
              <w:tr2bl w:val="nil"/>
            </w:tcBorders>
            <w:noWrap w:val="0"/>
            <w:vAlign w:val="center"/>
          </w:tcPr>
          <w:p w14:paraId="2306BE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lang w:val="en-US" w:eastAsia="zh-CN"/>
              </w:rPr>
            </w:pPr>
            <w:r>
              <w:rPr>
                <w:rFonts w:hint="eastAsia" w:ascii="Times New Roman" w:hAnsi="Times New Roman" w:eastAsia="宋体" w:cs="Times New Roman"/>
                <w:color w:val="auto"/>
                <w:u w:val="none" w:color="auto"/>
                <w:lang w:val="en-US" w:eastAsia="zh-CN"/>
              </w:rPr>
              <w:t>涉及湖南东洞庭湖国家级自然保护区</w:t>
            </w:r>
          </w:p>
        </w:tc>
      </w:tr>
      <w:tr w14:paraId="4B0F9D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6B098B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说明</w:t>
            </w:r>
          </w:p>
        </w:tc>
        <w:tc>
          <w:tcPr>
            <w:tcW w:w="3637" w:type="pct"/>
            <w:tcBorders>
              <w:tl2br w:val="nil"/>
              <w:tr2bl w:val="nil"/>
            </w:tcBorders>
            <w:noWrap w:val="0"/>
            <w:vAlign w:val="center"/>
          </w:tcPr>
          <w:p w14:paraId="0049C1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①改扩建项目的占地范围以新增占地(包括陆域和水域)确定；②当评价等级判定同时符合上述多种情况时，应采用其中最高的评价等级；③建设项目涉及经论证对保护生物多样性具有重要意义的区域时，可适当上调评价等级。④建设项目同时涉及陆生、水生生态影响时，可针对陆生生态、水生生态分别判定评价等级。⑤在矿山开采可能导致矿区土地利用类型明显改变，或拦河闸坝建设可能明显改变水文情势等情况下，评价等级应上调一级。⑥线性工程可分段确定评价等级。线性工程地下穿越或地表跨越生态敏感区，在生态敏感区范围内无永久、临时占地时，评价等级可下调一级。⑦涉海工程评价等级判定参照GB/T19485。</w:t>
            </w:r>
          </w:p>
        </w:tc>
        <w:tc>
          <w:tcPr>
            <w:tcW w:w="662" w:type="pct"/>
            <w:tcBorders>
              <w:tl2br w:val="nil"/>
              <w:tr2bl w:val="nil"/>
            </w:tcBorders>
            <w:noWrap w:val="0"/>
            <w:vAlign w:val="center"/>
          </w:tcPr>
          <w:p w14:paraId="6B539E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不涉及</w:t>
            </w:r>
          </w:p>
        </w:tc>
      </w:tr>
      <w:tr w14:paraId="716610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14:paraId="5C0EEB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简单分析</w:t>
            </w:r>
          </w:p>
        </w:tc>
        <w:tc>
          <w:tcPr>
            <w:tcW w:w="3637" w:type="pct"/>
            <w:tcBorders>
              <w:tl2br w:val="nil"/>
              <w:tr2bl w:val="nil"/>
            </w:tcBorders>
            <w:noWrap w:val="0"/>
            <w:vAlign w:val="center"/>
          </w:tcPr>
          <w:p w14:paraId="6BDBD9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color w:val="auto"/>
                <w:sz w:val="21"/>
                <w:szCs w:val="21"/>
                <w:u w:val="none" w:color="auto"/>
                <w:lang w:val="en-US" w:eastAsia="zh-CN" w:bidi="ar"/>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662" w:type="pct"/>
            <w:tcBorders>
              <w:tl2br w:val="nil"/>
              <w:tr2bl w:val="nil"/>
            </w:tcBorders>
            <w:noWrap w:val="0"/>
            <w:vAlign w:val="center"/>
          </w:tcPr>
          <w:p w14:paraId="3E5441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lang w:val="en-US"/>
              </w:rPr>
            </w:pPr>
            <w:r>
              <w:rPr>
                <w:rFonts w:hint="default" w:ascii="Times New Roman" w:hAnsi="Times New Roman" w:eastAsia="宋体" w:cs="Times New Roman"/>
                <w:color w:val="auto"/>
                <w:sz w:val="21"/>
                <w:szCs w:val="21"/>
                <w:u w:val="none" w:color="auto"/>
                <w:lang w:val="en-US" w:eastAsia="zh-CN" w:bidi="ar"/>
              </w:rPr>
              <w:t>不</w:t>
            </w:r>
            <w:r>
              <w:rPr>
                <w:rFonts w:hint="eastAsia" w:eastAsia="宋体" w:cs="Times New Roman"/>
                <w:color w:val="auto"/>
                <w:sz w:val="21"/>
                <w:szCs w:val="21"/>
                <w:u w:val="none" w:color="auto"/>
                <w:lang w:val="en-US" w:eastAsia="zh-CN" w:bidi="ar"/>
              </w:rPr>
              <w:t>涉及</w:t>
            </w:r>
          </w:p>
        </w:tc>
      </w:tr>
    </w:tbl>
    <w:p w14:paraId="65E3CCFF">
      <w:pPr>
        <w:widowControl/>
        <w:spacing w:line="360" w:lineRule="auto"/>
        <w:ind w:firstLine="480" w:firstLineChars="200"/>
        <w:rPr>
          <w:color w:val="auto"/>
          <w:sz w:val="24"/>
          <w:u w:val="none" w:color="auto"/>
        </w:rPr>
      </w:pPr>
      <w:bookmarkStart w:id="273" w:name="_Toc27736"/>
      <w:bookmarkStart w:id="274" w:name="_Toc17614"/>
      <w:bookmarkStart w:id="275" w:name="_Toc18736"/>
      <w:bookmarkStart w:id="276" w:name="_Toc20371"/>
      <w:bookmarkStart w:id="277" w:name="_Toc10823"/>
      <w:bookmarkStart w:id="278" w:name="_Toc28868"/>
      <w:bookmarkStart w:id="279" w:name="_Toc30108"/>
      <w:bookmarkStart w:id="280" w:name="_Toc11056"/>
      <w:r>
        <w:rPr>
          <w:rFonts w:hint="eastAsia"/>
          <w:color w:val="auto"/>
          <w:sz w:val="24"/>
          <w:u w:val="none" w:color="auto"/>
        </w:rPr>
        <w:t>根据HJ19-2022关于生态环境影响评价工作等级的划分，本项目生态环境影响评价等级应设定为一级。</w:t>
      </w:r>
    </w:p>
    <w:p w14:paraId="4373C414">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u w:val="none" w:color="auto"/>
          <w:lang w:val="en-US" w:eastAsia="zh-CN" w:bidi="ar-SA"/>
        </w:rPr>
      </w:pPr>
      <w:r>
        <w:rPr>
          <w:rFonts w:ascii="Times New Roman" w:hAnsi="Times New Roman" w:eastAsia="宋体" w:cs="Times New Roman"/>
          <w:b/>
          <w:color w:val="auto"/>
          <w:kern w:val="2"/>
          <w:sz w:val="24"/>
          <w:szCs w:val="24"/>
          <w:u w:val="none" w:color="auto"/>
          <w:lang w:val="en-US" w:eastAsia="zh-CN" w:bidi="ar-SA"/>
        </w:rPr>
        <w:t>1.5.2评价范围</w:t>
      </w:r>
      <w:bookmarkEnd w:id="273"/>
      <w:bookmarkEnd w:id="274"/>
      <w:bookmarkEnd w:id="275"/>
      <w:bookmarkEnd w:id="276"/>
      <w:bookmarkEnd w:id="277"/>
      <w:bookmarkEnd w:id="278"/>
      <w:bookmarkEnd w:id="279"/>
      <w:bookmarkEnd w:id="280"/>
      <w:r>
        <w:rPr>
          <w:rFonts w:hint="eastAsia" w:ascii="Times New Roman" w:hAnsi="Times New Roman" w:eastAsia="宋体" w:cs="Times New Roman"/>
          <w:b/>
          <w:color w:val="auto"/>
          <w:kern w:val="2"/>
          <w:sz w:val="24"/>
          <w:szCs w:val="24"/>
          <w:u w:val="none" w:color="auto"/>
          <w:lang w:val="en-US" w:eastAsia="zh-CN" w:bidi="ar-SA"/>
        </w:rPr>
        <w:t>和时段</w:t>
      </w:r>
    </w:p>
    <w:p w14:paraId="2142A929">
      <w:pPr>
        <w:widowControl/>
        <w:adjustRightInd/>
        <w:snapToGrid/>
        <w:spacing w:line="360" w:lineRule="auto"/>
        <w:ind w:firstLine="480" w:firstLineChars="200"/>
        <w:rPr>
          <w:rFonts w:hint="eastAsia" w:ascii="Times New Roman" w:hAnsi="Times New Roman" w:eastAsia="宋体" w:cs="Times New Roman"/>
          <w:color w:val="auto"/>
          <w:sz w:val="24"/>
          <w:u w:val="none" w:color="auto"/>
        </w:rPr>
      </w:pPr>
      <w:r>
        <w:rPr>
          <w:rFonts w:ascii="Times New Roman" w:hAnsi="Times New Roman" w:eastAsia="宋体" w:cs="Times New Roman"/>
          <w:color w:val="auto"/>
          <w:sz w:val="24"/>
          <w:u w:val="none" w:color="auto"/>
        </w:rPr>
        <w:t>根据《环境影响评价技术导则-生态影响》（HJ19-2022），生态影响评价范围应能够重复体现生态完整性，涵盖评价项目全部活动的直接影响区域和间接影响区域。本项目</w:t>
      </w:r>
      <w:r>
        <w:rPr>
          <w:rFonts w:hint="eastAsia" w:ascii="Times New Roman" w:hAnsi="Times New Roman" w:eastAsia="宋体" w:cs="Times New Roman"/>
          <w:color w:val="auto"/>
          <w:sz w:val="24"/>
          <w:u w:val="none" w:color="auto"/>
          <w:lang w:eastAsia="zh-CN"/>
        </w:rPr>
        <w:t>为</w:t>
      </w:r>
      <w:r>
        <w:rPr>
          <w:rFonts w:hint="eastAsia" w:cs="Times New Roman"/>
          <w:color w:val="auto"/>
          <w:sz w:val="24"/>
          <w:u w:val="none" w:color="auto"/>
          <w:lang w:val="en-US" w:eastAsia="zh-CN"/>
        </w:rPr>
        <w:t>管道运输</w:t>
      </w:r>
      <w:r>
        <w:rPr>
          <w:rFonts w:hint="eastAsia" w:eastAsia="宋体" w:cs="Times New Roman"/>
          <w:color w:val="auto"/>
          <w:sz w:val="24"/>
          <w:u w:val="none" w:color="auto"/>
          <w:lang w:val="en-US" w:eastAsia="zh-CN"/>
        </w:rPr>
        <w:t>项目</w:t>
      </w:r>
      <w:r>
        <w:rPr>
          <w:rFonts w:hint="eastAsia" w:ascii="Times New Roman" w:hAnsi="Times New Roman" w:eastAsia="宋体" w:cs="Times New Roman"/>
          <w:color w:val="auto"/>
          <w:sz w:val="24"/>
          <w:u w:val="none" w:color="auto"/>
          <w:lang w:eastAsia="zh-CN"/>
        </w:rPr>
        <w:t>，</w:t>
      </w:r>
      <w:r>
        <w:rPr>
          <w:rFonts w:hint="eastAsia" w:eastAsia="宋体" w:cs="Times New Roman"/>
          <w:color w:val="auto"/>
          <w:sz w:val="24"/>
          <w:u w:val="none" w:color="auto"/>
          <w:lang w:val="en-US" w:eastAsia="zh-CN"/>
        </w:rPr>
        <w:t>占用地区涉及</w:t>
      </w:r>
      <w:r>
        <w:rPr>
          <w:rFonts w:hint="eastAsia" w:ascii="Times New Roman" w:hAnsi="Times New Roman" w:eastAsia="宋体" w:cs="Times New Roman"/>
          <w:color w:val="auto"/>
          <w:sz w:val="24"/>
          <w:u w:val="none" w:color="auto"/>
          <w:lang w:eastAsia="zh-CN"/>
        </w:rPr>
        <w:t>生态敏感区，</w:t>
      </w:r>
      <w:r>
        <w:rPr>
          <w:rFonts w:hint="eastAsia" w:eastAsia="宋体" w:cs="Times New Roman"/>
          <w:color w:val="auto"/>
          <w:sz w:val="24"/>
          <w:u w:val="none" w:color="auto"/>
          <w:lang w:val="en-US" w:eastAsia="zh-CN"/>
        </w:rPr>
        <w:t>因项目建设及运营过程中产生的污染较小，且结合项目周边生态敏感性</w:t>
      </w:r>
      <w:r>
        <w:rPr>
          <w:rFonts w:hint="eastAsia" w:ascii="Times New Roman" w:hAnsi="Times New Roman" w:eastAsia="宋体" w:cs="Times New Roman"/>
          <w:color w:val="auto"/>
          <w:sz w:val="24"/>
          <w:u w:val="none" w:color="auto"/>
          <w:lang w:eastAsia="zh-CN"/>
        </w:rPr>
        <w:t>，项目评价范围确定为</w:t>
      </w:r>
      <w:r>
        <w:rPr>
          <w:rFonts w:hint="eastAsia" w:eastAsia="宋体" w:cs="Times New Roman"/>
          <w:color w:val="auto"/>
          <w:sz w:val="24"/>
          <w:u w:val="none" w:color="auto"/>
          <w:lang w:val="en-US" w:eastAsia="zh-CN"/>
        </w:rPr>
        <w:t>项目占地边界外侧</w:t>
      </w:r>
      <w:r>
        <w:rPr>
          <w:rFonts w:hint="eastAsia" w:cs="Times New Roman"/>
          <w:color w:val="auto"/>
          <w:sz w:val="24"/>
          <w:u w:val="none" w:color="auto"/>
          <w:lang w:val="en-US" w:eastAsia="zh-CN"/>
        </w:rPr>
        <w:t>2</w:t>
      </w:r>
      <w:r>
        <w:rPr>
          <w:rFonts w:hint="eastAsia" w:ascii="Times New Roman" w:hAnsi="Times New Roman" w:eastAsia="宋体" w:cs="Times New Roman"/>
          <w:color w:val="auto"/>
          <w:sz w:val="24"/>
          <w:u w:val="none" w:color="auto"/>
          <w:lang w:eastAsia="zh-CN"/>
        </w:rPr>
        <w:t>00m以内的区域</w:t>
      </w:r>
      <w:r>
        <w:rPr>
          <w:rFonts w:hint="eastAsia" w:ascii="Times New Roman" w:hAnsi="Times New Roman" w:eastAsia="宋体" w:cs="Times New Roman"/>
          <w:color w:val="auto"/>
          <w:sz w:val="24"/>
          <w:u w:val="none" w:color="auto"/>
        </w:rPr>
        <w:t>。</w:t>
      </w:r>
    </w:p>
    <w:p w14:paraId="337148C5">
      <w:pPr>
        <w:widowControl/>
        <w:adjustRightInd/>
        <w:snapToGrid/>
        <w:spacing w:line="360" w:lineRule="auto"/>
        <w:ind w:firstLine="480" w:firstLineChars="200"/>
        <w:rPr>
          <w:rFonts w:hint="eastAsia" w:ascii="Times New Roman" w:hAnsi="Times New Roman" w:eastAsia="宋体" w:cs="Times New Roman"/>
          <w:color w:val="auto"/>
          <w:sz w:val="24"/>
          <w:u w:val="none" w:color="auto"/>
          <w:lang w:eastAsia="zh-CN"/>
        </w:rPr>
      </w:pPr>
      <w:r>
        <w:rPr>
          <w:rFonts w:hint="eastAsia" w:ascii="Times New Roman" w:hAnsi="Times New Roman" w:eastAsia="宋体" w:cs="Times New Roman"/>
          <w:color w:val="auto"/>
          <w:sz w:val="24"/>
          <w:u w:val="none" w:color="auto"/>
          <w:lang w:eastAsia="zh-CN"/>
        </w:rPr>
        <w:t>评价时段为施工期及运营期。</w:t>
      </w:r>
    </w:p>
    <w:p w14:paraId="3BAE4FE5">
      <w:pPr>
        <w:keepNext/>
        <w:widowControl w:val="0"/>
        <w:adjustRightInd w:val="0"/>
        <w:snapToGrid w:val="0"/>
        <w:spacing w:line="360" w:lineRule="auto"/>
        <w:ind w:firstLine="0" w:firstLineChars="0"/>
        <w:jc w:val="both"/>
        <w:outlineLvl w:val="1"/>
        <w:rPr>
          <w:rFonts w:hint="default" w:ascii="Times New Roman" w:hAnsi="Times New Roman" w:eastAsia="宋体" w:cs="Times New Roman"/>
          <w:b/>
          <w:bCs/>
          <w:color w:val="auto"/>
          <w:kern w:val="2"/>
          <w:sz w:val="28"/>
          <w:szCs w:val="28"/>
          <w:u w:val="none" w:color="auto"/>
          <w:lang w:val="en-US" w:eastAsia="zh-CN" w:bidi="ar-SA"/>
        </w:rPr>
      </w:pPr>
      <w:bookmarkStart w:id="281" w:name="_Toc5870"/>
      <w:bookmarkStart w:id="282" w:name="_Toc21289"/>
      <w:bookmarkStart w:id="283" w:name="_Toc18526"/>
      <w:bookmarkStart w:id="284" w:name="_Toc12559"/>
      <w:bookmarkStart w:id="285" w:name="_Toc28620"/>
      <w:bookmarkStart w:id="286" w:name="_Toc7826"/>
      <w:bookmarkStart w:id="287" w:name="_Toc15125"/>
      <w:bookmarkStart w:id="288" w:name="_Toc3333"/>
      <w:bookmarkStart w:id="289" w:name="_Toc25749"/>
      <w:bookmarkStart w:id="290" w:name="_Toc14248"/>
      <w:r>
        <w:rPr>
          <w:rFonts w:hint="eastAsia" w:ascii="Times New Roman" w:hAnsi="Times New Roman" w:eastAsia="宋体" w:cs="Times New Roman"/>
          <w:b/>
          <w:bCs/>
          <w:color w:val="auto"/>
          <w:kern w:val="2"/>
          <w:sz w:val="28"/>
          <w:szCs w:val="28"/>
          <w:u w:val="none" w:color="auto"/>
          <w:lang w:val="en-US" w:eastAsia="zh-CN" w:bidi="ar-SA"/>
        </w:rPr>
        <w:t>1.6评价因子筛选及评价重点</w:t>
      </w:r>
      <w:bookmarkEnd w:id="281"/>
      <w:bookmarkEnd w:id="282"/>
      <w:bookmarkEnd w:id="283"/>
      <w:bookmarkEnd w:id="284"/>
      <w:r>
        <w:rPr>
          <w:rFonts w:hint="eastAsia" w:cs="Times New Roman"/>
          <w:b/>
          <w:bCs/>
          <w:color w:val="auto"/>
          <w:kern w:val="2"/>
          <w:sz w:val="28"/>
          <w:szCs w:val="28"/>
          <w:u w:val="none" w:color="auto"/>
          <w:lang w:val="en-US" w:eastAsia="zh-CN" w:bidi="ar-SA"/>
        </w:rPr>
        <w:t xml:space="preserve">  </w:t>
      </w:r>
    </w:p>
    <w:p w14:paraId="2FB63DDC">
      <w:pPr>
        <w:widowControl w:val="0"/>
        <w:spacing w:line="360" w:lineRule="auto"/>
        <w:ind w:firstLine="480" w:firstLineChars="200"/>
        <w:jc w:val="both"/>
        <w:rPr>
          <w:rFonts w:hint="eastAsia" w:ascii="Times New Roman" w:hAnsi="Times New Roman" w:eastAsia="宋体" w:cs="Times New Roman"/>
          <w:color w:val="auto"/>
          <w:kern w:val="2"/>
          <w:sz w:val="24"/>
          <w:szCs w:val="24"/>
          <w:u w:val="none" w:color="auto"/>
          <w:lang w:val="en-US" w:eastAsia="zh-CN" w:bidi="ar-SA"/>
        </w:rPr>
      </w:pPr>
      <w:r>
        <w:rPr>
          <w:rFonts w:hint="eastAsia" w:ascii="Times New Roman" w:hAnsi="Times New Roman" w:eastAsia="宋体" w:cs="Times New Roman"/>
          <w:color w:val="auto"/>
          <w:kern w:val="2"/>
          <w:sz w:val="24"/>
          <w:szCs w:val="24"/>
          <w:u w:val="none" w:color="auto"/>
          <w:lang w:val="en-US" w:eastAsia="zh-CN" w:bidi="ar-SA"/>
        </w:rPr>
        <w:t>根据对本项目的工程特点、周边生态环境特征、工程的环境影响要素分析和识别，筛选出主要的环境影响评价因子，详见下表。</w:t>
      </w:r>
    </w:p>
    <w:p w14:paraId="0DF1D68B">
      <w:pPr>
        <w:widowControl w:val="0"/>
        <w:spacing w:line="240" w:lineRule="auto"/>
        <w:ind w:firstLine="422" w:firstLineChars="200"/>
        <w:jc w:val="center"/>
        <w:rPr>
          <w:rFonts w:hint="eastAsia" w:ascii="Times New Roman" w:hAnsi="Times New Roman" w:eastAsia="宋体" w:cs="Times New Roman"/>
          <w:b/>
          <w:bCs/>
          <w:color w:val="auto"/>
          <w:kern w:val="2"/>
          <w:sz w:val="21"/>
          <w:szCs w:val="21"/>
          <w:u w:val="none" w:color="auto"/>
          <w:lang w:val="en-US" w:eastAsia="zh-CN" w:bidi="ar-SA"/>
        </w:rPr>
      </w:pPr>
      <w:r>
        <w:rPr>
          <w:rFonts w:hint="eastAsia" w:ascii="Times New Roman" w:hAnsi="Times New Roman" w:eastAsia="宋体" w:cs="Times New Roman"/>
          <w:b/>
          <w:bCs/>
          <w:color w:val="auto"/>
          <w:kern w:val="2"/>
          <w:sz w:val="21"/>
          <w:szCs w:val="21"/>
          <w:u w:val="none" w:color="auto"/>
          <w:lang w:val="en-US" w:eastAsia="zh-CN" w:bidi="ar-SA"/>
        </w:rPr>
        <w:t>表1.6-1  生态影响评价因子筛选表</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865"/>
        <w:gridCol w:w="3687"/>
        <w:gridCol w:w="866"/>
        <w:gridCol w:w="787"/>
      </w:tblGrid>
      <w:tr w14:paraId="0E94B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487FC8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受影响对象</w:t>
            </w:r>
          </w:p>
        </w:tc>
        <w:tc>
          <w:tcPr>
            <w:tcW w:w="1094" w:type="pct"/>
            <w:tcBorders>
              <w:tl2br w:val="nil"/>
              <w:tr2bl w:val="nil"/>
            </w:tcBorders>
            <w:noWrap w:val="0"/>
            <w:vAlign w:val="center"/>
          </w:tcPr>
          <w:p w14:paraId="4E9A28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评价因子</w:t>
            </w:r>
          </w:p>
        </w:tc>
        <w:tc>
          <w:tcPr>
            <w:tcW w:w="2163" w:type="pct"/>
            <w:tcBorders>
              <w:tl2br w:val="nil"/>
              <w:tr2bl w:val="nil"/>
            </w:tcBorders>
            <w:noWrap w:val="0"/>
            <w:vAlign w:val="center"/>
          </w:tcPr>
          <w:p w14:paraId="09C356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工程内容及影响方式</w:t>
            </w:r>
          </w:p>
        </w:tc>
        <w:tc>
          <w:tcPr>
            <w:tcW w:w="508" w:type="pct"/>
            <w:tcBorders>
              <w:tl2br w:val="nil"/>
              <w:tr2bl w:val="nil"/>
            </w:tcBorders>
            <w:noWrap w:val="0"/>
            <w:vAlign w:val="center"/>
          </w:tcPr>
          <w:p w14:paraId="7AB599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影响</w:t>
            </w:r>
          </w:p>
          <w:p w14:paraId="0EB3A4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性质</w:t>
            </w:r>
          </w:p>
        </w:tc>
        <w:tc>
          <w:tcPr>
            <w:tcW w:w="461" w:type="pct"/>
            <w:tcBorders>
              <w:tl2br w:val="nil"/>
              <w:tr2bl w:val="nil"/>
            </w:tcBorders>
            <w:noWrap w:val="0"/>
            <w:vAlign w:val="center"/>
          </w:tcPr>
          <w:p w14:paraId="6A1EC6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影响程度</w:t>
            </w:r>
          </w:p>
        </w:tc>
      </w:tr>
      <w:tr w14:paraId="2ED92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5221A2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物种</w:t>
            </w:r>
          </w:p>
        </w:tc>
        <w:tc>
          <w:tcPr>
            <w:tcW w:w="1094" w:type="pct"/>
            <w:tcBorders>
              <w:tl2br w:val="nil"/>
              <w:tr2bl w:val="nil"/>
            </w:tcBorders>
            <w:noWrap w:val="0"/>
            <w:vAlign w:val="center"/>
          </w:tcPr>
          <w:p w14:paraId="408C0D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分布范围、种群数量、迁徙通道和迁徙地</w:t>
            </w:r>
          </w:p>
        </w:tc>
        <w:tc>
          <w:tcPr>
            <w:tcW w:w="2163" w:type="pct"/>
            <w:tcBorders>
              <w:tl2br w:val="nil"/>
              <w:tr2bl w:val="nil"/>
            </w:tcBorders>
            <w:noWrap w:val="0"/>
            <w:vAlign w:val="center"/>
          </w:tcPr>
          <w:p w14:paraId="1044A3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施工活动和工程运行造成区域动物趋避、动植物数量减少，工程施工、运行导致个体直接死亡</w:t>
            </w:r>
          </w:p>
        </w:tc>
        <w:tc>
          <w:tcPr>
            <w:tcW w:w="508" w:type="pct"/>
            <w:tcBorders>
              <w:tl2br w:val="nil"/>
              <w:tr2bl w:val="nil"/>
            </w:tcBorders>
            <w:noWrap w:val="0"/>
            <w:vAlign w:val="center"/>
          </w:tcPr>
          <w:p w14:paraId="41232D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短期/可逆</w:t>
            </w:r>
          </w:p>
        </w:tc>
        <w:tc>
          <w:tcPr>
            <w:tcW w:w="461" w:type="pct"/>
            <w:tcBorders>
              <w:tl2br w:val="nil"/>
              <w:tr2bl w:val="nil"/>
            </w:tcBorders>
            <w:noWrap w:val="0"/>
            <w:vAlign w:val="center"/>
          </w:tcPr>
          <w:p w14:paraId="4637B1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r w14:paraId="4FE3E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2341B2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生境</w:t>
            </w:r>
          </w:p>
        </w:tc>
        <w:tc>
          <w:tcPr>
            <w:tcW w:w="1094" w:type="pct"/>
            <w:tcBorders>
              <w:tl2br w:val="nil"/>
              <w:tr2bl w:val="nil"/>
            </w:tcBorders>
            <w:noWrap w:val="0"/>
            <w:vAlign w:val="center"/>
          </w:tcPr>
          <w:p w14:paraId="75A6C5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生境面积、质量</w:t>
            </w:r>
          </w:p>
        </w:tc>
        <w:tc>
          <w:tcPr>
            <w:tcW w:w="2163" w:type="pct"/>
            <w:tcBorders>
              <w:tl2br w:val="nil"/>
              <w:tr2bl w:val="nil"/>
            </w:tcBorders>
            <w:noWrap w:val="0"/>
            <w:vAlign w:val="center"/>
          </w:tcPr>
          <w:p w14:paraId="79AE6D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工程占地包括临时、永久占地导致动植物原有生境直接破坏或丧失；工程运行对周边生境质量造成影响</w:t>
            </w:r>
          </w:p>
        </w:tc>
        <w:tc>
          <w:tcPr>
            <w:tcW w:w="508" w:type="pct"/>
            <w:tcBorders>
              <w:tl2br w:val="nil"/>
              <w:tr2bl w:val="nil"/>
            </w:tcBorders>
            <w:noWrap w:val="0"/>
            <w:vAlign w:val="center"/>
          </w:tcPr>
          <w:p w14:paraId="53E051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长期/不可逆</w:t>
            </w:r>
          </w:p>
        </w:tc>
        <w:tc>
          <w:tcPr>
            <w:tcW w:w="461" w:type="pct"/>
            <w:tcBorders>
              <w:tl2br w:val="nil"/>
              <w:tr2bl w:val="nil"/>
            </w:tcBorders>
            <w:noWrap w:val="0"/>
            <w:vAlign w:val="center"/>
          </w:tcPr>
          <w:p w14:paraId="28DD0B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中</w:t>
            </w:r>
          </w:p>
        </w:tc>
      </w:tr>
      <w:tr w14:paraId="785ED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7F5A9A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生物群落</w:t>
            </w:r>
          </w:p>
        </w:tc>
        <w:tc>
          <w:tcPr>
            <w:tcW w:w="1094" w:type="pct"/>
            <w:tcBorders>
              <w:tl2br w:val="nil"/>
              <w:tr2bl w:val="nil"/>
            </w:tcBorders>
            <w:noWrap w:val="0"/>
            <w:vAlign w:val="center"/>
          </w:tcPr>
          <w:p w14:paraId="381643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物种组成、群落结构等</w:t>
            </w:r>
          </w:p>
        </w:tc>
        <w:tc>
          <w:tcPr>
            <w:tcW w:w="2163" w:type="pct"/>
            <w:tcBorders>
              <w:tl2br w:val="nil"/>
              <w:tr2bl w:val="nil"/>
            </w:tcBorders>
            <w:noWrap w:val="0"/>
            <w:vAlign w:val="center"/>
          </w:tcPr>
          <w:p w14:paraId="133584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施工活动引入外来植物、惊扰动物，造成区域生物群落的组成变化</w:t>
            </w:r>
          </w:p>
        </w:tc>
        <w:tc>
          <w:tcPr>
            <w:tcW w:w="508" w:type="pct"/>
            <w:tcBorders>
              <w:tl2br w:val="nil"/>
              <w:tr2bl w:val="nil"/>
            </w:tcBorders>
            <w:noWrap w:val="0"/>
            <w:vAlign w:val="center"/>
          </w:tcPr>
          <w:p w14:paraId="25220F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长期/可逆</w:t>
            </w:r>
          </w:p>
        </w:tc>
        <w:tc>
          <w:tcPr>
            <w:tcW w:w="461" w:type="pct"/>
            <w:tcBorders>
              <w:tl2br w:val="nil"/>
              <w:tr2bl w:val="nil"/>
            </w:tcBorders>
            <w:noWrap w:val="0"/>
            <w:vAlign w:val="center"/>
          </w:tcPr>
          <w:p w14:paraId="591D22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r w14:paraId="6274A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593C35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生态系统</w:t>
            </w:r>
          </w:p>
        </w:tc>
        <w:tc>
          <w:tcPr>
            <w:tcW w:w="1094" w:type="pct"/>
            <w:tcBorders>
              <w:tl2br w:val="nil"/>
              <w:tr2bl w:val="nil"/>
            </w:tcBorders>
            <w:noWrap w:val="0"/>
            <w:vAlign w:val="center"/>
          </w:tcPr>
          <w:p w14:paraId="7C142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植被覆盖度、生产力、生物量、生态系统功能、完整性</w:t>
            </w:r>
          </w:p>
        </w:tc>
        <w:tc>
          <w:tcPr>
            <w:tcW w:w="2163" w:type="pct"/>
            <w:tcBorders>
              <w:tl2br w:val="nil"/>
              <w:tr2bl w:val="nil"/>
            </w:tcBorders>
            <w:noWrap w:val="0"/>
            <w:vAlign w:val="center"/>
          </w:tcPr>
          <w:p w14:paraId="17B514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工程占地、施工活动对农林业生产、土壤及地貌的影响，破坏了区域原有生境，造成植被损失，使生物量、生产力减少，影响生态系统功能、生态系统的完整性</w:t>
            </w:r>
          </w:p>
        </w:tc>
        <w:tc>
          <w:tcPr>
            <w:tcW w:w="508" w:type="pct"/>
            <w:tcBorders>
              <w:tl2br w:val="nil"/>
              <w:tr2bl w:val="nil"/>
            </w:tcBorders>
            <w:noWrap w:val="0"/>
            <w:vAlign w:val="center"/>
          </w:tcPr>
          <w:p w14:paraId="7F44C5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长期/不可逆</w:t>
            </w:r>
          </w:p>
        </w:tc>
        <w:tc>
          <w:tcPr>
            <w:tcW w:w="461" w:type="pct"/>
            <w:tcBorders>
              <w:tl2br w:val="nil"/>
              <w:tr2bl w:val="nil"/>
            </w:tcBorders>
            <w:noWrap w:val="0"/>
            <w:vAlign w:val="center"/>
          </w:tcPr>
          <w:p w14:paraId="6DE069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lang w:eastAsia="zh-CN"/>
              </w:rPr>
            </w:pPr>
            <w:r>
              <w:rPr>
                <w:rFonts w:hint="default" w:ascii="Times New Roman" w:hAnsi="Times New Roman" w:eastAsia="宋体" w:cs="Times New Roman"/>
                <w:i w:val="0"/>
                <w:iCs w:val="0"/>
                <w:color w:val="auto"/>
                <w:sz w:val="21"/>
                <w:szCs w:val="21"/>
                <w:u w:val="none" w:color="auto"/>
                <w:lang w:eastAsia="zh-CN"/>
              </w:rPr>
              <w:t>弱</w:t>
            </w:r>
          </w:p>
        </w:tc>
      </w:tr>
      <w:tr w14:paraId="5485E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7D9D90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生物多样性</w:t>
            </w:r>
          </w:p>
        </w:tc>
        <w:tc>
          <w:tcPr>
            <w:tcW w:w="1094" w:type="pct"/>
            <w:tcBorders>
              <w:tl2br w:val="nil"/>
              <w:tr2bl w:val="nil"/>
            </w:tcBorders>
            <w:noWrap w:val="0"/>
            <w:vAlign w:val="center"/>
          </w:tcPr>
          <w:p w14:paraId="3E581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物种丰富度、均匀度、优势度</w:t>
            </w:r>
          </w:p>
        </w:tc>
        <w:tc>
          <w:tcPr>
            <w:tcW w:w="2163" w:type="pct"/>
            <w:tcBorders>
              <w:tl2br w:val="nil"/>
              <w:tr2bl w:val="nil"/>
            </w:tcBorders>
            <w:noWrap w:val="0"/>
            <w:vAlign w:val="center"/>
          </w:tcPr>
          <w:p w14:paraId="702E3B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sz w:val="21"/>
                <w:szCs w:val="21"/>
                <w:u w:val="none" w:color="auto"/>
              </w:rPr>
              <w:t>工程占地区开挖、建设等会扰动地表，破坏地表植物及植被，弃渣场</w:t>
            </w:r>
            <w:r>
              <w:rPr>
                <w:rFonts w:hint="eastAsia" w:eastAsia="宋体" w:cs="Times New Roman"/>
                <w:i w:val="0"/>
                <w:iCs w:val="0"/>
                <w:color w:val="auto"/>
                <w:sz w:val="21"/>
                <w:szCs w:val="21"/>
                <w:u w:val="none" w:color="auto"/>
                <w:lang w:val="en-US" w:eastAsia="zh-CN"/>
              </w:rPr>
              <w:t>以及</w:t>
            </w:r>
            <w:r>
              <w:rPr>
                <w:rFonts w:hint="default" w:ascii="Times New Roman" w:hAnsi="Times New Roman" w:eastAsia="宋体" w:cs="Times New Roman"/>
                <w:i w:val="0"/>
                <w:iCs w:val="0"/>
                <w:color w:val="auto"/>
                <w:sz w:val="21"/>
                <w:szCs w:val="21"/>
                <w:u w:val="none" w:color="auto"/>
              </w:rPr>
              <w:t>临时施工场地</w:t>
            </w:r>
            <w:r>
              <w:rPr>
                <w:rFonts w:hint="eastAsia" w:eastAsia="宋体" w:cs="Times New Roman"/>
                <w:i w:val="0"/>
                <w:iCs w:val="0"/>
                <w:color w:val="auto"/>
                <w:sz w:val="21"/>
                <w:szCs w:val="21"/>
                <w:u w:val="none" w:color="auto"/>
                <w:lang w:eastAsia="zh-CN"/>
              </w:rPr>
              <w:t>（</w:t>
            </w:r>
            <w:r>
              <w:rPr>
                <w:rFonts w:hint="eastAsia" w:eastAsia="宋体" w:cs="Times New Roman"/>
                <w:i w:val="0"/>
                <w:iCs w:val="0"/>
                <w:color w:val="auto"/>
                <w:sz w:val="21"/>
                <w:szCs w:val="21"/>
                <w:u w:val="none" w:color="auto"/>
                <w:lang w:val="en-US" w:eastAsia="zh-CN"/>
              </w:rPr>
              <w:t>本项目弃渣场以及临时</w:t>
            </w:r>
            <w:r>
              <w:rPr>
                <w:rFonts w:hint="eastAsia" w:cs="Times New Roman"/>
                <w:i w:val="0"/>
                <w:iCs w:val="0"/>
                <w:color w:val="auto"/>
                <w:sz w:val="21"/>
                <w:szCs w:val="21"/>
                <w:u w:val="none" w:color="auto"/>
                <w:lang w:val="en-US" w:eastAsia="zh-CN"/>
              </w:rPr>
              <w:t>施工</w:t>
            </w:r>
            <w:r>
              <w:rPr>
                <w:rFonts w:hint="eastAsia" w:eastAsia="宋体" w:cs="Times New Roman"/>
                <w:i w:val="0"/>
                <w:iCs w:val="0"/>
                <w:color w:val="auto"/>
                <w:sz w:val="21"/>
                <w:szCs w:val="21"/>
                <w:u w:val="none" w:color="auto"/>
                <w:lang w:val="en-US" w:eastAsia="zh-CN"/>
              </w:rPr>
              <w:t>场地均设置于项目用地红线范围内，目前已恢复为绿化用地</w:t>
            </w:r>
            <w:r>
              <w:rPr>
                <w:rFonts w:hint="eastAsia" w:eastAsia="宋体" w:cs="Times New Roman"/>
                <w:i w:val="0"/>
                <w:iCs w:val="0"/>
                <w:color w:val="auto"/>
                <w:sz w:val="21"/>
                <w:szCs w:val="21"/>
                <w:u w:val="none" w:color="auto"/>
                <w:lang w:eastAsia="zh-CN"/>
              </w:rPr>
              <w:t>）</w:t>
            </w:r>
            <w:r>
              <w:rPr>
                <w:rFonts w:hint="default" w:ascii="Times New Roman" w:hAnsi="Times New Roman" w:eastAsia="宋体" w:cs="Times New Roman"/>
                <w:i w:val="0"/>
                <w:iCs w:val="0"/>
                <w:color w:val="auto"/>
                <w:sz w:val="21"/>
                <w:szCs w:val="21"/>
                <w:u w:val="none" w:color="auto"/>
              </w:rPr>
              <w:t>平整、临时施工便道修筑等工程行为使土壤裸露、地表扰动对生物多样性的影响。跨河桥梁施工对水生生态环境的影响</w:t>
            </w:r>
          </w:p>
        </w:tc>
        <w:tc>
          <w:tcPr>
            <w:tcW w:w="508" w:type="pct"/>
            <w:tcBorders>
              <w:tl2br w:val="nil"/>
              <w:tr2bl w:val="nil"/>
            </w:tcBorders>
            <w:noWrap w:val="0"/>
            <w:vAlign w:val="center"/>
          </w:tcPr>
          <w:p w14:paraId="1CAF88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短期/可逆</w:t>
            </w:r>
          </w:p>
        </w:tc>
        <w:tc>
          <w:tcPr>
            <w:tcW w:w="461" w:type="pct"/>
            <w:tcBorders>
              <w:tl2br w:val="nil"/>
              <w:tr2bl w:val="nil"/>
            </w:tcBorders>
            <w:noWrap w:val="0"/>
            <w:vAlign w:val="center"/>
          </w:tcPr>
          <w:p w14:paraId="11E13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r w14:paraId="25085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4A5506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生态敏感区</w:t>
            </w:r>
          </w:p>
        </w:tc>
        <w:tc>
          <w:tcPr>
            <w:tcW w:w="1094" w:type="pct"/>
            <w:tcBorders>
              <w:tl2br w:val="nil"/>
              <w:tr2bl w:val="nil"/>
            </w:tcBorders>
            <w:noWrap w:val="0"/>
            <w:vAlign w:val="center"/>
          </w:tcPr>
          <w:p w14:paraId="34A7B0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主要保护对象、生态功能</w:t>
            </w:r>
          </w:p>
        </w:tc>
        <w:tc>
          <w:tcPr>
            <w:tcW w:w="2163" w:type="pct"/>
            <w:tcBorders>
              <w:tl2br w:val="nil"/>
              <w:tr2bl w:val="nil"/>
            </w:tcBorders>
            <w:noWrap w:val="0"/>
            <w:vAlign w:val="center"/>
          </w:tcPr>
          <w:p w14:paraId="0024DE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eastAsia="宋体" w:cs="Times New Roman"/>
                <w:i w:val="0"/>
                <w:iCs w:val="0"/>
                <w:color w:val="auto"/>
                <w:kern w:val="0"/>
                <w:sz w:val="21"/>
                <w:szCs w:val="21"/>
                <w:u w:val="none" w:color="auto"/>
                <w:lang w:val="en-US" w:eastAsia="zh-CN" w:bidi="ar"/>
              </w:rPr>
              <w:t>本项目涉及</w:t>
            </w:r>
            <w:r>
              <w:rPr>
                <w:rFonts w:hint="eastAsia" w:ascii="Times New Roman" w:hAnsi="Times New Roman" w:eastAsia="宋体" w:cs="Times New Roman"/>
                <w:color w:val="auto"/>
                <w:u w:val="none" w:color="auto"/>
                <w:lang w:val="en-US" w:eastAsia="zh-CN"/>
              </w:rPr>
              <w:t>湖南东洞庭湖国家级自然保护区实验区范围</w:t>
            </w:r>
          </w:p>
        </w:tc>
        <w:tc>
          <w:tcPr>
            <w:tcW w:w="508" w:type="pct"/>
            <w:tcBorders>
              <w:tl2br w:val="nil"/>
              <w:tr2bl w:val="nil"/>
            </w:tcBorders>
            <w:noWrap w:val="0"/>
            <w:vAlign w:val="center"/>
          </w:tcPr>
          <w:p w14:paraId="175750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短期/可逆</w:t>
            </w:r>
          </w:p>
        </w:tc>
        <w:tc>
          <w:tcPr>
            <w:tcW w:w="461" w:type="pct"/>
            <w:tcBorders>
              <w:tl2br w:val="nil"/>
              <w:tr2bl w:val="nil"/>
            </w:tcBorders>
            <w:noWrap w:val="0"/>
            <w:vAlign w:val="center"/>
          </w:tcPr>
          <w:p w14:paraId="1ED96D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r w14:paraId="56682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061C32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自然景观</w:t>
            </w:r>
          </w:p>
        </w:tc>
        <w:tc>
          <w:tcPr>
            <w:tcW w:w="1094" w:type="pct"/>
            <w:tcBorders>
              <w:tl2br w:val="nil"/>
              <w:tr2bl w:val="nil"/>
            </w:tcBorders>
            <w:noWrap w:val="0"/>
            <w:vAlign w:val="center"/>
          </w:tcPr>
          <w:p w14:paraId="272B6B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景观质量</w:t>
            </w:r>
          </w:p>
        </w:tc>
        <w:tc>
          <w:tcPr>
            <w:tcW w:w="2163" w:type="pct"/>
            <w:tcBorders>
              <w:tl2br w:val="nil"/>
              <w:tr2bl w:val="nil"/>
            </w:tcBorders>
            <w:noWrap w:val="0"/>
            <w:vAlign w:val="center"/>
          </w:tcPr>
          <w:p w14:paraId="6A51F9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工程占地和工程运行造成区域自然景观的质量下降</w:t>
            </w:r>
          </w:p>
        </w:tc>
        <w:tc>
          <w:tcPr>
            <w:tcW w:w="508" w:type="pct"/>
            <w:tcBorders>
              <w:tl2br w:val="nil"/>
              <w:tr2bl w:val="nil"/>
            </w:tcBorders>
            <w:noWrap w:val="0"/>
            <w:vAlign w:val="center"/>
          </w:tcPr>
          <w:p w14:paraId="390F18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长期/不可逆</w:t>
            </w:r>
          </w:p>
        </w:tc>
        <w:tc>
          <w:tcPr>
            <w:tcW w:w="461" w:type="pct"/>
            <w:tcBorders>
              <w:tl2br w:val="nil"/>
              <w:tr2bl w:val="nil"/>
            </w:tcBorders>
            <w:noWrap w:val="0"/>
            <w:vAlign w:val="center"/>
          </w:tcPr>
          <w:p w14:paraId="1B0BE5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r w14:paraId="5772D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l2br w:val="nil"/>
              <w:tr2bl w:val="nil"/>
            </w:tcBorders>
            <w:noWrap w:val="0"/>
            <w:vAlign w:val="center"/>
          </w:tcPr>
          <w:p w14:paraId="0A1084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土地利用</w:t>
            </w:r>
          </w:p>
        </w:tc>
        <w:tc>
          <w:tcPr>
            <w:tcW w:w="1094" w:type="pct"/>
            <w:tcBorders>
              <w:tl2br w:val="nil"/>
              <w:tr2bl w:val="nil"/>
            </w:tcBorders>
            <w:noWrap w:val="0"/>
            <w:vAlign w:val="center"/>
          </w:tcPr>
          <w:p w14:paraId="5E45BD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地类面积</w:t>
            </w:r>
          </w:p>
        </w:tc>
        <w:tc>
          <w:tcPr>
            <w:tcW w:w="2163" w:type="pct"/>
            <w:tcBorders>
              <w:tl2br w:val="nil"/>
              <w:tr2bl w:val="nil"/>
            </w:tcBorders>
            <w:noWrap w:val="0"/>
            <w:vAlign w:val="center"/>
          </w:tcPr>
          <w:p w14:paraId="4FE521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工程占地改变了区域原有土地利用类型和分布</w:t>
            </w:r>
          </w:p>
        </w:tc>
        <w:tc>
          <w:tcPr>
            <w:tcW w:w="508" w:type="pct"/>
            <w:tcBorders>
              <w:tl2br w:val="nil"/>
              <w:tr2bl w:val="nil"/>
            </w:tcBorders>
            <w:noWrap w:val="0"/>
            <w:vAlign w:val="center"/>
          </w:tcPr>
          <w:p w14:paraId="002C84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长期/不可逆</w:t>
            </w:r>
          </w:p>
        </w:tc>
        <w:tc>
          <w:tcPr>
            <w:tcW w:w="461" w:type="pct"/>
            <w:tcBorders>
              <w:tl2br w:val="nil"/>
              <w:tr2bl w:val="nil"/>
            </w:tcBorders>
            <w:noWrap w:val="0"/>
            <w:vAlign w:val="center"/>
          </w:tcPr>
          <w:p w14:paraId="13C88A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auto"/>
                <w:kern w:val="0"/>
                <w:sz w:val="21"/>
                <w:szCs w:val="21"/>
                <w:u w:val="none" w:color="auto"/>
                <w:lang w:val="en-US" w:eastAsia="zh-CN" w:bidi="ar"/>
              </w:rPr>
              <w:t>弱</w:t>
            </w:r>
          </w:p>
        </w:tc>
      </w:tr>
    </w:tbl>
    <w:p w14:paraId="3E52D116">
      <w:pPr>
        <w:widowControl w:val="0"/>
        <w:spacing w:line="360" w:lineRule="auto"/>
        <w:ind w:firstLine="480" w:firstLineChars="200"/>
        <w:jc w:val="both"/>
        <w:rPr>
          <w:rFonts w:hint="eastAsia" w:ascii="Times New Roman" w:hAnsi="Times New Roman" w:eastAsia="宋体" w:cs="Times New Roman"/>
          <w:color w:val="auto"/>
          <w:kern w:val="2"/>
          <w:sz w:val="24"/>
          <w:szCs w:val="24"/>
          <w:u w:val="none" w:color="auto"/>
          <w:lang w:val="en-US" w:eastAsia="zh-CN" w:bidi="ar-SA"/>
        </w:rPr>
      </w:pPr>
      <w:r>
        <w:rPr>
          <w:rFonts w:hint="eastAsia" w:ascii="Times New Roman" w:hAnsi="Times New Roman" w:eastAsia="宋体" w:cs="Times New Roman"/>
          <w:color w:val="auto"/>
          <w:kern w:val="2"/>
          <w:sz w:val="24"/>
          <w:szCs w:val="24"/>
          <w:u w:val="none" w:color="auto"/>
          <w:lang w:val="en-US" w:eastAsia="zh-CN" w:bidi="ar-SA"/>
        </w:rPr>
        <w:t>主要现状评价因子：野生动植物、植被、耕地、水土流失等。</w:t>
      </w:r>
    </w:p>
    <w:p w14:paraId="7D85B401">
      <w:pPr>
        <w:widowControl w:val="0"/>
        <w:spacing w:line="360" w:lineRule="auto"/>
        <w:ind w:firstLine="480" w:firstLineChars="200"/>
        <w:jc w:val="both"/>
        <w:rPr>
          <w:rFonts w:hint="eastAsia" w:ascii="Times New Roman" w:hAnsi="Times New Roman" w:eastAsia="宋体" w:cs="Times New Roman"/>
          <w:color w:val="auto"/>
          <w:kern w:val="2"/>
          <w:sz w:val="24"/>
          <w:szCs w:val="24"/>
          <w:u w:val="none" w:color="auto"/>
          <w:lang w:val="en-US" w:eastAsia="zh-CN" w:bidi="ar-SA"/>
        </w:rPr>
      </w:pPr>
      <w:r>
        <w:rPr>
          <w:rFonts w:hint="eastAsia" w:ascii="Times New Roman" w:hAnsi="Times New Roman" w:eastAsia="宋体" w:cs="Times New Roman"/>
          <w:color w:val="auto"/>
          <w:kern w:val="2"/>
          <w:sz w:val="24"/>
          <w:szCs w:val="24"/>
          <w:u w:val="none" w:color="auto"/>
          <w:lang w:val="en-US" w:eastAsia="zh-CN" w:bidi="ar-SA"/>
        </w:rPr>
        <w:t>主要影响评价因子：施工期为野生动物、植被、耕地、水土流失、景观、林地、土壤的影响；运营期为植被、野生动物、土地复垦及防护工程、绿化工程。</w:t>
      </w:r>
    </w:p>
    <w:p w14:paraId="0137D267">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u w:val="none" w:color="auto"/>
          <w:lang w:val="en-US" w:eastAsia="zh-CN" w:bidi="ar-SA"/>
        </w:rPr>
      </w:pPr>
      <w:bookmarkStart w:id="291" w:name="_Toc21154"/>
      <w:bookmarkStart w:id="292" w:name="_Toc27264"/>
      <w:bookmarkStart w:id="293" w:name="_Toc11317"/>
      <w:bookmarkStart w:id="294" w:name="_Toc13226"/>
      <w:r>
        <w:rPr>
          <w:rFonts w:ascii="Times New Roman" w:hAnsi="Times New Roman" w:eastAsia="宋体" w:cs="Times New Roman"/>
          <w:b/>
          <w:color w:val="auto"/>
          <w:kern w:val="2"/>
          <w:sz w:val="24"/>
          <w:szCs w:val="28"/>
          <w:u w:val="none" w:color="auto"/>
          <w:lang w:val="en-US" w:eastAsia="zh-CN" w:bidi="ar-SA"/>
        </w:rPr>
        <w:t>1.</w:t>
      </w:r>
      <w:r>
        <w:rPr>
          <w:rFonts w:hint="eastAsia" w:ascii="Times New Roman" w:hAnsi="Times New Roman" w:eastAsia="宋体" w:cs="Times New Roman"/>
          <w:b/>
          <w:color w:val="auto"/>
          <w:kern w:val="2"/>
          <w:sz w:val="24"/>
          <w:szCs w:val="28"/>
          <w:u w:val="none" w:color="auto"/>
          <w:lang w:val="en-US" w:eastAsia="zh-CN" w:bidi="ar-SA"/>
        </w:rPr>
        <w:t>7</w:t>
      </w:r>
      <w:r>
        <w:rPr>
          <w:rFonts w:ascii="Times New Roman" w:hAnsi="Times New Roman" w:eastAsia="宋体" w:cs="Times New Roman"/>
          <w:b/>
          <w:color w:val="auto"/>
          <w:kern w:val="2"/>
          <w:sz w:val="24"/>
          <w:szCs w:val="28"/>
          <w:u w:val="none" w:color="auto"/>
          <w:lang w:val="en-US" w:eastAsia="zh-CN" w:bidi="ar-SA"/>
        </w:rPr>
        <w:t>生态环境保护目标</w:t>
      </w:r>
      <w:bookmarkEnd w:id="285"/>
      <w:bookmarkEnd w:id="286"/>
      <w:bookmarkEnd w:id="287"/>
      <w:bookmarkEnd w:id="288"/>
      <w:bookmarkEnd w:id="289"/>
      <w:bookmarkEnd w:id="290"/>
      <w:bookmarkEnd w:id="291"/>
      <w:bookmarkEnd w:id="292"/>
      <w:bookmarkEnd w:id="293"/>
      <w:bookmarkEnd w:id="294"/>
    </w:p>
    <w:p w14:paraId="696442F0">
      <w:pPr>
        <w:widowControl w:val="0"/>
        <w:adjustRightInd w:val="0"/>
        <w:snapToGrid w:val="0"/>
        <w:spacing w:before="0" w:after="0" w:line="360" w:lineRule="auto"/>
        <w:ind w:right="0" w:firstLine="480" w:firstLineChars="200"/>
        <w:jc w:val="both"/>
        <w:rPr>
          <w:rFonts w:hint="eastAsia" w:ascii="Times New Roman" w:hAnsi="Times New Roman" w:eastAsia="宋体" w:cs="Times New Roman"/>
          <w:b/>
          <w:bCs/>
          <w:color w:val="auto"/>
          <w:kern w:val="13"/>
          <w:sz w:val="21"/>
          <w:szCs w:val="21"/>
          <w:u w:val="none" w:color="auto"/>
          <w:lang w:val="en-US" w:eastAsia="zh-CN" w:bidi="ar-SA"/>
        </w:rPr>
      </w:pPr>
      <w:r>
        <w:rPr>
          <w:rFonts w:hint="eastAsia" w:ascii="Times New Roman" w:hAnsi="Times New Roman" w:eastAsia="宋体" w:cs="Times New Roman"/>
          <w:color w:val="auto"/>
          <w:kern w:val="13"/>
          <w:sz w:val="24"/>
          <w:szCs w:val="24"/>
          <w:u w:val="none" w:color="auto"/>
          <w:lang w:val="en-US" w:eastAsia="zh-CN" w:bidi="ar-SA"/>
        </w:rPr>
        <w:t>项目生态保护目标如下。</w:t>
      </w:r>
    </w:p>
    <w:p w14:paraId="357DCA42">
      <w:pPr>
        <w:widowControl w:val="0"/>
        <w:adjustRightInd w:val="0"/>
        <w:snapToGrid w:val="0"/>
        <w:spacing w:before="0" w:after="0" w:line="360" w:lineRule="auto"/>
        <w:ind w:right="0" w:firstLine="0" w:firstLineChars="0"/>
        <w:jc w:val="center"/>
        <w:rPr>
          <w:rFonts w:ascii="Times New Roman" w:hAnsi="Times New Roman" w:eastAsia="宋体" w:cs="Times New Roman"/>
          <w:b/>
          <w:bCs/>
          <w:color w:val="auto"/>
          <w:kern w:val="2"/>
          <w:sz w:val="21"/>
          <w:szCs w:val="21"/>
          <w:u w:val="none" w:color="auto"/>
          <w:lang w:val="en-US" w:eastAsia="zh-CN" w:bidi="ar-SA"/>
        </w:rPr>
      </w:pPr>
    </w:p>
    <w:p w14:paraId="72EA70C1">
      <w:pPr>
        <w:widowControl w:val="0"/>
        <w:adjustRightInd w:val="0"/>
        <w:snapToGrid w:val="0"/>
        <w:spacing w:before="0" w:after="0" w:line="240" w:lineRule="auto"/>
        <w:ind w:right="0" w:firstLine="0" w:firstLineChars="0"/>
        <w:jc w:val="center"/>
        <w:rPr>
          <w:rFonts w:ascii="Times New Roman" w:hAnsi="Times New Roman" w:eastAsia="宋体" w:cs="Times New Roman"/>
          <w:b/>
          <w:bCs/>
          <w:color w:val="auto"/>
          <w:kern w:val="2"/>
          <w:sz w:val="21"/>
          <w:szCs w:val="21"/>
          <w:highlight w:val="none"/>
          <w:u w:val="none" w:color="auto"/>
          <w:lang w:val="en-US" w:eastAsia="zh-CN" w:bidi="ar-SA"/>
        </w:rPr>
      </w:pPr>
      <w:r>
        <w:rPr>
          <w:rFonts w:ascii="Times New Roman" w:hAnsi="Times New Roman" w:eastAsia="宋体" w:cs="Times New Roman"/>
          <w:b/>
          <w:bCs/>
          <w:color w:val="auto"/>
          <w:kern w:val="2"/>
          <w:sz w:val="21"/>
          <w:szCs w:val="21"/>
          <w:highlight w:val="none"/>
          <w:u w:val="none" w:color="auto"/>
          <w:lang w:val="en-US" w:eastAsia="zh-CN" w:bidi="ar-SA"/>
        </w:rPr>
        <w:t>表</w:t>
      </w:r>
      <w:r>
        <w:rPr>
          <w:rFonts w:hint="eastAsia" w:ascii="Times New Roman" w:hAnsi="Times New Roman" w:eastAsia="宋体" w:cs="Times New Roman"/>
          <w:b/>
          <w:bCs/>
          <w:color w:val="auto"/>
          <w:kern w:val="2"/>
          <w:sz w:val="21"/>
          <w:szCs w:val="21"/>
          <w:highlight w:val="none"/>
          <w:u w:val="none" w:color="auto"/>
          <w:lang w:val="en-US" w:eastAsia="zh-CN" w:bidi="ar-SA"/>
        </w:rPr>
        <w:t xml:space="preserve">1.7-1  </w:t>
      </w:r>
      <w:r>
        <w:rPr>
          <w:rFonts w:ascii="Times New Roman" w:hAnsi="Times New Roman" w:eastAsia="宋体" w:cs="Times New Roman"/>
          <w:b/>
          <w:bCs/>
          <w:color w:val="auto"/>
          <w:kern w:val="2"/>
          <w:sz w:val="21"/>
          <w:szCs w:val="21"/>
          <w:highlight w:val="none"/>
          <w:u w:val="none" w:color="auto"/>
          <w:lang w:val="en-US" w:eastAsia="zh-CN" w:bidi="ar-SA"/>
        </w:rPr>
        <w:t>主要生态环境保护目标</w:t>
      </w:r>
    </w:p>
    <w:tbl>
      <w:tblPr>
        <w:tblStyle w:val="25"/>
        <w:tblW w:w="506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629"/>
        <w:gridCol w:w="2204"/>
        <w:gridCol w:w="2583"/>
      </w:tblGrid>
      <w:tr w14:paraId="0F279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58" w:type="pct"/>
            <w:tcBorders>
              <w:tl2br w:val="nil"/>
              <w:tr2bl w:val="nil"/>
            </w:tcBorders>
            <w:noWrap w:val="0"/>
            <w:tcMar>
              <w:left w:w="0" w:type="dxa"/>
              <w:right w:w="0" w:type="dxa"/>
            </w:tcMar>
            <w:vAlign w:val="center"/>
          </w:tcPr>
          <w:p w14:paraId="43F6AA42">
            <w:pPr>
              <w:pStyle w:val="76"/>
              <w:snapToGrid w:val="0"/>
              <w:spacing w:after="0" w:afterLines="0" w:line="240" w:lineRule="auto"/>
              <w:ind w:firstLine="0" w:firstLineChars="0"/>
              <w:rPr>
                <w:rFonts w:hint="default" w:ascii="Times New Roman" w:hAnsi="Times New Roman" w:cs="Times New Roman"/>
                <w:b/>
                <w:color w:val="auto"/>
                <w:sz w:val="21"/>
                <w:szCs w:val="21"/>
                <w:highlight w:val="none"/>
                <w:u w:val="none" w:color="auto"/>
              </w:rPr>
            </w:pPr>
            <w:bookmarkStart w:id="295" w:name="_Toc32159"/>
            <w:bookmarkStart w:id="296" w:name="_Toc2005"/>
            <w:bookmarkStart w:id="297" w:name="_Toc30725"/>
            <w:bookmarkStart w:id="298" w:name="_Toc23919"/>
            <w:bookmarkStart w:id="299" w:name="_Toc30772"/>
            <w:r>
              <w:rPr>
                <w:rFonts w:hint="default" w:ascii="Times New Roman" w:hAnsi="Times New Roman" w:cs="Times New Roman"/>
                <w:b/>
                <w:color w:val="auto"/>
                <w:sz w:val="21"/>
                <w:szCs w:val="21"/>
                <w:highlight w:val="none"/>
                <w:u w:val="none" w:color="auto"/>
                <w:lang w:eastAsia="zh-CN"/>
              </w:rPr>
              <w:t>环保</w:t>
            </w:r>
            <w:r>
              <w:rPr>
                <w:rFonts w:hint="default" w:ascii="Times New Roman" w:hAnsi="Times New Roman" w:cs="Times New Roman"/>
                <w:b/>
                <w:color w:val="auto"/>
                <w:sz w:val="21"/>
                <w:szCs w:val="21"/>
                <w:highlight w:val="none"/>
                <w:u w:val="none" w:color="auto"/>
              </w:rPr>
              <w:t>目标</w:t>
            </w:r>
          </w:p>
        </w:tc>
        <w:tc>
          <w:tcPr>
            <w:tcW w:w="1539" w:type="pct"/>
            <w:tcBorders>
              <w:tl2br w:val="nil"/>
              <w:tr2bl w:val="nil"/>
            </w:tcBorders>
            <w:noWrap w:val="0"/>
            <w:tcMar>
              <w:left w:w="0" w:type="dxa"/>
              <w:right w:w="0" w:type="dxa"/>
            </w:tcMar>
            <w:vAlign w:val="center"/>
          </w:tcPr>
          <w:p w14:paraId="37065EBF">
            <w:pPr>
              <w:pStyle w:val="76"/>
              <w:snapToGrid w:val="0"/>
              <w:spacing w:after="0" w:afterLines="0" w:line="240" w:lineRule="auto"/>
              <w:ind w:firstLine="0" w:firstLineChars="0"/>
              <w:rPr>
                <w:rFonts w:hint="default" w:ascii="Times New Roman" w:hAnsi="Times New Roman" w:eastAsia="宋体" w:cs="Times New Roman"/>
                <w:b/>
                <w:color w:val="auto"/>
                <w:sz w:val="21"/>
                <w:szCs w:val="21"/>
                <w:highlight w:val="none"/>
                <w:u w:val="none" w:color="auto"/>
                <w:lang w:eastAsia="zh-CN"/>
              </w:rPr>
            </w:pPr>
            <w:r>
              <w:rPr>
                <w:rFonts w:hint="default" w:ascii="Times New Roman" w:hAnsi="Times New Roman" w:cs="Times New Roman"/>
                <w:b/>
                <w:bCs/>
                <w:color w:val="auto"/>
                <w:sz w:val="21"/>
                <w:szCs w:val="21"/>
                <w:highlight w:val="none"/>
                <w:u w:val="none" w:color="auto"/>
                <w:lang w:eastAsia="zh-CN"/>
              </w:rPr>
              <w:t>与工程相对位置关系</w:t>
            </w:r>
          </w:p>
        </w:tc>
        <w:tc>
          <w:tcPr>
            <w:tcW w:w="1290" w:type="pct"/>
            <w:tcBorders>
              <w:tl2br w:val="nil"/>
              <w:tr2bl w:val="nil"/>
            </w:tcBorders>
            <w:noWrap w:val="0"/>
            <w:tcMar>
              <w:left w:w="0" w:type="dxa"/>
              <w:right w:w="0" w:type="dxa"/>
            </w:tcMar>
            <w:vAlign w:val="center"/>
          </w:tcPr>
          <w:p w14:paraId="2FBF7EBA">
            <w:pPr>
              <w:pStyle w:val="76"/>
              <w:snapToGrid w:val="0"/>
              <w:spacing w:after="0" w:afterLines="0" w:line="240" w:lineRule="auto"/>
              <w:ind w:firstLine="0" w:firstLineChars="0"/>
              <w:rPr>
                <w:rFonts w:hint="default" w:ascii="Times New Roman" w:hAnsi="Times New Roman" w:eastAsia="宋体" w:cs="Times New Roman"/>
                <w:b/>
                <w:color w:val="auto"/>
                <w:sz w:val="21"/>
                <w:szCs w:val="21"/>
                <w:highlight w:val="none"/>
                <w:u w:val="none" w:color="auto"/>
                <w:lang w:eastAsia="zh-CN"/>
              </w:rPr>
            </w:pPr>
            <w:r>
              <w:rPr>
                <w:rFonts w:hint="default" w:ascii="Times New Roman" w:hAnsi="Times New Roman" w:cs="Times New Roman"/>
                <w:b/>
                <w:color w:val="auto"/>
                <w:sz w:val="21"/>
                <w:szCs w:val="21"/>
                <w:highlight w:val="none"/>
                <w:u w:val="none" w:color="auto"/>
                <w:lang w:eastAsia="zh-CN"/>
              </w:rPr>
              <w:t>影响因素</w:t>
            </w:r>
          </w:p>
        </w:tc>
        <w:tc>
          <w:tcPr>
            <w:tcW w:w="1512" w:type="pct"/>
            <w:tcBorders>
              <w:tl2br w:val="nil"/>
              <w:tr2bl w:val="nil"/>
            </w:tcBorders>
            <w:noWrap w:val="0"/>
            <w:vAlign w:val="center"/>
          </w:tcPr>
          <w:p w14:paraId="4C4EDBA1">
            <w:pPr>
              <w:pStyle w:val="76"/>
              <w:snapToGrid w:val="0"/>
              <w:spacing w:after="0" w:afterLines="0" w:line="240" w:lineRule="auto"/>
              <w:ind w:firstLine="0" w:firstLineChars="0"/>
              <w:rPr>
                <w:rFonts w:hint="default" w:ascii="Times New Roman" w:hAnsi="Times New Roman" w:eastAsia="宋体" w:cs="Times New Roman"/>
                <w:b/>
                <w:color w:val="auto"/>
                <w:sz w:val="21"/>
                <w:szCs w:val="21"/>
                <w:highlight w:val="none"/>
                <w:u w:val="none" w:color="auto"/>
                <w:lang w:eastAsia="zh-CN"/>
              </w:rPr>
            </w:pPr>
            <w:r>
              <w:rPr>
                <w:rFonts w:hint="default" w:ascii="Times New Roman" w:hAnsi="Times New Roman" w:cs="Times New Roman"/>
                <w:b/>
                <w:bCs/>
                <w:color w:val="auto"/>
                <w:sz w:val="21"/>
                <w:szCs w:val="21"/>
                <w:highlight w:val="none"/>
                <w:u w:val="none" w:color="auto"/>
                <w:lang w:eastAsia="zh-CN"/>
              </w:rPr>
              <w:t>保护要求</w:t>
            </w:r>
          </w:p>
        </w:tc>
      </w:tr>
      <w:tr w14:paraId="1DA64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tcBorders>
              <w:tl2br w:val="nil"/>
              <w:tr2bl w:val="nil"/>
            </w:tcBorders>
            <w:noWrap w:val="0"/>
            <w:tcMar>
              <w:left w:w="0" w:type="dxa"/>
              <w:right w:w="0" w:type="dxa"/>
            </w:tcMar>
            <w:vAlign w:val="center"/>
          </w:tcPr>
          <w:p w14:paraId="1A434C83">
            <w:pPr>
              <w:pStyle w:val="76"/>
              <w:overflowPunct/>
              <w:autoSpaceDE/>
              <w:autoSpaceDN/>
              <w:snapToGrid w:val="0"/>
              <w:spacing w:after="0" w:afterLines="0" w:line="240" w:lineRule="auto"/>
              <w:ind w:firstLine="0" w:firstLineChars="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cs="Times New Roman"/>
                <w:b w:val="0"/>
                <w:bCs w:val="0"/>
                <w:color w:val="auto"/>
                <w:sz w:val="21"/>
                <w:szCs w:val="21"/>
                <w:highlight w:val="none"/>
                <w:u w:val="none" w:color="auto"/>
                <w:lang w:eastAsia="zh-CN"/>
              </w:rPr>
              <w:t>陆生</w:t>
            </w:r>
            <w:r>
              <w:rPr>
                <w:rFonts w:hint="default" w:ascii="Times New Roman" w:hAnsi="Times New Roman" w:cs="Times New Roman"/>
                <w:b w:val="0"/>
                <w:bCs w:val="0"/>
                <w:color w:val="auto"/>
                <w:sz w:val="21"/>
                <w:szCs w:val="21"/>
                <w:highlight w:val="none"/>
                <w:u w:val="none" w:color="auto"/>
              </w:rPr>
              <w:t>植</w:t>
            </w:r>
            <w:r>
              <w:rPr>
                <w:rFonts w:hint="default" w:ascii="Times New Roman" w:hAnsi="Times New Roman" w:cs="Times New Roman"/>
                <w:b w:val="0"/>
                <w:bCs w:val="0"/>
                <w:color w:val="auto"/>
                <w:sz w:val="21"/>
                <w:szCs w:val="21"/>
                <w:highlight w:val="none"/>
                <w:u w:val="none" w:color="auto"/>
                <w:lang w:eastAsia="zh-CN"/>
              </w:rPr>
              <w:t>物</w:t>
            </w:r>
          </w:p>
        </w:tc>
        <w:tc>
          <w:tcPr>
            <w:tcW w:w="1539" w:type="pct"/>
            <w:tcBorders>
              <w:tl2br w:val="nil"/>
              <w:tr2bl w:val="nil"/>
            </w:tcBorders>
            <w:noWrap w:val="0"/>
            <w:tcMar>
              <w:left w:w="0" w:type="dxa"/>
              <w:right w:w="0" w:type="dxa"/>
            </w:tcMar>
            <w:vAlign w:val="center"/>
          </w:tcPr>
          <w:p w14:paraId="333BFF3E">
            <w:pPr>
              <w:pStyle w:val="76"/>
              <w:snapToGrid w:val="0"/>
              <w:spacing w:after="0" w:afterLines="0" w:line="240" w:lineRule="auto"/>
              <w:ind w:firstLine="0" w:firstLineChars="0"/>
              <w:rPr>
                <w:rFonts w:hint="default" w:ascii="Times New Roman" w:hAnsi="Times New Roman" w:cs="Times New Roman"/>
                <w:b w:val="0"/>
                <w:bCs w:val="0"/>
                <w:color w:val="auto"/>
                <w:sz w:val="21"/>
                <w:szCs w:val="21"/>
                <w:highlight w:val="none"/>
                <w:u w:val="none" w:color="auto"/>
              </w:rPr>
            </w:pPr>
            <w:r>
              <w:rPr>
                <w:rFonts w:hint="default" w:ascii="Times New Roman" w:hAnsi="Times New Roman" w:cs="Times New Roman"/>
                <w:b w:val="0"/>
                <w:bCs w:val="0"/>
                <w:color w:val="auto"/>
                <w:sz w:val="21"/>
                <w:szCs w:val="21"/>
                <w:highlight w:val="none"/>
                <w:u w:val="none" w:color="auto"/>
              </w:rPr>
              <w:t>项目主体工程以及</w:t>
            </w:r>
            <w:r>
              <w:rPr>
                <w:rFonts w:hint="default" w:ascii="Times New Roman" w:hAnsi="Times New Roman" w:cs="Times New Roman"/>
                <w:b w:val="0"/>
                <w:bCs w:val="0"/>
                <w:color w:val="auto"/>
                <w:sz w:val="21"/>
                <w:szCs w:val="21"/>
                <w:highlight w:val="none"/>
                <w:u w:val="none" w:color="auto"/>
                <w:lang w:eastAsia="zh-CN"/>
              </w:rPr>
              <w:t>施工场地</w:t>
            </w:r>
            <w:r>
              <w:rPr>
                <w:rFonts w:hint="default" w:ascii="Times New Roman" w:hAnsi="Times New Roman" w:cs="Times New Roman"/>
                <w:b w:val="0"/>
                <w:bCs w:val="0"/>
                <w:color w:val="auto"/>
                <w:sz w:val="21"/>
                <w:szCs w:val="21"/>
                <w:highlight w:val="none"/>
                <w:u w:val="none" w:color="auto"/>
              </w:rPr>
              <w:t>周边</w:t>
            </w:r>
          </w:p>
        </w:tc>
        <w:tc>
          <w:tcPr>
            <w:tcW w:w="1290" w:type="pct"/>
            <w:tcBorders>
              <w:tl2br w:val="nil"/>
              <w:tr2bl w:val="nil"/>
            </w:tcBorders>
            <w:noWrap w:val="0"/>
            <w:tcMar>
              <w:left w:w="0" w:type="dxa"/>
              <w:right w:w="0" w:type="dxa"/>
            </w:tcMar>
            <w:vAlign w:val="center"/>
          </w:tcPr>
          <w:p w14:paraId="28CD0DA0">
            <w:pPr>
              <w:pStyle w:val="76"/>
              <w:snapToGrid w:val="0"/>
              <w:spacing w:after="0" w:afterLines="0" w:line="240" w:lineRule="auto"/>
              <w:ind w:firstLine="0" w:firstLineChars="0"/>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cs="Times New Roman"/>
                <w:b w:val="0"/>
                <w:bCs w:val="0"/>
                <w:color w:val="auto"/>
                <w:sz w:val="21"/>
                <w:szCs w:val="21"/>
                <w:highlight w:val="none"/>
                <w:u w:val="none" w:color="auto"/>
              </w:rPr>
              <w:t>土地占用</w:t>
            </w:r>
            <w:r>
              <w:rPr>
                <w:rFonts w:hint="default" w:ascii="Times New Roman" w:hAnsi="Times New Roman" w:cs="Times New Roman"/>
                <w:b w:val="0"/>
                <w:bCs w:val="0"/>
                <w:color w:val="auto"/>
                <w:sz w:val="21"/>
                <w:szCs w:val="21"/>
                <w:highlight w:val="none"/>
                <w:u w:val="none" w:color="auto"/>
                <w:lang w:eastAsia="zh-CN"/>
              </w:rPr>
              <w:t>、</w:t>
            </w:r>
            <w:r>
              <w:rPr>
                <w:rFonts w:hint="default" w:ascii="Times New Roman" w:hAnsi="Times New Roman" w:cs="Times New Roman"/>
                <w:b w:val="0"/>
                <w:bCs w:val="0"/>
                <w:color w:val="auto"/>
                <w:kern w:val="2"/>
                <w:sz w:val="21"/>
                <w:szCs w:val="21"/>
                <w:highlight w:val="none"/>
                <w:u w:val="none" w:color="auto"/>
                <w:lang w:val="en-US" w:eastAsia="zh-CN"/>
              </w:rPr>
              <w:t>施工期挖填方及弃土</w:t>
            </w:r>
            <w:r>
              <w:rPr>
                <w:rFonts w:hint="default" w:ascii="Times New Roman" w:hAnsi="Times New Roman" w:cs="Times New Roman"/>
                <w:b w:val="0"/>
                <w:bCs w:val="0"/>
                <w:color w:val="auto"/>
                <w:sz w:val="21"/>
                <w:szCs w:val="21"/>
                <w:highlight w:val="none"/>
                <w:u w:val="none" w:color="auto"/>
              </w:rPr>
              <w:t>将造成植被的</w:t>
            </w:r>
            <w:r>
              <w:rPr>
                <w:rFonts w:hint="default" w:ascii="Times New Roman" w:hAnsi="Times New Roman" w:cs="Times New Roman"/>
                <w:b w:val="0"/>
                <w:bCs w:val="0"/>
                <w:color w:val="auto"/>
                <w:sz w:val="21"/>
                <w:szCs w:val="21"/>
                <w:highlight w:val="none"/>
                <w:u w:val="none" w:color="auto"/>
                <w:lang w:eastAsia="zh-CN"/>
              </w:rPr>
              <w:t>破坏及</w:t>
            </w:r>
            <w:r>
              <w:rPr>
                <w:rFonts w:hint="default" w:ascii="Times New Roman" w:hAnsi="Times New Roman" w:cs="Times New Roman"/>
                <w:b w:val="0"/>
                <w:bCs w:val="0"/>
                <w:color w:val="auto"/>
                <w:sz w:val="21"/>
                <w:szCs w:val="21"/>
                <w:highlight w:val="none"/>
                <w:u w:val="none" w:color="auto"/>
              </w:rPr>
              <w:t>损失。影响时段为施工期</w:t>
            </w:r>
          </w:p>
        </w:tc>
        <w:tc>
          <w:tcPr>
            <w:tcW w:w="1512" w:type="pct"/>
            <w:tcBorders>
              <w:tl2br w:val="nil"/>
              <w:tr2bl w:val="nil"/>
            </w:tcBorders>
            <w:noWrap w:val="0"/>
            <w:vAlign w:val="center"/>
          </w:tcPr>
          <w:p w14:paraId="0E6ECF51">
            <w:pPr>
              <w:pStyle w:val="76"/>
              <w:snapToGrid w:val="0"/>
              <w:spacing w:after="0" w:afterLines="0" w:line="240" w:lineRule="auto"/>
              <w:ind w:firstLine="0" w:firstLineChars="0"/>
              <w:rPr>
                <w:rFonts w:hint="default" w:ascii="Times New Roman" w:hAnsi="Times New Roman" w:cs="Times New Roman"/>
                <w:b w:val="0"/>
                <w:bCs w:val="0"/>
                <w:color w:val="auto"/>
                <w:sz w:val="21"/>
                <w:szCs w:val="21"/>
                <w:highlight w:val="none"/>
                <w:u w:val="none" w:color="auto"/>
              </w:rPr>
            </w:pPr>
            <w:r>
              <w:rPr>
                <w:rFonts w:hint="default" w:ascii="Times New Roman" w:hAnsi="Times New Roman" w:cs="Times New Roman"/>
                <w:b w:val="0"/>
                <w:bCs w:val="0"/>
                <w:color w:val="auto"/>
                <w:sz w:val="21"/>
                <w:szCs w:val="21"/>
                <w:highlight w:val="none"/>
                <w:u w:val="none" w:color="auto"/>
                <w:lang w:eastAsia="zh-CN"/>
              </w:rPr>
              <w:t>加强施工环境管理和监理，优化施工方式，减少对植被破坏，</w:t>
            </w:r>
            <w:r>
              <w:rPr>
                <w:rFonts w:hint="default" w:ascii="Times New Roman" w:hAnsi="Times New Roman" w:cs="Times New Roman"/>
                <w:b w:val="0"/>
                <w:bCs w:val="0"/>
                <w:color w:val="auto"/>
                <w:kern w:val="2"/>
                <w:sz w:val="21"/>
                <w:szCs w:val="21"/>
                <w:highlight w:val="none"/>
                <w:u w:val="none" w:color="auto"/>
                <w:lang w:eastAsia="zh-CN"/>
              </w:rPr>
              <w:t>施工完成后及时对临时施工场地等进行植被恢复</w:t>
            </w:r>
          </w:p>
        </w:tc>
      </w:tr>
      <w:tr w14:paraId="6AF8C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58" w:type="pct"/>
            <w:tcBorders>
              <w:tl2br w:val="nil"/>
              <w:tr2bl w:val="nil"/>
            </w:tcBorders>
            <w:noWrap w:val="0"/>
            <w:tcMar>
              <w:left w:w="0" w:type="dxa"/>
              <w:right w:w="0" w:type="dxa"/>
            </w:tcMar>
            <w:vAlign w:val="center"/>
          </w:tcPr>
          <w:p w14:paraId="2188BE3D">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lang w:eastAsia="zh-CN"/>
              </w:rPr>
            </w:pPr>
            <w:r>
              <w:rPr>
                <w:rFonts w:hint="default" w:ascii="Times New Roman" w:hAnsi="Times New Roman" w:cs="Times New Roman"/>
                <w:b w:val="0"/>
                <w:bCs w:val="0"/>
                <w:color w:val="auto"/>
                <w:kern w:val="2"/>
                <w:sz w:val="21"/>
                <w:szCs w:val="21"/>
                <w:highlight w:val="none"/>
                <w:u w:val="none" w:color="auto"/>
                <w:lang w:eastAsia="zh-CN"/>
              </w:rPr>
              <w:t>陆生动物</w:t>
            </w:r>
          </w:p>
        </w:tc>
        <w:tc>
          <w:tcPr>
            <w:tcW w:w="1539" w:type="pct"/>
            <w:tcBorders>
              <w:tl2br w:val="nil"/>
              <w:tr2bl w:val="nil"/>
            </w:tcBorders>
            <w:noWrap w:val="0"/>
            <w:tcMar>
              <w:left w:w="0" w:type="dxa"/>
              <w:right w:w="0" w:type="dxa"/>
            </w:tcMar>
            <w:vAlign w:val="center"/>
          </w:tcPr>
          <w:p w14:paraId="6E656F76">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lang w:eastAsia="zh-CN"/>
              </w:rPr>
            </w:pPr>
            <w:r>
              <w:rPr>
                <w:rFonts w:hint="default" w:ascii="Times New Roman" w:hAnsi="Times New Roman" w:cs="Times New Roman"/>
                <w:b w:val="0"/>
                <w:bCs w:val="0"/>
                <w:color w:val="auto"/>
                <w:sz w:val="21"/>
                <w:szCs w:val="21"/>
                <w:highlight w:val="none"/>
                <w:u w:val="none" w:color="auto"/>
              </w:rPr>
              <w:t>项目主体工程以及</w:t>
            </w:r>
            <w:r>
              <w:rPr>
                <w:rFonts w:hint="default" w:ascii="Times New Roman" w:hAnsi="Times New Roman" w:cs="Times New Roman"/>
                <w:b w:val="0"/>
                <w:bCs w:val="0"/>
                <w:color w:val="auto"/>
                <w:sz w:val="21"/>
                <w:szCs w:val="21"/>
                <w:highlight w:val="none"/>
                <w:u w:val="none" w:color="auto"/>
                <w:lang w:eastAsia="zh-CN"/>
              </w:rPr>
              <w:t>施工场地</w:t>
            </w:r>
            <w:r>
              <w:rPr>
                <w:rFonts w:hint="default" w:ascii="Times New Roman" w:hAnsi="Times New Roman" w:cs="Times New Roman"/>
                <w:b w:val="0"/>
                <w:bCs w:val="0"/>
                <w:color w:val="auto"/>
                <w:sz w:val="21"/>
                <w:szCs w:val="21"/>
                <w:highlight w:val="none"/>
                <w:u w:val="none" w:color="auto"/>
              </w:rPr>
              <w:t>周边</w:t>
            </w:r>
          </w:p>
        </w:tc>
        <w:tc>
          <w:tcPr>
            <w:tcW w:w="1290" w:type="pct"/>
            <w:tcBorders>
              <w:tl2br w:val="nil"/>
              <w:tr2bl w:val="nil"/>
            </w:tcBorders>
            <w:noWrap w:val="0"/>
            <w:tcMar>
              <w:left w:w="0" w:type="dxa"/>
              <w:right w:w="0" w:type="dxa"/>
            </w:tcMar>
            <w:vAlign w:val="center"/>
          </w:tcPr>
          <w:p w14:paraId="4EE9DD97">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lang w:val="en-US" w:eastAsia="zh-CN"/>
              </w:rPr>
            </w:pPr>
            <w:r>
              <w:rPr>
                <w:rFonts w:hint="default" w:ascii="Times New Roman" w:hAnsi="Times New Roman" w:cs="Times New Roman"/>
                <w:b w:val="0"/>
                <w:bCs w:val="0"/>
                <w:color w:val="auto"/>
                <w:kern w:val="2"/>
                <w:sz w:val="21"/>
                <w:szCs w:val="21"/>
                <w:highlight w:val="none"/>
                <w:u w:val="none" w:color="auto"/>
                <w:lang w:val="en-US" w:eastAsia="zh-CN"/>
              </w:rPr>
              <w:t>施工期对其生境的扰动</w:t>
            </w:r>
          </w:p>
        </w:tc>
        <w:tc>
          <w:tcPr>
            <w:tcW w:w="1512" w:type="pct"/>
            <w:tcBorders>
              <w:tl2br w:val="nil"/>
              <w:tr2bl w:val="nil"/>
            </w:tcBorders>
            <w:noWrap w:val="0"/>
            <w:vAlign w:val="center"/>
          </w:tcPr>
          <w:p w14:paraId="4E222463">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lang w:eastAsia="zh-CN"/>
              </w:rPr>
            </w:pPr>
            <w:r>
              <w:rPr>
                <w:rFonts w:hint="default" w:ascii="Times New Roman" w:hAnsi="Times New Roman" w:cs="Times New Roman"/>
                <w:b w:val="0"/>
                <w:bCs w:val="0"/>
                <w:color w:val="auto"/>
                <w:kern w:val="2"/>
                <w:sz w:val="21"/>
                <w:szCs w:val="21"/>
                <w:highlight w:val="none"/>
                <w:u w:val="none" w:color="auto"/>
                <w:lang w:eastAsia="zh-CN"/>
              </w:rPr>
              <w:t>加强施工管理，优化施工时间</w:t>
            </w:r>
          </w:p>
        </w:tc>
      </w:tr>
      <w:tr w14:paraId="12146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8" w:type="pct"/>
            <w:tcBorders>
              <w:tl2br w:val="nil"/>
              <w:tr2bl w:val="nil"/>
            </w:tcBorders>
            <w:noWrap w:val="0"/>
            <w:tcMar>
              <w:left w:w="0" w:type="dxa"/>
              <w:right w:w="0" w:type="dxa"/>
            </w:tcMar>
            <w:vAlign w:val="center"/>
          </w:tcPr>
          <w:p w14:paraId="488A929E">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rPr>
            </w:pPr>
            <w:r>
              <w:rPr>
                <w:rFonts w:hint="default" w:ascii="Times New Roman" w:hAnsi="Times New Roman" w:cs="Times New Roman"/>
                <w:b w:val="0"/>
                <w:bCs w:val="0"/>
                <w:color w:val="auto"/>
                <w:kern w:val="2"/>
                <w:sz w:val="21"/>
                <w:szCs w:val="21"/>
                <w:highlight w:val="none"/>
                <w:u w:val="none" w:color="auto"/>
              </w:rPr>
              <w:t>水生生物</w:t>
            </w:r>
          </w:p>
        </w:tc>
        <w:tc>
          <w:tcPr>
            <w:tcW w:w="1539" w:type="pct"/>
            <w:tcBorders>
              <w:tl2br w:val="nil"/>
              <w:tr2bl w:val="nil"/>
            </w:tcBorders>
            <w:noWrap w:val="0"/>
            <w:tcMar>
              <w:left w:w="0" w:type="dxa"/>
              <w:right w:w="0" w:type="dxa"/>
            </w:tcMar>
            <w:vAlign w:val="center"/>
          </w:tcPr>
          <w:p w14:paraId="14D36ECC">
            <w:pPr>
              <w:pStyle w:val="76"/>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eastAsia="宋体" w:cs="Times New Roman"/>
                <w:b w:val="0"/>
                <w:bCs w:val="0"/>
                <w:color w:val="auto"/>
                <w:kern w:val="2"/>
                <w:sz w:val="21"/>
                <w:szCs w:val="21"/>
                <w:highlight w:val="none"/>
                <w:u w:val="none" w:color="auto"/>
                <w:lang w:val="en-US" w:eastAsia="zh-CN"/>
              </w:rPr>
              <w:t>本项目不涉及涉水施工</w:t>
            </w:r>
          </w:p>
        </w:tc>
        <w:tc>
          <w:tcPr>
            <w:tcW w:w="1290" w:type="pct"/>
            <w:tcBorders>
              <w:tl2br w:val="nil"/>
              <w:tr2bl w:val="nil"/>
            </w:tcBorders>
            <w:noWrap w:val="0"/>
            <w:tcMar>
              <w:left w:w="0" w:type="dxa"/>
              <w:right w:w="0" w:type="dxa"/>
            </w:tcMar>
            <w:vAlign w:val="center"/>
          </w:tcPr>
          <w:p w14:paraId="1DF7435E">
            <w:pPr>
              <w:pStyle w:val="76"/>
              <w:snapToGrid w:val="0"/>
              <w:spacing w:after="0" w:afterLines="0" w:line="240" w:lineRule="auto"/>
              <w:ind w:firstLine="0" w:firstLineChars="0"/>
              <w:rPr>
                <w:rFonts w:hint="default" w:ascii="Times New Roman" w:hAnsi="Times New Roman" w:cs="Times New Roman"/>
                <w:b w:val="0"/>
                <w:bCs w:val="0"/>
                <w:color w:val="auto"/>
                <w:kern w:val="2"/>
                <w:sz w:val="21"/>
                <w:szCs w:val="21"/>
                <w:highlight w:val="none"/>
                <w:u w:val="none" w:color="auto"/>
                <w:lang w:val="en-US" w:eastAsia="zh-CN"/>
              </w:rPr>
            </w:pPr>
            <w:r>
              <w:rPr>
                <w:rFonts w:hint="eastAsia" w:cs="Times New Roman"/>
                <w:b w:val="0"/>
                <w:bCs w:val="0"/>
                <w:color w:val="auto"/>
                <w:kern w:val="2"/>
                <w:sz w:val="21"/>
                <w:szCs w:val="21"/>
                <w:highlight w:val="none"/>
                <w:u w:val="none" w:color="auto"/>
                <w:lang w:val="en-US" w:eastAsia="zh-CN"/>
              </w:rPr>
              <w:t>/</w:t>
            </w:r>
          </w:p>
        </w:tc>
        <w:tc>
          <w:tcPr>
            <w:tcW w:w="1512" w:type="pct"/>
            <w:tcBorders>
              <w:tl2br w:val="nil"/>
              <w:tr2bl w:val="nil"/>
            </w:tcBorders>
            <w:noWrap w:val="0"/>
            <w:vAlign w:val="center"/>
          </w:tcPr>
          <w:p w14:paraId="63892099">
            <w:pPr>
              <w:pStyle w:val="76"/>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eastAsia="宋体" w:cs="Times New Roman"/>
                <w:b w:val="0"/>
                <w:bCs w:val="0"/>
                <w:color w:val="auto"/>
                <w:kern w:val="2"/>
                <w:sz w:val="21"/>
                <w:szCs w:val="21"/>
                <w:highlight w:val="none"/>
                <w:u w:val="none" w:color="auto"/>
                <w:lang w:val="en-US" w:eastAsia="zh-CN"/>
              </w:rPr>
              <w:t>/</w:t>
            </w:r>
          </w:p>
        </w:tc>
      </w:tr>
      <w:tr w14:paraId="28E6D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tcBorders>
              <w:tl2br w:val="nil"/>
              <w:tr2bl w:val="nil"/>
            </w:tcBorders>
            <w:noWrap w:val="0"/>
            <w:tcMar>
              <w:left w:w="0" w:type="dxa"/>
              <w:right w:w="0" w:type="dxa"/>
            </w:tcMar>
            <w:vAlign w:val="center"/>
          </w:tcPr>
          <w:p w14:paraId="496980D7">
            <w:pPr>
              <w:pStyle w:val="53"/>
              <w:spacing w:before="0" w:beforeLines="0" w:after="0" w:afterLines="0"/>
              <w:jc w:val="center"/>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b w:val="0"/>
                <w:bCs/>
                <w:color w:val="auto"/>
                <w:sz w:val="21"/>
                <w:szCs w:val="21"/>
                <w:highlight w:val="none"/>
                <w:u w:val="none" w:color="auto"/>
                <w:lang w:val="en-US" w:eastAsia="zh-CN"/>
              </w:rPr>
              <w:t>湖南东洞庭湖国家级自然保护区实验区</w:t>
            </w:r>
          </w:p>
        </w:tc>
        <w:tc>
          <w:tcPr>
            <w:tcW w:w="2626" w:type="dxa"/>
            <w:tcBorders>
              <w:tl2br w:val="nil"/>
              <w:tr2bl w:val="nil"/>
            </w:tcBorders>
            <w:noWrap w:val="0"/>
            <w:tcMar>
              <w:left w:w="0" w:type="dxa"/>
              <w:right w:w="0" w:type="dxa"/>
            </w:tcMar>
            <w:vAlign w:val="center"/>
          </w:tcPr>
          <w:p w14:paraId="60B10223">
            <w:pPr>
              <w:pStyle w:val="53"/>
              <w:spacing w:before="0" w:beforeLines="0" w:after="0" w:afterLines="0"/>
              <w:jc w:val="center"/>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b w:val="0"/>
                <w:bCs/>
                <w:color w:val="auto"/>
                <w:sz w:val="21"/>
                <w:szCs w:val="21"/>
                <w:highlight w:val="none"/>
                <w:u w:val="none" w:color="auto"/>
                <w:lang w:val="en-US" w:eastAsia="zh-CN"/>
              </w:rPr>
              <w:t>项目位于实验区范围内</w:t>
            </w:r>
          </w:p>
        </w:tc>
        <w:tc>
          <w:tcPr>
            <w:tcW w:w="2201" w:type="dxa"/>
            <w:tcBorders>
              <w:tl2br w:val="nil"/>
              <w:tr2bl w:val="nil"/>
            </w:tcBorders>
            <w:noWrap w:val="0"/>
            <w:tcMar>
              <w:left w:w="0" w:type="dxa"/>
              <w:right w:w="0" w:type="dxa"/>
            </w:tcMar>
            <w:vAlign w:val="center"/>
          </w:tcPr>
          <w:p w14:paraId="35E73EDA">
            <w:pPr>
              <w:pStyle w:val="53"/>
              <w:spacing w:before="0" w:beforeLines="0" w:after="0" w:afterLine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default" w:ascii="Times New Roman" w:hAnsi="Times New Roman" w:cs="Times New Roman"/>
                <w:b w:val="0"/>
                <w:bCs w:val="0"/>
                <w:color w:val="auto"/>
                <w:kern w:val="2"/>
                <w:sz w:val="21"/>
                <w:szCs w:val="21"/>
                <w:highlight w:val="none"/>
                <w:u w:val="none" w:color="auto"/>
                <w:lang w:val="en-US" w:eastAsia="zh-CN"/>
              </w:rPr>
              <w:t>施工期对其</w:t>
            </w:r>
            <w:r>
              <w:rPr>
                <w:rFonts w:hint="eastAsia" w:ascii="Times New Roman" w:hAnsi="Times New Roman" w:cs="Times New Roman"/>
                <w:b w:val="0"/>
                <w:bCs w:val="0"/>
                <w:color w:val="auto"/>
                <w:kern w:val="2"/>
                <w:sz w:val="21"/>
                <w:szCs w:val="21"/>
                <w:highlight w:val="none"/>
                <w:u w:val="none" w:color="auto"/>
                <w:lang w:val="en-US" w:eastAsia="zh-CN"/>
              </w:rPr>
              <w:t>自然环境的破坏</w:t>
            </w:r>
          </w:p>
        </w:tc>
        <w:tc>
          <w:tcPr>
            <w:tcW w:w="2580" w:type="dxa"/>
            <w:tcBorders>
              <w:tl2br w:val="nil"/>
              <w:tr2bl w:val="nil"/>
            </w:tcBorders>
            <w:noWrap w:val="0"/>
            <w:vAlign w:val="center"/>
          </w:tcPr>
          <w:p w14:paraId="78F0D3C8">
            <w:pPr>
              <w:pStyle w:val="53"/>
              <w:spacing w:before="0" w:beforeLines="0" w:after="0" w:afterLines="0"/>
              <w:rPr>
                <w:rFonts w:hint="default" w:ascii="Times New Roman" w:hAnsi="Times New Roman" w:cs="Times New Roman"/>
                <w:b w:val="0"/>
                <w:bCs w:val="0"/>
                <w:color w:val="auto"/>
                <w:kern w:val="2"/>
                <w:sz w:val="21"/>
                <w:szCs w:val="21"/>
                <w:highlight w:val="none"/>
                <w:u w:val="none" w:color="auto"/>
                <w:lang w:val="en-US" w:eastAsia="zh-CN"/>
              </w:rPr>
            </w:pPr>
            <w:r>
              <w:rPr>
                <w:rFonts w:hint="default"/>
                <w:b w:val="0"/>
                <w:bCs/>
                <w:color w:val="auto"/>
                <w:sz w:val="21"/>
                <w:szCs w:val="21"/>
                <w:highlight w:val="none"/>
                <w:u w:val="none" w:color="auto"/>
                <w:lang w:val="en-US" w:eastAsia="zh-CN"/>
              </w:rPr>
              <w:t>有效保护</w:t>
            </w:r>
            <w:r>
              <w:rPr>
                <w:rFonts w:hint="eastAsia"/>
                <w:b w:val="0"/>
                <w:bCs/>
                <w:color w:val="auto"/>
                <w:sz w:val="21"/>
                <w:szCs w:val="21"/>
                <w:highlight w:val="none"/>
                <w:u w:val="none" w:color="auto"/>
                <w:lang w:val="en-US" w:eastAsia="zh-CN"/>
              </w:rPr>
              <w:t>周边</w:t>
            </w:r>
            <w:r>
              <w:rPr>
                <w:rFonts w:hint="default"/>
                <w:b w:val="0"/>
                <w:bCs/>
                <w:color w:val="auto"/>
                <w:sz w:val="21"/>
                <w:szCs w:val="21"/>
                <w:highlight w:val="none"/>
                <w:u w:val="none" w:color="auto"/>
                <w:lang w:val="en-US" w:eastAsia="zh-CN"/>
              </w:rPr>
              <w:t>生态环境</w:t>
            </w:r>
            <w:r>
              <w:rPr>
                <w:rFonts w:hint="eastAsia"/>
                <w:b w:val="0"/>
                <w:bCs/>
                <w:color w:val="auto"/>
                <w:sz w:val="21"/>
                <w:szCs w:val="21"/>
                <w:highlight w:val="none"/>
                <w:u w:val="none" w:color="auto"/>
                <w:lang w:val="en-US" w:eastAsia="zh-CN"/>
              </w:rPr>
              <w:t>不受本项目影响</w:t>
            </w:r>
          </w:p>
        </w:tc>
      </w:tr>
      <w:tr w14:paraId="397AA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tcBorders>
              <w:tl2br w:val="nil"/>
              <w:tr2bl w:val="nil"/>
            </w:tcBorders>
            <w:noWrap w:val="0"/>
            <w:tcMar>
              <w:left w:w="0" w:type="dxa"/>
              <w:right w:w="0" w:type="dxa"/>
            </w:tcMar>
            <w:vAlign w:val="center"/>
          </w:tcPr>
          <w:p w14:paraId="158ECA53">
            <w:pPr>
              <w:pStyle w:val="53"/>
              <w:spacing w:before="0" w:beforeLines="0" w:after="0" w:afterLines="0"/>
              <w:rPr>
                <w:rFonts w:hint="eastAsia"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湖南东洞庭湖国家级自然保护区核心区</w:t>
            </w:r>
          </w:p>
        </w:tc>
        <w:tc>
          <w:tcPr>
            <w:tcW w:w="2626" w:type="dxa"/>
            <w:tcBorders>
              <w:tl2br w:val="nil"/>
              <w:tr2bl w:val="nil"/>
            </w:tcBorders>
            <w:noWrap w:val="0"/>
            <w:tcMar>
              <w:left w:w="0" w:type="dxa"/>
              <w:right w:w="0" w:type="dxa"/>
            </w:tcMar>
            <w:vAlign w:val="center"/>
          </w:tcPr>
          <w:p w14:paraId="422A1804">
            <w:pPr>
              <w:pStyle w:val="53"/>
              <w:spacing w:before="0" w:beforeLines="0" w:after="0" w:afterLines="0"/>
              <w:rPr>
                <w:rFonts w:hint="eastAsia"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离核心区最近距离约8.5 km</w:t>
            </w:r>
          </w:p>
        </w:tc>
        <w:tc>
          <w:tcPr>
            <w:tcW w:w="2201" w:type="dxa"/>
            <w:tcBorders>
              <w:tl2br w:val="nil"/>
              <w:tr2bl w:val="nil"/>
            </w:tcBorders>
            <w:noWrap w:val="0"/>
            <w:tcMar>
              <w:left w:w="0" w:type="dxa"/>
              <w:right w:w="0" w:type="dxa"/>
            </w:tcMar>
            <w:vAlign w:val="center"/>
          </w:tcPr>
          <w:p w14:paraId="6A95073F">
            <w:pPr>
              <w:pStyle w:val="53"/>
              <w:spacing w:before="0" w:beforeLines="0" w:after="0" w:afterLine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w:t>
            </w:r>
          </w:p>
        </w:tc>
        <w:tc>
          <w:tcPr>
            <w:tcW w:w="2580" w:type="dxa"/>
            <w:tcBorders>
              <w:tl2br w:val="nil"/>
              <w:tr2bl w:val="nil"/>
            </w:tcBorders>
            <w:noWrap w:val="0"/>
            <w:vAlign w:val="center"/>
          </w:tcPr>
          <w:p w14:paraId="5BC6A218">
            <w:pPr>
              <w:pStyle w:val="53"/>
              <w:spacing w:before="0" w:beforeLines="0" w:after="0" w:afterLine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lang w:val="en-US" w:eastAsia="zh-CN"/>
              </w:rPr>
              <w:t>有效保护</w:t>
            </w:r>
            <w:r>
              <w:rPr>
                <w:rFonts w:hint="eastAsia" w:ascii="Times New Roman" w:hAnsi="Times New Roman" w:eastAsia="宋体" w:cs="Times New Roman"/>
                <w:b w:val="0"/>
                <w:bCs w:val="0"/>
                <w:color w:val="auto"/>
                <w:kern w:val="2"/>
                <w:sz w:val="21"/>
                <w:szCs w:val="21"/>
                <w:highlight w:val="none"/>
                <w:u w:val="none" w:color="auto"/>
                <w:lang w:val="en-US" w:eastAsia="zh-CN"/>
              </w:rPr>
              <w:t>周边</w:t>
            </w:r>
            <w:r>
              <w:rPr>
                <w:rFonts w:hint="default" w:ascii="Times New Roman" w:hAnsi="Times New Roman" w:eastAsia="宋体" w:cs="Times New Roman"/>
                <w:b w:val="0"/>
                <w:bCs w:val="0"/>
                <w:color w:val="auto"/>
                <w:kern w:val="2"/>
                <w:sz w:val="21"/>
                <w:szCs w:val="21"/>
                <w:highlight w:val="none"/>
                <w:u w:val="none" w:color="auto"/>
                <w:lang w:val="en-US" w:eastAsia="zh-CN"/>
              </w:rPr>
              <w:t>生态环境</w:t>
            </w:r>
            <w:r>
              <w:rPr>
                <w:rFonts w:hint="eastAsia" w:ascii="Times New Roman" w:hAnsi="Times New Roman" w:eastAsia="宋体" w:cs="Times New Roman"/>
                <w:b w:val="0"/>
                <w:bCs w:val="0"/>
                <w:color w:val="auto"/>
                <w:kern w:val="2"/>
                <w:sz w:val="21"/>
                <w:szCs w:val="21"/>
                <w:highlight w:val="none"/>
                <w:u w:val="none" w:color="auto"/>
                <w:lang w:val="en-US" w:eastAsia="zh-CN"/>
              </w:rPr>
              <w:t>不受本项目影响</w:t>
            </w:r>
          </w:p>
        </w:tc>
      </w:tr>
      <w:tr w14:paraId="52A73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tcBorders>
              <w:tl2br w:val="nil"/>
              <w:tr2bl w:val="nil"/>
            </w:tcBorders>
            <w:noWrap w:val="0"/>
            <w:tcMar>
              <w:left w:w="0" w:type="dxa"/>
              <w:right w:w="0" w:type="dxa"/>
            </w:tcMar>
            <w:vAlign w:val="center"/>
          </w:tcPr>
          <w:p w14:paraId="73041AB9">
            <w:pPr>
              <w:pStyle w:val="53"/>
              <w:spacing w:before="0" w:beforeLines="0" w:after="0" w:afterLines="0"/>
              <w:rPr>
                <w:rFonts w:hint="eastAsia"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湖南东洞庭湖国家级自然保护区缓冲区</w:t>
            </w:r>
          </w:p>
        </w:tc>
        <w:tc>
          <w:tcPr>
            <w:tcW w:w="2626" w:type="dxa"/>
            <w:tcBorders>
              <w:tl2br w:val="nil"/>
              <w:tr2bl w:val="nil"/>
            </w:tcBorders>
            <w:noWrap w:val="0"/>
            <w:tcMar>
              <w:left w:w="0" w:type="dxa"/>
              <w:right w:w="0" w:type="dxa"/>
            </w:tcMar>
            <w:vAlign w:val="center"/>
          </w:tcPr>
          <w:p w14:paraId="3B508028">
            <w:pPr>
              <w:pStyle w:val="53"/>
              <w:spacing w:before="0" w:beforeLines="0" w:after="0" w:afterLines="0"/>
              <w:rPr>
                <w:rFonts w:hint="eastAsia"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离缓冲区最近距离约7.8km</w:t>
            </w:r>
          </w:p>
        </w:tc>
        <w:tc>
          <w:tcPr>
            <w:tcW w:w="2201" w:type="dxa"/>
            <w:tcBorders>
              <w:tl2br w:val="nil"/>
              <w:tr2bl w:val="nil"/>
            </w:tcBorders>
            <w:noWrap w:val="0"/>
            <w:tcMar>
              <w:left w:w="0" w:type="dxa"/>
              <w:right w:w="0" w:type="dxa"/>
            </w:tcMar>
            <w:vAlign w:val="center"/>
          </w:tcPr>
          <w:p w14:paraId="24659CE9">
            <w:pPr>
              <w:pStyle w:val="53"/>
              <w:spacing w:before="0" w:beforeLines="0" w:after="0" w:afterLine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eastAsia" w:ascii="Times New Roman" w:hAnsi="Times New Roman" w:eastAsia="宋体" w:cs="Times New Roman"/>
                <w:b w:val="0"/>
                <w:bCs w:val="0"/>
                <w:color w:val="auto"/>
                <w:kern w:val="2"/>
                <w:sz w:val="21"/>
                <w:szCs w:val="21"/>
                <w:highlight w:val="none"/>
                <w:u w:val="none" w:color="auto"/>
                <w:lang w:val="en-US" w:eastAsia="zh-CN"/>
              </w:rPr>
              <w:t>/</w:t>
            </w:r>
          </w:p>
        </w:tc>
        <w:tc>
          <w:tcPr>
            <w:tcW w:w="2580" w:type="dxa"/>
            <w:tcBorders>
              <w:tl2br w:val="nil"/>
              <w:tr2bl w:val="nil"/>
            </w:tcBorders>
            <w:noWrap w:val="0"/>
            <w:vAlign w:val="center"/>
          </w:tcPr>
          <w:p w14:paraId="324379F5">
            <w:pPr>
              <w:pStyle w:val="53"/>
              <w:spacing w:before="0" w:beforeLines="0" w:after="0" w:afterLines="0"/>
              <w:rPr>
                <w:rFonts w:hint="default" w:ascii="Times New Roman" w:hAnsi="Times New Roman" w:eastAsia="宋体" w:cs="Times New Roman"/>
                <w:b w:val="0"/>
                <w:bCs w:val="0"/>
                <w:color w:val="auto"/>
                <w:kern w:val="2"/>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lang w:val="en-US" w:eastAsia="zh-CN"/>
              </w:rPr>
              <w:t>有效保护</w:t>
            </w:r>
            <w:r>
              <w:rPr>
                <w:rFonts w:hint="eastAsia" w:ascii="Times New Roman" w:hAnsi="Times New Roman" w:eastAsia="宋体" w:cs="Times New Roman"/>
                <w:b w:val="0"/>
                <w:bCs w:val="0"/>
                <w:color w:val="auto"/>
                <w:kern w:val="2"/>
                <w:sz w:val="21"/>
                <w:szCs w:val="21"/>
                <w:highlight w:val="none"/>
                <w:u w:val="none" w:color="auto"/>
                <w:lang w:val="en-US" w:eastAsia="zh-CN"/>
              </w:rPr>
              <w:t>周边</w:t>
            </w:r>
            <w:r>
              <w:rPr>
                <w:rFonts w:hint="default" w:ascii="Times New Roman" w:hAnsi="Times New Roman" w:eastAsia="宋体" w:cs="Times New Roman"/>
                <w:b w:val="0"/>
                <w:bCs w:val="0"/>
                <w:color w:val="auto"/>
                <w:kern w:val="2"/>
                <w:sz w:val="21"/>
                <w:szCs w:val="21"/>
                <w:highlight w:val="none"/>
                <w:u w:val="none" w:color="auto"/>
                <w:lang w:val="en-US" w:eastAsia="zh-CN"/>
              </w:rPr>
              <w:t>生态环境</w:t>
            </w:r>
            <w:r>
              <w:rPr>
                <w:rFonts w:hint="eastAsia" w:ascii="Times New Roman" w:hAnsi="Times New Roman" w:eastAsia="宋体" w:cs="Times New Roman"/>
                <w:b w:val="0"/>
                <w:bCs w:val="0"/>
                <w:color w:val="auto"/>
                <w:kern w:val="2"/>
                <w:sz w:val="21"/>
                <w:szCs w:val="21"/>
                <w:highlight w:val="none"/>
                <w:u w:val="none" w:color="auto"/>
                <w:lang w:val="en-US" w:eastAsia="zh-CN"/>
              </w:rPr>
              <w:t>不受本项目影响</w:t>
            </w:r>
          </w:p>
        </w:tc>
      </w:tr>
    </w:tbl>
    <w:p w14:paraId="4E941477">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u w:val="none" w:color="auto"/>
          <w:lang w:val="en-US" w:eastAsia="zh-CN" w:bidi="ar-SA"/>
        </w:rPr>
        <w:sectPr>
          <w:headerReference r:id="rId9" w:type="default"/>
          <w:footerReference r:id="rId10"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402E7D47">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u w:val="none" w:color="auto"/>
          <w:lang w:val="en-US" w:eastAsia="zh-CN" w:bidi="ar-SA"/>
        </w:rPr>
      </w:pPr>
      <w:bookmarkStart w:id="300" w:name="_Toc24514"/>
      <w:bookmarkStart w:id="301" w:name="_Toc12867"/>
      <w:bookmarkStart w:id="302" w:name="_Toc19577"/>
      <w:bookmarkStart w:id="303" w:name="_Toc22411"/>
      <w:r>
        <w:rPr>
          <w:rFonts w:ascii="Times New Roman" w:hAnsi="Times New Roman" w:eastAsia="宋体" w:cs="Times New Roman"/>
          <w:b/>
          <w:snapToGrid w:val="0"/>
          <w:color w:val="auto"/>
          <w:kern w:val="0"/>
          <w:sz w:val="30"/>
          <w:szCs w:val="30"/>
          <w:u w:val="none" w:color="auto"/>
          <w:lang w:val="en-US" w:eastAsia="zh-CN" w:bidi="ar-SA"/>
        </w:rPr>
        <w:t>2项目工程分析</w:t>
      </w:r>
      <w:bookmarkEnd w:id="295"/>
      <w:bookmarkEnd w:id="296"/>
      <w:bookmarkEnd w:id="297"/>
      <w:bookmarkEnd w:id="300"/>
      <w:bookmarkEnd w:id="301"/>
      <w:bookmarkEnd w:id="302"/>
      <w:bookmarkEnd w:id="303"/>
    </w:p>
    <w:p w14:paraId="2807FE01">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u w:val="none" w:color="auto"/>
          <w:lang w:val="en-US" w:eastAsia="zh-CN" w:bidi="ar-SA"/>
        </w:rPr>
      </w:pPr>
      <w:bookmarkStart w:id="304" w:name="_Toc27268"/>
      <w:bookmarkStart w:id="305" w:name="_Toc31076"/>
      <w:bookmarkStart w:id="306" w:name="_Toc19403"/>
      <w:bookmarkStart w:id="307" w:name="_Toc9343"/>
      <w:bookmarkStart w:id="308" w:name="_Toc6415"/>
      <w:bookmarkStart w:id="309" w:name="_Toc20161"/>
      <w:bookmarkStart w:id="310" w:name="_Toc18260"/>
      <w:bookmarkStart w:id="311" w:name="_Toc15832"/>
      <w:bookmarkStart w:id="312" w:name="_Toc1117"/>
      <w:r>
        <w:rPr>
          <w:rFonts w:ascii="Times New Roman" w:hAnsi="Times New Roman" w:eastAsia="宋体" w:cs="Times New Roman"/>
          <w:b/>
          <w:bCs/>
          <w:color w:val="auto"/>
          <w:kern w:val="2"/>
          <w:sz w:val="28"/>
          <w:szCs w:val="28"/>
          <w:u w:val="none" w:color="auto"/>
          <w:lang w:val="en-US" w:eastAsia="zh-CN" w:bidi="ar-SA"/>
        </w:rPr>
        <w:t>2.1</w:t>
      </w:r>
      <w:r>
        <w:rPr>
          <w:rFonts w:hint="eastAsia" w:ascii="Times New Roman" w:hAnsi="Times New Roman" w:eastAsia="宋体" w:cs="Times New Roman"/>
          <w:b/>
          <w:bCs/>
          <w:color w:val="auto"/>
          <w:kern w:val="2"/>
          <w:sz w:val="28"/>
          <w:szCs w:val="28"/>
          <w:u w:val="none" w:color="auto"/>
          <w:lang w:val="en-US" w:eastAsia="zh-CN" w:bidi="ar-SA"/>
        </w:rPr>
        <w:t>项目概况</w:t>
      </w:r>
      <w:bookmarkEnd w:id="304"/>
      <w:bookmarkEnd w:id="305"/>
      <w:bookmarkEnd w:id="306"/>
      <w:bookmarkEnd w:id="307"/>
    </w:p>
    <w:p w14:paraId="39BB38D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u w:val="none" w:color="auto"/>
          <w:lang w:val="en-US" w:eastAsia="zh-CN" w:bidi="ar"/>
        </w:rPr>
      </w:pPr>
      <w:r>
        <w:rPr>
          <w:rFonts w:hint="eastAsia" w:cs="宋体"/>
          <w:bCs/>
          <w:color w:val="auto"/>
          <w:sz w:val="24"/>
          <w:szCs w:val="21"/>
          <w:u w:val="none" w:color="auto"/>
        </w:rPr>
        <w:t>项目名称：</w:t>
      </w:r>
      <w:r>
        <w:rPr>
          <w:rFonts w:hint="default" w:ascii="Times New Roman" w:hAnsi="Times New Roman" w:eastAsia="宋体" w:cs="宋体"/>
          <w:bCs/>
          <w:color w:val="auto"/>
          <w:sz w:val="24"/>
          <w:szCs w:val="21"/>
          <w:u w:val="none" w:color="auto"/>
          <w:lang w:val="en-US" w:eastAsia="zh-CN"/>
        </w:rPr>
        <w:t>华容县团洲垸灾后重建安置房配套基础设施建设项目</w:t>
      </w:r>
      <w:r>
        <w:rPr>
          <w:rFonts w:hint="eastAsia" w:cs="宋体"/>
          <w:bCs/>
          <w:color w:val="auto"/>
          <w:sz w:val="24"/>
          <w:szCs w:val="28"/>
          <w:u w:val="none" w:color="auto"/>
          <w:vertAlign w:val="baseline"/>
          <w:lang w:eastAsia="zh-CN"/>
        </w:rPr>
        <w:t>。</w:t>
      </w:r>
    </w:p>
    <w:p w14:paraId="35C7B6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u w:val="none" w:color="auto"/>
        </w:rPr>
      </w:pPr>
      <w:r>
        <w:rPr>
          <w:rFonts w:hint="eastAsia" w:cs="宋体"/>
          <w:bCs/>
          <w:color w:val="auto"/>
          <w:sz w:val="24"/>
          <w:szCs w:val="21"/>
          <w:u w:val="none" w:color="auto"/>
        </w:rPr>
        <w:t>建设性质：新建</w:t>
      </w:r>
      <w:r>
        <w:rPr>
          <w:rFonts w:hint="eastAsia" w:cs="宋体"/>
          <w:bCs/>
          <w:color w:val="auto"/>
          <w:sz w:val="24"/>
          <w:szCs w:val="28"/>
          <w:u w:val="none" w:color="auto"/>
          <w:vertAlign w:val="baseline"/>
          <w:lang w:eastAsia="zh-CN"/>
        </w:rPr>
        <w:t>。</w:t>
      </w:r>
    </w:p>
    <w:p w14:paraId="010348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u w:val="none" w:color="auto"/>
          <w:lang w:val="en-US" w:eastAsia="zh-CN"/>
        </w:rPr>
      </w:pPr>
      <w:r>
        <w:rPr>
          <w:rFonts w:hint="eastAsia" w:cs="宋体"/>
          <w:bCs/>
          <w:color w:val="auto"/>
          <w:sz w:val="24"/>
          <w:szCs w:val="21"/>
          <w:u w:val="none" w:color="auto"/>
        </w:rPr>
        <w:t>建设</w:t>
      </w:r>
      <w:r>
        <w:rPr>
          <w:rFonts w:hint="eastAsia" w:ascii="Times New Roman" w:hAnsi="Times New Roman" w:eastAsia="宋体" w:cs="宋体"/>
          <w:bCs/>
          <w:color w:val="auto"/>
          <w:sz w:val="24"/>
          <w:szCs w:val="21"/>
          <w:u w:val="none" w:color="auto"/>
          <w:lang w:val="en-US" w:eastAsia="zh-CN"/>
        </w:rPr>
        <w:t>单位：</w:t>
      </w:r>
      <w:r>
        <w:rPr>
          <w:rFonts w:hint="default" w:ascii="Times New Roman" w:hAnsi="Times New Roman" w:eastAsia="宋体" w:cs="宋体"/>
          <w:bCs/>
          <w:color w:val="auto"/>
          <w:sz w:val="24"/>
          <w:szCs w:val="21"/>
          <w:u w:val="none" w:color="auto"/>
          <w:lang w:val="en-US" w:eastAsia="zh-CN"/>
        </w:rPr>
        <w:t>华容县城乡建设事务中心</w:t>
      </w:r>
      <w:r>
        <w:rPr>
          <w:rFonts w:hint="eastAsia" w:ascii="Times New Roman" w:hAnsi="Times New Roman" w:eastAsia="宋体" w:cs="宋体"/>
          <w:bCs/>
          <w:color w:val="auto"/>
          <w:sz w:val="24"/>
          <w:szCs w:val="21"/>
          <w:u w:val="none" w:color="auto"/>
          <w:lang w:val="en-US" w:eastAsia="zh-CN"/>
        </w:rPr>
        <w:t>。</w:t>
      </w:r>
    </w:p>
    <w:p w14:paraId="6D7B45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建设地点：华容县团洲乡</w:t>
      </w:r>
      <w:r>
        <w:rPr>
          <w:rFonts w:hint="default" w:cs="宋体"/>
          <w:bCs/>
          <w:color w:val="auto"/>
          <w:sz w:val="24"/>
          <w:szCs w:val="21"/>
          <w:highlight w:val="none"/>
          <w:u w:val="none" w:color="auto"/>
          <w:lang w:val="en-US" w:eastAsia="zh-CN"/>
        </w:rPr>
        <w:t>团洲新村</w:t>
      </w:r>
      <w:r>
        <w:rPr>
          <w:rFonts w:hint="eastAsia" w:cs="宋体"/>
          <w:bCs/>
          <w:color w:val="auto"/>
          <w:sz w:val="24"/>
          <w:szCs w:val="21"/>
          <w:highlight w:val="none"/>
          <w:u w:val="none" w:color="auto"/>
          <w:lang w:val="en-US" w:eastAsia="zh-CN"/>
        </w:rPr>
        <w:t>。</w:t>
      </w:r>
    </w:p>
    <w:p w14:paraId="5872A1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中心坐标：月牙湖大道坐标：</w:t>
      </w:r>
    </w:p>
    <w:p w14:paraId="1031DD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起点：</w:t>
      </w:r>
      <w:r>
        <w:rPr>
          <w:rFonts w:hint="default" w:cs="宋体"/>
          <w:bCs/>
          <w:color w:val="auto"/>
          <w:sz w:val="24"/>
          <w:szCs w:val="21"/>
          <w:highlight w:val="none"/>
          <w:u w:val="none" w:color="auto"/>
          <w:lang w:val="en-US" w:eastAsia="zh-CN"/>
        </w:rPr>
        <w:t>东经：112°47'46.4501"；北纬：</w:t>
      </w:r>
      <w:r>
        <w:rPr>
          <w:rFonts w:hint="eastAsia" w:cs="宋体"/>
          <w:bCs/>
          <w:color w:val="auto"/>
          <w:sz w:val="24"/>
          <w:szCs w:val="21"/>
          <w:highlight w:val="none"/>
          <w:u w:val="none" w:color="auto"/>
          <w:lang w:val="en-US" w:eastAsia="zh-CN"/>
        </w:rPr>
        <w:t>29°20'03.3759"。</w:t>
      </w:r>
    </w:p>
    <w:p w14:paraId="5D56E0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终点：</w:t>
      </w:r>
      <w:r>
        <w:rPr>
          <w:rFonts w:hint="default" w:cs="宋体"/>
          <w:bCs/>
          <w:color w:val="auto"/>
          <w:sz w:val="24"/>
          <w:szCs w:val="21"/>
          <w:highlight w:val="none"/>
          <w:u w:val="none" w:color="auto"/>
          <w:lang w:val="en-US" w:eastAsia="zh-CN"/>
        </w:rPr>
        <w:t>东经：112°48'22.3961"；北纬：</w:t>
      </w:r>
      <w:r>
        <w:rPr>
          <w:rFonts w:hint="eastAsia" w:cs="宋体"/>
          <w:bCs/>
          <w:color w:val="auto"/>
          <w:sz w:val="24"/>
          <w:szCs w:val="21"/>
          <w:highlight w:val="none"/>
          <w:u w:val="none" w:color="auto"/>
          <w:lang w:val="en-US" w:eastAsia="zh-CN"/>
        </w:rPr>
        <w:t>29°19'55.6405"。</w:t>
      </w:r>
    </w:p>
    <w:p w14:paraId="187259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团结路坐标：</w:t>
      </w:r>
    </w:p>
    <w:p w14:paraId="77A7ED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起点：</w:t>
      </w:r>
      <w:r>
        <w:rPr>
          <w:rFonts w:hint="default" w:cs="宋体"/>
          <w:bCs/>
          <w:color w:val="auto"/>
          <w:sz w:val="24"/>
          <w:szCs w:val="21"/>
          <w:highlight w:val="none"/>
          <w:u w:val="none" w:color="auto"/>
          <w:lang w:val="en-US" w:eastAsia="zh-CN"/>
        </w:rPr>
        <w:t>东经：112°48'06.3146"；北纬：</w:t>
      </w:r>
      <w:r>
        <w:rPr>
          <w:rFonts w:hint="eastAsia" w:cs="宋体"/>
          <w:bCs/>
          <w:color w:val="auto"/>
          <w:sz w:val="24"/>
          <w:szCs w:val="21"/>
          <w:highlight w:val="none"/>
          <w:u w:val="none" w:color="auto"/>
          <w:lang w:val="en-US" w:eastAsia="zh-CN"/>
        </w:rPr>
        <w:t>29°20'05.0655"。</w:t>
      </w:r>
    </w:p>
    <w:p w14:paraId="3BA533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终点：</w:t>
      </w:r>
      <w:r>
        <w:rPr>
          <w:rFonts w:hint="default" w:cs="宋体"/>
          <w:bCs/>
          <w:color w:val="auto"/>
          <w:sz w:val="24"/>
          <w:szCs w:val="21"/>
          <w:highlight w:val="none"/>
          <w:u w:val="none" w:color="auto"/>
          <w:lang w:val="en-US" w:eastAsia="zh-CN"/>
        </w:rPr>
        <w:t>东经：112°47'59.2543"；北纬：</w:t>
      </w:r>
      <w:r>
        <w:rPr>
          <w:rFonts w:hint="eastAsia" w:cs="宋体"/>
          <w:bCs/>
          <w:color w:val="auto"/>
          <w:sz w:val="24"/>
          <w:szCs w:val="21"/>
          <w:highlight w:val="none"/>
          <w:u w:val="none" w:color="auto"/>
          <w:lang w:val="en-US" w:eastAsia="zh-CN"/>
        </w:rPr>
        <w:t>29°19'40.6826"。</w:t>
      </w:r>
    </w:p>
    <w:p w14:paraId="047E4D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团胜路坐标：</w:t>
      </w:r>
    </w:p>
    <w:p w14:paraId="7AE924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起点：</w:t>
      </w:r>
      <w:r>
        <w:rPr>
          <w:rFonts w:hint="default" w:cs="宋体"/>
          <w:bCs/>
          <w:color w:val="auto"/>
          <w:sz w:val="24"/>
          <w:szCs w:val="21"/>
          <w:highlight w:val="none"/>
          <w:u w:val="none" w:color="auto"/>
          <w:lang w:val="en-US" w:eastAsia="zh-CN"/>
        </w:rPr>
        <w:t>东经：112°48'14.5674"；北纬：</w:t>
      </w:r>
      <w:r>
        <w:rPr>
          <w:rFonts w:hint="eastAsia" w:cs="宋体"/>
          <w:bCs/>
          <w:color w:val="auto"/>
          <w:sz w:val="24"/>
          <w:szCs w:val="21"/>
          <w:highlight w:val="none"/>
          <w:u w:val="none" w:color="auto"/>
          <w:lang w:val="en-US" w:eastAsia="zh-CN"/>
        </w:rPr>
        <w:t>29°19'57.2364"。</w:t>
      </w:r>
    </w:p>
    <w:p w14:paraId="220BCB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lang w:val="en-US" w:eastAsia="zh-CN"/>
        </w:rPr>
      </w:pPr>
      <w:r>
        <w:rPr>
          <w:rFonts w:hint="eastAsia" w:cs="宋体"/>
          <w:bCs/>
          <w:color w:val="auto"/>
          <w:sz w:val="24"/>
          <w:szCs w:val="21"/>
          <w:highlight w:val="none"/>
          <w:u w:val="none" w:color="auto"/>
          <w:lang w:val="en-US" w:eastAsia="zh-CN"/>
        </w:rPr>
        <w:t>终点：</w:t>
      </w:r>
      <w:r>
        <w:rPr>
          <w:rFonts w:hint="default" w:cs="宋体"/>
          <w:bCs/>
          <w:color w:val="auto"/>
          <w:sz w:val="24"/>
          <w:szCs w:val="21"/>
          <w:highlight w:val="none"/>
          <w:u w:val="none" w:color="auto"/>
          <w:lang w:val="en-US" w:eastAsia="zh-CN"/>
        </w:rPr>
        <w:t>东经：112°48'11.0180"；北纬：</w:t>
      </w:r>
      <w:r>
        <w:rPr>
          <w:rFonts w:hint="eastAsia" w:cs="宋体"/>
          <w:bCs/>
          <w:color w:val="auto"/>
          <w:sz w:val="24"/>
          <w:szCs w:val="21"/>
          <w:highlight w:val="none"/>
          <w:u w:val="none" w:color="auto"/>
          <w:lang w:val="en-US" w:eastAsia="zh-CN"/>
        </w:rPr>
        <w:t>29°19'42.1812"。</w:t>
      </w:r>
    </w:p>
    <w:p w14:paraId="4146F8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highlight w:val="none"/>
          <w:u w:val="none" w:color="auto"/>
        </w:rPr>
      </w:pPr>
      <w:bookmarkStart w:id="313" w:name="_Toc1418"/>
      <w:r>
        <w:rPr>
          <w:rFonts w:hint="eastAsia" w:cs="宋体"/>
          <w:bCs/>
          <w:color w:val="auto"/>
          <w:sz w:val="24"/>
          <w:szCs w:val="21"/>
          <w:highlight w:val="none"/>
          <w:u w:val="none" w:color="auto"/>
        </w:rPr>
        <w:t>项目投资：总投</w:t>
      </w:r>
      <w:r>
        <w:rPr>
          <w:rFonts w:hint="eastAsia" w:cs="宋体"/>
          <w:bCs/>
          <w:color w:val="auto"/>
          <w:sz w:val="24"/>
          <w:szCs w:val="21"/>
          <w:highlight w:val="none"/>
          <w:u w:val="none" w:color="auto"/>
          <w:lang w:val="en-US" w:eastAsia="zh-CN"/>
        </w:rPr>
        <w:t>资7792.80万元，其中环保投资200万元，占总投资的2.57%，本项目的资金来源为申请上级补助资金及建设单位自筹</w:t>
      </w:r>
      <w:r>
        <w:rPr>
          <w:rFonts w:hint="eastAsia" w:cs="宋体"/>
          <w:bCs/>
          <w:color w:val="auto"/>
          <w:sz w:val="24"/>
          <w:szCs w:val="28"/>
          <w:highlight w:val="none"/>
          <w:u w:val="none" w:color="auto"/>
          <w:vertAlign w:val="baseline"/>
          <w:lang w:eastAsia="zh-CN"/>
        </w:rPr>
        <w:t>。</w:t>
      </w:r>
    </w:p>
    <w:p w14:paraId="74D37E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highlight w:val="none"/>
          <w:u w:val="none" w:color="auto"/>
        </w:rPr>
      </w:pPr>
      <w:r>
        <w:rPr>
          <w:rFonts w:hint="eastAsia" w:cs="宋体"/>
          <w:bCs/>
          <w:color w:val="auto"/>
          <w:sz w:val="24"/>
          <w:szCs w:val="21"/>
          <w:highlight w:val="none"/>
          <w:u w:val="none" w:color="auto"/>
        </w:rPr>
        <w:t>占地面积：约</w:t>
      </w:r>
      <w:r>
        <w:rPr>
          <w:rFonts w:hint="eastAsia" w:cs="宋体"/>
          <w:bCs/>
          <w:color w:val="auto"/>
          <w:sz w:val="24"/>
          <w:szCs w:val="21"/>
          <w:highlight w:val="none"/>
          <w:u w:val="none" w:color="auto"/>
          <w:lang w:val="en-US" w:eastAsia="zh-CN"/>
        </w:rPr>
        <w:t>34444</w:t>
      </w:r>
      <w:r>
        <w:rPr>
          <w:rFonts w:hint="eastAsia" w:cs="宋体"/>
          <w:bCs/>
          <w:color w:val="auto"/>
          <w:sz w:val="24"/>
          <w:szCs w:val="21"/>
          <w:highlight w:val="none"/>
          <w:u w:val="none" w:color="auto"/>
        </w:rPr>
        <w:t>m</w:t>
      </w:r>
      <w:r>
        <w:rPr>
          <w:rFonts w:hint="eastAsia" w:cs="宋体"/>
          <w:bCs/>
          <w:color w:val="auto"/>
          <w:sz w:val="24"/>
          <w:szCs w:val="28"/>
          <w:highlight w:val="none"/>
          <w:u w:val="none" w:color="auto"/>
          <w:vertAlign w:val="superscript"/>
        </w:rPr>
        <w:t>2</w:t>
      </w:r>
      <w:r>
        <w:rPr>
          <w:rFonts w:hint="eastAsia" w:cs="宋体"/>
          <w:bCs/>
          <w:color w:val="auto"/>
          <w:sz w:val="24"/>
          <w:szCs w:val="28"/>
          <w:highlight w:val="none"/>
          <w:u w:val="none" w:color="auto"/>
          <w:vertAlign w:val="baseline"/>
          <w:lang w:eastAsia="zh-CN"/>
        </w:rPr>
        <w:t>，</w:t>
      </w:r>
      <w:r>
        <w:rPr>
          <w:rFonts w:hint="eastAsia" w:cs="宋体"/>
          <w:bCs/>
          <w:color w:val="auto"/>
          <w:sz w:val="24"/>
          <w:szCs w:val="28"/>
          <w:highlight w:val="none"/>
          <w:u w:val="none" w:color="auto"/>
          <w:vertAlign w:val="baseline"/>
          <w:lang w:val="en-US" w:eastAsia="zh-CN"/>
        </w:rPr>
        <w:t>其中永久占地为3600</w:t>
      </w:r>
      <w:r>
        <w:rPr>
          <w:rFonts w:hint="eastAsia" w:cs="宋体"/>
          <w:bCs/>
          <w:color w:val="auto"/>
          <w:sz w:val="24"/>
          <w:szCs w:val="21"/>
          <w:highlight w:val="none"/>
          <w:u w:val="none" w:color="auto"/>
          <w:lang w:val="en-US" w:eastAsia="zh-CN"/>
        </w:rPr>
        <w:t>m</w:t>
      </w:r>
      <w:r>
        <w:rPr>
          <w:rFonts w:hint="eastAsia" w:cs="宋体"/>
          <w:bCs/>
          <w:color w:val="auto"/>
          <w:sz w:val="24"/>
          <w:szCs w:val="21"/>
          <w:highlight w:val="none"/>
          <w:u w:val="none" w:color="auto"/>
          <w:vertAlign w:val="superscript"/>
          <w:lang w:val="en-US" w:eastAsia="zh-CN"/>
        </w:rPr>
        <w:t>2</w:t>
      </w:r>
      <w:r>
        <w:rPr>
          <w:rFonts w:hint="eastAsia" w:cs="宋体"/>
          <w:bCs/>
          <w:color w:val="auto"/>
          <w:sz w:val="24"/>
          <w:szCs w:val="28"/>
          <w:highlight w:val="none"/>
          <w:u w:val="none" w:color="auto"/>
          <w:vertAlign w:val="baseline"/>
          <w:lang w:eastAsia="zh-CN"/>
        </w:rPr>
        <w:t>。</w:t>
      </w:r>
    </w:p>
    <w:p w14:paraId="45574824">
      <w:pPr>
        <w:keepNext/>
        <w:widowControl w:val="0"/>
        <w:adjustRightInd w:val="0"/>
        <w:snapToGrid w:val="0"/>
        <w:spacing w:line="360" w:lineRule="auto"/>
        <w:ind w:firstLine="0" w:firstLineChars="0"/>
        <w:jc w:val="both"/>
        <w:outlineLvl w:val="1"/>
        <w:rPr>
          <w:rFonts w:ascii="Times New Roman" w:hAnsi="Times New Roman" w:eastAsia="宋体" w:cs="Times New Roman"/>
          <w:b/>
          <w:bCs/>
          <w:color w:val="auto"/>
          <w:kern w:val="2"/>
          <w:sz w:val="28"/>
          <w:szCs w:val="28"/>
          <w:u w:val="none" w:color="auto"/>
          <w:lang w:val="en-US" w:eastAsia="zh-CN" w:bidi="ar-SA"/>
        </w:rPr>
      </w:pPr>
      <w:bookmarkStart w:id="314" w:name="_Toc4496"/>
      <w:bookmarkStart w:id="315" w:name="_Toc6991"/>
      <w:bookmarkStart w:id="316" w:name="_Toc28422"/>
      <w:r>
        <w:rPr>
          <w:rFonts w:hint="eastAsia" w:ascii="Times New Roman" w:hAnsi="Times New Roman" w:eastAsia="宋体" w:cs="Times New Roman"/>
          <w:b/>
          <w:bCs/>
          <w:color w:val="auto"/>
          <w:kern w:val="2"/>
          <w:sz w:val="28"/>
          <w:szCs w:val="28"/>
          <w:u w:val="none" w:color="auto"/>
          <w:lang w:val="en-US" w:eastAsia="zh-CN" w:bidi="ar-SA"/>
        </w:rPr>
        <w:t>2.2</w:t>
      </w:r>
      <w:r>
        <w:rPr>
          <w:rFonts w:ascii="Times New Roman" w:hAnsi="Times New Roman" w:eastAsia="宋体" w:cs="Times New Roman"/>
          <w:b/>
          <w:bCs/>
          <w:color w:val="auto"/>
          <w:kern w:val="2"/>
          <w:sz w:val="28"/>
          <w:szCs w:val="28"/>
          <w:u w:val="none" w:color="auto"/>
          <w:lang w:val="en-US" w:eastAsia="zh-CN" w:bidi="ar-SA"/>
        </w:rPr>
        <w:t>工程建设内容</w:t>
      </w:r>
      <w:bookmarkEnd w:id="308"/>
      <w:bookmarkEnd w:id="309"/>
      <w:bookmarkEnd w:id="310"/>
      <w:bookmarkEnd w:id="311"/>
      <w:bookmarkEnd w:id="312"/>
      <w:bookmarkEnd w:id="313"/>
      <w:bookmarkEnd w:id="314"/>
      <w:bookmarkEnd w:id="315"/>
      <w:bookmarkEnd w:id="316"/>
    </w:p>
    <w:p w14:paraId="179C0AEE">
      <w:pPr>
        <w:adjustRightInd w:val="0"/>
        <w:snapToGrid w:val="0"/>
        <w:spacing w:line="360" w:lineRule="auto"/>
        <w:ind w:firstLine="480" w:firstLineChars="200"/>
        <w:rPr>
          <w:rFonts w:ascii="Times New Roman" w:hAnsi="Times New Roman" w:eastAsia="宋体" w:cs="Times New Roman"/>
          <w:color w:val="auto"/>
          <w:sz w:val="24"/>
          <w:u w:val="none" w:color="auto"/>
        </w:rPr>
      </w:pPr>
      <w:r>
        <w:rPr>
          <w:rFonts w:hint="eastAsia" w:ascii="Times New Roman" w:hAnsi="Times New Roman" w:eastAsia="宋体" w:cs="Times New Roman"/>
          <w:color w:val="auto"/>
          <w:sz w:val="24"/>
          <w:u w:val="none" w:color="auto"/>
        </w:rPr>
        <w:t>项目工程建设内容</w:t>
      </w:r>
      <w:r>
        <w:rPr>
          <w:rFonts w:ascii="Times New Roman" w:hAnsi="Times New Roman" w:eastAsia="宋体" w:cs="Times New Roman"/>
          <w:color w:val="auto"/>
          <w:sz w:val="24"/>
          <w:u w:val="none" w:color="auto"/>
        </w:rPr>
        <w:t>详见</w:t>
      </w:r>
      <w:r>
        <w:rPr>
          <w:rFonts w:hint="eastAsia" w:ascii="Times New Roman" w:hAnsi="Times New Roman" w:eastAsia="宋体" w:cs="Times New Roman"/>
          <w:color w:val="auto"/>
          <w:sz w:val="24"/>
          <w:u w:val="none" w:color="auto"/>
        </w:rPr>
        <w:t>本</w:t>
      </w:r>
      <w:r>
        <w:rPr>
          <w:rFonts w:ascii="Times New Roman" w:hAnsi="Times New Roman" w:eastAsia="宋体" w:cs="Times New Roman"/>
          <w:color w:val="auto"/>
          <w:sz w:val="24"/>
          <w:u w:val="none" w:color="auto"/>
        </w:rPr>
        <w:t>报告表中第二章节。</w:t>
      </w:r>
    </w:p>
    <w:p w14:paraId="1C0090CC">
      <w:pPr>
        <w:keepNext/>
        <w:widowControl w:val="0"/>
        <w:overflowPunct w:val="0"/>
        <w:adjustRightInd w:val="0"/>
        <w:snapToGrid w:val="0"/>
        <w:spacing w:before="0" w:after="0" w:line="360" w:lineRule="auto"/>
        <w:ind w:left="0" w:firstLine="0"/>
        <w:jc w:val="both"/>
        <w:outlineLvl w:val="0"/>
        <w:rPr>
          <w:rFonts w:ascii="Times New Roman" w:hAnsi="Times New Roman" w:eastAsia="黑体" w:cs="Times New Roman"/>
          <w:b/>
          <w:bCs/>
          <w:color w:val="auto"/>
          <w:kern w:val="44"/>
          <w:sz w:val="30"/>
          <w:szCs w:val="30"/>
          <w:u w:val="none" w:color="auto"/>
          <w:lang w:val="en-US" w:eastAsia="zh-CN" w:bidi="ar-SA"/>
        </w:rPr>
      </w:pPr>
      <w:r>
        <w:rPr>
          <w:rFonts w:ascii="Times New Roman" w:hAnsi="Times New Roman" w:eastAsia="黑体" w:cs="Times New Roman"/>
          <w:b/>
          <w:bCs/>
          <w:color w:val="auto"/>
          <w:kern w:val="44"/>
          <w:sz w:val="30"/>
          <w:szCs w:val="30"/>
          <w:u w:val="none" w:color="auto"/>
          <w:lang w:val="en-US" w:eastAsia="zh-CN" w:bidi="ar-SA"/>
        </w:rPr>
        <w:br w:type="page"/>
      </w:r>
      <w:bookmarkStart w:id="317" w:name="_Toc1655"/>
      <w:bookmarkStart w:id="318" w:name="_Toc30155"/>
      <w:bookmarkStart w:id="319" w:name="_Toc17428"/>
      <w:bookmarkStart w:id="320" w:name="_Toc24099"/>
      <w:bookmarkStart w:id="321" w:name="_Toc23334"/>
      <w:bookmarkStart w:id="322" w:name="_Toc26877"/>
      <w:bookmarkStart w:id="323" w:name="_Toc2504"/>
      <w:r>
        <w:rPr>
          <w:rFonts w:ascii="Times New Roman" w:hAnsi="Times New Roman" w:eastAsia="宋体" w:cs="Times New Roman"/>
          <w:b/>
          <w:bCs w:val="0"/>
          <w:snapToGrid w:val="0"/>
          <w:color w:val="auto"/>
          <w:kern w:val="0"/>
          <w:sz w:val="30"/>
          <w:szCs w:val="30"/>
          <w:u w:val="none" w:color="auto"/>
          <w:lang w:val="en-US" w:eastAsia="zh-CN" w:bidi="ar-SA"/>
        </w:rPr>
        <w:t>3生态环境现状调查与评价</w:t>
      </w:r>
      <w:bookmarkEnd w:id="298"/>
      <w:bookmarkEnd w:id="299"/>
      <w:bookmarkEnd w:id="317"/>
      <w:bookmarkEnd w:id="318"/>
      <w:bookmarkEnd w:id="319"/>
      <w:bookmarkEnd w:id="320"/>
      <w:bookmarkEnd w:id="321"/>
      <w:bookmarkEnd w:id="322"/>
      <w:bookmarkEnd w:id="323"/>
    </w:p>
    <w:p w14:paraId="6BD4B5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bookmarkStart w:id="324" w:name="_Toc24962"/>
      <w:bookmarkStart w:id="325" w:name="_Toc19759"/>
      <w:bookmarkStart w:id="326" w:name="_Toc3320"/>
      <w:bookmarkStart w:id="327" w:name="_Toc32502"/>
      <w:bookmarkStart w:id="328" w:name="_Toc25187"/>
      <w:bookmarkStart w:id="329" w:name="_Toc2011"/>
      <w:bookmarkStart w:id="330" w:name="_Toc21211"/>
      <w:bookmarkStart w:id="331" w:name="_Toc1083"/>
      <w:r>
        <w:rPr>
          <w:rFonts w:hint="eastAsia" w:ascii="Times New Roman" w:hAnsi="Times New Roman" w:eastAsia="宋体" w:cs="宋体"/>
          <w:bCs/>
          <w:color w:val="auto"/>
          <w:sz w:val="24"/>
          <w:szCs w:val="21"/>
          <w:u w:val="none" w:color="auto"/>
          <w:lang w:val="en-US" w:eastAsia="zh-CN"/>
        </w:rPr>
        <w:t>本项目</w:t>
      </w:r>
      <w:r>
        <w:rPr>
          <w:rFonts w:hint="eastAsia" w:cs="宋体"/>
          <w:bCs/>
          <w:color w:val="auto"/>
          <w:sz w:val="24"/>
          <w:szCs w:val="21"/>
          <w:u w:val="none" w:color="auto"/>
          <w:lang w:val="en-US" w:eastAsia="zh-CN"/>
        </w:rPr>
        <w:t>引用</w:t>
      </w:r>
      <w:r>
        <w:rPr>
          <w:rFonts w:hint="eastAsia" w:ascii="Times New Roman" w:hAnsi="Times New Roman" w:eastAsia="宋体" w:cs="宋体"/>
          <w:bCs/>
          <w:color w:val="auto"/>
          <w:sz w:val="24"/>
          <w:szCs w:val="21"/>
          <w:u w:val="none" w:color="auto"/>
          <w:lang w:val="en-US" w:eastAsia="zh-CN"/>
        </w:rPr>
        <w:t>2025年3月湖南</w:t>
      </w:r>
      <w:r>
        <w:rPr>
          <w:rFonts w:hint="default" w:ascii="Times New Roman" w:hAnsi="Times New Roman" w:eastAsia="宋体" w:cs="宋体"/>
          <w:bCs/>
          <w:color w:val="auto"/>
          <w:sz w:val="24"/>
          <w:szCs w:val="21"/>
          <w:u w:val="none" w:color="auto"/>
          <w:lang w:val="en-US" w:eastAsia="zh-CN"/>
        </w:rPr>
        <w:t>绿湘生态科技有限公司</w:t>
      </w:r>
      <w:r>
        <w:rPr>
          <w:rFonts w:hint="eastAsia" w:cs="宋体"/>
          <w:bCs/>
          <w:color w:val="auto"/>
          <w:sz w:val="24"/>
          <w:szCs w:val="21"/>
          <w:u w:val="none" w:color="auto"/>
          <w:lang w:val="en-US" w:eastAsia="zh-CN"/>
        </w:rPr>
        <w:t>编制的</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华容县团洲垸决口灾后农村居民集中安置房项目</w:t>
      </w:r>
      <w:r>
        <w:rPr>
          <w:rFonts w:hint="eastAsia" w:ascii="Times New Roman" w:hAnsi="Times New Roman" w:eastAsia="宋体" w:cs="宋体"/>
          <w:bCs/>
          <w:color w:val="auto"/>
          <w:sz w:val="24"/>
          <w:szCs w:val="21"/>
          <w:u w:val="none" w:color="auto"/>
          <w:lang w:val="en-US" w:eastAsia="zh-CN"/>
        </w:rPr>
        <w:t>对湖南东洞庭湖国家级自然保护区生物多样性影响评价报告》</w:t>
      </w:r>
      <w:r>
        <w:rPr>
          <w:rFonts w:hint="eastAsia" w:cs="宋体"/>
          <w:bCs/>
          <w:color w:val="auto"/>
          <w:sz w:val="24"/>
          <w:szCs w:val="21"/>
          <w:u w:val="none" w:color="auto"/>
          <w:lang w:val="en-US" w:eastAsia="zh-CN"/>
        </w:rPr>
        <w:t>相关内容，该报告</w:t>
      </w:r>
      <w:r>
        <w:rPr>
          <w:rFonts w:hint="eastAsia" w:ascii="Times New Roman" w:hAnsi="Times New Roman" w:eastAsia="宋体" w:cs="宋体"/>
          <w:bCs/>
          <w:color w:val="auto"/>
          <w:sz w:val="24"/>
          <w:szCs w:val="21"/>
          <w:u w:val="none" w:color="auto"/>
          <w:lang w:val="en-US" w:eastAsia="zh-CN"/>
        </w:rPr>
        <w:t>已通过湖南省林业局审查（详见附件中</w:t>
      </w:r>
      <w:r>
        <w:rPr>
          <w:rFonts w:hint="default" w:ascii="Times New Roman" w:hAnsi="Times New Roman" w:eastAsia="宋体" w:cs="宋体"/>
          <w:bCs/>
          <w:color w:val="auto"/>
          <w:sz w:val="24"/>
          <w:szCs w:val="21"/>
          <w:u w:val="none" w:color="auto"/>
          <w:lang w:val="en-US" w:eastAsia="zh-CN"/>
        </w:rPr>
        <w:t>湘林保函〔2025〕13号</w:t>
      </w:r>
      <w:r>
        <w:rPr>
          <w:rFonts w:hint="eastAsia" w:ascii="Times New Roman" w:hAnsi="Times New Roman" w:eastAsia="宋体" w:cs="宋体"/>
          <w:bCs/>
          <w:color w:val="auto"/>
          <w:sz w:val="24"/>
          <w:szCs w:val="21"/>
          <w:u w:val="none" w:color="auto"/>
          <w:lang w:val="en-US" w:eastAsia="zh-CN"/>
        </w:rPr>
        <w:t>文件），本次生态环境现状评价部分引用该评价报告中相关内容。</w:t>
      </w:r>
    </w:p>
    <w:p w14:paraId="385AF18E">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332" w:name="_Toc32493"/>
      <w:bookmarkStart w:id="333" w:name="_Toc9093"/>
      <w:bookmarkStart w:id="334" w:name="_Toc5288"/>
      <w:r>
        <w:rPr>
          <w:rFonts w:ascii="Times New Roman" w:hAnsi="Times New Roman" w:eastAsia="宋体" w:cs="Times New Roman"/>
          <w:b/>
          <w:bCs/>
          <w:color w:val="auto"/>
          <w:kern w:val="2"/>
          <w:sz w:val="28"/>
          <w:szCs w:val="28"/>
          <w:u w:val="none" w:color="auto"/>
          <w:lang w:val="en-US" w:eastAsia="zh-CN" w:bidi="ar-SA"/>
        </w:rPr>
        <w:t>3.1</w:t>
      </w:r>
      <w:r>
        <w:rPr>
          <w:rFonts w:hint="eastAsia" w:ascii="Times New Roman" w:hAnsi="Times New Roman" w:eastAsia="宋体" w:cs="Times New Roman"/>
          <w:b/>
          <w:bCs/>
          <w:color w:val="auto"/>
          <w:kern w:val="2"/>
          <w:sz w:val="28"/>
          <w:szCs w:val="28"/>
          <w:u w:val="none" w:color="auto"/>
          <w:lang w:val="en-US" w:eastAsia="zh-CN" w:bidi="ar-SA"/>
        </w:rPr>
        <w:t>土地利用现状</w:t>
      </w:r>
      <w:bookmarkEnd w:id="324"/>
      <w:bookmarkEnd w:id="332"/>
      <w:bookmarkEnd w:id="333"/>
      <w:bookmarkEnd w:id="334"/>
    </w:p>
    <w:p w14:paraId="756CB5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highlight w:val="none"/>
          <w:u w:val="none" w:color="auto"/>
          <w:lang w:val="en-US" w:eastAsia="zh-CN"/>
        </w:rPr>
      </w:pPr>
      <w:r>
        <w:rPr>
          <w:rFonts w:hint="default" w:ascii="Times New Roman" w:hAnsi="Times New Roman" w:eastAsia="宋体" w:cs="宋体"/>
          <w:bCs/>
          <w:color w:val="auto"/>
          <w:sz w:val="24"/>
          <w:szCs w:val="21"/>
          <w:highlight w:val="none"/>
          <w:u w:val="none" w:color="auto"/>
          <w:lang w:val="en-US" w:eastAsia="zh-CN"/>
        </w:rPr>
        <w:t>根据规划，本工程项目</w:t>
      </w:r>
      <w:r>
        <w:rPr>
          <w:rFonts w:hint="eastAsia" w:cs="宋体"/>
          <w:bCs/>
          <w:color w:val="auto"/>
          <w:sz w:val="24"/>
          <w:szCs w:val="21"/>
          <w:highlight w:val="none"/>
          <w:u w:val="none" w:color="auto"/>
          <w:lang w:val="en-US" w:eastAsia="zh-CN"/>
        </w:rPr>
        <w:t>涉及</w:t>
      </w:r>
      <w:r>
        <w:rPr>
          <w:rFonts w:hint="default" w:ascii="Times New Roman" w:hAnsi="Times New Roman" w:eastAsia="宋体" w:cs="宋体"/>
          <w:bCs/>
          <w:color w:val="auto"/>
          <w:sz w:val="24"/>
          <w:szCs w:val="21"/>
          <w:highlight w:val="none"/>
          <w:u w:val="none" w:color="auto"/>
          <w:lang w:val="en-US" w:eastAsia="zh-CN"/>
        </w:rPr>
        <w:t>永久占地</w:t>
      </w:r>
      <w:r>
        <w:rPr>
          <w:rFonts w:hint="eastAsia" w:cs="宋体"/>
          <w:bCs/>
          <w:color w:val="auto"/>
          <w:sz w:val="24"/>
          <w:szCs w:val="21"/>
          <w:highlight w:val="none"/>
          <w:u w:val="none" w:color="auto"/>
          <w:lang w:val="en-US" w:eastAsia="zh-CN"/>
        </w:rPr>
        <w:t>3600m</w:t>
      </w:r>
      <w:r>
        <w:rPr>
          <w:rFonts w:hint="eastAsia" w:cs="宋体"/>
          <w:bCs/>
          <w:color w:val="auto"/>
          <w:sz w:val="24"/>
          <w:szCs w:val="21"/>
          <w:highlight w:val="none"/>
          <w:u w:val="none" w:color="auto"/>
          <w:vertAlign w:val="superscript"/>
          <w:lang w:val="en-US" w:eastAsia="zh-CN"/>
        </w:rPr>
        <w:t>2</w:t>
      </w:r>
      <w:r>
        <w:rPr>
          <w:rFonts w:hint="eastAsia" w:cs="宋体"/>
          <w:bCs/>
          <w:color w:val="auto"/>
          <w:sz w:val="24"/>
          <w:szCs w:val="21"/>
          <w:highlight w:val="none"/>
          <w:u w:val="none" w:color="auto"/>
          <w:vertAlign w:val="baseline"/>
          <w:lang w:val="en-US" w:eastAsia="zh-CN"/>
        </w:rPr>
        <w:t>（为耕地，不属于永久基本农田）</w:t>
      </w:r>
      <w:r>
        <w:rPr>
          <w:rFonts w:hint="eastAsia" w:cs="宋体"/>
          <w:bCs/>
          <w:color w:val="auto"/>
          <w:sz w:val="24"/>
          <w:szCs w:val="21"/>
          <w:highlight w:val="none"/>
          <w:u w:val="none" w:color="auto"/>
          <w:lang w:val="en-US" w:eastAsia="zh-CN"/>
        </w:rPr>
        <w:t>，</w:t>
      </w:r>
      <w:r>
        <w:rPr>
          <w:rFonts w:hint="default" w:ascii="Times New Roman" w:hAnsi="Times New Roman" w:eastAsia="宋体" w:cs="宋体"/>
          <w:bCs/>
          <w:color w:val="auto"/>
          <w:sz w:val="24"/>
          <w:szCs w:val="21"/>
          <w:highlight w:val="none"/>
          <w:u w:val="none" w:color="auto"/>
          <w:lang w:val="en-US" w:eastAsia="zh-CN"/>
        </w:rPr>
        <w:t>项目施工场地、施工便道等临时工程</w:t>
      </w:r>
      <w:r>
        <w:rPr>
          <w:rFonts w:hint="eastAsia" w:ascii="Times New Roman" w:hAnsi="Times New Roman" w:eastAsia="宋体" w:cs="宋体"/>
          <w:bCs/>
          <w:color w:val="auto"/>
          <w:sz w:val="24"/>
          <w:szCs w:val="21"/>
          <w:highlight w:val="none"/>
          <w:u w:val="none" w:color="auto"/>
          <w:lang w:val="en-US" w:eastAsia="zh-CN"/>
        </w:rPr>
        <w:t>均设置本项目用地红线范围内</w:t>
      </w:r>
      <w:r>
        <w:rPr>
          <w:rFonts w:hint="default" w:ascii="Times New Roman" w:hAnsi="Times New Roman" w:eastAsia="宋体" w:cs="宋体"/>
          <w:bCs/>
          <w:color w:val="auto"/>
          <w:sz w:val="24"/>
          <w:szCs w:val="21"/>
          <w:highlight w:val="none"/>
          <w:u w:val="none" w:color="auto"/>
          <w:lang w:val="en-US" w:eastAsia="zh-CN"/>
        </w:rPr>
        <w:t>，</w:t>
      </w:r>
      <w:r>
        <w:rPr>
          <w:rFonts w:hint="eastAsia" w:ascii="Times New Roman" w:hAnsi="Times New Roman" w:eastAsia="宋体" w:cs="宋体"/>
          <w:bCs/>
          <w:color w:val="auto"/>
          <w:sz w:val="24"/>
          <w:szCs w:val="21"/>
          <w:highlight w:val="none"/>
          <w:u w:val="none" w:color="auto"/>
          <w:lang w:val="en-US" w:eastAsia="zh-CN"/>
        </w:rPr>
        <w:t>未额外占用土地等</w:t>
      </w:r>
      <w:r>
        <w:rPr>
          <w:rFonts w:hint="default" w:ascii="Times New Roman" w:hAnsi="Times New Roman" w:eastAsia="宋体" w:cs="宋体"/>
          <w:bCs/>
          <w:color w:val="auto"/>
          <w:sz w:val="24"/>
          <w:szCs w:val="21"/>
          <w:highlight w:val="none"/>
          <w:u w:val="none" w:color="auto"/>
          <w:lang w:val="en-US" w:eastAsia="zh-CN"/>
        </w:rPr>
        <w:t>。</w:t>
      </w:r>
    </w:p>
    <w:p w14:paraId="051CDB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cs="宋体"/>
          <w:bCs/>
          <w:color w:val="auto"/>
          <w:sz w:val="24"/>
          <w:szCs w:val="21"/>
          <w:u w:val="none" w:color="auto"/>
          <w:lang w:val="en-US" w:eastAsia="zh-CN"/>
        </w:rPr>
        <w:t>项目</w:t>
      </w:r>
      <w:r>
        <w:rPr>
          <w:rFonts w:hint="default" w:ascii="Times New Roman" w:hAnsi="Times New Roman" w:eastAsia="宋体" w:cs="宋体"/>
          <w:bCs/>
          <w:color w:val="auto"/>
          <w:sz w:val="24"/>
          <w:szCs w:val="21"/>
          <w:u w:val="none" w:color="auto"/>
          <w:lang w:val="en-US" w:eastAsia="zh-CN"/>
        </w:rPr>
        <w:t>不涉及国家公园、风景名胜区、饮用水水源保护区、</w:t>
      </w:r>
      <w:r>
        <w:rPr>
          <w:rFonts w:hint="eastAsia" w:ascii="Times New Roman" w:hAnsi="Times New Roman" w:eastAsia="宋体" w:cs="宋体"/>
          <w:bCs/>
          <w:color w:val="auto"/>
          <w:sz w:val="24"/>
          <w:szCs w:val="21"/>
          <w:u w:val="none" w:color="auto"/>
          <w:lang w:val="en-US" w:eastAsia="zh-CN"/>
        </w:rPr>
        <w:t>永久</w:t>
      </w:r>
      <w:r>
        <w:rPr>
          <w:rFonts w:hint="default" w:ascii="Times New Roman" w:hAnsi="Times New Roman" w:eastAsia="宋体" w:cs="宋体"/>
          <w:bCs/>
          <w:color w:val="auto"/>
          <w:sz w:val="24"/>
          <w:szCs w:val="21"/>
          <w:u w:val="none" w:color="auto"/>
          <w:lang w:val="en-US" w:eastAsia="zh-CN"/>
        </w:rPr>
        <w:t>基本农田</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基本草原、自然公园（、森林公园、地质公园）、重要湿地、天然林、重点保护野生动物栖息地、重点保护野生植物生长繁殖地等，</w:t>
      </w:r>
      <w:r>
        <w:rPr>
          <w:rFonts w:hint="eastAsia" w:ascii="Times New Roman" w:hAnsi="Times New Roman" w:eastAsia="宋体" w:cs="宋体"/>
          <w:bCs/>
          <w:color w:val="auto"/>
          <w:sz w:val="24"/>
          <w:szCs w:val="21"/>
          <w:u w:val="none" w:color="auto"/>
          <w:lang w:val="en-US" w:eastAsia="zh-CN"/>
        </w:rPr>
        <w:t>不占用国家一级生态公益林。主要涉及生态敏感目标为湖南东洞庭湖国家级自然保护区实验区。</w:t>
      </w:r>
    </w:p>
    <w:p w14:paraId="3704CDEE">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u w:val="none" w:color="auto"/>
          <w:lang w:val="en-US" w:eastAsia="zh-CN" w:bidi="ar-SA"/>
        </w:rPr>
      </w:pPr>
      <w:bookmarkStart w:id="335" w:name="_Toc20615"/>
      <w:bookmarkStart w:id="336" w:name="_Toc24254"/>
      <w:bookmarkStart w:id="337" w:name="_Toc19940"/>
      <w:bookmarkStart w:id="338" w:name="_Toc28157"/>
      <w:r>
        <w:rPr>
          <w:rFonts w:hint="eastAsia" w:ascii="Times New Roman" w:hAnsi="Times New Roman" w:eastAsia="宋体" w:cs="Times New Roman"/>
          <w:b/>
          <w:bCs/>
          <w:color w:val="auto"/>
          <w:kern w:val="2"/>
          <w:sz w:val="28"/>
          <w:szCs w:val="28"/>
          <w:u w:val="none" w:color="auto"/>
          <w:lang w:val="en-US" w:eastAsia="zh-CN" w:bidi="ar-SA"/>
        </w:rPr>
        <w:t>3</w:t>
      </w:r>
      <w:r>
        <w:rPr>
          <w:rFonts w:hint="default" w:ascii="Times New Roman" w:hAnsi="Times New Roman" w:eastAsia="宋体" w:cs="Times New Roman"/>
          <w:b/>
          <w:bCs/>
          <w:color w:val="auto"/>
          <w:kern w:val="2"/>
          <w:sz w:val="28"/>
          <w:szCs w:val="28"/>
          <w:u w:val="none" w:color="auto"/>
          <w:lang w:val="en-US" w:eastAsia="zh-CN" w:bidi="ar-SA"/>
        </w:rPr>
        <w:t>.2生态环境</w:t>
      </w:r>
      <w:r>
        <w:rPr>
          <w:rFonts w:hint="eastAsia" w:ascii="Times New Roman" w:hAnsi="Times New Roman" w:eastAsia="宋体" w:cs="Times New Roman"/>
          <w:b/>
          <w:bCs/>
          <w:color w:val="auto"/>
          <w:kern w:val="2"/>
          <w:sz w:val="28"/>
          <w:szCs w:val="28"/>
          <w:u w:val="none" w:color="auto"/>
          <w:lang w:val="en-US" w:eastAsia="zh-CN" w:bidi="ar-SA"/>
        </w:rPr>
        <w:t>调查与评价</w:t>
      </w:r>
      <w:bookmarkEnd w:id="335"/>
      <w:bookmarkEnd w:id="336"/>
      <w:bookmarkEnd w:id="337"/>
      <w:bookmarkEnd w:id="338"/>
    </w:p>
    <w:p w14:paraId="1342A4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本项目位于</w:t>
      </w:r>
      <w:r>
        <w:rPr>
          <w:rFonts w:hint="eastAsia" w:ascii="Times New Roman" w:hAnsi="Times New Roman" w:eastAsia="宋体" w:cs="宋体"/>
          <w:bCs/>
          <w:color w:val="auto"/>
          <w:sz w:val="24"/>
          <w:szCs w:val="21"/>
          <w:u w:val="none" w:color="auto"/>
          <w:lang w:val="en-US" w:eastAsia="zh-CN"/>
        </w:rPr>
        <w:t>华容县团洲乡</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用地范围</w:t>
      </w:r>
      <w:r>
        <w:rPr>
          <w:rFonts w:hint="default" w:ascii="Times New Roman" w:hAnsi="Times New Roman" w:eastAsia="宋体" w:cs="宋体"/>
          <w:bCs/>
          <w:color w:val="auto"/>
          <w:sz w:val="24"/>
          <w:szCs w:val="21"/>
          <w:u w:val="none" w:color="auto"/>
          <w:lang w:val="en-US" w:eastAsia="zh-CN"/>
        </w:rPr>
        <w:t>位于低山地带，项目区域所在区域以农村生态系统为主，受人类活动影响相对较大，评价范围内主要为农作物和村落</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区域无珍稀野生动植物分布。整体上，项目区域生态环境现状呈现农业生态特征，生态环境敏感度一般。</w:t>
      </w:r>
    </w:p>
    <w:p w14:paraId="03CE91DC">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3.2.1生态现状评价方法</w:t>
      </w:r>
    </w:p>
    <w:p w14:paraId="08EB6F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总体评价采用实地野外考察与室内资料分析相结合、全线普查与重点取样相结合，并走访</w:t>
      </w:r>
      <w:r>
        <w:rPr>
          <w:rFonts w:hint="eastAsia" w:ascii="Times New Roman" w:hAnsi="Times New Roman" w:eastAsia="宋体" w:cs="宋体"/>
          <w:bCs/>
          <w:color w:val="auto"/>
          <w:sz w:val="24"/>
          <w:szCs w:val="21"/>
          <w:u w:val="none" w:color="auto"/>
          <w:lang w:val="en-US" w:eastAsia="zh-CN"/>
        </w:rPr>
        <w:t>周边</w:t>
      </w:r>
      <w:r>
        <w:rPr>
          <w:rFonts w:hint="default" w:ascii="Times New Roman" w:hAnsi="Times New Roman" w:eastAsia="宋体" w:cs="宋体"/>
          <w:bCs/>
          <w:color w:val="auto"/>
          <w:sz w:val="24"/>
          <w:szCs w:val="21"/>
          <w:u w:val="none" w:color="auto"/>
          <w:lang w:val="en-US" w:eastAsia="zh-CN"/>
        </w:rPr>
        <w:t>村民和</w:t>
      </w:r>
      <w:r>
        <w:rPr>
          <w:rFonts w:hint="eastAsia" w:ascii="Times New Roman" w:hAnsi="Times New Roman" w:eastAsia="宋体" w:cs="宋体"/>
          <w:bCs/>
          <w:color w:val="auto"/>
          <w:sz w:val="24"/>
          <w:szCs w:val="21"/>
          <w:u w:val="none" w:color="auto"/>
          <w:lang w:val="en-US" w:eastAsia="zh-CN"/>
        </w:rPr>
        <w:t>政府单位</w:t>
      </w:r>
      <w:r>
        <w:rPr>
          <w:rFonts w:hint="default" w:ascii="Times New Roman" w:hAnsi="Times New Roman" w:eastAsia="宋体" w:cs="宋体"/>
          <w:bCs/>
          <w:color w:val="auto"/>
          <w:sz w:val="24"/>
          <w:szCs w:val="21"/>
          <w:u w:val="none" w:color="auto"/>
          <w:lang w:val="en-US" w:eastAsia="zh-CN"/>
        </w:rPr>
        <w:t>工作者，利用已有的各类资料和野外考察的资料分区分段对评价区生态环境现状和工程建设施工及运营过程中将对</w:t>
      </w:r>
      <w:r>
        <w:rPr>
          <w:rFonts w:hint="eastAsia" w:ascii="Times New Roman" w:hAnsi="Times New Roman" w:eastAsia="宋体" w:cs="宋体"/>
          <w:bCs/>
          <w:color w:val="auto"/>
          <w:sz w:val="24"/>
          <w:szCs w:val="21"/>
          <w:u w:val="none" w:color="auto"/>
          <w:lang w:val="en-US" w:eastAsia="zh-CN"/>
        </w:rPr>
        <w:t>周边</w:t>
      </w:r>
      <w:r>
        <w:rPr>
          <w:rFonts w:hint="default" w:ascii="Times New Roman" w:hAnsi="Times New Roman" w:eastAsia="宋体" w:cs="宋体"/>
          <w:bCs/>
          <w:color w:val="auto"/>
          <w:sz w:val="24"/>
          <w:szCs w:val="21"/>
          <w:u w:val="none" w:color="auto"/>
          <w:lang w:val="en-US" w:eastAsia="zh-CN"/>
        </w:rPr>
        <w:t>植被、植物资源、珍稀植物资源、动物资源、珍稀保护动物资源等生态环境因素的影响进行评价。</w:t>
      </w:r>
    </w:p>
    <w:p w14:paraId="6ED740F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u w:val="none" w:color="auto"/>
          <w:lang w:val="en-US" w:eastAsia="zh-CN"/>
        </w:rPr>
      </w:pPr>
      <w:r>
        <w:rPr>
          <w:rFonts w:hint="eastAsia" w:ascii="Times New Roman" w:hAnsi="Times New Roman" w:eastAsia="宋体" w:cs="宋体"/>
          <w:b/>
          <w:bCs w:val="0"/>
          <w:color w:val="auto"/>
          <w:sz w:val="24"/>
          <w:szCs w:val="21"/>
          <w:u w:val="none" w:color="auto"/>
          <w:lang w:val="en-US" w:eastAsia="zh-CN"/>
        </w:rPr>
        <w:t>1、资料收集</w:t>
      </w:r>
    </w:p>
    <w:p w14:paraId="14EBA1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收集整理评价区及邻近地区的现有生物多样性资料，在综合分析现有资料的基础上，确定实地考察的重点区域及考察路线。</w:t>
      </w:r>
    </w:p>
    <w:p w14:paraId="6BD1AD6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u w:val="none" w:color="auto"/>
          <w:lang w:val="en-US" w:eastAsia="zh-CN"/>
        </w:rPr>
      </w:pPr>
      <w:r>
        <w:rPr>
          <w:rFonts w:hint="eastAsia" w:ascii="Times New Roman" w:hAnsi="Times New Roman" w:eastAsia="宋体" w:cs="宋体"/>
          <w:b/>
          <w:bCs w:val="0"/>
          <w:color w:val="auto"/>
          <w:sz w:val="24"/>
          <w:szCs w:val="21"/>
          <w:u w:val="none" w:color="auto"/>
          <w:lang w:val="en-US" w:eastAsia="zh-CN"/>
        </w:rPr>
        <w:t>2、</w:t>
      </w:r>
      <w:r>
        <w:rPr>
          <w:rFonts w:hint="default" w:ascii="Times New Roman" w:hAnsi="Times New Roman" w:eastAsia="宋体" w:cs="宋体"/>
          <w:b/>
          <w:bCs w:val="0"/>
          <w:color w:val="auto"/>
          <w:sz w:val="24"/>
          <w:szCs w:val="21"/>
          <w:u w:val="none" w:color="auto"/>
          <w:lang w:val="en-US" w:eastAsia="zh-CN"/>
        </w:rPr>
        <w:t>现场调查</w:t>
      </w:r>
    </w:p>
    <w:p w14:paraId="2D2441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u w:val="none" w:color="auto"/>
          <w:lang w:val="en-US" w:eastAsia="zh-CN"/>
        </w:rPr>
      </w:pPr>
      <w:r>
        <w:rPr>
          <w:rFonts w:hint="eastAsia" w:cs="宋体"/>
          <w:bCs/>
          <w:color w:val="auto"/>
          <w:sz w:val="24"/>
          <w:szCs w:val="21"/>
          <w:u w:val="none" w:color="auto"/>
          <w:lang w:val="en-US" w:eastAsia="zh-CN"/>
        </w:rPr>
        <w:t>现场调查方法及相关内容主要引用于</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华容县团洲垸决口灾后农村居民集中安置房项目</w:t>
      </w:r>
      <w:r>
        <w:rPr>
          <w:rFonts w:hint="eastAsia" w:ascii="Times New Roman" w:hAnsi="Times New Roman" w:eastAsia="宋体" w:cs="宋体"/>
          <w:bCs/>
          <w:color w:val="auto"/>
          <w:sz w:val="24"/>
          <w:szCs w:val="21"/>
          <w:u w:val="none" w:color="auto"/>
          <w:lang w:val="en-US" w:eastAsia="zh-CN"/>
        </w:rPr>
        <w:t>对湖南东洞庭湖国家级自然保护区生物多样性影响评价报告》</w:t>
      </w:r>
      <w:r>
        <w:rPr>
          <w:rFonts w:hint="eastAsia" w:cs="宋体"/>
          <w:bCs/>
          <w:color w:val="auto"/>
          <w:sz w:val="24"/>
          <w:szCs w:val="21"/>
          <w:u w:val="none" w:color="auto"/>
          <w:lang w:val="en-US" w:eastAsia="zh-CN"/>
        </w:rPr>
        <w:t>。</w:t>
      </w:r>
    </w:p>
    <w:p w14:paraId="31FF03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（1）植物群落调查</w:t>
      </w:r>
    </w:p>
    <w:p w14:paraId="3A3A35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由于</w:t>
      </w:r>
      <w:r>
        <w:rPr>
          <w:rFonts w:hint="eastAsia" w:cs="宋体"/>
          <w:bCs/>
          <w:color w:val="auto"/>
          <w:sz w:val="24"/>
          <w:szCs w:val="21"/>
          <w:u w:val="none" w:color="auto"/>
          <w:lang w:val="en-US" w:eastAsia="zh-CN"/>
        </w:rPr>
        <w:t>项目占用区</w:t>
      </w:r>
      <w:r>
        <w:rPr>
          <w:rFonts w:hint="default" w:ascii="Times New Roman" w:hAnsi="Times New Roman" w:eastAsia="宋体" w:cs="宋体"/>
          <w:bCs/>
          <w:color w:val="auto"/>
          <w:sz w:val="24"/>
          <w:szCs w:val="21"/>
          <w:u w:val="none" w:color="auto"/>
          <w:lang w:val="en-US" w:eastAsia="zh-CN"/>
        </w:rPr>
        <w:t>植被多为次生植被，主要为农作物和村落</w:t>
      </w:r>
      <w:r>
        <w:rPr>
          <w:rFonts w:hint="eastAsia" w:ascii="Times New Roman" w:hAnsi="Times New Roman" w:eastAsia="宋体" w:cs="宋体"/>
          <w:bCs/>
          <w:color w:val="auto"/>
          <w:sz w:val="24"/>
          <w:szCs w:val="21"/>
          <w:u w:val="none" w:color="auto"/>
          <w:lang w:val="en-US" w:eastAsia="zh-CN"/>
        </w:rPr>
        <w:t>，均为常见人工植物群落，无自然植物群落存在，本次未</w:t>
      </w:r>
      <w:r>
        <w:rPr>
          <w:rFonts w:hint="eastAsia" w:cs="宋体"/>
          <w:bCs/>
          <w:color w:val="auto"/>
          <w:sz w:val="24"/>
          <w:szCs w:val="21"/>
          <w:u w:val="none" w:color="auto"/>
          <w:lang w:val="en-US" w:eastAsia="zh-CN"/>
        </w:rPr>
        <w:t>对项目占用区内</w:t>
      </w:r>
      <w:r>
        <w:rPr>
          <w:rFonts w:hint="eastAsia" w:ascii="Times New Roman" w:hAnsi="Times New Roman" w:eastAsia="宋体" w:cs="宋体"/>
          <w:bCs/>
          <w:color w:val="auto"/>
          <w:sz w:val="24"/>
          <w:szCs w:val="21"/>
          <w:u w:val="none" w:color="auto"/>
          <w:lang w:val="en-US" w:eastAsia="zh-CN"/>
        </w:rPr>
        <w:t>进行群落调查</w:t>
      </w:r>
      <w:r>
        <w:rPr>
          <w:rFonts w:hint="default" w:ascii="Times New Roman" w:hAnsi="Times New Roman" w:eastAsia="宋体" w:cs="宋体"/>
          <w:bCs/>
          <w:color w:val="auto"/>
          <w:sz w:val="24"/>
          <w:szCs w:val="21"/>
          <w:u w:val="none" w:color="auto"/>
          <w:lang w:val="en-US" w:eastAsia="zh-CN"/>
        </w:rPr>
        <w:t>。</w:t>
      </w:r>
    </w:p>
    <w:p w14:paraId="6558B4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cs="宋体"/>
          <w:bCs/>
          <w:color w:val="auto"/>
          <w:sz w:val="24"/>
          <w:szCs w:val="21"/>
          <w:u w:val="none" w:color="auto"/>
          <w:lang w:val="en-US" w:eastAsia="zh-CN"/>
        </w:rPr>
        <w:t>项目占用区外评价范围内</w:t>
      </w:r>
      <w:r>
        <w:rPr>
          <w:rFonts w:hint="eastAsia" w:ascii="Times New Roman" w:hAnsi="Times New Roman" w:eastAsia="宋体" w:cs="宋体"/>
          <w:bCs/>
          <w:color w:val="auto"/>
          <w:sz w:val="24"/>
          <w:szCs w:val="21"/>
          <w:u w:val="none" w:color="auto"/>
          <w:lang w:val="en-US" w:eastAsia="zh-CN"/>
        </w:rPr>
        <w:t>植被调查采用样方和样线相结合的调查方法。首先在评价区</w:t>
      </w:r>
      <w:r>
        <w:rPr>
          <w:rFonts w:hint="default" w:ascii="Times New Roman" w:hAnsi="Times New Roman" w:eastAsia="宋体" w:cs="宋体"/>
          <w:bCs/>
          <w:color w:val="auto"/>
          <w:sz w:val="24"/>
          <w:szCs w:val="21"/>
          <w:u w:val="none" w:color="auto"/>
          <w:lang w:val="en-US" w:eastAsia="zh-CN"/>
        </w:rPr>
        <w:t>1:1</w:t>
      </w:r>
      <w:r>
        <w:rPr>
          <w:rFonts w:hint="eastAsia" w:ascii="Times New Roman" w:hAnsi="Times New Roman" w:eastAsia="宋体" w:cs="宋体"/>
          <w:bCs/>
          <w:color w:val="auto"/>
          <w:sz w:val="24"/>
          <w:szCs w:val="21"/>
          <w:u w:val="none" w:color="auto"/>
          <w:lang w:val="en-US" w:eastAsia="zh-CN"/>
        </w:rPr>
        <w:t>万的地形图结合无人机航片初步确定野外调查样线及样方，然后实地调查。每种植被类型均采用法瑞学派样方调查法，乔木取</w:t>
      </w:r>
      <w:r>
        <w:rPr>
          <w:rFonts w:hint="default" w:ascii="Times New Roman" w:hAnsi="Times New Roman" w:eastAsia="宋体" w:cs="宋体"/>
          <w:bCs/>
          <w:color w:val="auto"/>
          <w:sz w:val="24"/>
          <w:szCs w:val="21"/>
          <w:u w:val="none" w:color="auto"/>
          <w:lang w:val="en-US" w:eastAsia="zh-CN"/>
        </w:rPr>
        <w:t>200</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40 m</w:t>
      </w:r>
      <w:r>
        <w:rPr>
          <w:rFonts w:hint="default" w:ascii="Times New Roman" w:hAnsi="Times New Roman" w:eastAsia="宋体" w:cs="宋体"/>
          <w:bCs/>
          <w:color w:val="auto"/>
          <w:sz w:val="24"/>
          <w:szCs w:val="21"/>
          <w:u w:val="none" w:color="auto"/>
          <w:vertAlign w:val="superscript"/>
          <w:lang w:val="en-US" w:eastAsia="zh-CN"/>
        </w:rPr>
        <w:t>2</w:t>
      </w:r>
      <w:r>
        <w:rPr>
          <w:rFonts w:hint="eastAsia" w:ascii="Times New Roman" w:hAnsi="Times New Roman" w:eastAsia="宋体" w:cs="宋体"/>
          <w:bCs/>
          <w:color w:val="auto"/>
          <w:sz w:val="24"/>
          <w:szCs w:val="21"/>
          <w:u w:val="none" w:color="auto"/>
          <w:lang w:val="en-US" w:eastAsia="zh-CN"/>
        </w:rPr>
        <w:t>的样方调查，灌丛取</w:t>
      </w:r>
      <w:r>
        <w:rPr>
          <w:rFonts w:hint="default" w:ascii="Times New Roman" w:hAnsi="Times New Roman" w:eastAsia="宋体" w:cs="宋体"/>
          <w:bCs/>
          <w:color w:val="auto"/>
          <w:sz w:val="24"/>
          <w:szCs w:val="21"/>
          <w:u w:val="none" w:color="auto"/>
          <w:lang w:val="en-US" w:eastAsia="zh-CN"/>
        </w:rPr>
        <w:t>25</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100 m</w:t>
      </w:r>
      <w:r>
        <w:rPr>
          <w:rFonts w:hint="default" w:ascii="Times New Roman" w:hAnsi="Times New Roman" w:eastAsia="宋体" w:cs="宋体"/>
          <w:bCs/>
          <w:color w:val="auto"/>
          <w:sz w:val="24"/>
          <w:szCs w:val="21"/>
          <w:u w:val="none" w:color="auto"/>
          <w:vertAlign w:val="superscript"/>
          <w:lang w:val="en-US" w:eastAsia="zh-CN"/>
        </w:rPr>
        <w:t>2</w:t>
      </w:r>
      <w:r>
        <w:rPr>
          <w:rFonts w:hint="eastAsia" w:ascii="Times New Roman" w:hAnsi="Times New Roman" w:eastAsia="宋体" w:cs="宋体"/>
          <w:bCs/>
          <w:color w:val="auto"/>
          <w:sz w:val="24"/>
          <w:szCs w:val="21"/>
          <w:u w:val="none" w:color="auto"/>
          <w:lang w:val="en-US" w:eastAsia="zh-CN"/>
        </w:rPr>
        <w:t>的样方调查，草丛取</w:t>
      </w:r>
      <w:r>
        <w:rPr>
          <w:rFonts w:hint="default" w:ascii="Times New Roman" w:hAnsi="Times New Roman" w:eastAsia="宋体" w:cs="宋体"/>
          <w:bCs/>
          <w:color w:val="auto"/>
          <w:sz w:val="24"/>
          <w:szCs w:val="21"/>
          <w:u w:val="none" w:color="auto"/>
          <w:lang w:val="en-US" w:eastAsia="zh-CN"/>
        </w:rPr>
        <w:t>1</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4 m</w:t>
      </w:r>
      <w:r>
        <w:rPr>
          <w:rFonts w:hint="eastAsia" w:ascii="Times New Roman" w:hAnsi="Times New Roman" w:eastAsia="宋体" w:cs="宋体"/>
          <w:bCs/>
          <w:color w:val="auto"/>
          <w:sz w:val="24"/>
          <w:szCs w:val="21"/>
          <w:u w:val="none" w:color="auto"/>
          <w:lang w:val="en-US" w:eastAsia="zh-CN"/>
        </w:rPr>
        <w:t>的样方调查，记录样方内的所有植物种类、物种优势度、群落平均高度、群落郁闭度或盖度等，并用</w:t>
      </w:r>
      <w:r>
        <w:rPr>
          <w:rFonts w:hint="default" w:ascii="Times New Roman" w:hAnsi="Times New Roman" w:eastAsia="宋体" w:cs="宋体"/>
          <w:bCs/>
          <w:color w:val="auto"/>
          <w:sz w:val="24"/>
          <w:szCs w:val="21"/>
          <w:u w:val="none" w:color="auto"/>
          <w:lang w:val="en-US" w:eastAsia="zh-CN"/>
        </w:rPr>
        <w:t>GPS</w:t>
      </w:r>
      <w:r>
        <w:rPr>
          <w:rFonts w:hint="eastAsia" w:ascii="Times New Roman" w:hAnsi="Times New Roman" w:eastAsia="宋体" w:cs="宋体"/>
          <w:bCs/>
          <w:color w:val="auto"/>
          <w:sz w:val="24"/>
          <w:szCs w:val="21"/>
          <w:u w:val="none" w:color="auto"/>
          <w:lang w:val="en-US" w:eastAsia="zh-CN"/>
        </w:rPr>
        <w:t>确定样方地理坐标。通过分析统计样方调查数据，划分评价区内的植被类型，找出评价区内分布最典型的植被类型，并对其植物群落结构组成进行描述分析。</w:t>
      </w:r>
    </w:p>
    <w:p w14:paraId="626E42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（2）</w:t>
      </w:r>
      <w:r>
        <w:rPr>
          <w:rFonts w:hint="eastAsia" w:ascii="Times New Roman" w:hAnsi="Times New Roman" w:eastAsia="宋体" w:cs="宋体"/>
          <w:bCs/>
          <w:color w:val="auto"/>
          <w:sz w:val="24"/>
          <w:szCs w:val="21"/>
          <w:u w:val="none" w:color="auto"/>
          <w:lang w:val="en-US" w:eastAsia="zh-CN"/>
        </w:rPr>
        <w:t xml:space="preserve">植物多样性调查方法 </w:t>
      </w:r>
    </w:p>
    <w:p w14:paraId="2096D1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植物多样性调查采用基础资料收集与野外调查相结合的调查方法，野外实地调查时采用样线法和样方法，记录植物的种类、多度、生境特点等信息。重点调查划定工程区的植物多样性，一般调查划定工程区之外的评价区的植物多样性。主要调查内容包括维管植物、珍稀保护植物和古树名木等。发现国家和省级重点保护野生植物、</w:t>
      </w:r>
      <w:r>
        <w:rPr>
          <w:rFonts w:hint="default" w:ascii="Times New Roman" w:hAnsi="Times New Roman" w:eastAsia="宋体" w:cs="宋体"/>
          <w:bCs/>
          <w:color w:val="auto"/>
          <w:sz w:val="24"/>
          <w:szCs w:val="21"/>
          <w:u w:val="none" w:color="auto"/>
          <w:lang w:val="en-US" w:eastAsia="zh-CN"/>
        </w:rPr>
        <w:t>IUCN</w:t>
      </w:r>
      <w:r>
        <w:rPr>
          <w:rFonts w:hint="eastAsia" w:ascii="Times New Roman" w:hAnsi="Times New Roman" w:eastAsia="宋体" w:cs="宋体"/>
          <w:bCs/>
          <w:color w:val="auto"/>
          <w:sz w:val="24"/>
          <w:szCs w:val="21"/>
          <w:u w:val="none" w:color="auto"/>
          <w:lang w:val="en-US" w:eastAsia="zh-CN"/>
        </w:rPr>
        <w:t>红皮书附录植物以及省级特有植物，准确记录地理坐标，并对其进行数量统计和生境描述。</w:t>
      </w:r>
    </w:p>
    <w:p w14:paraId="3322E9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（3）陆生</w:t>
      </w:r>
      <w:r>
        <w:rPr>
          <w:rFonts w:hint="eastAsia" w:cs="宋体"/>
          <w:bCs/>
          <w:color w:val="auto"/>
          <w:sz w:val="24"/>
          <w:szCs w:val="21"/>
          <w:u w:val="none" w:color="auto"/>
          <w:lang w:val="en-US" w:eastAsia="zh-CN"/>
        </w:rPr>
        <w:t>野生</w:t>
      </w:r>
      <w:r>
        <w:rPr>
          <w:rFonts w:hint="default" w:ascii="Times New Roman" w:hAnsi="Times New Roman" w:eastAsia="宋体" w:cs="宋体"/>
          <w:bCs/>
          <w:color w:val="auto"/>
          <w:sz w:val="24"/>
          <w:szCs w:val="21"/>
          <w:u w:val="none" w:color="auto"/>
          <w:lang w:val="en-US" w:eastAsia="zh-CN"/>
        </w:rPr>
        <w:t>动物调查</w:t>
      </w:r>
    </w:p>
    <w:p w14:paraId="4B9047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1</w:t>
      </w:r>
      <w:r>
        <w:rPr>
          <w:rFonts w:hint="eastAsia" w:ascii="Times New Roman" w:hAnsi="Times New Roman" w:eastAsia="宋体" w:cs="宋体"/>
          <w:bCs/>
          <w:color w:val="auto"/>
          <w:sz w:val="24"/>
          <w:szCs w:val="21"/>
          <w:u w:val="none" w:color="auto"/>
          <w:lang w:val="en-US" w:eastAsia="zh-CN"/>
        </w:rPr>
        <w:t xml:space="preserve">）文献资料查阅法 </w:t>
      </w:r>
    </w:p>
    <w:p w14:paraId="384B829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查阅当地的有关科学研究和野外调查资料。比照相应的地理纬度和海拔高度，对照相关的研究资料，核查和收集当地及相邻地区的相关资料。 </w:t>
      </w:r>
    </w:p>
    <w:p w14:paraId="6E0661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并且结合国家林业和草原局中南调查规划设计院编写的《湖南东洞庭湖国 家级自然保护区总体规划（</w:t>
      </w:r>
      <w:r>
        <w:rPr>
          <w:rFonts w:hint="default" w:ascii="Times New Roman" w:hAnsi="Times New Roman" w:eastAsia="宋体" w:cs="宋体"/>
          <w:bCs/>
          <w:color w:val="auto"/>
          <w:sz w:val="24"/>
          <w:szCs w:val="21"/>
          <w:u w:val="none" w:color="auto"/>
          <w:lang w:val="en-US" w:eastAsia="zh-CN"/>
        </w:rPr>
        <w:t>2016</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2025</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参考《湖南省两栖动物区系与地理区划》、《湖南省爬行动物区系与地理区划》、《湖南鸟类名录》、《湖南省重点保护兽类种类及分布》等系列论文及当地的区、县市志和林业志等书籍，再结合本次进行的野外考察以及对当地村民和林业工作者的访问，确认评价范围内的野生动物种类及资源现状。</w:t>
      </w:r>
    </w:p>
    <w:p w14:paraId="48EC06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拟定评价区野生动物名录。 </w:t>
      </w:r>
    </w:p>
    <w:p w14:paraId="0DD6EE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2</w:t>
      </w:r>
      <w:r>
        <w:rPr>
          <w:rFonts w:hint="eastAsia" w:ascii="Times New Roman" w:hAnsi="Times New Roman" w:eastAsia="宋体" w:cs="宋体"/>
          <w:bCs/>
          <w:color w:val="auto"/>
          <w:sz w:val="24"/>
          <w:szCs w:val="21"/>
          <w:u w:val="none" w:color="auto"/>
          <w:lang w:val="en-US" w:eastAsia="zh-CN"/>
        </w:rPr>
        <w:t xml:space="preserve">）访问调查法 </w:t>
      </w:r>
    </w:p>
    <w:p w14:paraId="32DFE7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访问调查对象主要是对脊椎动物识别有一定经验当地居民和保护区工作人员，通过询问他们近</w:t>
      </w:r>
      <w:r>
        <w:rPr>
          <w:rFonts w:hint="default" w:ascii="Times New Roman" w:hAnsi="Times New Roman" w:eastAsia="宋体" w:cs="宋体"/>
          <w:bCs/>
          <w:color w:val="auto"/>
          <w:sz w:val="24"/>
          <w:szCs w:val="21"/>
          <w:u w:val="none" w:color="auto"/>
          <w:lang w:val="en-US" w:eastAsia="zh-CN"/>
        </w:rPr>
        <w:t>5</w:t>
      </w:r>
      <w:r>
        <w:rPr>
          <w:rFonts w:hint="eastAsia" w:ascii="Times New Roman" w:hAnsi="Times New Roman" w:eastAsia="宋体" w:cs="宋体"/>
          <w:bCs/>
          <w:color w:val="auto"/>
          <w:sz w:val="24"/>
          <w:szCs w:val="21"/>
          <w:u w:val="none" w:color="auto"/>
          <w:lang w:val="en-US" w:eastAsia="zh-CN"/>
        </w:rPr>
        <w:t xml:space="preserve">年在项目评价区观察到的动物实体和活动痕迹，采用对照野生动物图谱、生物学特征等相关识别手段进行判定。调查农贸市场、餐馆、了解物种种类后，再根据特征进行物种判定或查阅资料确定访问到的物种。 </w:t>
      </w:r>
    </w:p>
    <w:p w14:paraId="25E5E6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3</w:t>
      </w:r>
      <w:r>
        <w:rPr>
          <w:rFonts w:hint="eastAsia" w:ascii="Times New Roman" w:hAnsi="Times New Roman" w:eastAsia="宋体" w:cs="宋体"/>
          <w:bCs/>
          <w:color w:val="auto"/>
          <w:sz w:val="24"/>
          <w:szCs w:val="21"/>
          <w:u w:val="none" w:color="auto"/>
          <w:lang w:val="en-US" w:eastAsia="zh-CN"/>
        </w:rPr>
        <w:t xml:space="preserve">）样带调查法 </w:t>
      </w:r>
    </w:p>
    <w:p w14:paraId="276F8F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①两栖爬行动物调查 </w:t>
      </w:r>
    </w:p>
    <w:p w14:paraId="1ED528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两栖、爬行动物调查主要采用常规路线调查，同时辅以样带法、访问法等。在不同生境设置长度不等的样带，晚上用手电、头灯等照明工具沿固定样线进行调查。记录发现点生境特征及样带长度，并用专业数码相机对物种及生境进行拍照，供物种鉴定和内业整理时参考。根据《中国两栖动物及其分布彩色图鉴》</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费梁，</w:t>
      </w:r>
      <w:r>
        <w:rPr>
          <w:rFonts w:hint="default" w:ascii="Times New Roman" w:hAnsi="Times New Roman" w:eastAsia="宋体" w:cs="宋体"/>
          <w:bCs/>
          <w:color w:val="auto"/>
          <w:sz w:val="24"/>
          <w:szCs w:val="21"/>
          <w:u w:val="none" w:color="auto"/>
          <w:lang w:val="en-US" w:eastAsia="zh-CN"/>
        </w:rPr>
        <w:t>2012)</w:t>
      </w:r>
      <w:r>
        <w:rPr>
          <w:rFonts w:hint="eastAsia" w:ascii="Times New Roman" w:hAnsi="Times New Roman" w:eastAsia="宋体" w:cs="宋体"/>
          <w:bCs/>
          <w:color w:val="auto"/>
          <w:sz w:val="24"/>
          <w:szCs w:val="21"/>
          <w:u w:val="none" w:color="auto"/>
          <w:lang w:val="en-US" w:eastAsia="zh-CN"/>
        </w:rPr>
        <w:t>，湖南动物志</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两栖纲</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沈猷慧等</w:t>
      </w:r>
      <w:r>
        <w:rPr>
          <w:rFonts w:hint="default" w:ascii="Times New Roman" w:hAnsi="Times New Roman" w:eastAsia="宋体" w:cs="宋体"/>
          <w:bCs/>
          <w:color w:val="auto"/>
          <w:sz w:val="24"/>
          <w:szCs w:val="21"/>
          <w:u w:val="none" w:color="auto"/>
          <w:lang w:val="en-US" w:eastAsia="zh-CN"/>
        </w:rPr>
        <w:t>, 2014)</w:t>
      </w:r>
      <w:r>
        <w:rPr>
          <w:rFonts w:hint="eastAsia" w:ascii="Times New Roman" w:hAnsi="Times New Roman" w:eastAsia="宋体" w:cs="宋体"/>
          <w:bCs/>
          <w:color w:val="auto"/>
          <w:sz w:val="24"/>
          <w:szCs w:val="21"/>
          <w:u w:val="none" w:color="auto"/>
          <w:lang w:val="en-US" w:eastAsia="zh-CN"/>
        </w:rPr>
        <w:t>，《中国蛇类》</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上、下册</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、湖南动物志</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爬行纲</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、《中国爬行动物图鉴》，《湖南省两栖、爬行动物物种多样性及其受危等级评估》（高志10伟，</w:t>
      </w:r>
      <w:r>
        <w:rPr>
          <w:rFonts w:hint="default" w:ascii="Times New Roman" w:hAnsi="Times New Roman" w:eastAsia="宋体" w:cs="宋体"/>
          <w:bCs/>
          <w:color w:val="auto"/>
          <w:sz w:val="24"/>
          <w:szCs w:val="21"/>
          <w:u w:val="none" w:color="auto"/>
          <w:lang w:val="en-US" w:eastAsia="zh-CN"/>
        </w:rPr>
        <w:t>2022</w:t>
      </w:r>
      <w:r>
        <w:rPr>
          <w:rFonts w:hint="eastAsia" w:ascii="Times New Roman" w:hAnsi="Times New Roman" w:eastAsia="宋体" w:cs="宋体"/>
          <w:bCs/>
          <w:color w:val="auto"/>
          <w:sz w:val="24"/>
          <w:szCs w:val="21"/>
          <w:u w:val="none" w:color="auto"/>
          <w:lang w:val="en-US" w:eastAsia="zh-CN"/>
        </w:rPr>
        <w:t>）等参考书对物种进行鉴定分类，地理区划参考《湖南省两栖动物调查及区系分析》</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沈猷慧，</w:t>
      </w:r>
      <w:r>
        <w:rPr>
          <w:rFonts w:hint="default" w:ascii="Times New Roman" w:hAnsi="Times New Roman" w:eastAsia="宋体" w:cs="宋体"/>
          <w:bCs/>
          <w:color w:val="auto"/>
          <w:sz w:val="24"/>
          <w:szCs w:val="21"/>
          <w:u w:val="none" w:color="auto"/>
          <w:lang w:val="en-US" w:eastAsia="zh-CN"/>
        </w:rPr>
        <w:t>1983)</w:t>
      </w:r>
      <w:r>
        <w:rPr>
          <w:rFonts w:hint="eastAsia" w:ascii="Times New Roman" w:hAnsi="Times New Roman" w:eastAsia="宋体" w:cs="宋体"/>
          <w:bCs/>
          <w:color w:val="auto"/>
          <w:sz w:val="24"/>
          <w:szCs w:val="21"/>
          <w:u w:val="none" w:color="auto"/>
          <w:lang w:val="en-US" w:eastAsia="zh-CN"/>
        </w:rPr>
        <w:t>和《中国动物地理》</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张荣祖，</w:t>
      </w:r>
      <w:r>
        <w:rPr>
          <w:rFonts w:hint="default" w:ascii="Times New Roman" w:hAnsi="Times New Roman" w:eastAsia="宋体" w:cs="宋体"/>
          <w:bCs/>
          <w:color w:val="auto"/>
          <w:sz w:val="24"/>
          <w:szCs w:val="21"/>
          <w:u w:val="none" w:color="auto"/>
          <w:lang w:val="en-US" w:eastAsia="zh-CN"/>
        </w:rPr>
        <w:t>2011)</w:t>
      </w:r>
      <w:r>
        <w:rPr>
          <w:rFonts w:hint="eastAsia" w:ascii="Times New Roman" w:hAnsi="Times New Roman" w:eastAsia="宋体" w:cs="宋体"/>
          <w:bCs/>
          <w:color w:val="auto"/>
          <w:sz w:val="24"/>
          <w:szCs w:val="21"/>
          <w:u w:val="none" w:color="auto"/>
          <w:lang w:val="en-US" w:eastAsia="zh-CN"/>
        </w:rPr>
        <w:t xml:space="preserve">。 </w:t>
      </w:r>
    </w:p>
    <w:p w14:paraId="7B55E6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②鸟类调查 </w:t>
      </w:r>
    </w:p>
    <w:p w14:paraId="1721D6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鸟类调查主要采用样带法，结合样点法和访问调查法。样线法主要采用可变距离样带法，根据调查区域的地形地貌和鸟类栖息地类型，设置不同长度的样带沿布设的固定样线徒步行走，对观察到的鸟类使用专业数码相机对其生境及物种进行拍照，并用平板电脑中的奥维软件记录样线起点、终点坐标和样线长度等信息。同时访问当地有经验的老猎人和村民，详细了解该地区鸟类资源状况。根据《中国鸟类图鉴》、《湖南省动物志</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鸟纲雀形目》、《中国鸟类分类与分布名录》</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第四版</w:t>
      </w:r>
      <w:r>
        <w:rPr>
          <w:rFonts w:hint="default" w:ascii="Times New Roman" w:hAnsi="Times New Roman" w:eastAsia="宋体" w:cs="宋体"/>
          <w:bCs/>
          <w:color w:val="auto"/>
          <w:sz w:val="24"/>
          <w:szCs w:val="21"/>
          <w:u w:val="none" w:color="auto"/>
          <w:lang w:val="en-US" w:eastAsia="zh-CN"/>
        </w:rPr>
        <w:t>)</w:t>
      </w:r>
      <w:r>
        <w:rPr>
          <w:rFonts w:hint="eastAsia" w:ascii="Times New Roman" w:hAnsi="Times New Roman" w:eastAsia="宋体" w:cs="宋体"/>
          <w:bCs/>
          <w:color w:val="auto"/>
          <w:sz w:val="24"/>
          <w:szCs w:val="21"/>
          <w:u w:val="none" w:color="auto"/>
          <w:lang w:val="en-US" w:eastAsia="zh-CN"/>
        </w:rPr>
        <w:t xml:space="preserve">等参考书对物种进行鉴定。 </w:t>
      </w:r>
    </w:p>
    <w:p w14:paraId="2628FC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③兽类调查 </w:t>
      </w:r>
    </w:p>
    <w:p w14:paraId="507690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兽类调查主要采用样带法、访问调查法和文献查阅法。依据不同的海拔、不同生境选取观察路线，统计路线两边兽类的足迹、粪便、叫声、活动迹象以及活体的活动情况等。同时走访当地有经验的居民和保护区工作人员，根据访问调查结果再结合相关文献来确定兽类物种名录。 </w:t>
      </w:r>
    </w:p>
    <w:p w14:paraId="7170CC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 xml:space="preserve">④鱼类调查 </w:t>
      </w:r>
    </w:p>
    <w:p w14:paraId="35FE66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首先查阅相关文献，了解项目评价区内的水文等自然条件，同时走访当地村民和农贸市场，确定鱼类名录。</w:t>
      </w:r>
    </w:p>
    <w:p w14:paraId="168E27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（4）景观调查</w:t>
      </w:r>
    </w:p>
    <w:p w14:paraId="1C6E3A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利用地形图、近期卫星影像图、无人机航片与</w:t>
      </w:r>
      <w:r>
        <w:rPr>
          <w:rFonts w:hint="default" w:ascii="Times New Roman" w:hAnsi="Times New Roman" w:eastAsia="宋体" w:cs="宋体"/>
          <w:bCs/>
          <w:color w:val="auto"/>
          <w:sz w:val="24"/>
          <w:szCs w:val="21"/>
          <w:u w:val="none" w:color="auto"/>
          <w:lang w:val="en-US" w:eastAsia="zh-CN"/>
        </w:rPr>
        <w:t>2022</w:t>
      </w:r>
      <w:r>
        <w:rPr>
          <w:rFonts w:hint="eastAsia" w:ascii="Times New Roman" w:hAnsi="Times New Roman" w:eastAsia="宋体" w:cs="宋体"/>
          <w:bCs/>
          <w:color w:val="auto"/>
          <w:sz w:val="24"/>
          <w:szCs w:val="21"/>
          <w:u w:val="none" w:color="auto"/>
          <w:lang w:val="en-US" w:eastAsia="zh-CN"/>
        </w:rPr>
        <w:t>年林草湿“一张图”，对项目区与影响评价区的景观类型进行区划，并记录。</w:t>
      </w:r>
    </w:p>
    <w:p w14:paraId="69F1CD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cs="宋体"/>
          <w:bCs/>
          <w:color w:val="auto"/>
          <w:sz w:val="24"/>
          <w:szCs w:val="21"/>
          <w:u w:val="none" w:color="auto"/>
          <w:lang w:val="en-US" w:eastAsia="zh-CN"/>
        </w:rPr>
        <w:t>本项目样方样线设置情况及调查结果具体见附件10。</w:t>
      </w:r>
    </w:p>
    <w:p w14:paraId="0478EFAD">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bookmarkStart w:id="339" w:name="_Toc30250"/>
      <w:r>
        <w:rPr>
          <w:rFonts w:hint="eastAsia" w:ascii="Times New Roman" w:hAnsi="Times New Roman" w:eastAsia="宋体" w:cs="Times New Roman"/>
          <w:b/>
          <w:color w:val="auto"/>
          <w:kern w:val="2"/>
          <w:sz w:val="24"/>
          <w:szCs w:val="24"/>
          <w:u w:val="none" w:color="auto"/>
          <w:lang w:val="en-US" w:eastAsia="zh-CN" w:bidi="ar-SA"/>
        </w:rPr>
        <w:t>3.2.2 项目区域生态环境现状</w:t>
      </w:r>
    </w:p>
    <w:p w14:paraId="35ABBA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（1）</w:t>
      </w:r>
      <w:r>
        <w:rPr>
          <w:rFonts w:hint="default" w:ascii="Times New Roman" w:hAnsi="Times New Roman" w:eastAsia="宋体" w:cs="宋体"/>
          <w:bCs/>
          <w:color w:val="auto"/>
          <w:sz w:val="24"/>
          <w:szCs w:val="21"/>
          <w:u w:val="none" w:color="auto"/>
          <w:lang w:val="en-US" w:eastAsia="zh-CN"/>
        </w:rPr>
        <w:t>主体功能区</w:t>
      </w:r>
    </w:p>
    <w:p w14:paraId="5D146F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根据《湖南省主体功能区规划》，本工程位于国家级重点开发区，项目占地涉及建设项目环境影响评价分类管理名录（2021 年版）中提及的生态环境敏感区</w:t>
      </w:r>
      <w:r>
        <w:rPr>
          <w:rFonts w:hint="eastAsia" w:ascii="Times New Roman" w:hAnsi="Times New Roman" w:eastAsia="宋体" w:cs="宋体"/>
          <w:bCs/>
          <w:color w:val="auto"/>
          <w:sz w:val="24"/>
          <w:szCs w:val="21"/>
          <w:u w:val="none" w:color="auto"/>
          <w:lang w:val="en-US" w:eastAsia="zh-CN"/>
        </w:rPr>
        <w:t>：第三条（一）中的全部区域：湖南东洞庭湖国家级自然保护区。</w:t>
      </w:r>
    </w:p>
    <w:p w14:paraId="2586B8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（2）生态功能区</w:t>
      </w:r>
    </w:p>
    <w:p w14:paraId="28FBD8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根据《全国生态功能区划》（修编版），全国生态功能区划体系分为3个大类、9个小类、242个生态功能区，项目所在区域位于II-01-22湖南中部丘陵农产品提供功能区，属于产品提供大类，农产品提供小类。</w:t>
      </w:r>
    </w:p>
    <w:p w14:paraId="7C525DD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（3）地形</w:t>
      </w:r>
      <w:r>
        <w:rPr>
          <w:rFonts w:hint="eastAsia" w:ascii="Times New Roman" w:hAnsi="Times New Roman" w:eastAsia="宋体" w:cs="宋体"/>
          <w:bCs/>
          <w:color w:val="auto"/>
          <w:sz w:val="24"/>
          <w:szCs w:val="21"/>
          <w:u w:val="none" w:color="auto"/>
          <w:lang w:val="en-US" w:eastAsia="zh-CN"/>
        </w:rPr>
        <w:t>地质</w:t>
      </w:r>
    </w:p>
    <w:p w14:paraId="08F264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岳阳市华容县团洲乡位于中国湖南省的东部，是一个典型的南方丘陵地区。团洲乡位于长江中游的洞庭湖区南缘，属于扬子地台的南缘部分。该地区地质构造复杂，多种地质构造单元交错分布。该地区经历了多次构造运动，主要受印支运动和燕山运动的影响，形成了多样的地层和地质构造。前寒武纪地层主要由变质岩组成，如片麻岩、片岩和石英岩等。这些地层具有较高的强度和稳定性。古生代地层包括奥陶纪、志留纪和泥盆纪的沉积岩，如灰岩、页岩和砂岩等。这些地层在地质构造活动中形成了复杂的褶皱和断裂。中生代地层主要是三叠纪和侏罗纪的沉积岩，如红色砂岩、泥岩等。这些地层多为河湖相沉积，厚度变化较大。新生代地层包括第三纪和第四纪的沉积物，如粘土、砂砾石和黄土等。这些地层主要分布在低洼地区和河谷地带，厚度较小但广泛分布。褶皱构造团洲乡的地层受多次构造运动影响，形成了明显的褶皱构造。主要表现为轴向东西走向的紧闭褶皱，这些褶皱在地表常形成丘陵和山脉。该地区存在多条断裂带，主要为北东向和北西向断裂。断裂活动频繁，导致地层错动和破碎，对地质稳定性产生一定影响。团洲乡的地质构造还包括多个沉积盆地和河流沉积体系，这些构造在地表形成了平原和洼地，为农业和城市建设提供了良好的地质条件。因为地形多丘陵和山区，降雨量丰富，加上地质构造复杂，容易发生滑坡和崩塌等地质灾害。</w:t>
      </w:r>
    </w:p>
    <w:p w14:paraId="5D02F1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（4）动物分布</w:t>
      </w:r>
    </w:p>
    <w:p w14:paraId="52CBD9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陆生脊椎动物以禽类和鼠类为主；华容县</w:t>
      </w:r>
      <w:r>
        <w:rPr>
          <w:rFonts w:hint="eastAsia" w:ascii="Times New Roman" w:hAnsi="Times New Roman" w:eastAsia="宋体" w:cs="宋体"/>
          <w:bCs/>
          <w:color w:val="auto"/>
          <w:sz w:val="24"/>
          <w:szCs w:val="21"/>
          <w:u w:val="none" w:color="auto"/>
          <w:lang w:val="en-US" w:eastAsia="zh-CN"/>
        </w:rPr>
        <w:t>团洲乡</w:t>
      </w:r>
      <w:r>
        <w:rPr>
          <w:rFonts w:hint="default" w:ascii="Times New Roman" w:hAnsi="Times New Roman" w:eastAsia="宋体" w:cs="宋体"/>
          <w:bCs/>
          <w:color w:val="auto"/>
          <w:sz w:val="24"/>
          <w:szCs w:val="21"/>
          <w:u w:val="none" w:color="auto"/>
          <w:lang w:val="en-US" w:eastAsia="zh-CN"/>
        </w:rPr>
        <w:t>内有众多数量的沟、港、湖泊，浮游生物丰富，为鱼类的栖居、索饵、产卵和洄游提供了良好场所，淡水鱼产地。目前现有鱼类11目22科114种。未发现珍稀、濒危物种和国家、地方保护物种。</w:t>
      </w:r>
    </w:p>
    <w:p w14:paraId="44F8B5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（5）植被分布</w:t>
      </w:r>
    </w:p>
    <w:p w14:paraId="6C4575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华容县</w:t>
      </w:r>
      <w:r>
        <w:rPr>
          <w:rFonts w:hint="eastAsia" w:ascii="Times New Roman" w:hAnsi="Times New Roman" w:eastAsia="宋体" w:cs="宋体"/>
          <w:bCs/>
          <w:color w:val="auto"/>
          <w:sz w:val="24"/>
          <w:szCs w:val="21"/>
          <w:u w:val="none" w:color="auto"/>
          <w:lang w:val="en-US" w:eastAsia="zh-CN"/>
        </w:rPr>
        <w:t>团洲乡</w:t>
      </w:r>
      <w:r>
        <w:rPr>
          <w:rFonts w:hint="default" w:ascii="Times New Roman" w:hAnsi="Times New Roman" w:eastAsia="宋体" w:cs="宋体"/>
          <w:bCs/>
          <w:color w:val="auto"/>
          <w:sz w:val="24"/>
          <w:szCs w:val="21"/>
          <w:u w:val="none" w:color="auto"/>
          <w:lang w:val="en-US" w:eastAsia="zh-CN"/>
        </w:rPr>
        <w:t>为主要农业产区，水田多种水稻，旱地多种油菜、棉花，其他有各类零星瓜果蔬菜等</w:t>
      </w:r>
      <w:r>
        <w:rPr>
          <w:rFonts w:hint="eastAsia" w:ascii="Times New Roman" w:hAnsi="Times New Roman" w:eastAsia="宋体" w:cs="宋体"/>
          <w:bCs/>
          <w:color w:val="auto"/>
          <w:sz w:val="24"/>
          <w:szCs w:val="21"/>
          <w:u w:val="none" w:color="auto"/>
          <w:lang w:val="en-US" w:eastAsia="zh-CN"/>
        </w:rPr>
        <w:t>。</w:t>
      </w:r>
    </w:p>
    <w:p w14:paraId="24AD9A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eastAsia" w:ascii="Times New Roman" w:hAnsi="Times New Roman" w:eastAsia="宋体" w:cs="宋体"/>
          <w:bCs/>
          <w:color w:val="auto"/>
          <w:sz w:val="24"/>
          <w:szCs w:val="21"/>
          <w:u w:val="none" w:color="auto"/>
          <w:lang w:val="en-US" w:eastAsia="zh-CN"/>
        </w:rPr>
        <w:t>项目区域及周边</w:t>
      </w:r>
      <w:r>
        <w:rPr>
          <w:rFonts w:hint="default" w:ascii="Times New Roman" w:hAnsi="Times New Roman" w:eastAsia="宋体" w:cs="宋体"/>
          <w:bCs/>
          <w:color w:val="auto"/>
          <w:sz w:val="24"/>
          <w:szCs w:val="21"/>
          <w:u w:val="none" w:color="auto"/>
          <w:lang w:val="en-US" w:eastAsia="zh-CN"/>
        </w:rPr>
        <w:t>未见古树名木及其他珍稀、濒危物种和国家、地方保护物种。</w:t>
      </w:r>
    </w:p>
    <w:p w14:paraId="4B6BCB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u w:val="none" w:color="auto"/>
          <w:lang w:val="en-US" w:eastAsia="zh-CN"/>
        </w:rPr>
      </w:pPr>
      <w:r>
        <w:rPr>
          <w:rFonts w:hint="default" w:ascii="Times New Roman" w:hAnsi="Times New Roman" w:eastAsia="宋体" w:cs="宋体"/>
          <w:bCs/>
          <w:color w:val="auto"/>
          <w:sz w:val="24"/>
          <w:szCs w:val="21"/>
          <w:u w:val="none" w:color="auto"/>
          <w:lang w:val="en-US" w:eastAsia="zh-CN"/>
        </w:rPr>
        <w:t>（6）水土流失现状</w:t>
      </w:r>
    </w:p>
    <w:p w14:paraId="76AB53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u w:val="none" w:color="auto"/>
        </w:rPr>
      </w:pPr>
      <w:r>
        <w:rPr>
          <w:rFonts w:hint="default" w:ascii="Times New Roman" w:hAnsi="Times New Roman" w:eastAsia="宋体" w:cs="宋体"/>
          <w:bCs/>
          <w:color w:val="auto"/>
          <w:sz w:val="24"/>
          <w:szCs w:val="21"/>
          <w:u w:val="none" w:color="auto"/>
          <w:lang w:val="en-US" w:eastAsia="zh-CN"/>
        </w:rPr>
        <w:t>根据《土壤侵蚀分类分级标准》（SL190-2007），在全国土壤侵蚀类型区划中，项目区属于以水力侵蚀为主的类型区中的南方红壤丘陵区，其土壤容许流失量为500t/k㎡.a；项目区水土流失侵蚀形态以轻度水力侵蚀为主，水蚀又以面蚀为主，沟蚀次之。</w:t>
      </w:r>
    </w:p>
    <w:p w14:paraId="7387A63D">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1）华容县水土流失现状</w:t>
      </w:r>
    </w:p>
    <w:p w14:paraId="2C910982">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根据2022年湖南省水土保持公报中（2022年湖南省水土保持率及水土流失面积表）华容县数据，水土保持率为99.26%，项目区所在的华容县水土流失面积为11.72km²，按水土流失强度分级为：轻度侵蚀面积10.34km²，占水土流失总面积的88.23%；中度侵蚀面积1.36km²，占水土流失总面积的11.60%；强烈侵蚀面积0.01km2，占水土流失总面积的0.09%；极强烈侵蚀面积0.01km²，占水土流失总面积的0.09%；剧烈侵蚀面积0.00km²，占水土流失总面积的0.00%；华容县水土流失面积见下表。</w:t>
      </w:r>
    </w:p>
    <w:p w14:paraId="02A91CA9">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sz w:val="21"/>
          <w:szCs w:val="21"/>
          <w:u w:val="none" w:color="auto"/>
        </w:rPr>
      </w:pPr>
      <w:r>
        <w:rPr>
          <w:rFonts w:hint="default" w:ascii="Times New Roman" w:hAnsi="Times New Roman" w:cs="Times New Roman"/>
          <w:color w:val="auto"/>
          <w:sz w:val="21"/>
          <w:szCs w:val="21"/>
          <w:u w:val="none" w:color="auto"/>
        </w:rPr>
        <w:t>表3-</w:t>
      </w:r>
      <w:r>
        <w:rPr>
          <w:rFonts w:hint="eastAsia" w:ascii="Times New Roman" w:hAnsi="Times New Roman" w:cs="Times New Roman"/>
          <w:color w:val="auto"/>
          <w:sz w:val="21"/>
          <w:szCs w:val="21"/>
          <w:u w:val="none" w:color="auto"/>
          <w:lang w:val="en-US" w:eastAsia="zh-CN"/>
        </w:rPr>
        <w:t>1</w:t>
      </w:r>
      <w:r>
        <w:rPr>
          <w:rFonts w:hint="default" w:ascii="Times New Roman" w:hAnsi="Times New Roman" w:cs="Times New Roman"/>
          <w:color w:val="auto"/>
          <w:sz w:val="21"/>
          <w:szCs w:val="21"/>
          <w:u w:val="none" w:color="auto"/>
          <w:lang w:val="en-US" w:eastAsia="zh-CN"/>
        </w:rPr>
        <w:t xml:space="preserve">   </w:t>
      </w:r>
      <w:r>
        <w:rPr>
          <w:rFonts w:hint="default" w:ascii="Times New Roman" w:hAnsi="Times New Roman" w:cs="Times New Roman"/>
          <w:color w:val="auto"/>
          <w:sz w:val="21"/>
          <w:szCs w:val="21"/>
          <w:u w:val="none" w:color="auto"/>
        </w:rPr>
        <w:t>华容县水土流失现状</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920"/>
        <w:gridCol w:w="1404"/>
        <w:gridCol w:w="3957"/>
        <w:gridCol w:w="2056"/>
      </w:tblGrid>
      <w:tr w14:paraId="4CCA2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3767" w:type="pct"/>
            <w:gridSpan w:val="3"/>
            <w:tcBorders>
              <w:tl2br w:val="nil"/>
              <w:tr2bl w:val="nil"/>
            </w:tcBorders>
            <w:shd w:val="clear" w:color="auto" w:fill="auto"/>
            <w:noWrap w:val="0"/>
            <w:vAlign w:val="center"/>
          </w:tcPr>
          <w:p w14:paraId="6DB7FC5E">
            <w:pPr>
              <w:pStyle w:val="70"/>
              <w:jc w:val="center"/>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水土流失面积（km</w:t>
            </w:r>
            <w:r>
              <w:rPr>
                <w:rFonts w:hint="default" w:ascii="Times New Roman" w:hAnsi="Times New Roman" w:cs="Times New Roman"/>
                <w:b/>
                <w:bCs/>
                <w:color w:val="auto"/>
                <w:u w:val="none" w:color="auto"/>
                <w:vertAlign w:val="superscript"/>
              </w:rPr>
              <w:t>2</w:t>
            </w:r>
            <w:r>
              <w:rPr>
                <w:rFonts w:hint="default" w:ascii="Times New Roman" w:hAnsi="Times New Roman" w:cs="Times New Roman"/>
                <w:b/>
                <w:bCs/>
                <w:color w:val="auto"/>
                <w:u w:val="none" w:color="auto"/>
              </w:rPr>
              <w:t>）</w:t>
            </w:r>
          </w:p>
        </w:tc>
        <w:tc>
          <w:tcPr>
            <w:tcW w:w="1233" w:type="pct"/>
            <w:tcBorders>
              <w:tl2br w:val="nil"/>
              <w:tr2bl w:val="nil"/>
            </w:tcBorders>
            <w:shd w:val="clear" w:color="auto" w:fill="auto"/>
            <w:noWrap w:val="0"/>
            <w:vAlign w:val="center"/>
          </w:tcPr>
          <w:p w14:paraId="461FB07A">
            <w:pPr>
              <w:pStyle w:val="70"/>
              <w:jc w:val="center"/>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11.72</w:t>
            </w:r>
          </w:p>
        </w:tc>
      </w:tr>
      <w:tr w14:paraId="10CC2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restart"/>
            <w:tcBorders>
              <w:tl2br w:val="nil"/>
              <w:tr2bl w:val="nil"/>
            </w:tcBorders>
            <w:shd w:val="clear" w:color="auto" w:fill="auto"/>
            <w:noWrap w:val="0"/>
            <w:vAlign w:val="center"/>
          </w:tcPr>
          <w:p w14:paraId="0125DF99">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水土流失强度</w:t>
            </w:r>
          </w:p>
        </w:tc>
        <w:tc>
          <w:tcPr>
            <w:tcW w:w="3214" w:type="pct"/>
            <w:gridSpan w:val="2"/>
            <w:tcBorders>
              <w:tl2br w:val="nil"/>
              <w:tr2bl w:val="nil"/>
            </w:tcBorders>
            <w:shd w:val="clear" w:color="auto" w:fill="auto"/>
            <w:noWrap w:val="0"/>
            <w:vAlign w:val="center"/>
          </w:tcPr>
          <w:p w14:paraId="565632A6">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微度侵蚀面积（km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2E53749A">
            <w:pPr>
              <w:pStyle w:val="70"/>
              <w:jc w:val="center"/>
              <w:rPr>
                <w:rFonts w:hint="default" w:ascii="Times New Roman" w:hAnsi="Times New Roman" w:cs="Times New Roman"/>
                <w:color w:val="auto"/>
                <w:u w:val="none" w:color="auto"/>
              </w:rPr>
            </w:pPr>
          </w:p>
        </w:tc>
      </w:tr>
      <w:tr w14:paraId="5FFCD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21BE9CA2">
            <w:pPr>
              <w:pStyle w:val="70"/>
              <w:jc w:val="center"/>
              <w:rPr>
                <w:rFonts w:hint="default" w:ascii="Times New Roman" w:hAnsi="Times New Roman" w:cs="Times New Roman"/>
                <w:color w:val="auto"/>
                <w:u w:val="none" w:color="auto"/>
              </w:rPr>
            </w:pPr>
          </w:p>
        </w:tc>
        <w:tc>
          <w:tcPr>
            <w:tcW w:w="842" w:type="pct"/>
            <w:vMerge w:val="restart"/>
            <w:tcBorders>
              <w:tl2br w:val="nil"/>
              <w:tr2bl w:val="nil"/>
            </w:tcBorders>
            <w:shd w:val="clear" w:color="auto" w:fill="auto"/>
            <w:noWrap w:val="0"/>
            <w:vAlign w:val="center"/>
          </w:tcPr>
          <w:p w14:paraId="03DC36BA">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轻度</w:t>
            </w:r>
          </w:p>
        </w:tc>
        <w:tc>
          <w:tcPr>
            <w:tcW w:w="2372" w:type="pct"/>
            <w:tcBorders>
              <w:tl2br w:val="nil"/>
              <w:tr2bl w:val="nil"/>
            </w:tcBorders>
            <w:shd w:val="clear" w:color="auto" w:fill="auto"/>
            <w:noWrap w:val="0"/>
            <w:vAlign w:val="center"/>
          </w:tcPr>
          <w:p w14:paraId="245C1506">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68422C45">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10.34</w:t>
            </w:r>
          </w:p>
        </w:tc>
      </w:tr>
      <w:tr w14:paraId="4A8D0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7F4F665E">
            <w:pPr>
              <w:pStyle w:val="70"/>
              <w:jc w:val="center"/>
              <w:rPr>
                <w:rFonts w:hint="default" w:ascii="Times New Roman" w:hAnsi="Times New Roman" w:cs="Times New Roman"/>
                <w:color w:val="auto"/>
                <w:u w:val="none" w:color="auto"/>
              </w:rPr>
            </w:pPr>
          </w:p>
        </w:tc>
        <w:tc>
          <w:tcPr>
            <w:tcW w:w="842" w:type="pct"/>
            <w:vMerge w:val="continue"/>
            <w:tcBorders>
              <w:tl2br w:val="nil"/>
              <w:tr2bl w:val="nil"/>
            </w:tcBorders>
            <w:shd w:val="clear" w:color="auto" w:fill="auto"/>
            <w:noWrap w:val="0"/>
            <w:vAlign w:val="center"/>
          </w:tcPr>
          <w:p w14:paraId="2BD47C7A">
            <w:pPr>
              <w:pStyle w:val="70"/>
              <w:jc w:val="center"/>
              <w:rPr>
                <w:rFonts w:hint="default" w:ascii="Times New Roman" w:hAnsi="Times New Roman" w:cs="Times New Roman"/>
                <w:color w:val="auto"/>
                <w:u w:val="none" w:color="auto"/>
              </w:rPr>
            </w:pPr>
          </w:p>
        </w:tc>
        <w:tc>
          <w:tcPr>
            <w:tcW w:w="2372" w:type="pct"/>
            <w:tcBorders>
              <w:tl2br w:val="nil"/>
              <w:tr2bl w:val="nil"/>
            </w:tcBorders>
            <w:shd w:val="clear" w:color="auto" w:fill="auto"/>
            <w:noWrap w:val="0"/>
            <w:vAlign w:val="center"/>
          </w:tcPr>
          <w:p w14:paraId="6C77B176">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占水土流失面积比重</w:t>
            </w:r>
          </w:p>
        </w:tc>
        <w:tc>
          <w:tcPr>
            <w:tcW w:w="1233" w:type="pct"/>
            <w:tcBorders>
              <w:tl2br w:val="nil"/>
              <w:tr2bl w:val="nil"/>
            </w:tcBorders>
            <w:shd w:val="clear" w:color="auto" w:fill="auto"/>
            <w:noWrap w:val="0"/>
            <w:vAlign w:val="center"/>
          </w:tcPr>
          <w:p w14:paraId="45DD7F6A">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88.23%</w:t>
            </w:r>
          </w:p>
        </w:tc>
      </w:tr>
      <w:tr w14:paraId="27A1E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7B9C7E1F">
            <w:pPr>
              <w:pStyle w:val="70"/>
              <w:jc w:val="center"/>
              <w:rPr>
                <w:rFonts w:hint="default" w:ascii="Times New Roman" w:hAnsi="Times New Roman" w:cs="Times New Roman"/>
                <w:color w:val="auto"/>
                <w:u w:val="none" w:color="auto"/>
              </w:rPr>
            </w:pPr>
          </w:p>
        </w:tc>
        <w:tc>
          <w:tcPr>
            <w:tcW w:w="842" w:type="pct"/>
            <w:vMerge w:val="restart"/>
            <w:tcBorders>
              <w:tl2br w:val="nil"/>
              <w:tr2bl w:val="nil"/>
            </w:tcBorders>
            <w:shd w:val="clear" w:color="auto" w:fill="auto"/>
            <w:noWrap w:val="0"/>
            <w:vAlign w:val="center"/>
          </w:tcPr>
          <w:p w14:paraId="1D9BC646">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中度</w:t>
            </w:r>
          </w:p>
        </w:tc>
        <w:tc>
          <w:tcPr>
            <w:tcW w:w="2372" w:type="pct"/>
            <w:tcBorders>
              <w:tl2br w:val="nil"/>
              <w:tr2bl w:val="nil"/>
            </w:tcBorders>
            <w:shd w:val="clear" w:color="auto" w:fill="auto"/>
            <w:noWrap w:val="0"/>
            <w:vAlign w:val="center"/>
          </w:tcPr>
          <w:p w14:paraId="34B85EAD">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7567F49C">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1.36</w:t>
            </w:r>
          </w:p>
        </w:tc>
      </w:tr>
      <w:tr w14:paraId="0B6B7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35D8799E">
            <w:pPr>
              <w:pStyle w:val="70"/>
              <w:jc w:val="center"/>
              <w:rPr>
                <w:rFonts w:hint="default" w:ascii="Times New Roman" w:hAnsi="Times New Roman" w:cs="Times New Roman"/>
                <w:color w:val="auto"/>
                <w:u w:val="none" w:color="auto"/>
              </w:rPr>
            </w:pPr>
          </w:p>
        </w:tc>
        <w:tc>
          <w:tcPr>
            <w:tcW w:w="842" w:type="pct"/>
            <w:vMerge w:val="continue"/>
            <w:tcBorders>
              <w:tl2br w:val="nil"/>
              <w:tr2bl w:val="nil"/>
            </w:tcBorders>
            <w:shd w:val="clear" w:color="auto" w:fill="auto"/>
            <w:noWrap w:val="0"/>
            <w:vAlign w:val="center"/>
          </w:tcPr>
          <w:p w14:paraId="0D09C398">
            <w:pPr>
              <w:pStyle w:val="70"/>
              <w:jc w:val="center"/>
              <w:rPr>
                <w:rFonts w:hint="default" w:ascii="Times New Roman" w:hAnsi="Times New Roman" w:cs="Times New Roman"/>
                <w:color w:val="auto"/>
                <w:u w:val="none" w:color="auto"/>
              </w:rPr>
            </w:pPr>
          </w:p>
        </w:tc>
        <w:tc>
          <w:tcPr>
            <w:tcW w:w="2372" w:type="pct"/>
            <w:tcBorders>
              <w:tl2br w:val="nil"/>
              <w:tr2bl w:val="nil"/>
            </w:tcBorders>
            <w:shd w:val="clear" w:color="auto" w:fill="auto"/>
            <w:noWrap w:val="0"/>
            <w:vAlign w:val="center"/>
          </w:tcPr>
          <w:p w14:paraId="05926E81">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占水土流失面积比重</w:t>
            </w:r>
          </w:p>
        </w:tc>
        <w:tc>
          <w:tcPr>
            <w:tcW w:w="1233" w:type="pct"/>
            <w:tcBorders>
              <w:tl2br w:val="nil"/>
              <w:tr2bl w:val="nil"/>
            </w:tcBorders>
            <w:shd w:val="clear" w:color="auto" w:fill="auto"/>
            <w:noWrap w:val="0"/>
            <w:vAlign w:val="center"/>
          </w:tcPr>
          <w:p w14:paraId="14D4D2F3">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11.60%</w:t>
            </w:r>
          </w:p>
        </w:tc>
      </w:tr>
      <w:tr w14:paraId="30275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1E5EB61B">
            <w:pPr>
              <w:pStyle w:val="70"/>
              <w:jc w:val="center"/>
              <w:rPr>
                <w:rFonts w:hint="default" w:ascii="Times New Roman" w:hAnsi="Times New Roman" w:cs="Times New Roman"/>
                <w:color w:val="auto"/>
                <w:u w:val="none" w:color="auto"/>
              </w:rPr>
            </w:pPr>
          </w:p>
        </w:tc>
        <w:tc>
          <w:tcPr>
            <w:tcW w:w="842" w:type="pct"/>
            <w:vMerge w:val="restart"/>
            <w:tcBorders>
              <w:tl2br w:val="nil"/>
              <w:tr2bl w:val="nil"/>
            </w:tcBorders>
            <w:shd w:val="clear" w:color="auto" w:fill="auto"/>
            <w:noWrap w:val="0"/>
            <w:vAlign w:val="center"/>
          </w:tcPr>
          <w:p w14:paraId="5B2805DF">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强烈</w:t>
            </w:r>
          </w:p>
        </w:tc>
        <w:tc>
          <w:tcPr>
            <w:tcW w:w="2372" w:type="pct"/>
            <w:tcBorders>
              <w:tl2br w:val="nil"/>
              <w:tr2bl w:val="nil"/>
            </w:tcBorders>
            <w:shd w:val="clear" w:color="auto" w:fill="auto"/>
            <w:noWrap w:val="0"/>
            <w:vAlign w:val="center"/>
          </w:tcPr>
          <w:p w14:paraId="36C0013C">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2F9E28A9">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0.01</w:t>
            </w:r>
          </w:p>
        </w:tc>
      </w:tr>
      <w:tr w14:paraId="50C37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57BC31FB">
            <w:pPr>
              <w:pStyle w:val="70"/>
              <w:jc w:val="center"/>
              <w:rPr>
                <w:rFonts w:hint="default" w:ascii="Times New Roman" w:hAnsi="Times New Roman" w:cs="Times New Roman"/>
                <w:color w:val="auto"/>
                <w:u w:val="none" w:color="auto"/>
              </w:rPr>
            </w:pPr>
          </w:p>
        </w:tc>
        <w:tc>
          <w:tcPr>
            <w:tcW w:w="842" w:type="pct"/>
            <w:vMerge w:val="continue"/>
            <w:tcBorders>
              <w:tl2br w:val="nil"/>
              <w:tr2bl w:val="nil"/>
            </w:tcBorders>
            <w:shd w:val="clear" w:color="auto" w:fill="auto"/>
            <w:noWrap w:val="0"/>
            <w:vAlign w:val="center"/>
          </w:tcPr>
          <w:p w14:paraId="231F2346">
            <w:pPr>
              <w:pStyle w:val="70"/>
              <w:jc w:val="center"/>
              <w:rPr>
                <w:rFonts w:hint="default" w:ascii="Times New Roman" w:hAnsi="Times New Roman" w:cs="Times New Roman"/>
                <w:color w:val="auto"/>
                <w:u w:val="none" w:color="auto"/>
              </w:rPr>
            </w:pPr>
          </w:p>
        </w:tc>
        <w:tc>
          <w:tcPr>
            <w:tcW w:w="2372" w:type="pct"/>
            <w:tcBorders>
              <w:tl2br w:val="nil"/>
              <w:tr2bl w:val="nil"/>
            </w:tcBorders>
            <w:shd w:val="clear" w:color="auto" w:fill="auto"/>
            <w:noWrap w:val="0"/>
            <w:vAlign w:val="center"/>
          </w:tcPr>
          <w:p w14:paraId="50A282CB">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占水土流失面积比重</w:t>
            </w:r>
          </w:p>
        </w:tc>
        <w:tc>
          <w:tcPr>
            <w:tcW w:w="1233" w:type="pct"/>
            <w:tcBorders>
              <w:tl2br w:val="nil"/>
              <w:tr2bl w:val="nil"/>
            </w:tcBorders>
            <w:shd w:val="clear" w:color="auto" w:fill="auto"/>
            <w:noWrap w:val="0"/>
            <w:vAlign w:val="center"/>
          </w:tcPr>
          <w:p w14:paraId="75A72DA2">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0.09%</w:t>
            </w:r>
          </w:p>
        </w:tc>
      </w:tr>
      <w:tr w14:paraId="5178A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37F25C02">
            <w:pPr>
              <w:pStyle w:val="70"/>
              <w:jc w:val="center"/>
              <w:rPr>
                <w:rFonts w:hint="default" w:ascii="Times New Roman" w:hAnsi="Times New Roman" w:cs="Times New Roman"/>
                <w:color w:val="auto"/>
                <w:u w:val="none" w:color="auto"/>
              </w:rPr>
            </w:pPr>
          </w:p>
        </w:tc>
        <w:tc>
          <w:tcPr>
            <w:tcW w:w="842" w:type="pct"/>
            <w:vMerge w:val="restart"/>
            <w:tcBorders>
              <w:tl2br w:val="nil"/>
              <w:tr2bl w:val="nil"/>
            </w:tcBorders>
            <w:shd w:val="clear" w:color="auto" w:fill="auto"/>
            <w:noWrap w:val="0"/>
            <w:vAlign w:val="center"/>
          </w:tcPr>
          <w:p w14:paraId="1CAAE460">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极强烈</w:t>
            </w:r>
          </w:p>
        </w:tc>
        <w:tc>
          <w:tcPr>
            <w:tcW w:w="2372" w:type="pct"/>
            <w:tcBorders>
              <w:tl2br w:val="nil"/>
              <w:tr2bl w:val="nil"/>
            </w:tcBorders>
            <w:shd w:val="clear" w:color="auto" w:fill="auto"/>
            <w:noWrap w:val="0"/>
            <w:vAlign w:val="center"/>
          </w:tcPr>
          <w:p w14:paraId="5D99B5FE">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3D47C9C6">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0.01</w:t>
            </w:r>
          </w:p>
        </w:tc>
      </w:tr>
      <w:tr w14:paraId="02E45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21F02625">
            <w:pPr>
              <w:pStyle w:val="70"/>
              <w:jc w:val="center"/>
              <w:rPr>
                <w:rFonts w:hint="default" w:ascii="Times New Roman" w:hAnsi="Times New Roman" w:cs="Times New Roman"/>
                <w:color w:val="auto"/>
                <w:u w:val="none" w:color="auto"/>
              </w:rPr>
            </w:pPr>
          </w:p>
        </w:tc>
        <w:tc>
          <w:tcPr>
            <w:tcW w:w="842" w:type="pct"/>
            <w:vMerge w:val="continue"/>
            <w:tcBorders>
              <w:tl2br w:val="nil"/>
              <w:tr2bl w:val="nil"/>
            </w:tcBorders>
            <w:shd w:val="clear" w:color="auto" w:fill="auto"/>
            <w:noWrap w:val="0"/>
            <w:vAlign w:val="center"/>
          </w:tcPr>
          <w:p w14:paraId="4CFF2380">
            <w:pPr>
              <w:pStyle w:val="70"/>
              <w:jc w:val="center"/>
              <w:rPr>
                <w:rFonts w:hint="default" w:ascii="Times New Roman" w:hAnsi="Times New Roman" w:cs="Times New Roman"/>
                <w:color w:val="auto"/>
                <w:u w:val="none" w:color="auto"/>
              </w:rPr>
            </w:pPr>
          </w:p>
        </w:tc>
        <w:tc>
          <w:tcPr>
            <w:tcW w:w="2372" w:type="pct"/>
            <w:tcBorders>
              <w:tl2br w:val="nil"/>
              <w:tr2bl w:val="nil"/>
            </w:tcBorders>
            <w:shd w:val="clear" w:color="auto" w:fill="auto"/>
            <w:noWrap w:val="0"/>
            <w:vAlign w:val="center"/>
          </w:tcPr>
          <w:p w14:paraId="4E66592E">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占水土流失面积比重</w:t>
            </w:r>
          </w:p>
        </w:tc>
        <w:tc>
          <w:tcPr>
            <w:tcW w:w="1233" w:type="pct"/>
            <w:tcBorders>
              <w:tl2br w:val="nil"/>
              <w:tr2bl w:val="nil"/>
            </w:tcBorders>
            <w:shd w:val="clear" w:color="auto" w:fill="auto"/>
            <w:noWrap w:val="0"/>
            <w:vAlign w:val="center"/>
          </w:tcPr>
          <w:p w14:paraId="176F6160">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0.09%</w:t>
            </w:r>
          </w:p>
        </w:tc>
      </w:tr>
      <w:tr w14:paraId="23D7E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14:paraId="770EAE88">
            <w:pPr>
              <w:pStyle w:val="70"/>
              <w:jc w:val="center"/>
              <w:rPr>
                <w:rFonts w:hint="default" w:ascii="Times New Roman" w:hAnsi="Times New Roman" w:cs="Times New Roman"/>
                <w:color w:val="auto"/>
                <w:u w:val="none" w:color="auto"/>
              </w:rPr>
            </w:pPr>
          </w:p>
        </w:tc>
        <w:tc>
          <w:tcPr>
            <w:tcW w:w="842" w:type="pct"/>
            <w:tcBorders>
              <w:tl2br w:val="nil"/>
              <w:tr2bl w:val="nil"/>
            </w:tcBorders>
            <w:shd w:val="clear" w:color="auto" w:fill="auto"/>
            <w:noWrap w:val="0"/>
            <w:vAlign w:val="center"/>
          </w:tcPr>
          <w:p w14:paraId="597B3A93">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剧烈</w:t>
            </w:r>
          </w:p>
        </w:tc>
        <w:tc>
          <w:tcPr>
            <w:tcW w:w="2372" w:type="pct"/>
            <w:tcBorders>
              <w:tl2br w:val="nil"/>
              <w:tr2bl w:val="nil"/>
            </w:tcBorders>
            <w:shd w:val="clear" w:color="auto" w:fill="auto"/>
            <w:noWrap w:val="0"/>
            <w:vAlign w:val="center"/>
          </w:tcPr>
          <w:p w14:paraId="51E4D88C">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面积（km</w:t>
            </w:r>
            <w:r>
              <w:rPr>
                <w:rFonts w:hint="default" w:ascii="Times New Roman" w:hAnsi="Times New Roman" w:cs="Times New Roman"/>
                <w:color w:val="auto"/>
                <w:u w:val="none" w:color="auto"/>
                <w:vertAlign w:val="superscript"/>
              </w:rPr>
              <w:t>2</w:t>
            </w:r>
            <w:r>
              <w:rPr>
                <w:rFonts w:hint="default" w:ascii="Times New Roman" w:hAnsi="Times New Roman" w:cs="Times New Roman"/>
                <w:color w:val="auto"/>
                <w:u w:val="none" w:color="auto"/>
              </w:rPr>
              <w:t>）</w:t>
            </w:r>
          </w:p>
        </w:tc>
        <w:tc>
          <w:tcPr>
            <w:tcW w:w="1233" w:type="pct"/>
            <w:tcBorders>
              <w:tl2br w:val="nil"/>
              <w:tr2bl w:val="nil"/>
            </w:tcBorders>
            <w:shd w:val="clear" w:color="auto" w:fill="auto"/>
            <w:noWrap w:val="0"/>
            <w:vAlign w:val="center"/>
          </w:tcPr>
          <w:p w14:paraId="2C960C55">
            <w:pPr>
              <w:pStyle w:val="70"/>
              <w:jc w:val="center"/>
              <w:rPr>
                <w:rFonts w:hint="default" w:ascii="Times New Roman" w:hAnsi="Times New Roman" w:cs="Times New Roman"/>
                <w:color w:val="auto"/>
                <w:u w:val="none" w:color="auto"/>
              </w:rPr>
            </w:pPr>
            <w:r>
              <w:rPr>
                <w:rFonts w:hint="default" w:ascii="Times New Roman" w:hAnsi="Times New Roman" w:cs="Times New Roman"/>
                <w:color w:val="auto"/>
                <w:u w:val="none" w:color="auto"/>
              </w:rPr>
              <w:t>0</w:t>
            </w:r>
          </w:p>
        </w:tc>
      </w:tr>
    </w:tbl>
    <w:p w14:paraId="53596000">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2）项目区水土流失现状</w:t>
      </w:r>
    </w:p>
    <w:p w14:paraId="2A43BAC6">
      <w:pPr>
        <w:pStyle w:val="68"/>
        <w:ind w:firstLine="480"/>
        <w:rPr>
          <w:rFonts w:hint="default" w:ascii="Times New Roman" w:hAnsi="Times New Roman" w:eastAsia="宋体" w:cs="Times New Roman"/>
          <w:color w:val="auto"/>
          <w:u w:val="none" w:color="auto"/>
        </w:rPr>
      </w:pPr>
      <w:r>
        <w:rPr>
          <w:rFonts w:hint="default" w:ascii="Times New Roman" w:hAnsi="Times New Roman" w:cs="Times New Roman"/>
          <w:color w:val="auto"/>
          <w:u w:val="none" w:color="auto"/>
        </w:rPr>
        <w:t>项目区侵蚀强度背景值：根据现场调查，植被主要作为水域及水利设施用地草地和其他草地，原生土壤侵蚀模数取500t/（km²·a）以下，属轻度流失。已造成水土流失的危害性调查：项目</w:t>
      </w:r>
      <w:r>
        <w:rPr>
          <w:rFonts w:hint="eastAsia" w:ascii="Times New Roman" w:hAnsi="Times New Roman" w:cs="Times New Roman"/>
          <w:color w:val="auto"/>
          <w:u w:val="none" w:color="auto"/>
          <w:lang w:val="en-US" w:eastAsia="zh-CN"/>
        </w:rPr>
        <w:t>已完成工程建设</w:t>
      </w:r>
      <w:r>
        <w:rPr>
          <w:rFonts w:hint="default" w:ascii="Times New Roman" w:hAnsi="Times New Roman" w:cs="Times New Roman"/>
          <w:color w:val="auto"/>
          <w:u w:val="none" w:color="auto"/>
        </w:rPr>
        <w:t>，未发生重大水土流失危害事件。依</w:t>
      </w:r>
      <w:r>
        <w:rPr>
          <w:rFonts w:hint="default" w:ascii="Times New Roman" w:hAnsi="Times New Roman" w:eastAsia="宋体" w:cs="Times New Roman"/>
          <w:color w:val="auto"/>
          <w:u w:val="none" w:color="auto"/>
        </w:rPr>
        <w:t>据《土壤侵蚀分类分级标准》（SL190-2007），项目区属于以水力侵蚀为主的南方红壤平原区，容许土壤侵蚀模数为500t/（km²·a）。</w:t>
      </w:r>
    </w:p>
    <w:p w14:paraId="5EB45EE8">
      <w:pPr>
        <w:pStyle w:val="68"/>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湖南东洞庭湖国家级自然保护区</w:t>
      </w:r>
    </w:p>
    <w:p w14:paraId="63189D13">
      <w:pPr>
        <w:pStyle w:val="68"/>
        <w:ind w:firstLine="480"/>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14:paraId="2B68032C">
      <w:pPr>
        <w:pStyle w:val="68"/>
        <w:ind w:firstLine="480"/>
        <w:rPr>
          <w:rFonts w:hint="eastAsia" w:ascii="Times New Roman" w:hAnsi="Times New Roman" w:cs="Times New Roman"/>
          <w:color w:val="auto"/>
          <w:u w:val="none" w:color="auto"/>
          <w:lang w:eastAsia="zh-CN"/>
        </w:rPr>
      </w:pPr>
      <w:r>
        <w:rPr>
          <w:rFonts w:hint="default" w:ascii="Times New Roman" w:hAnsi="Times New Roman" w:eastAsia="宋体" w:cs="Times New Roman"/>
          <w:color w:val="auto"/>
          <w:u w:val="none" w:color="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w:t>
      </w:r>
      <w:r>
        <w:rPr>
          <w:rFonts w:hint="default" w:ascii="Times New Roman" w:hAnsi="Times New Roman" w:cs="Times New Roman"/>
          <w:color w:val="auto"/>
          <w:u w:val="none" w:color="auto"/>
        </w:rPr>
        <w:t>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u w:val="none" w:color="auto"/>
          <w:lang w:eastAsia="zh-CN"/>
        </w:rPr>
        <w:t>。</w:t>
      </w:r>
    </w:p>
    <w:p w14:paraId="3EFE10F3">
      <w:pPr>
        <w:pStyle w:val="68"/>
        <w:ind w:firstLine="480"/>
        <w:rPr>
          <w:rFonts w:hint="default" w:ascii="Times New Roman" w:hAnsi="Times New Roman" w:cs="Times New Roman"/>
          <w:color w:val="auto"/>
          <w:u w:val="none" w:color="auto"/>
          <w:lang w:val="en-US" w:eastAsia="zh-CN"/>
        </w:rPr>
      </w:pPr>
      <w:r>
        <w:rPr>
          <w:rFonts w:hint="eastAsia" w:cs="Times New Roman"/>
          <w:color w:val="auto"/>
          <w:u w:val="none" w:color="auto"/>
          <w:lang w:val="en-US" w:eastAsia="zh-CN"/>
        </w:rPr>
        <w:t>1）植被：</w:t>
      </w:r>
    </w:p>
    <w:p w14:paraId="1657B955">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14:paraId="2CC4F3EC">
      <w:pPr>
        <w:pStyle w:val="68"/>
        <w:ind w:firstLine="480"/>
        <w:rPr>
          <w:rFonts w:hint="default" w:ascii="Times New Roman" w:hAnsi="Times New Roman" w:eastAsia="宋体" w:cs="Times New Roman"/>
          <w:color w:val="auto"/>
          <w:u w:val="none" w:color="auto"/>
          <w:lang w:val="en-US" w:eastAsia="zh-CN"/>
        </w:rPr>
      </w:pPr>
      <w:r>
        <w:rPr>
          <w:rFonts w:hint="eastAsia" w:cs="Times New Roman"/>
          <w:color w:val="auto"/>
          <w:u w:val="none" w:color="auto"/>
          <w:lang w:val="en-US" w:eastAsia="zh-CN"/>
        </w:rPr>
        <w:t>2）动物</w:t>
      </w:r>
    </w:p>
    <w:p w14:paraId="3327F300">
      <w:pPr>
        <w:pStyle w:val="68"/>
        <w:ind w:firstLine="480"/>
        <w:rPr>
          <w:rFonts w:hint="eastAsia" w:ascii="Times New Roman" w:hAnsi="Times New Roman" w:eastAsia="宋体" w:cs="Times New Roman"/>
          <w:color w:val="auto"/>
          <w:u w:val="none" w:color="auto"/>
          <w:lang w:eastAsia="zh-CN"/>
        </w:rPr>
      </w:pPr>
      <w:r>
        <w:rPr>
          <w:rFonts w:hint="default" w:ascii="Times New Roman" w:hAnsi="Times New Roman" w:cs="Times New Roman"/>
          <w:color w:val="auto"/>
          <w:u w:val="none" w:color="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r>
        <w:rPr>
          <w:rFonts w:hint="eastAsia" w:cs="Times New Roman"/>
          <w:color w:val="auto"/>
          <w:u w:val="none" w:color="auto"/>
          <w:lang w:eastAsia="zh-CN"/>
        </w:rPr>
        <w:t>。</w:t>
      </w:r>
    </w:p>
    <w:p w14:paraId="6C9F4194">
      <w:pPr>
        <w:pStyle w:val="68"/>
        <w:ind w:firstLine="480"/>
        <w:rPr>
          <w:rFonts w:hint="default" w:ascii="Times New Roman" w:hAnsi="Times New Roman" w:cs="Times New Roman"/>
          <w:color w:val="auto"/>
          <w:u w:val="none" w:color="auto"/>
        </w:rPr>
      </w:pPr>
      <w:r>
        <w:rPr>
          <w:rFonts w:hint="eastAsia" w:cs="Times New Roman"/>
          <w:color w:val="auto"/>
          <w:u w:val="none" w:color="auto"/>
          <w:lang w:val="en-US" w:eastAsia="zh-CN"/>
        </w:rPr>
        <w:t>3）</w:t>
      </w:r>
      <w:r>
        <w:rPr>
          <w:rFonts w:hint="eastAsia" w:ascii="Times New Roman" w:hAnsi="Times New Roman" w:cs="Times New Roman"/>
          <w:color w:val="auto"/>
          <w:u w:val="none" w:color="auto"/>
        </w:rPr>
        <w:t>景观资源</w:t>
      </w:r>
    </w:p>
    <w:p w14:paraId="6A71AA0F">
      <w:pPr>
        <w:pStyle w:val="68"/>
        <w:ind w:firstLine="480"/>
        <w:rPr>
          <w:rFonts w:hint="eastAsia" w:ascii="Times New Roman" w:hAnsi="Times New Roman" w:cs="Times New Roman"/>
          <w:color w:val="auto"/>
          <w:u w:val="none" w:color="auto"/>
        </w:rPr>
      </w:pPr>
      <w:r>
        <w:rPr>
          <w:rFonts w:hint="eastAsia" w:ascii="Times New Roman" w:hAnsi="Times New Roman" w:cs="Times New Roman"/>
          <w:color w:val="auto"/>
          <w:u w:val="none" w:color="auto"/>
        </w:rPr>
        <w:t>壮丽的湿地景观：洞庭湖纳湘江、资江、澧水、沅江四水，吞吐长江，浩浩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14:paraId="1694C7DD">
      <w:pPr>
        <w:pStyle w:val="68"/>
        <w:ind w:firstLine="480"/>
        <w:rPr>
          <w:rFonts w:hint="eastAsia" w:ascii="Times New Roman" w:hAnsi="Times New Roman" w:eastAsia="宋体" w:cs="Times New Roman"/>
          <w:color w:val="auto"/>
          <w:szCs w:val="22"/>
          <w:u w:val="none" w:color="auto"/>
          <w:lang w:val="en-US" w:eastAsia="zh-CN"/>
        </w:rPr>
      </w:pPr>
      <w:r>
        <w:rPr>
          <w:rFonts w:hint="default" w:ascii="Times New Roman" w:hAnsi="Times New Roman" w:cs="Times New Roman"/>
          <w:color w:val="auto"/>
          <w:u w:val="none" w:color="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其</w:t>
      </w:r>
      <w:r>
        <w:rPr>
          <w:rFonts w:hint="default" w:ascii="Times New Roman" w:hAnsi="Times New Roman" w:eastAsia="宋体" w:cs="Times New Roman"/>
          <w:color w:val="auto"/>
          <w:szCs w:val="22"/>
          <w:u w:val="none" w:color="auto"/>
        </w:rPr>
        <w:t>数量之多，场面之壮观，品种之珍稀实属国内少有，为世人所瞩目。</w:t>
      </w:r>
    </w:p>
    <w:p w14:paraId="554E533E">
      <w:pPr>
        <w:pStyle w:val="68"/>
        <w:ind w:firstLine="480"/>
        <w:rPr>
          <w:rFonts w:hint="default" w:ascii="Times New Roman" w:hAnsi="Times New Roman" w:eastAsia="宋体" w:cs="Times New Roman"/>
          <w:color w:val="auto"/>
          <w:szCs w:val="22"/>
          <w:u w:val="none" w:color="auto"/>
        </w:rPr>
      </w:pPr>
      <w:r>
        <w:rPr>
          <w:rFonts w:hint="eastAsia" w:ascii="Times New Roman" w:hAnsi="Times New Roman" w:eastAsia="宋体" w:cs="Times New Roman"/>
          <w:color w:val="auto"/>
          <w:szCs w:val="22"/>
          <w:u w:val="none" w:color="auto"/>
          <w:lang w:eastAsia="zh-CN"/>
        </w:rPr>
        <w:t>（</w:t>
      </w:r>
      <w:r>
        <w:rPr>
          <w:rFonts w:hint="eastAsia" w:ascii="Times New Roman" w:hAnsi="Times New Roman" w:eastAsia="宋体" w:cs="Times New Roman"/>
          <w:color w:val="auto"/>
          <w:szCs w:val="22"/>
          <w:u w:val="none" w:color="auto"/>
          <w:lang w:val="en-US" w:eastAsia="zh-CN"/>
        </w:rPr>
        <w:t>7</w:t>
      </w:r>
      <w:r>
        <w:rPr>
          <w:rFonts w:hint="eastAsia" w:ascii="Times New Roman" w:hAnsi="Times New Roman" w:eastAsia="宋体" w:cs="Times New Roman"/>
          <w:color w:val="auto"/>
          <w:szCs w:val="22"/>
          <w:u w:val="none" w:color="auto"/>
          <w:lang w:eastAsia="zh-CN"/>
        </w:rPr>
        <w:t>）</w:t>
      </w:r>
      <w:r>
        <w:rPr>
          <w:rFonts w:hint="default" w:ascii="Times New Roman" w:hAnsi="Times New Roman" w:eastAsia="宋体" w:cs="Times New Roman"/>
          <w:color w:val="auto"/>
          <w:szCs w:val="22"/>
          <w:u w:val="none" w:color="auto"/>
          <w:lang w:val="en-US" w:eastAsia="zh-CN"/>
        </w:rPr>
        <w:t>区域生态环境</w:t>
      </w:r>
      <w:r>
        <w:rPr>
          <w:rFonts w:hint="default" w:ascii="Times New Roman" w:hAnsi="Times New Roman" w:eastAsia="宋体" w:cs="Times New Roman"/>
          <w:color w:val="auto"/>
          <w:szCs w:val="22"/>
          <w:u w:val="none" w:color="auto"/>
        </w:rPr>
        <w:t>现状</w:t>
      </w:r>
    </w:p>
    <w:p w14:paraId="4D945394">
      <w:pPr>
        <w:pStyle w:val="68"/>
        <w:ind w:firstLine="480"/>
        <w:rPr>
          <w:rFonts w:hint="default" w:ascii="Times New Roman" w:hAnsi="Times New Roman" w:eastAsia="宋体" w:cs="Times New Roman"/>
          <w:color w:val="auto"/>
          <w:szCs w:val="22"/>
          <w:u w:val="none" w:color="auto"/>
          <w:lang w:eastAsia="zh-CN"/>
        </w:rPr>
      </w:pPr>
      <w:r>
        <w:rPr>
          <w:rFonts w:hint="default" w:ascii="Times New Roman" w:hAnsi="Times New Roman" w:eastAsia="宋体" w:cs="Times New Roman"/>
          <w:color w:val="auto"/>
          <w:szCs w:val="22"/>
          <w:u w:val="none" w:color="auto"/>
        </w:rPr>
        <w:t>项目影响区域</w:t>
      </w:r>
      <w:r>
        <w:rPr>
          <w:rFonts w:hint="default" w:ascii="Times New Roman" w:hAnsi="Times New Roman" w:eastAsia="宋体" w:cs="Times New Roman"/>
          <w:color w:val="auto"/>
          <w:szCs w:val="22"/>
          <w:u w:val="none" w:color="auto"/>
          <w:lang w:val="en-US" w:eastAsia="zh-CN"/>
        </w:rPr>
        <w:t>内生态系统为</w:t>
      </w:r>
      <w:r>
        <w:rPr>
          <w:rFonts w:hint="default" w:ascii="Times New Roman" w:hAnsi="Times New Roman" w:eastAsia="宋体" w:cs="Times New Roman"/>
          <w:color w:val="auto"/>
          <w:szCs w:val="22"/>
          <w:u w:val="none" w:color="auto"/>
        </w:rPr>
        <w:t>以人工植被为主的农业生态系统</w:t>
      </w:r>
      <w:r>
        <w:rPr>
          <w:rFonts w:hint="default" w:ascii="Times New Roman" w:hAnsi="Times New Roman" w:eastAsia="宋体" w:cs="Times New Roman"/>
          <w:color w:val="auto"/>
          <w:szCs w:val="22"/>
          <w:u w:val="none" w:color="auto"/>
          <w:lang w:val="en-US" w:eastAsia="zh-CN"/>
        </w:rPr>
        <w:t>以及</w:t>
      </w:r>
      <w:r>
        <w:rPr>
          <w:rFonts w:hint="default" w:ascii="Times New Roman" w:hAnsi="Times New Roman" w:eastAsia="宋体" w:cs="Times New Roman"/>
          <w:color w:val="auto"/>
          <w:szCs w:val="22"/>
          <w:u w:val="none" w:color="auto"/>
        </w:rPr>
        <w:t>镇区等人工生态系统，主要种植农作物和经济作物。</w:t>
      </w:r>
      <w:r>
        <w:rPr>
          <w:rFonts w:hint="default" w:ascii="Times New Roman" w:hAnsi="Times New Roman" w:eastAsia="宋体" w:cs="Times New Roman"/>
          <w:color w:val="auto"/>
          <w:szCs w:val="22"/>
          <w:u w:val="none" w:color="auto"/>
          <w:lang w:val="en-US" w:eastAsia="zh-CN"/>
        </w:rPr>
        <w:t>区域内用地主要为</w:t>
      </w:r>
      <w:r>
        <w:rPr>
          <w:rFonts w:hint="default" w:ascii="Times New Roman" w:hAnsi="Times New Roman" w:eastAsia="宋体" w:cs="Times New Roman"/>
          <w:color w:val="auto"/>
          <w:szCs w:val="22"/>
          <w:u w:val="none" w:color="auto"/>
        </w:rPr>
        <w:t>荒地和农田，农田种植一季或两季成熟的农作物，</w:t>
      </w:r>
      <w:r>
        <w:rPr>
          <w:rFonts w:hint="default" w:ascii="Times New Roman" w:hAnsi="Times New Roman" w:eastAsia="宋体" w:cs="Times New Roman"/>
          <w:color w:val="auto"/>
          <w:szCs w:val="22"/>
          <w:u w:val="none" w:color="auto"/>
          <w:lang w:val="en-US" w:eastAsia="zh-CN"/>
        </w:rPr>
        <w:t>主要为水稻、油菜</w:t>
      </w:r>
      <w:r>
        <w:rPr>
          <w:rFonts w:hint="eastAsia" w:ascii="Times New Roman" w:hAnsi="Times New Roman" w:cs="Times New Roman"/>
          <w:color w:val="auto"/>
          <w:szCs w:val="22"/>
          <w:u w:val="none" w:color="auto"/>
          <w:lang w:val="en-US" w:eastAsia="zh-CN"/>
        </w:rPr>
        <w:t>、玉米</w:t>
      </w:r>
      <w:r>
        <w:rPr>
          <w:rFonts w:hint="default" w:ascii="Times New Roman" w:hAnsi="Times New Roman" w:eastAsia="宋体" w:cs="Times New Roman"/>
          <w:color w:val="auto"/>
          <w:szCs w:val="22"/>
          <w:u w:val="none" w:color="auto"/>
          <w:lang w:val="en-US" w:eastAsia="zh-CN"/>
        </w:rPr>
        <w:t>等，</w:t>
      </w:r>
      <w:r>
        <w:rPr>
          <w:rFonts w:hint="default" w:ascii="Times New Roman" w:hAnsi="Times New Roman" w:eastAsia="宋体" w:cs="Times New Roman"/>
          <w:color w:val="auto"/>
          <w:szCs w:val="22"/>
          <w:u w:val="none" w:color="auto"/>
        </w:rPr>
        <w:t>受人为干扰作用很大。调查范围内植被类型和植被群落结构都比较单一，以</w:t>
      </w:r>
      <w:r>
        <w:rPr>
          <w:rFonts w:hint="default" w:ascii="Times New Roman" w:hAnsi="Times New Roman" w:eastAsia="宋体" w:cs="Times New Roman"/>
          <w:color w:val="auto"/>
          <w:szCs w:val="22"/>
          <w:u w:val="none" w:color="auto"/>
          <w:lang w:val="en-US" w:eastAsia="zh-CN"/>
        </w:rPr>
        <w:t>农业系统</w:t>
      </w:r>
      <w:r>
        <w:rPr>
          <w:rFonts w:hint="default" w:ascii="Times New Roman" w:hAnsi="Times New Roman" w:eastAsia="宋体" w:cs="Times New Roman"/>
          <w:color w:val="auto"/>
          <w:szCs w:val="22"/>
          <w:u w:val="none" w:color="auto"/>
        </w:rPr>
        <w:t>为主，</w:t>
      </w:r>
      <w:r>
        <w:rPr>
          <w:rFonts w:hint="default" w:ascii="Times New Roman" w:hAnsi="Times New Roman" w:eastAsia="宋体" w:cs="Times New Roman"/>
          <w:color w:val="auto"/>
          <w:szCs w:val="22"/>
          <w:u w:val="none" w:color="auto"/>
          <w:lang w:val="en-US" w:eastAsia="zh-CN"/>
        </w:rPr>
        <w:t>周边</w:t>
      </w:r>
      <w:r>
        <w:rPr>
          <w:rFonts w:hint="default" w:ascii="Times New Roman" w:hAnsi="Times New Roman" w:eastAsia="宋体" w:cs="Times New Roman"/>
          <w:color w:val="auto"/>
          <w:szCs w:val="22"/>
          <w:u w:val="none" w:color="auto"/>
        </w:rPr>
        <w:t>林地也受到一定的人为干扰</w:t>
      </w:r>
      <w:r>
        <w:rPr>
          <w:rFonts w:hint="default" w:ascii="Times New Roman" w:hAnsi="Times New Roman" w:cs="Times New Roman"/>
          <w:color w:val="auto"/>
          <w:szCs w:val="22"/>
          <w:u w:val="none" w:color="auto"/>
        </w:rPr>
        <w:t>。</w:t>
      </w:r>
      <w:r>
        <w:rPr>
          <w:rFonts w:hint="default" w:ascii="Times New Roman" w:hAnsi="Times New Roman" w:eastAsia="宋体" w:cs="Times New Roman"/>
          <w:color w:val="auto"/>
          <w:szCs w:val="22"/>
          <w:u w:val="none" w:color="auto"/>
        </w:rPr>
        <w:t>动物均为常见的鸟类、昆虫、啮齿类以及爬行类动物。区域内无特殊生态保护系统和珍稀濒危保护动植物分布</w:t>
      </w:r>
      <w:r>
        <w:rPr>
          <w:rFonts w:hint="default" w:ascii="Times New Roman" w:hAnsi="Times New Roman" w:eastAsia="宋体" w:cs="Times New Roman"/>
          <w:color w:val="auto"/>
          <w:szCs w:val="22"/>
          <w:u w:val="none" w:color="auto"/>
          <w:lang w:eastAsia="zh-CN"/>
        </w:rPr>
        <w:t>。</w:t>
      </w:r>
    </w:p>
    <w:p w14:paraId="4D43BC56">
      <w:pPr>
        <w:pStyle w:val="68"/>
        <w:ind w:firstLine="480"/>
        <w:rPr>
          <w:rFonts w:hint="eastAsia" w:cs="Times New Roman"/>
          <w:color w:val="auto"/>
          <w:szCs w:val="22"/>
          <w:u w:val="none" w:color="auto"/>
          <w:lang w:eastAsia="zh-CN"/>
        </w:rPr>
      </w:pPr>
      <w:r>
        <w:rPr>
          <w:rFonts w:hint="default" w:ascii="Times New Roman" w:hAnsi="Times New Roman" w:eastAsia="宋体" w:cs="Times New Roman"/>
          <w:color w:val="auto"/>
          <w:szCs w:val="22"/>
          <w:u w:val="none" w:color="auto"/>
          <w:lang w:eastAsia="zh-CN"/>
        </w:rPr>
        <w:t>本项目位于涉及湖南东洞庭湖国家级自然保护区实验区，属于生态敏感区。评价区属于</w:t>
      </w:r>
      <w:r>
        <w:rPr>
          <w:rFonts w:hint="eastAsia" w:cs="Times New Roman"/>
          <w:color w:val="auto"/>
          <w:szCs w:val="22"/>
          <w:u w:val="none" w:color="auto"/>
          <w:lang w:val="en-US" w:eastAsia="zh-CN"/>
        </w:rPr>
        <w:t>城镇</w:t>
      </w:r>
      <w:r>
        <w:rPr>
          <w:rFonts w:hint="default" w:ascii="Times New Roman" w:hAnsi="Times New Roman" w:eastAsia="宋体" w:cs="Times New Roman"/>
          <w:color w:val="auto"/>
          <w:szCs w:val="22"/>
          <w:u w:val="none" w:color="auto"/>
          <w:lang w:eastAsia="zh-CN"/>
        </w:rPr>
        <w:t>生态系统</w:t>
      </w:r>
      <w:r>
        <w:rPr>
          <w:rFonts w:hint="eastAsia" w:cs="Times New Roman"/>
          <w:color w:val="auto"/>
          <w:szCs w:val="22"/>
          <w:u w:val="none" w:color="auto"/>
          <w:lang w:eastAsia="zh-CN"/>
        </w:rPr>
        <w:t>；</w:t>
      </w:r>
      <w:r>
        <w:rPr>
          <w:rFonts w:hint="default" w:ascii="Times New Roman" w:hAnsi="Times New Roman" w:eastAsia="宋体" w:cs="Times New Roman"/>
          <w:color w:val="auto"/>
          <w:szCs w:val="22"/>
          <w:u w:val="none" w:color="auto"/>
          <w:lang w:eastAsia="zh-CN"/>
        </w:rPr>
        <w:t>评价区为亚热带常绿阔叶林区，陆生自然植被以樟科、壳斗科、山茶科、山矾科、冬青科和禾本科刚竹属植物为主，湖盆植被以禾本科、菊科、莎草科、蓼科、睡莲科、香蒲科、杨柳科植物为主</w:t>
      </w:r>
      <w:r>
        <w:rPr>
          <w:rFonts w:hint="eastAsia" w:cs="Times New Roman"/>
          <w:color w:val="auto"/>
          <w:szCs w:val="22"/>
          <w:u w:val="none" w:color="auto"/>
          <w:lang w:eastAsia="zh-CN"/>
        </w:rPr>
        <w:t>；</w:t>
      </w:r>
      <w:r>
        <w:rPr>
          <w:rFonts w:hint="default" w:ascii="Times New Roman" w:hAnsi="Times New Roman" w:eastAsia="宋体" w:cs="Times New Roman"/>
          <w:color w:val="auto"/>
          <w:szCs w:val="22"/>
          <w:u w:val="none" w:color="auto"/>
          <w:lang w:eastAsia="zh-CN"/>
        </w:rPr>
        <w:t>评价区周边</w:t>
      </w:r>
      <w:r>
        <w:rPr>
          <w:rFonts w:hint="eastAsia" w:cs="Times New Roman"/>
          <w:color w:val="auto"/>
          <w:szCs w:val="22"/>
          <w:u w:val="none" w:color="auto"/>
          <w:lang w:val="en-US" w:eastAsia="zh-CN"/>
        </w:rPr>
        <w:t>主要为城镇建设</w:t>
      </w:r>
      <w:r>
        <w:rPr>
          <w:rFonts w:hint="default" w:ascii="Times New Roman" w:hAnsi="Times New Roman" w:eastAsia="宋体" w:cs="Times New Roman"/>
          <w:color w:val="auto"/>
          <w:szCs w:val="22"/>
          <w:u w:val="none" w:color="auto"/>
          <w:lang w:eastAsia="zh-CN"/>
        </w:rPr>
        <w:t>用地，受人类活动的影响，大型陆生野生动物少;评价区范围内无需要保护的自然遗迹分布</w:t>
      </w:r>
      <w:r>
        <w:rPr>
          <w:rFonts w:hint="eastAsia" w:cs="Times New Roman"/>
          <w:color w:val="auto"/>
          <w:szCs w:val="22"/>
          <w:u w:val="none" w:color="auto"/>
          <w:lang w:eastAsia="zh-CN"/>
        </w:rPr>
        <w:t>。</w:t>
      </w:r>
    </w:p>
    <w:p w14:paraId="6593E14C">
      <w:pPr>
        <w:pStyle w:val="68"/>
        <w:ind w:left="0" w:leftChars="0" w:firstLine="0" w:firstLineChars="0"/>
        <w:jc w:val="center"/>
        <w:rPr>
          <w:rFonts w:hint="eastAsia" w:ascii="Times New Roman" w:hAnsi="Times New Roman" w:eastAsia="宋体" w:cs="Times New Roman"/>
          <w:color w:val="auto"/>
          <w:u w:val="none" w:color="auto"/>
          <w:lang w:eastAsia="zh-CN"/>
        </w:rPr>
      </w:pPr>
      <w:r>
        <w:rPr>
          <w:color w:val="auto"/>
          <w:u w:val="none" w:color="auto"/>
        </w:rPr>
        <w:drawing>
          <wp:inline distT="0" distB="0" distL="114300" distR="114300">
            <wp:extent cx="5060315" cy="1789430"/>
            <wp:effectExtent l="0" t="0" r="6985"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0"/>
                    <a:stretch>
                      <a:fillRect/>
                    </a:stretch>
                  </pic:blipFill>
                  <pic:spPr>
                    <a:xfrm>
                      <a:off x="0" y="0"/>
                      <a:ext cx="5060315" cy="1789430"/>
                    </a:xfrm>
                    <a:prstGeom prst="rect">
                      <a:avLst/>
                    </a:prstGeom>
                    <a:noFill/>
                    <a:ln>
                      <a:noFill/>
                    </a:ln>
                  </pic:spPr>
                </pic:pic>
              </a:graphicData>
            </a:graphic>
          </wp:inline>
        </w:drawing>
      </w:r>
    </w:p>
    <w:p w14:paraId="654B7223">
      <w:pPr>
        <w:pStyle w:val="69"/>
        <w:keepNext w:val="0"/>
        <w:keepLines w:val="0"/>
        <w:pageBreakBefore w:val="0"/>
        <w:widowControl w:val="0"/>
        <w:kinsoku/>
        <w:wordWrap/>
        <w:overflowPunct/>
        <w:topLinePunct w:val="0"/>
        <w:autoSpaceDE/>
        <w:autoSpaceDN/>
        <w:bidi w:val="0"/>
        <w:adjustRightInd/>
        <w:snapToGrid/>
        <w:spacing w:beforeLines="0"/>
        <w:jc w:val="center"/>
        <w:textAlignment w:val="auto"/>
        <w:rPr>
          <w:color w:val="auto"/>
          <w:u w:val="none" w:color="auto"/>
        </w:rPr>
      </w:pPr>
      <w:r>
        <w:rPr>
          <w:color w:val="auto"/>
          <w:u w:val="none" w:color="auto"/>
        </w:rPr>
        <w:drawing>
          <wp:inline distT="0" distB="0" distL="114300" distR="114300">
            <wp:extent cx="5063490" cy="1818005"/>
            <wp:effectExtent l="0" t="0" r="3810" b="1079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1"/>
                    <a:stretch>
                      <a:fillRect/>
                    </a:stretch>
                  </pic:blipFill>
                  <pic:spPr>
                    <a:xfrm>
                      <a:off x="0" y="0"/>
                      <a:ext cx="5063490" cy="1818005"/>
                    </a:xfrm>
                    <a:prstGeom prst="rect">
                      <a:avLst/>
                    </a:prstGeom>
                    <a:noFill/>
                    <a:ln>
                      <a:noFill/>
                    </a:ln>
                  </pic:spPr>
                </pic:pic>
              </a:graphicData>
            </a:graphic>
          </wp:inline>
        </w:drawing>
      </w:r>
    </w:p>
    <w:p w14:paraId="21583935">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u w:val="none" w:color="auto"/>
        </w:rPr>
      </w:pPr>
      <w:r>
        <w:rPr>
          <w:rFonts w:hint="default" w:ascii="Times New Roman" w:hAnsi="Times New Roman" w:cs="Times New Roman"/>
          <w:color w:val="auto"/>
          <w:sz w:val="21"/>
          <w:szCs w:val="21"/>
          <w:highlight w:val="none"/>
          <w:u w:val="none" w:color="auto"/>
          <w:lang w:val="en-US" w:eastAsia="zh-CN"/>
        </w:rPr>
        <w:t>图3.1   区域内</w:t>
      </w:r>
      <w:r>
        <w:rPr>
          <w:rFonts w:hint="eastAsia" w:ascii="Times New Roman" w:hAnsi="Times New Roman" w:cs="Times New Roman"/>
          <w:color w:val="auto"/>
          <w:sz w:val="21"/>
          <w:szCs w:val="21"/>
          <w:highlight w:val="none"/>
          <w:u w:val="none" w:color="auto"/>
          <w:lang w:val="en-US" w:eastAsia="zh-CN"/>
        </w:rPr>
        <w:t>原有</w:t>
      </w:r>
      <w:r>
        <w:rPr>
          <w:rFonts w:hint="default" w:ascii="Times New Roman" w:hAnsi="Times New Roman" w:cs="Times New Roman"/>
          <w:color w:val="auto"/>
          <w:sz w:val="21"/>
          <w:szCs w:val="21"/>
          <w:highlight w:val="none"/>
          <w:u w:val="none" w:color="auto"/>
          <w:lang w:val="en-US" w:eastAsia="zh-CN"/>
        </w:rPr>
        <w:t>生态环境</w:t>
      </w:r>
      <w:r>
        <w:rPr>
          <w:rFonts w:hint="eastAsia" w:ascii="Times New Roman" w:hAnsi="Times New Roman" w:cs="Times New Roman"/>
          <w:color w:val="auto"/>
          <w:sz w:val="21"/>
          <w:szCs w:val="21"/>
          <w:highlight w:val="none"/>
          <w:u w:val="none" w:color="auto"/>
          <w:lang w:val="en-US" w:eastAsia="zh-CN"/>
        </w:rPr>
        <w:t>图</w:t>
      </w:r>
    </w:p>
    <w:p w14:paraId="1F0D2F6F">
      <w:pPr>
        <w:pStyle w:val="64"/>
        <w:ind w:left="0" w:leftChars="0" w:firstLine="0" w:firstLineChars="0"/>
        <w:jc w:val="center"/>
        <w:rPr>
          <w:rFonts w:hint="default" w:ascii="Times New Roman" w:hAnsi="Times New Roman" w:eastAsia="宋体" w:cs="Times New Roman"/>
          <w:color w:val="auto"/>
          <w:u w:val="none" w:color="auto"/>
          <w:lang w:val="en-US" w:eastAsia="zh-CN"/>
        </w:rPr>
      </w:pPr>
      <w:r>
        <w:rPr>
          <w:color w:val="auto"/>
          <w:u w:val="none" w:color="auto"/>
        </w:rPr>
        <w:drawing>
          <wp:inline distT="0" distB="0" distL="114300" distR="114300">
            <wp:extent cx="2395855" cy="1826895"/>
            <wp:effectExtent l="0" t="0" r="4445" b="190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02"/>
                    <a:srcRect t="4893" r="3897"/>
                    <a:stretch>
                      <a:fillRect/>
                    </a:stretch>
                  </pic:blipFill>
                  <pic:spPr>
                    <a:xfrm>
                      <a:off x="0" y="0"/>
                      <a:ext cx="2395855" cy="1826895"/>
                    </a:xfrm>
                    <a:prstGeom prst="rect">
                      <a:avLst/>
                    </a:prstGeom>
                    <a:noFill/>
                    <a:ln>
                      <a:noFill/>
                    </a:ln>
                  </pic:spPr>
                </pic:pic>
              </a:graphicData>
            </a:graphic>
          </wp:inline>
        </w:drawing>
      </w:r>
      <w:r>
        <w:rPr>
          <w:rFonts w:hint="eastAsia"/>
          <w:color w:val="auto"/>
          <w:u w:val="none" w:color="auto"/>
          <w:lang w:val="en-US" w:eastAsia="zh-CN"/>
        </w:rPr>
        <w:t xml:space="preserve"> </w:t>
      </w:r>
      <w:r>
        <w:rPr>
          <w:color w:val="auto"/>
          <w:u w:val="none" w:color="auto"/>
        </w:rPr>
        <w:drawing>
          <wp:inline distT="0" distB="0" distL="114300" distR="114300">
            <wp:extent cx="2513330" cy="1815465"/>
            <wp:effectExtent l="0" t="0" r="1270" b="1333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03"/>
                    <a:srcRect t="1448" r="3372"/>
                    <a:stretch>
                      <a:fillRect/>
                    </a:stretch>
                  </pic:blipFill>
                  <pic:spPr>
                    <a:xfrm>
                      <a:off x="0" y="0"/>
                      <a:ext cx="2513330" cy="1815465"/>
                    </a:xfrm>
                    <a:prstGeom prst="rect">
                      <a:avLst/>
                    </a:prstGeom>
                    <a:noFill/>
                    <a:ln>
                      <a:noFill/>
                    </a:ln>
                  </pic:spPr>
                </pic:pic>
              </a:graphicData>
            </a:graphic>
          </wp:inline>
        </w:drawing>
      </w:r>
    </w:p>
    <w:p w14:paraId="5282316B">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图3.</w:t>
      </w:r>
      <w:r>
        <w:rPr>
          <w:rFonts w:hint="eastAsia" w:ascii="Times New Roman" w:hAnsi="Times New Roman" w:cs="Times New Roman"/>
          <w:color w:val="auto"/>
          <w:sz w:val="21"/>
          <w:szCs w:val="21"/>
          <w:highlight w:val="none"/>
          <w:u w:val="none" w:color="auto"/>
          <w:lang w:val="en-US" w:eastAsia="zh-CN"/>
        </w:rPr>
        <w:t>2</w:t>
      </w:r>
      <w:r>
        <w:rPr>
          <w:rFonts w:hint="default" w:ascii="Times New Roman" w:hAnsi="Times New Roman" w:cs="Times New Roman"/>
          <w:color w:val="auto"/>
          <w:sz w:val="21"/>
          <w:szCs w:val="21"/>
          <w:highlight w:val="none"/>
          <w:u w:val="none" w:color="auto"/>
          <w:lang w:val="en-US" w:eastAsia="zh-CN"/>
        </w:rPr>
        <w:t xml:space="preserve">   区域内生态环境</w:t>
      </w:r>
      <w:r>
        <w:rPr>
          <w:rFonts w:hint="eastAsia" w:ascii="Times New Roman" w:hAnsi="Times New Roman" w:cs="Times New Roman"/>
          <w:color w:val="auto"/>
          <w:sz w:val="21"/>
          <w:szCs w:val="21"/>
          <w:highlight w:val="none"/>
          <w:u w:val="none" w:color="auto"/>
          <w:lang w:val="en-US" w:eastAsia="zh-CN"/>
        </w:rPr>
        <w:t>现状图</w:t>
      </w:r>
    </w:p>
    <w:p w14:paraId="4957AC55">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u w:val="none" w:color="auto"/>
        </w:rPr>
      </w:pPr>
      <w:r>
        <w:rPr>
          <w:rFonts w:hint="eastAsia"/>
          <w:color w:val="auto"/>
          <w:u w:val="none" w:color="auto"/>
          <w:lang w:val="en-US" w:eastAsia="zh-CN"/>
        </w:rPr>
        <w:t xml:space="preserve"> </w:t>
      </w:r>
    </w:p>
    <w:p w14:paraId="43C0989A">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1）区域生态系统现状调查</w:t>
      </w:r>
    </w:p>
    <w:p w14:paraId="2C49F4C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本项目生态评价区范围内分布的生态系统类型主要为农村生态系统。</w:t>
      </w:r>
    </w:p>
    <w:p w14:paraId="35E5C29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农村生态系统是城市居民与其环境相互作用而形成的统一整体，也是人类对自然环境的适应、加工、改造而建设起来的特殊的人工生态系统。农村生态系统不仅有生物组成要素(植物、动物和细菌、真菌、病毒)和非生物组成要素(光、热、水、大气等)，还包括人类和社会经济要素，是一种非常脆弱的生态系统，对其他生态系统有很大的依赖性。</w:t>
      </w:r>
    </w:p>
    <w:p w14:paraId="7436E904">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2）植物及植物多样性调查</w:t>
      </w:r>
    </w:p>
    <w:p w14:paraId="710D9A3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评价区植物分布现状：根据《中国植被》类型和区划解读《中华人民共和国植被图(1:1000000)》(中国科学院中国植被图编辑委员会，地址出版社，2007年):评价区范围属于亚热带常绿阔叶林区，陆生自然植被以樟科、壳斗科、山茶科、山矾科、冬青科和禾本科刚竹属植物为主，湖盆植被以禾本科、菊科、莎草科、蓼科、睡莲科、香蒲科、杨柳科植物为主。</w:t>
      </w:r>
    </w:p>
    <w:p w14:paraId="0D314DC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由于项目所在区域土地开发利用程度较高，区内基本不存在原生植被，地表覆盖物以景观植被为主，兼有草丛和少量林木。项目评价区属于城市生态系统，受人为因素影响非常大。</w:t>
      </w:r>
    </w:p>
    <w:p w14:paraId="7CC762D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评价区内植物多样性调查：东洞庭湖国家级自然保护区自然植被主要由湿生植物组成，植被类型依立地水分梯度变化呈圈带状成层分布格局。从陆地至水底依次出现的植被类型是:常绿阔叶林、落叶阔叶林、柳芦荻沼泽植被、苔草草甸、挺水植物、浮叶植物、沉水植物。同层植被组分比较一致，层间植物组分有较大差异。</w:t>
      </w:r>
    </w:p>
    <w:p w14:paraId="2E2BB087">
      <w:pPr>
        <w:adjustRightInd w:val="0"/>
        <w:snapToGrid w:val="0"/>
        <w:spacing w:line="360" w:lineRule="auto"/>
        <w:ind w:firstLine="480" w:firstLineChars="200"/>
        <w:jc w:val="left"/>
        <w:rPr>
          <w:rFonts w:hint="eastAsia"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本项目位于湖南东洞庭湖国家级自然保护区调规后的实验区外部，生态评价范围内涉及该自然保护区。洞庭湖湿地植物随湖水深度变化形成不同的植物群落，从空间格局上呈现明显的带状分布特点,由水及陆的总趋势为:沉水植物群落→荫草群落→辣蓼+苔草群落→苔草群落→荻或芦苇群落→美洲黑杨或柳群落。</w:t>
      </w:r>
      <w:r>
        <w:rPr>
          <w:rFonts w:hint="eastAsia" w:cs="Times New Roman"/>
          <w:bCs/>
          <w:color w:val="auto"/>
          <w:sz w:val="24"/>
          <w:szCs w:val="21"/>
          <w:highlight w:val="none"/>
          <w:u w:val="none" w:color="auto"/>
          <w:lang w:val="en-US" w:eastAsia="zh-CN"/>
        </w:rPr>
        <w:t xml:space="preserve">  </w:t>
      </w:r>
    </w:p>
    <w:p w14:paraId="489755B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评价区为岳阳市华容县较为典型的农村生态系统。植物现状以人工栽植的树木为主，主要乔木种类有:香樟Cinnamomum spp、广玉兰Magnolia grandiflora Linn、桂花Osmanthus fragrans(Thunb.) Lour、枫香iquidambarformosanaHance、水杉</w:t>
      </w:r>
      <w:r>
        <w:rPr>
          <w:rFonts w:hint="default" w:ascii="Times New Roman" w:hAnsi="Times New Roman" w:eastAsia="宋体" w:cs="Times New Roman"/>
          <w:bCs/>
          <w:color w:val="auto"/>
          <w:sz w:val="24"/>
          <w:szCs w:val="21"/>
          <w:highlight w:val="none"/>
          <w:u w:val="none" w:color="auto"/>
          <w:lang w:val="en-US" w:eastAsia="zh-CN"/>
        </w:rPr>
        <w:t>Metasequoia glyptostroboides Hu &amp; W. C. Cheng</w:t>
      </w:r>
      <w:r>
        <w:rPr>
          <w:rFonts w:hint="eastAsia" w:ascii="Times New Roman" w:hAnsi="Times New Roman" w:eastAsia="宋体" w:cs="Times New Roman"/>
          <w:bCs/>
          <w:color w:val="auto"/>
          <w:sz w:val="24"/>
          <w:szCs w:val="21"/>
          <w:highlight w:val="none"/>
          <w:u w:val="none" w:color="auto"/>
          <w:lang w:val="en-US" w:eastAsia="zh-CN"/>
        </w:rPr>
        <w:t>、加杨</w:t>
      </w:r>
      <w:r>
        <w:rPr>
          <w:rFonts w:hint="default" w:ascii="Times New Roman" w:hAnsi="Times New Roman" w:eastAsia="宋体" w:cs="Times New Roman"/>
          <w:bCs/>
          <w:color w:val="auto"/>
          <w:sz w:val="24"/>
          <w:szCs w:val="21"/>
          <w:highlight w:val="none"/>
          <w:u w:val="none" w:color="auto"/>
          <w:lang w:val="en-US" w:eastAsia="zh-CN"/>
        </w:rPr>
        <w:t xml:space="preserve">Populus X canadensis Moench </w:t>
      </w:r>
      <w:r>
        <w:rPr>
          <w:rFonts w:hint="eastAsia" w:ascii="Times New Roman" w:hAnsi="Times New Roman" w:eastAsia="宋体" w:cs="Times New Roman"/>
          <w:bCs/>
          <w:color w:val="auto"/>
          <w:sz w:val="24"/>
          <w:szCs w:val="21"/>
          <w:highlight w:val="none"/>
          <w:u w:val="none" w:color="auto"/>
          <w:lang w:val="en-US" w:eastAsia="zh-CN"/>
        </w:rPr>
        <w:t>、栾树Koelreuteria paniculata Laxm。</w:t>
      </w:r>
    </w:p>
    <w:p w14:paraId="2762C850">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主要灌木种类有:小叶女贞Ligustrumquihoui Carr、山茶Camellia japonica L、红继木 Loropetalum chinensis、栀子花Gardenia Ellis、杜鹃Rhododendron simsii Planch。</w:t>
      </w:r>
    </w:p>
    <w:p w14:paraId="331D4CC2">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根据《湖南植被》的分类原则和分类单位，采用“群落学—生态学” </w:t>
      </w:r>
    </w:p>
    <w:p w14:paraId="5BCAA552">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原则，依据对评价区内植被的群落种类组成、外貌结构、生活型、建群种类、生态地理特征和动态特征调查统计分析，评价区主要植被分为天然植物群落和栽培植物群落两大类，其中自然植被可划分为 </w:t>
      </w:r>
      <w:r>
        <w:rPr>
          <w:rFonts w:hint="default" w:ascii="Times New Roman" w:hAnsi="Times New Roman" w:eastAsia="宋体" w:cs="Times New Roman"/>
          <w:bCs/>
          <w:color w:val="auto"/>
          <w:sz w:val="24"/>
          <w:szCs w:val="21"/>
          <w:highlight w:val="none"/>
          <w:u w:val="none" w:color="auto"/>
          <w:lang w:val="en-US" w:eastAsia="zh-CN"/>
        </w:rPr>
        <w:t xml:space="preserve">2 </w:t>
      </w:r>
      <w:r>
        <w:rPr>
          <w:rFonts w:hint="eastAsia" w:ascii="Times New Roman" w:hAnsi="Times New Roman" w:eastAsia="宋体" w:cs="Times New Roman"/>
          <w:bCs/>
          <w:color w:val="auto"/>
          <w:sz w:val="24"/>
          <w:szCs w:val="21"/>
          <w:highlight w:val="none"/>
          <w:u w:val="none" w:color="auto"/>
          <w:lang w:val="en-US" w:eastAsia="zh-CN"/>
        </w:rPr>
        <w:t>个植被型组、</w:t>
      </w:r>
      <w:r>
        <w:rPr>
          <w:rFonts w:hint="default" w:ascii="Times New Roman" w:hAnsi="Times New Roman" w:eastAsia="宋体"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个植被型、</w:t>
      </w:r>
      <w:r>
        <w:rPr>
          <w:rFonts w:hint="default" w:ascii="Times New Roman" w:hAnsi="Times New Roman" w:eastAsia="宋体" w:cs="Times New Roman"/>
          <w:bCs/>
          <w:color w:val="auto"/>
          <w:sz w:val="24"/>
          <w:szCs w:val="21"/>
          <w:highlight w:val="none"/>
          <w:u w:val="none" w:color="auto"/>
          <w:lang w:val="en-US" w:eastAsia="zh-CN"/>
        </w:rPr>
        <w:t xml:space="preserve">13 </w:t>
      </w:r>
      <w:r>
        <w:rPr>
          <w:rFonts w:hint="eastAsia" w:ascii="Times New Roman" w:hAnsi="Times New Roman" w:eastAsia="宋体" w:cs="Times New Roman"/>
          <w:bCs/>
          <w:color w:val="auto"/>
          <w:sz w:val="24"/>
          <w:szCs w:val="21"/>
          <w:highlight w:val="none"/>
          <w:u w:val="none" w:color="auto"/>
          <w:lang w:val="en-US" w:eastAsia="zh-CN"/>
        </w:rPr>
        <w:t xml:space="preserve">个群系；栽培植被可划分为 </w:t>
      </w:r>
      <w:r>
        <w:rPr>
          <w:rFonts w:hint="default" w:ascii="Times New Roman" w:hAnsi="Times New Roman" w:eastAsia="宋体" w:cs="Times New Roman"/>
          <w:bCs/>
          <w:color w:val="auto"/>
          <w:sz w:val="24"/>
          <w:szCs w:val="21"/>
          <w:highlight w:val="none"/>
          <w:u w:val="none" w:color="auto"/>
          <w:lang w:val="en-US" w:eastAsia="zh-CN"/>
        </w:rPr>
        <w:t xml:space="preserve">1 </w:t>
      </w:r>
      <w:r>
        <w:rPr>
          <w:rFonts w:hint="eastAsia" w:ascii="Times New Roman" w:hAnsi="Times New Roman" w:eastAsia="宋体" w:cs="Times New Roman"/>
          <w:bCs/>
          <w:color w:val="auto"/>
          <w:sz w:val="24"/>
          <w:szCs w:val="21"/>
          <w:highlight w:val="none"/>
          <w:u w:val="none" w:color="auto"/>
          <w:lang w:val="en-US" w:eastAsia="zh-CN"/>
        </w:rPr>
        <w:t>类、</w:t>
      </w:r>
      <w:r>
        <w:rPr>
          <w:rFonts w:hint="default" w:ascii="Times New Roman" w:hAnsi="Times New Roman" w:eastAsia="宋体" w:cs="Times New Roman"/>
          <w:bCs/>
          <w:color w:val="auto"/>
          <w:sz w:val="24"/>
          <w:szCs w:val="21"/>
          <w:highlight w:val="none"/>
          <w:u w:val="none" w:color="auto"/>
          <w:lang w:val="en-US" w:eastAsia="zh-CN"/>
        </w:rPr>
        <w:t xml:space="preserve">1 </w:t>
      </w:r>
      <w:r>
        <w:rPr>
          <w:rFonts w:hint="eastAsia" w:ascii="Times New Roman" w:hAnsi="Times New Roman" w:eastAsia="宋体" w:cs="Times New Roman"/>
          <w:bCs/>
          <w:color w:val="auto"/>
          <w:sz w:val="24"/>
          <w:szCs w:val="21"/>
          <w:highlight w:val="none"/>
          <w:u w:val="none" w:color="auto"/>
          <w:lang w:val="en-US" w:eastAsia="zh-CN"/>
        </w:rPr>
        <w:t>型、</w:t>
      </w:r>
      <w:r>
        <w:rPr>
          <w:rFonts w:hint="default" w:ascii="Times New Roman" w:hAnsi="Times New Roman" w:eastAsia="宋体" w:cs="Times New Roman"/>
          <w:bCs/>
          <w:color w:val="auto"/>
          <w:sz w:val="24"/>
          <w:szCs w:val="21"/>
          <w:highlight w:val="none"/>
          <w:u w:val="none" w:color="auto"/>
          <w:lang w:val="en-US" w:eastAsia="zh-CN"/>
        </w:rPr>
        <w:t xml:space="preserve">2 </w:t>
      </w:r>
      <w:r>
        <w:rPr>
          <w:rFonts w:hint="eastAsia" w:ascii="Times New Roman" w:hAnsi="Times New Roman" w:eastAsia="宋体" w:cs="Times New Roman"/>
          <w:bCs/>
          <w:color w:val="auto"/>
          <w:sz w:val="24"/>
          <w:szCs w:val="21"/>
          <w:highlight w:val="none"/>
          <w:u w:val="none" w:color="auto"/>
          <w:lang w:val="en-US" w:eastAsia="zh-CN"/>
        </w:rPr>
        <w:t xml:space="preserve">林（园）。自然植被较为简单以草甸和沼泽植被为主，有白茅草甸、狗牙根草甸、芦苇群落等；栽培植被仅有用材林型 </w:t>
      </w:r>
      <w:r>
        <w:rPr>
          <w:rFonts w:hint="default" w:ascii="Times New Roman" w:hAnsi="Times New Roman" w:eastAsia="宋体" w:cs="Times New Roman"/>
          <w:bCs/>
          <w:color w:val="auto"/>
          <w:sz w:val="24"/>
          <w:szCs w:val="21"/>
          <w:highlight w:val="none"/>
          <w:u w:val="none" w:color="auto"/>
          <w:lang w:val="en-US" w:eastAsia="zh-CN"/>
        </w:rPr>
        <w:t xml:space="preserve">1 </w:t>
      </w:r>
      <w:r>
        <w:rPr>
          <w:rFonts w:hint="eastAsia" w:ascii="Times New Roman" w:hAnsi="Times New Roman" w:eastAsia="宋体" w:cs="Times New Roman"/>
          <w:bCs/>
          <w:color w:val="auto"/>
          <w:sz w:val="24"/>
          <w:szCs w:val="21"/>
          <w:highlight w:val="none"/>
          <w:u w:val="none" w:color="auto"/>
          <w:lang w:val="en-US" w:eastAsia="zh-CN"/>
        </w:rPr>
        <w:t>种，包括水杉林和加杨林两种。具体植被类型分类见下表。</w:t>
      </w:r>
    </w:p>
    <w:p w14:paraId="63C2290C">
      <w:pPr>
        <w:pStyle w:val="69"/>
        <w:keepNext w:val="0"/>
        <w:keepLines w:val="0"/>
        <w:pageBreakBefore w:val="0"/>
        <w:widowControl w:val="0"/>
        <w:kinsoku/>
        <w:wordWrap/>
        <w:overflowPunct/>
        <w:topLinePunct w:val="0"/>
        <w:autoSpaceDE/>
        <w:autoSpaceDN/>
        <w:bidi w:val="0"/>
        <w:adjustRightInd/>
        <w:snapToGrid/>
        <w:spacing w:beforeLines="0" w:line="240" w:lineRule="auto"/>
        <w:textAlignment w:val="auto"/>
        <w:rPr>
          <w:rFonts w:hint="default" w:ascii="Times New Roman" w:hAnsi="Times New Roman" w:cs="Times New Roman"/>
          <w:color w:val="auto"/>
          <w:sz w:val="21"/>
          <w:szCs w:val="21"/>
          <w:u w:val="none" w:color="auto"/>
        </w:rPr>
      </w:pPr>
      <w:r>
        <w:rPr>
          <w:rFonts w:hint="eastAsia" w:cs="Times New Roman"/>
          <w:color w:val="auto"/>
          <w:sz w:val="21"/>
          <w:szCs w:val="21"/>
          <w:u w:val="none" w:color="auto"/>
          <w:lang w:val="en-US" w:eastAsia="zh-CN"/>
        </w:rPr>
        <w:t xml:space="preserve">表3-2  </w:t>
      </w:r>
      <w:r>
        <w:rPr>
          <w:rFonts w:hint="eastAsia" w:ascii="Times New Roman" w:hAnsi="Times New Roman" w:cs="Times New Roman"/>
          <w:color w:val="auto"/>
          <w:sz w:val="21"/>
          <w:szCs w:val="21"/>
          <w:u w:val="none" w:color="auto"/>
        </w:rPr>
        <w:t>评价区主要植被类型表</w:t>
      </w:r>
    </w:p>
    <w:p w14:paraId="3C9FF4B5">
      <w:pPr>
        <w:wordWrap w:val="0"/>
        <w:spacing w:before="0" w:after="0" w:line="97" w:lineRule="auto"/>
        <w:ind w:firstLine="0"/>
        <w:jc w:val="both"/>
        <w:rPr>
          <w:rFonts w:hint="eastAsia" w:ascii="宋体" w:hAnsi="宋体" w:eastAsia="宋体"/>
          <w:color w:val="auto"/>
          <w:sz w:val="12"/>
          <w:u w:val="none" w:color="auto"/>
        </w:rPr>
      </w:pPr>
    </w:p>
    <w:tbl>
      <w:tblPr>
        <w:tblStyle w:val="25"/>
        <w:tblW w:w="0" w:type="auto"/>
        <w:tblInd w:w="8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1" w:type="dxa"/>
          <w:bottom w:w="0" w:type="dxa"/>
          <w:right w:w="11" w:type="dxa"/>
        </w:tblCellMar>
      </w:tblPr>
      <w:tblGrid>
        <w:gridCol w:w="496"/>
        <w:gridCol w:w="1062"/>
        <w:gridCol w:w="968"/>
        <w:gridCol w:w="1413"/>
        <w:gridCol w:w="769"/>
        <w:gridCol w:w="456"/>
        <w:gridCol w:w="668"/>
        <w:gridCol w:w="809"/>
        <w:gridCol w:w="1048"/>
        <w:gridCol w:w="557"/>
      </w:tblGrid>
      <w:tr w14:paraId="32E972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708" w:type="dxa"/>
            <w:gridSpan w:val="5"/>
            <w:tcBorders>
              <w:tl2br w:val="nil"/>
              <w:tr2bl w:val="nil"/>
            </w:tcBorders>
            <w:vAlign w:val="center"/>
          </w:tcPr>
          <w:p w14:paraId="28125634">
            <w:pPr>
              <w:pStyle w:val="70"/>
              <w:jc w:val="center"/>
              <w:rPr>
                <w:rFonts w:hint="eastAsia" w:ascii="Times New Roman" w:hAnsi="Times New Roman" w:cs="Times New Roman"/>
                <w:b/>
                <w:bCs/>
                <w:color w:val="auto"/>
                <w:u w:val="none" w:color="auto"/>
              </w:rPr>
            </w:pPr>
            <w:r>
              <w:rPr>
                <w:rFonts w:hint="eastAsia" w:ascii="Times New Roman" w:hAnsi="Times New Roman" w:cs="Times New Roman"/>
                <w:b/>
                <w:bCs/>
                <w:color w:val="auto"/>
                <w:u w:val="none" w:color="auto"/>
              </w:rPr>
              <w:t>自然植被</w:t>
            </w:r>
          </w:p>
        </w:tc>
        <w:tc>
          <w:tcPr>
            <w:tcW w:w="3538" w:type="dxa"/>
            <w:gridSpan w:val="5"/>
            <w:tcBorders>
              <w:tl2br w:val="nil"/>
              <w:tr2bl w:val="nil"/>
            </w:tcBorders>
            <w:vAlign w:val="center"/>
          </w:tcPr>
          <w:p w14:paraId="59171A71">
            <w:pPr>
              <w:pStyle w:val="70"/>
              <w:jc w:val="center"/>
              <w:rPr>
                <w:rFonts w:hint="eastAsia" w:ascii="Times New Roman" w:hAnsi="Times New Roman" w:cs="Times New Roman"/>
                <w:b/>
                <w:bCs/>
                <w:color w:val="auto"/>
                <w:u w:val="none" w:color="auto"/>
              </w:rPr>
            </w:pPr>
            <w:r>
              <w:rPr>
                <w:rFonts w:hint="eastAsia" w:ascii="Times New Roman" w:hAnsi="Times New Roman" w:cs="Times New Roman"/>
                <w:b/>
                <w:bCs/>
                <w:color w:val="auto"/>
                <w:u w:val="none" w:color="auto"/>
              </w:rPr>
              <w:t>栽培植被</w:t>
            </w:r>
          </w:p>
        </w:tc>
      </w:tr>
      <w:tr w14:paraId="5192D3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54E26181">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序号</w:t>
            </w:r>
          </w:p>
        </w:tc>
        <w:tc>
          <w:tcPr>
            <w:tcW w:w="1062" w:type="dxa"/>
            <w:tcBorders>
              <w:tl2br w:val="nil"/>
              <w:tr2bl w:val="nil"/>
            </w:tcBorders>
            <w:vAlign w:val="center"/>
          </w:tcPr>
          <w:p w14:paraId="4223D596">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植被型组</w:t>
            </w:r>
          </w:p>
        </w:tc>
        <w:tc>
          <w:tcPr>
            <w:tcW w:w="968" w:type="dxa"/>
            <w:tcBorders>
              <w:tl2br w:val="nil"/>
              <w:tr2bl w:val="nil"/>
            </w:tcBorders>
            <w:vAlign w:val="center"/>
          </w:tcPr>
          <w:p w14:paraId="52D4F942">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植被型</w:t>
            </w:r>
          </w:p>
        </w:tc>
        <w:tc>
          <w:tcPr>
            <w:tcW w:w="1413" w:type="dxa"/>
            <w:tcBorders>
              <w:tl2br w:val="nil"/>
              <w:tr2bl w:val="nil"/>
            </w:tcBorders>
            <w:vAlign w:val="center"/>
          </w:tcPr>
          <w:p w14:paraId="5298C6E5">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群系</w:t>
            </w:r>
          </w:p>
        </w:tc>
        <w:tc>
          <w:tcPr>
            <w:tcW w:w="769" w:type="dxa"/>
            <w:tcBorders>
              <w:tl2br w:val="nil"/>
              <w:tr2bl w:val="nil"/>
            </w:tcBorders>
            <w:vAlign w:val="center"/>
          </w:tcPr>
          <w:p w14:paraId="708FA9E1">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起源</w:t>
            </w:r>
          </w:p>
        </w:tc>
        <w:tc>
          <w:tcPr>
            <w:tcW w:w="456" w:type="dxa"/>
            <w:tcBorders>
              <w:tl2br w:val="nil"/>
              <w:tr2bl w:val="nil"/>
            </w:tcBorders>
            <w:vAlign w:val="center"/>
          </w:tcPr>
          <w:p w14:paraId="190C4270">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序号</w:t>
            </w:r>
          </w:p>
        </w:tc>
        <w:tc>
          <w:tcPr>
            <w:tcW w:w="668" w:type="dxa"/>
            <w:tcBorders>
              <w:tl2br w:val="nil"/>
              <w:tr2bl w:val="nil"/>
            </w:tcBorders>
            <w:vAlign w:val="center"/>
          </w:tcPr>
          <w:p w14:paraId="3BC1EDE3">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类</w:t>
            </w:r>
          </w:p>
        </w:tc>
        <w:tc>
          <w:tcPr>
            <w:tcW w:w="809" w:type="dxa"/>
            <w:tcBorders>
              <w:tl2br w:val="nil"/>
              <w:tr2bl w:val="nil"/>
            </w:tcBorders>
            <w:vAlign w:val="center"/>
          </w:tcPr>
          <w:p w14:paraId="76EB9278">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型</w:t>
            </w:r>
          </w:p>
        </w:tc>
        <w:tc>
          <w:tcPr>
            <w:tcW w:w="1048" w:type="dxa"/>
            <w:tcBorders>
              <w:tl2br w:val="nil"/>
              <w:tr2bl w:val="nil"/>
            </w:tcBorders>
            <w:vAlign w:val="center"/>
          </w:tcPr>
          <w:p w14:paraId="67184F40">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林</w:t>
            </w:r>
          </w:p>
          <w:p w14:paraId="28DA3BFD">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（园）</w:t>
            </w:r>
          </w:p>
        </w:tc>
        <w:tc>
          <w:tcPr>
            <w:tcW w:w="557" w:type="dxa"/>
            <w:tcBorders>
              <w:tl2br w:val="nil"/>
              <w:tr2bl w:val="nil"/>
            </w:tcBorders>
            <w:vAlign w:val="center"/>
          </w:tcPr>
          <w:p w14:paraId="37B18269">
            <w:pPr>
              <w:pStyle w:val="70"/>
              <w:jc w:val="center"/>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rPr>
              <w:t>起源</w:t>
            </w:r>
          </w:p>
        </w:tc>
      </w:tr>
      <w:tr w14:paraId="104C59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7229C159">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w:t>
            </w:r>
          </w:p>
        </w:tc>
        <w:tc>
          <w:tcPr>
            <w:tcW w:w="1062" w:type="dxa"/>
            <w:vMerge w:val="restart"/>
            <w:tcBorders>
              <w:tl2br w:val="nil"/>
              <w:tr2bl w:val="nil"/>
            </w:tcBorders>
            <w:vAlign w:val="center"/>
          </w:tcPr>
          <w:p w14:paraId="465C81F3">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草甸</w:t>
            </w:r>
          </w:p>
        </w:tc>
        <w:tc>
          <w:tcPr>
            <w:tcW w:w="968" w:type="dxa"/>
            <w:vMerge w:val="restart"/>
            <w:tcBorders>
              <w:tl2br w:val="nil"/>
              <w:tr2bl w:val="nil"/>
            </w:tcBorders>
            <w:vAlign w:val="center"/>
          </w:tcPr>
          <w:p w14:paraId="05C36D49">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草甸</w:t>
            </w:r>
          </w:p>
        </w:tc>
        <w:tc>
          <w:tcPr>
            <w:tcW w:w="1413" w:type="dxa"/>
            <w:tcBorders>
              <w:tl2br w:val="nil"/>
              <w:tr2bl w:val="nil"/>
            </w:tcBorders>
            <w:vAlign w:val="center"/>
          </w:tcPr>
          <w:p w14:paraId="6A77B97E">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白茅草甸</w:t>
            </w:r>
          </w:p>
        </w:tc>
        <w:tc>
          <w:tcPr>
            <w:tcW w:w="769" w:type="dxa"/>
            <w:tcBorders>
              <w:tl2br w:val="nil"/>
              <w:tr2bl w:val="nil"/>
            </w:tcBorders>
            <w:vAlign w:val="center"/>
          </w:tcPr>
          <w:p w14:paraId="573908A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24F09F4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w:t>
            </w:r>
          </w:p>
        </w:tc>
        <w:tc>
          <w:tcPr>
            <w:tcW w:w="668" w:type="dxa"/>
            <w:vMerge w:val="restart"/>
            <w:tcBorders>
              <w:tl2br w:val="nil"/>
              <w:tr2bl w:val="nil"/>
            </w:tcBorders>
            <w:vAlign w:val="center"/>
          </w:tcPr>
          <w:p w14:paraId="437B26E6">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木本</w:t>
            </w:r>
          </w:p>
          <w:p w14:paraId="621D5B45">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类</w:t>
            </w:r>
          </w:p>
        </w:tc>
        <w:tc>
          <w:tcPr>
            <w:tcW w:w="809" w:type="dxa"/>
            <w:vMerge w:val="restart"/>
            <w:tcBorders>
              <w:tl2br w:val="nil"/>
              <w:tr2bl w:val="nil"/>
            </w:tcBorders>
            <w:vAlign w:val="center"/>
          </w:tcPr>
          <w:p w14:paraId="12223270">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用材林</w:t>
            </w:r>
          </w:p>
          <w:p w14:paraId="6AEC27F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型</w:t>
            </w:r>
          </w:p>
        </w:tc>
        <w:tc>
          <w:tcPr>
            <w:tcW w:w="1048" w:type="dxa"/>
            <w:tcBorders>
              <w:tl2br w:val="nil"/>
              <w:tr2bl w:val="nil"/>
            </w:tcBorders>
            <w:vAlign w:val="center"/>
          </w:tcPr>
          <w:p w14:paraId="4D3BE55F">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水杉林</w:t>
            </w:r>
          </w:p>
        </w:tc>
        <w:tc>
          <w:tcPr>
            <w:tcW w:w="557" w:type="dxa"/>
            <w:tcBorders>
              <w:tl2br w:val="nil"/>
              <w:tr2bl w:val="nil"/>
            </w:tcBorders>
            <w:vAlign w:val="center"/>
          </w:tcPr>
          <w:p w14:paraId="57B102C1">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人工</w:t>
            </w:r>
          </w:p>
        </w:tc>
      </w:tr>
      <w:tr w14:paraId="32F186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32FCB0F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2</w:t>
            </w:r>
          </w:p>
        </w:tc>
        <w:tc>
          <w:tcPr>
            <w:tcW w:w="1062" w:type="dxa"/>
            <w:vMerge w:val="continue"/>
            <w:tcBorders>
              <w:tl2br w:val="nil"/>
              <w:tr2bl w:val="nil"/>
            </w:tcBorders>
            <w:vAlign w:val="center"/>
          </w:tcPr>
          <w:p w14:paraId="0A932A82">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519B20BE">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06850552">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芒草甸</w:t>
            </w:r>
          </w:p>
        </w:tc>
        <w:tc>
          <w:tcPr>
            <w:tcW w:w="769" w:type="dxa"/>
            <w:tcBorders>
              <w:tl2br w:val="nil"/>
              <w:tr2bl w:val="nil"/>
            </w:tcBorders>
            <w:vAlign w:val="center"/>
          </w:tcPr>
          <w:p w14:paraId="27D087BE">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3FDD2CE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2</w:t>
            </w:r>
          </w:p>
        </w:tc>
        <w:tc>
          <w:tcPr>
            <w:tcW w:w="668" w:type="dxa"/>
            <w:vMerge w:val="continue"/>
            <w:tcBorders>
              <w:tl2br w:val="nil"/>
              <w:tr2bl w:val="nil"/>
            </w:tcBorders>
            <w:vAlign w:val="center"/>
          </w:tcPr>
          <w:p w14:paraId="2245900D">
            <w:pPr>
              <w:pStyle w:val="70"/>
              <w:jc w:val="center"/>
              <w:rPr>
                <w:rFonts w:hint="default" w:ascii="Times New Roman" w:hAnsi="Times New Roman" w:cs="Times New Roman"/>
                <w:color w:val="auto"/>
                <w:u w:val="none" w:color="auto"/>
              </w:rPr>
            </w:pPr>
          </w:p>
        </w:tc>
        <w:tc>
          <w:tcPr>
            <w:tcW w:w="809" w:type="dxa"/>
            <w:vMerge w:val="continue"/>
            <w:tcBorders>
              <w:tl2br w:val="nil"/>
              <w:tr2bl w:val="nil"/>
            </w:tcBorders>
            <w:vAlign w:val="center"/>
          </w:tcPr>
          <w:p w14:paraId="3699BD5C">
            <w:pPr>
              <w:pStyle w:val="70"/>
              <w:jc w:val="center"/>
              <w:rPr>
                <w:rFonts w:hint="default" w:ascii="Times New Roman" w:hAnsi="Times New Roman" w:cs="Times New Roman"/>
                <w:color w:val="auto"/>
                <w:u w:val="none" w:color="auto"/>
              </w:rPr>
            </w:pPr>
          </w:p>
        </w:tc>
        <w:tc>
          <w:tcPr>
            <w:tcW w:w="1048" w:type="dxa"/>
            <w:tcBorders>
              <w:tl2br w:val="nil"/>
              <w:tr2bl w:val="nil"/>
            </w:tcBorders>
            <w:vAlign w:val="center"/>
          </w:tcPr>
          <w:p w14:paraId="625238D1">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加杨林</w:t>
            </w:r>
          </w:p>
        </w:tc>
        <w:tc>
          <w:tcPr>
            <w:tcW w:w="557" w:type="dxa"/>
            <w:tcBorders>
              <w:tl2br w:val="nil"/>
              <w:tr2bl w:val="nil"/>
            </w:tcBorders>
            <w:vAlign w:val="center"/>
          </w:tcPr>
          <w:p w14:paraId="2D51BDC2">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人工</w:t>
            </w:r>
          </w:p>
        </w:tc>
      </w:tr>
      <w:tr w14:paraId="15963E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00D60AF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3</w:t>
            </w:r>
          </w:p>
        </w:tc>
        <w:tc>
          <w:tcPr>
            <w:tcW w:w="1062" w:type="dxa"/>
            <w:vMerge w:val="continue"/>
            <w:tcBorders>
              <w:tl2br w:val="nil"/>
              <w:tr2bl w:val="nil"/>
            </w:tcBorders>
            <w:vAlign w:val="center"/>
          </w:tcPr>
          <w:p w14:paraId="7149E5D8">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0E216F91">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174C0179">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狗牙根草甸</w:t>
            </w:r>
          </w:p>
        </w:tc>
        <w:tc>
          <w:tcPr>
            <w:tcW w:w="769" w:type="dxa"/>
            <w:tcBorders>
              <w:tl2br w:val="nil"/>
              <w:tr2bl w:val="nil"/>
            </w:tcBorders>
            <w:vAlign w:val="center"/>
          </w:tcPr>
          <w:p w14:paraId="73D0C07C">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1925C317">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1BAABAFC">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29379A97">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386F0C1F">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6657BB20">
            <w:pPr>
              <w:pStyle w:val="70"/>
              <w:jc w:val="center"/>
              <w:rPr>
                <w:rFonts w:hint="eastAsia" w:ascii="Times New Roman" w:hAnsi="Times New Roman" w:cs="Times New Roman"/>
                <w:color w:val="auto"/>
                <w:u w:val="none" w:color="auto"/>
              </w:rPr>
            </w:pPr>
          </w:p>
        </w:tc>
      </w:tr>
      <w:tr w14:paraId="2D2EFB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39B071DC">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4</w:t>
            </w:r>
          </w:p>
        </w:tc>
        <w:tc>
          <w:tcPr>
            <w:tcW w:w="1062" w:type="dxa"/>
            <w:vMerge w:val="continue"/>
            <w:tcBorders>
              <w:tl2br w:val="nil"/>
              <w:tr2bl w:val="nil"/>
            </w:tcBorders>
            <w:vAlign w:val="center"/>
          </w:tcPr>
          <w:p w14:paraId="3E7088A5">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6B692BDE">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16BC0CA5">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灰化薹草草甸</w:t>
            </w:r>
          </w:p>
        </w:tc>
        <w:tc>
          <w:tcPr>
            <w:tcW w:w="769" w:type="dxa"/>
            <w:tcBorders>
              <w:tl2br w:val="nil"/>
              <w:tr2bl w:val="nil"/>
            </w:tcBorders>
            <w:vAlign w:val="center"/>
          </w:tcPr>
          <w:p w14:paraId="6AAA92B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05EFA91C">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74597081">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3CD7EF7E">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4C9F2168">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67A0312C">
            <w:pPr>
              <w:pStyle w:val="70"/>
              <w:jc w:val="center"/>
              <w:rPr>
                <w:rFonts w:hint="eastAsia" w:ascii="Times New Roman" w:hAnsi="Times New Roman" w:cs="Times New Roman"/>
                <w:color w:val="auto"/>
                <w:u w:val="none" w:color="auto"/>
              </w:rPr>
            </w:pPr>
          </w:p>
        </w:tc>
      </w:tr>
      <w:tr w14:paraId="242ECD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4E55594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5</w:t>
            </w:r>
          </w:p>
        </w:tc>
        <w:tc>
          <w:tcPr>
            <w:tcW w:w="1062" w:type="dxa"/>
            <w:vMerge w:val="continue"/>
            <w:tcBorders>
              <w:tl2br w:val="nil"/>
              <w:tr2bl w:val="nil"/>
            </w:tcBorders>
            <w:vAlign w:val="center"/>
          </w:tcPr>
          <w:p w14:paraId="5FB674ED">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77A60014">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431D8BBB">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牛毛毡草甸</w:t>
            </w:r>
          </w:p>
        </w:tc>
        <w:tc>
          <w:tcPr>
            <w:tcW w:w="769" w:type="dxa"/>
            <w:tcBorders>
              <w:tl2br w:val="nil"/>
              <w:tr2bl w:val="nil"/>
            </w:tcBorders>
            <w:vAlign w:val="center"/>
          </w:tcPr>
          <w:p w14:paraId="44F57ED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2A70C4A9">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7E367617">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04A7925F">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31078984">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4B496D6D">
            <w:pPr>
              <w:pStyle w:val="70"/>
              <w:jc w:val="center"/>
              <w:rPr>
                <w:rFonts w:hint="eastAsia" w:ascii="Times New Roman" w:hAnsi="Times New Roman" w:cs="Times New Roman"/>
                <w:color w:val="auto"/>
                <w:u w:val="none" w:color="auto"/>
              </w:rPr>
            </w:pPr>
          </w:p>
        </w:tc>
      </w:tr>
      <w:tr w14:paraId="6A341C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1DC0B16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6</w:t>
            </w:r>
          </w:p>
        </w:tc>
        <w:tc>
          <w:tcPr>
            <w:tcW w:w="1062" w:type="dxa"/>
            <w:vMerge w:val="continue"/>
            <w:tcBorders>
              <w:tl2br w:val="nil"/>
              <w:tr2bl w:val="nil"/>
            </w:tcBorders>
            <w:vAlign w:val="center"/>
          </w:tcPr>
          <w:p w14:paraId="5146EDBC">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4C1327FD">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6CE211D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紫云英草甸</w:t>
            </w:r>
          </w:p>
        </w:tc>
        <w:tc>
          <w:tcPr>
            <w:tcW w:w="769" w:type="dxa"/>
            <w:tcBorders>
              <w:tl2br w:val="nil"/>
              <w:tr2bl w:val="nil"/>
            </w:tcBorders>
            <w:vAlign w:val="center"/>
          </w:tcPr>
          <w:p w14:paraId="6E7EF65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27B4AA7D">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671F14C5">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49F71E1A">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60AA120C">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09F0BA6F">
            <w:pPr>
              <w:pStyle w:val="70"/>
              <w:jc w:val="center"/>
              <w:rPr>
                <w:rFonts w:hint="eastAsia" w:ascii="Times New Roman" w:hAnsi="Times New Roman" w:cs="Times New Roman"/>
                <w:color w:val="auto"/>
                <w:u w:val="none" w:color="auto"/>
              </w:rPr>
            </w:pPr>
          </w:p>
        </w:tc>
      </w:tr>
      <w:tr w14:paraId="58F31E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4D40C2EF">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7</w:t>
            </w:r>
          </w:p>
        </w:tc>
        <w:tc>
          <w:tcPr>
            <w:tcW w:w="1062" w:type="dxa"/>
            <w:vMerge w:val="continue"/>
            <w:tcBorders>
              <w:tl2br w:val="nil"/>
              <w:tr2bl w:val="nil"/>
            </w:tcBorders>
            <w:vAlign w:val="center"/>
          </w:tcPr>
          <w:p w14:paraId="2368844B">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2DFA5B85">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573E730E">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北美苍耳草甸</w:t>
            </w:r>
          </w:p>
        </w:tc>
        <w:tc>
          <w:tcPr>
            <w:tcW w:w="769" w:type="dxa"/>
            <w:tcBorders>
              <w:tl2br w:val="nil"/>
              <w:tr2bl w:val="nil"/>
            </w:tcBorders>
            <w:vAlign w:val="center"/>
          </w:tcPr>
          <w:p w14:paraId="3C06BC95">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外来</w:t>
            </w:r>
          </w:p>
          <w:p w14:paraId="4B6B3249">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逸生</w:t>
            </w:r>
          </w:p>
        </w:tc>
        <w:tc>
          <w:tcPr>
            <w:tcW w:w="456" w:type="dxa"/>
            <w:tcBorders>
              <w:tl2br w:val="nil"/>
              <w:tr2bl w:val="nil"/>
            </w:tcBorders>
            <w:vAlign w:val="center"/>
          </w:tcPr>
          <w:p w14:paraId="54B2A7F6">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6E348674">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5BE75881">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64F2D165">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7B50B2F9">
            <w:pPr>
              <w:pStyle w:val="70"/>
              <w:jc w:val="center"/>
              <w:rPr>
                <w:rFonts w:hint="eastAsia" w:ascii="Times New Roman" w:hAnsi="Times New Roman" w:cs="Times New Roman"/>
                <w:color w:val="auto"/>
                <w:u w:val="none" w:color="auto"/>
              </w:rPr>
            </w:pPr>
          </w:p>
        </w:tc>
      </w:tr>
      <w:tr w14:paraId="7873F0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159A81DB">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8</w:t>
            </w:r>
          </w:p>
        </w:tc>
        <w:tc>
          <w:tcPr>
            <w:tcW w:w="1062" w:type="dxa"/>
            <w:vMerge w:val="restart"/>
            <w:tcBorders>
              <w:tl2br w:val="nil"/>
              <w:tr2bl w:val="nil"/>
            </w:tcBorders>
            <w:vAlign w:val="center"/>
          </w:tcPr>
          <w:p w14:paraId="397CF90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沼泽和水生植被</w:t>
            </w:r>
          </w:p>
        </w:tc>
        <w:tc>
          <w:tcPr>
            <w:tcW w:w="968" w:type="dxa"/>
            <w:vMerge w:val="restart"/>
            <w:tcBorders>
              <w:tl2br w:val="nil"/>
              <w:tr2bl w:val="nil"/>
            </w:tcBorders>
            <w:vAlign w:val="center"/>
          </w:tcPr>
          <w:p w14:paraId="22E19DA6">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沼泽</w:t>
            </w:r>
          </w:p>
        </w:tc>
        <w:tc>
          <w:tcPr>
            <w:tcW w:w="1413" w:type="dxa"/>
            <w:tcBorders>
              <w:tl2br w:val="nil"/>
              <w:tr2bl w:val="nil"/>
            </w:tcBorders>
            <w:vAlign w:val="center"/>
          </w:tcPr>
          <w:p w14:paraId="2AE53F12">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旱柳群落</w:t>
            </w:r>
          </w:p>
        </w:tc>
        <w:tc>
          <w:tcPr>
            <w:tcW w:w="769" w:type="dxa"/>
            <w:tcBorders>
              <w:tl2br w:val="nil"/>
              <w:tr2bl w:val="nil"/>
            </w:tcBorders>
            <w:vAlign w:val="center"/>
          </w:tcPr>
          <w:p w14:paraId="30BA644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170FBC9A">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2F2502CF">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7D1418F0">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6DE17928">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52A44DD8">
            <w:pPr>
              <w:pStyle w:val="70"/>
              <w:jc w:val="center"/>
              <w:rPr>
                <w:rFonts w:hint="eastAsia" w:ascii="Times New Roman" w:hAnsi="Times New Roman" w:cs="Times New Roman"/>
                <w:color w:val="auto"/>
                <w:u w:val="none" w:color="auto"/>
              </w:rPr>
            </w:pPr>
          </w:p>
        </w:tc>
      </w:tr>
      <w:tr w14:paraId="3DA77C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17A5A8CA">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9</w:t>
            </w:r>
          </w:p>
        </w:tc>
        <w:tc>
          <w:tcPr>
            <w:tcW w:w="1062" w:type="dxa"/>
            <w:vMerge w:val="continue"/>
            <w:tcBorders>
              <w:tl2br w:val="nil"/>
              <w:tr2bl w:val="nil"/>
            </w:tcBorders>
            <w:vAlign w:val="center"/>
          </w:tcPr>
          <w:p w14:paraId="3776861F">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1A41E21F">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2FE18E71">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芦苇群落</w:t>
            </w:r>
          </w:p>
        </w:tc>
        <w:tc>
          <w:tcPr>
            <w:tcW w:w="769" w:type="dxa"/>
            <w:tcBorders>
              <w:tl2br w:val="nil"/>
              <w:tr2bl w:val="nil"/>
            </w:tcBorders>
            <w:vAlign w:val="center"/>
          </w:tcPr>
          <w:p w14:paraId="3AA5CC8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57E95C17">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2E153375">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3DF68D6B">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71A30D63">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1193AD95">
            <w:pPr>
              <w:pStyle w:val="70"/>
              <w:jc w:val="center"/>
              <w:rPr>
                <w:rFonts w:hint="eastAsia" w:ascii="Times New Roman" w:hAnsi="Times New Roman" w:cs="Times New Roman"/>
                <w:color w:val="auto"/>
                <w:u w:val="none" w:color="auto"/>
              </w:rPr>
            </w:pPr>
          </w:p>
        </w:tc>
      </w:tr>
      <w:tr w14:paraId="3D82C7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7506D5E5">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10</w:t>
            </w:r>
          </w:p>
        </w:tc>
        <w:tc>
          <w:tcPr>
            <w:tcW w:w="1062" w:type="dxa"/>
            <w:vMerge w:val="continue"/>
            <w:tcBorders>
              <w:tl2br w:val="nil"/>
              <w:tr2bl w:val="nil"/>
            </w:tcBorders>
            <w:vAlign w:val="center"/>
          </w:tcPr>
          <w:p w14:paraId="0232C5C3">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1C3556D3">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0683EA84">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南荻群落</w:t>
            </w:r>
          </w:p>
        </w:tc>
        <w:tc>
          <w:tcPr>
            <w:tcW w:w="769" w:type="dxa"/>
            <w:tcBorders>
              <w:tl2br w:val="nil"/>
              <w:tr2bl w:val="nil"/>
            </w:tcBorders>
            <w:vAlign w:val="center"/>
          </w:tcPr>
          <w:p w14:paraId="67C21E4C">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70604A2D">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113E6DE9">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2B024DFA">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776DBD1F">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5F02BC26">
            <w:pPr>
              <w:pStyle w:val="70"/>
              <w:jc w:val="center"/>
              <w:rPr>
                <w:rFonts w:hint="eastAsia" w:ascii="Times New Roman" w:hAnsi="Times New Roman" w:cs="Times New Roman"/>
                <w:color w:val="auto"/>
                <w:u w:val="none" w:color="auto"/>
              </w:rPr>
            </w:pPr>
          </w:p>
        </w:tc>
      </w:tr>
      <w:tr w14:paraId="35CF21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4271A8CB">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11</w:t>
            </w:r>
          </w:p>
        </w:tc>
        <w:tc>
          <w:tcPr>
            <w:tcW w:w="1062" w:type="dxa"/>
            <w:vMerge w:val="continue"/>
            <w:tcBorders>
              <w:tl2br w:val="nil"/>
              <w:tr2bl w:val="nil"/>
            </w:tcBorders>
            <w:vAlign w:val="center"/>
          </w:tcPr>
          <w:p w14:paraId="0C192983">
            <w:pPr>
              <w:pStyle w:val="70"/>
              <w:jc w:val="center"/>
              <w:rPr>
                <w:rFonts w:hint="default" w:ascii="Times New Roman" w:hAnsi="Times New Roman" w:cs="Times New Roman"/>
                <w:color w:val="auto"/>
                <w:u w:val="none" w:color="auto"/>
              </w:rPr>
            </w:pPr>
          </w:p>
        </w:tc>
        <w:tc>
          <w:tcPr>
            <w:tcW w:w="968" w:type="dxa"/>
            <w:vMerge w:val="restart"/>
            <w:tcBorders>
              <w:tl2br w:val="nil"/>
              <w:tr2bl w:val="nil"/>
            </w:tcBorders>
            <w:vAlign w:val="center"/>
          </w:tcPr>
          <w:p w14:paraId="128DBBD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水生植</w:t>
            </w:r>
          </w:p>
          <w:p w14:paraId="39D2460E">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被</w:t>
            </w:r>
          </w:p>
        </w:tc>
        <w:tc>
          <w:tcPr>
            <w:tcW w:w="1413" w:type="dxa"/>
            <w:tcBorders>
              <w:tl2br w:val="nil"/>
              <w:tr2bl w:val="nil"/>
            </w:tcBorders>
            <w:vAlign w:val="center"/>
          </w:tcPr>
          <w:p w14:paraId="05166C43">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黑藻群落</w:t>
            </w:r>
          </w:p>
        </w:tc>
        <w:tc>
          <w:tcPr>
            <w:tcW w:w="769" w:type="dxa"/>
            <w:tcBorders>
              <w:tl2br w:val="nil"/>
              <w:tr2bl w:val="nil"/>
            </w:tcBorders>
            <w:vAlign w:val="center"/>
          </w:tcPr>
          <w:p w14:paraId="5FB2EC42">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7512AA12">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78D412C9">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20D3293D">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0BD24101">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21AF02CF">
            <w:pPr>
              <w:pStyle w:val="70"/>
              <w:jc w:val="center"/>
              <w:rPr>
                <w:rFonts w:hint="eastAsia" w:ascii="Times New Roman" w:hAnsi="Times New Roman" w:cs="Times New Roman"/>
                <w:color w:val="auto"/>
                <w:u w:val="none" w:color="auto"/>
              </w:rPr>
            </w:pPr>
          </w:p>
        </w:tc>
      </w:tr>
      <w:tr w14:paraId="5BD3C1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14:paraId="18BE724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12</w:t>
            </w:r>
          </w:p>
        </w:tc>
        <w:tc>
          <w:tcPr>
            <w:tcW w:w="1062" w:type="dxa"/>
            <w:vMerge w:val="continue"/>
            <w:tcBorders>
              <w:tl2br w:val="nil"/>
              <w:tr2bl w:val="nil"/>
            </w:tcBorders>
            <w:vAlign w:val="center"/>
          </w:tcPr>
          <w:p w14:paraId="23F2B039">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1FA9B8B1">
            <w:pPr>
              <w:pStyle w:val="70"/>
              <w:jc w:val="center"/>
              <w:rPr>
                <w:rFonts w:hint="default" w:ascii="Times New Roman" w:hAnsi="Times New Roman" w:cs="Times New Roman"/>
                <w:color w:val="auto"/>
                <w:u w:val="none" w:color="auto"/>
              </w:rPr>
            </w:pPr>
          </w:p>
        </w:tc>
        <w:tc>
          <w:tcPr>
            <w:tcW w:w="1413" w:type="dxa"/>
            <w:tcBorders>
              <w:tl2br w:val="nil"/>
              <w:tr2bl w:val="nil"/>
            </w:tcBorders>
            <w:vAlign w:val="center"/>
          </w:tcPr>
          <w:p w14:paraId="5F8A43C0">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菹草群落</w:t>
            </w:r>
          </w:p>
        </w:tc>
        <w:tc>
          <w:tcPr>
            <w:tcW w:w="769" w:type="dxa"/>
            <w:tcBorders>
              <w:tl2br w:val="nil"/>
              <w:tr2bl w:val="nil"/>
            </w:tcBorders>
            <w:vAlign w:val="center"/>
          </w:tcPr>
          <w:p w14:paraId="602D569E">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天然</w:t>
            </w:r>
          </w:p>
        </w:tc>
        <w:tc>
          <w:tcPr>
            <w:tcW w:w="456" w:type="dxa"/>
            <w:tcBorders>
              <w:tl2br w:val="nil"/>
              <w:tr2bl w:val="nil"/>
            </w:tcBorders>
            <w:vAlign w:val="center"/>
          </w:tcPr>
          <w:p w14:paraId="084AE73B">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4ECD62E8">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13CB07DA">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6D02448E">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38EA1570">
            <w:pPr>
              <w:pStyle w:val="70"/>
              <w:jc w:val="center"/>
              <w:rPr>
                <w:rFonts w:hint="eastAsia" w:ascii="Times New Roman" w:hAnsi="Times New Roman" w:cs="Times New Roman"/>
                <w:color w:val="auto"/>
                <w:u w:val="none" w:color="auto"/>
              </w:rPr>
            </w:pPr>
          </w:p>
        </w:tc>
      </w:tr>
      <w:tr w14:paraId="36691F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784" w:hRule="atLeast"/>
        </w:trPr>
        <w:tc>
          <w:tcPr>
            <w:tcW w:w="496" w:type="dxa"/>
            <w:tcBorders>
              <w:tl2br w:val="nil"/>
              <w:tr2bl w:val="nil"/>
            </w:tcBorders>
            <w:vAlign w:val="center"/>
          </w:tcPr>
          <w:p w14:paraId="711B092D">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13</w:t>
            </w:r>
          </w:p>
        </w:tc>
        <w:tc>
          <w:tcPr>
            <w:tcW w:w="1062" w:type="dxa"/>
            <w:vMerge w:val="continue"/>
            <w:tcBorders>
              <w:tl2br w:val="nil"/>
              <w:tr2bl w:val="nil"/>
            </w:tcBorders>
            <w:vAlign w:val="center"/>
          </w:tcPr>
          <w:p w14:paraId="46987F76">
            <w:pPr>
              <w:pStyle w:val="70"/>
              <w:jc w:val="center"/>
              <w:rPr>
                <w:rFonts w:hint="default" w:ascii="Times New Roman" w:hAnsi="Times New Roman" w:cs="Times New Roman"/>
                <w:color w:val="auto"/>
                <w:u w:val="none" w:color="auto"/>
              </w:rPr>
            </w:pPr>
          </w:p>
        </w:tc>
        <w:tc>
          <w:tcPr>
            <w:tcW w:w="968" w:type="dxa"/>
            <w:vMerge w:val="continue"/>
            <w:tcBorders>
              <w:tl2br w:val="nil"/>
              <w:tr2bl w:val="nil"/>
            </w:tcBorders>
            <w:vAlign w:val="center"/>
          </w:tcPr>
          <w:p w14:paraId="7214B948">
            <w:pPr>
              <w:pStyle w:val="70"/>
              <w:jc w:val="center"/>
              <w:rPr>
                <w:rFonts w:hint="eastAsia" w:ascii="Times New Roman" w:hAnsi="Times New Roman" w:cs="Times New Roman"/>
                <w:color w:val="auto"/>
                <w:u w:val="none" w:color="auto"/>
              </w:rPr>
            </w:pPr>
          </w:p>
        </w:tc>
        <w:tc>
          <w:tcPr>
            <w:tcW w:w="1413" w:type="dxa"/>
            <w:tcBorders>
              <w:tl2br w:val="nil"/>
              <w:tr2bl w:val="nil"/>
            </w:tcBorders>
            <w:vAlign w:val="center"/>
          </w:tcPr>
          <w:p w14:paraId="0CB4D182">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空心莲子草群</w:t>
            </w:r>
          </w:p>
          <w:p w14:paraId="0EE24562">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落</w:t>
            </w:r>
          </w:p>
        </w:tc>
        <w:tc>
          <w:tcPr>
            <w:tcW w:w="769" w:type="dxa"/>
            <w:tcBorders>
              <w:tl2br w:val="nil"/>
              <w:tr2bl w:val="nil"/>
            </w:tcBorders>
            <w:vAlign w:val="center"/>
          </w:tcPr>
          <w:p w14:paraId="53B75C57">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外来</w:t>
            </w:r>
          </w:p>
          <w:p w14:paraId="768DA5AA">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逸生</w:t>
            </w:r>
          </w:p>
        </w:tc>
        <w:tc>
          <w:tcPr>
            <w:tcW w:w="456" w:type="dxa"/>
            <w:tcBorders>
              <w:tl2br w:val="nil"/>
              <w:tr2bl w:val="nil"/>
            </w:tcBorders>
            <w:vAlign w:val="center"/>
          </w:tcPr>
          <w:p w14:paraId="2BC1F431">
            <w:pPr>
              <w:pStyle w:val="70"/>
              <w:jc w:val="center"/>
              <w:rPr>
                <w:rFonts w:hint="eastAsia" w:ascii="Times New Roman" w:hAnsi="Times New Roman" w:cs="Times New Roman"/>
                <w:color w:val="auto"/>
                <w:u w:val="none" w:color="auto"/>
              </w:rPr>
            </w:pPr>
          </w:p>
        </w:tc>
        <w:tc>
          <w:tcPr>
            <w:tcW w:w="668" w:type="dxa"/>
            <w:tcBorders>
              <w:tl2br w:val="nil"/>
              <w:tr2bl w:val="nil"/>
            </w:tcBorders>
            <w:vAlign w:val="center"/>
          </w:tcPr>
          <w:p w14:paraId="6CA990A0">
            <w:pPr>
              <w:pStyle w:val="70"/>
              <w:jc w:val="center"/>
              <w:rPr>
                <w:rFonts w:hint="eastAsia" w:ascii="Times New Roman" w:hAnsi="Times New Roman" w:cs="Times New Roman"/>
                <w:color w:val="auto"/>
                <w:u w:val="none" w:color="auto"/>
              </w:rPr>
            </w:pPr>
          </w:p>
        </w:tc>
        <w:tc>
          <w:tcPr>
            <w:tcW w:w="809" w:type="dxa"/>
            <w:tcBorders>
              <w:tl2br w:val="nil"/>
              <w:tr2bl w:val="nil"/>
            </w:tcBorders>
            <w:vAlign w:val="center"/>
          </w:tcPr>
          <w:p w14:paraId="1DF87266">
            <w:pPr>
              <w:pStyle w:val="70"/>
              <w:jc w:val="center"/>
              <w:rPr>
                <w:rFonts w:hint="eastAsia" w:ascii="Times New Roman" w:hAnsi="Times New Roman" w:cs="Times New Roman"/>
                <w:color w:val="auto"/>
                <w:u w:val="none" w:color="auto"/>
              </w:rPr>
            </w:pPr>
          </w:p>
        </w:tc>
        <w:tc>
          <w:tcPr>
            <w:tcW w:w="1048" w:type="dxa"/>
            <w:tcBorders>
              <w:tl2br w:val="nil"/>
              <w:tr2bl w:val="nil"/>
            </w:tcBorders>
            <w:vAlign w:val="center"/>
          </w:tcPr>
          <w:p w14:paraId="05656E2F">
            <w:pPr>
              <w:pStyle w:val="70"/>
              <w:jc w:val="center"/>
              <w:rPr>
                <w:rFonts w:hint="eastAsia" w:ascii="Times New Roman" w:hAnsi="Times New Roman" w:cs="Times New Roman"/>
                <w:color w:val="auto"/>
                <w:u w:val="none" w:color="auto"/>
              </w:rPr>
            </w:pPr>
          </w:p>
        </w:tc>
        <w:tc>
          <w:tcPr>
            <w:tcW w:w="557" w:type="dxa"/>
            <w:tcBorders>
              <w:tl2br w:val="nil"/>
              <w:tr2bl w:val="nil"/>
            </w:tcBorders>
            <w:vAlign w:val="center"/>
          </w:tcPr>
          <w:p w14:paraId="0FE36A1B">
            <w:pPr>
              <w:pStyle w:val="70"/>
              <w:jc w:val="center"/>
              <w:rPr>
                <w:rFonts w:hint="eastAsia" w:ascii="Times New Roman" w:hAnsi="Times New Roman" w:cs="Times New Roman"/>
                <w:color w:val="auto"/>
                <w:u w:val="none" w:color="auto"/>
              </w:rPr>
            </w:pPr>
          </w:p>
        </w:tc>
      </w:tr>
    </w:tbl>
    <w:p w14:paraId="0A083780">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 xml:space="preserve"> </w:t>
      </w:r>
      <w:r>
        <w:rPr>
          <w:rFonts w:hint="eastAsia" w:ascii="Times New Roman" w:hAnsi="Times New Roman" w:eastAsia="宋体" w:cs="Times New Roman"/>
          <w:bCs/>
          <w:color w:val="auto"/>
          <w:sz w:val="24"/>
          <w:szCs w:val="21"/>
          <w:highlight w:val="none"/>
          <w:u w:val="none" w:color="auto"/>
          <w:lang w:val="en-US" w:eastAsia="zh-CN"/>
        </w:rPr>
        <w:t>植物群落特征分析 ：</w:t>
      </w:r>
    </w:p>
    <w:p w14:paraId="25F7E0B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 xml:space="preserve">）草甸型组 </w:t>
      </w:r>
    </w:p>
    <w:p w14:paraId="3B0408C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①白茅草甸 </w:t>
      </w:r>
    </w:p>
    <w:p w14:paraId="50B6F164">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白茅广泛分布于低山带平原河岸草地、沙质草甸、荒漠与海滨；中国各地均有分布。白茅是湖区内的常见草本，常分布在地势较高、排水较好的洲滩高地和边缘，面积可达几公顷。常与南荻群落和芒群落镶嵌分布</w:t>
      </w:r>
      <w:r>
        <w:rPr>
          <w:rFonts w:hint="eastAsia" w:cs="Times New Roman"/>
          <w:bCs/>
          <w:color w:val="auto"/>
          <w:sz w:val="24"/>
          <w:szCs w:val="21"/>
          <w:highlight w:val="none"/>
          <w:u w:val="none" w:color="auto"/>
          <w:lang w:val="en-US" w:eastAsia="zh-CN"/>
        </w:rPr>
        <w:t>，</w:t>
      </w:r>
      <w:r>
        <w:rPr>
          <w:rFonts w:hint="eastAsia" w:ascii="Times New Roman" w:hAnsi="Times New Roman" w:eastAsia="宋体" w:cs="Times New Roman"/>
          <w:bCs/>
          <w:color w:val="auto"/>
          <w:sz w:val="24"/>
          <w:szCs w:val="21"/>
          <w:highlight w:val="none"/>
          <w:u w:val="none" w:color="auto"/>
          <w:lang w:val="en-US" w:eastAsia="zh-CN"/>
        </w:rPr>
        <w:t xml:space="preserve">或成片分布在疏林下。群落外貌淡绿色，秋冬季地上部常为枯黄色，生长紧密，高可达 </w:t>
      </w:r>
      <w:r>
        <w:rPr>
          <w:rFonts w:hint="default" w:ascii="Times New Roman" w:hAnsi="Times New Roman" w:eastAsia="宋体" w:cs="Times New Roman"/>
          <w:bCs/>
          <w:color w:val="auto"/>
          <w:sz w:val="24"/>
          <w:szCs w:val="21"/>
          <w:highlight w:val="none"/>
          <w:u w:val="none" w:color="auto"/>
          <w:lang w:val="en-US" w:eastAsia="zh-CN"/>
        </w:rPr>
        <w:t>1 m</w:t>
      </w:r>
      <w:r>
        <w:rPr>
          <w:rFonts w:hint="eastAsia" w:ascii="Times New Roman" w:hAnsi="Times New Roman" w:eastAsia="宋体" w:cs="Times New Roman"/>
          <w:bCs/>
          <w:color w:val="auto"/>
          <w:sz w:val="24"/>
          <w:szCs w:val="21"/>
          <w:highlight w:val="none"/>
          <w:u w:val="none" w:color="auto"/>
          <w:lang w:val="en-US" w:eastAsia="zh-CN"/>
        </w:rPr>
        <w:t>。</w:t>
      </w:r>
    </w:p>
    <w:p w14:paraId="042F6EC6">
      <w:pPr>
        <w:keepNext w:val="0"/>
        <w:keepLines w:val="0"/>
        <w:widowControl/>
        <w:suppressLineNumbers w:val="0"/>
        <w:jc w:val="left"/>
        <w:rPr>
          <w:color w:val="auto"/>
          <w:u w:val="none" w:color="auto"/>
        </w:rPr>
      </w:pPr>
    </w:p>
    <w:p w14:paraId="37F4D6D4">
      <w:pPr>
        <w:adjustRightInd w:val="0"/>
        <w:snapToGrid w:val="0"/>
        <w:spacing w:line="360" w:lineRule="auto"/>
        <w:jc w:val="left"/>
        <w:rPr>
          <w:rFonts w:hint="eastAsia"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74310" cy="1742440"/>
            <wp:effectExtent l="0" t="0" r="2540" b="1016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4"/>
                    <a:stretch>
                      <a:fillRect/>
                    </a:stretch>
                  </pic:blipFill>
                  <pic:spPr>
                    <a:xfrm>
                      <a:off x="0" y="0"/>
                      <a:ext cx="5274310" cy="1742440"/>
                    </a:xfrm>
                    <a:prstGeom prst="rect">
                      <a:avLst/>
                    </a:prstGeom>
                    <a:noFill/>
                    <a:ln>
                      <a:noFill/>
                    </a:ln>
                  </pic:spPr>
                </pic:pic>
              </a:graphicData>
            </a:graphic>
          </wp:inline>
        </w:drawing>
      </w:r>
    </w:p>
    <w:p w14:paraId="4C598676">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fldChar w:fldCharType="begin"/>
      </w:r>
      <w:r>
        <w:rPr>
          <w:rFonts w:hint="eastAsia" w:ascii="Times New Roman" w:hAnsi="Times New Roman" w:eastAsia="宋体" w:cs="Times New Roman"/>
          <w:bCs/>
          <w:color w:val="auto"/>
          <w:sz w:val="24"/>
          <w:szCs w:val="21"/>
          <w:highlight w:val="none"/>
          <w:u w:val="none" w:color="auto"/>
          <w:lang w:val="en-US" w:eastAsia="zh-CN"/>
        </w:rPr>
        <w:instrText xml:space="preserve"> = 2 \* GB3 \* MERGEFORMAT </w:instrText>
      </w:r>
      <w:r>
        <w:rPr>
          <w:rFonts w:hint="eastAsia" w:ascii="Times New Roman" w:hAnsi="Times New Roman" w:eastAsia="宋体" w:cs="Times New Roman"/>
          <w:bCs/>
          <w:color w:val="auto"/>
          <w:sz w:val="24"/>
          <w:szCs w:val="21"/>
          <w:highlight w:val="none"/>
          <w:u w:val="none" w:color="auto"/>
          <w:lang w:val="en-US" w:eastAsia="zh-CN"/>
        </w:rPr>
        <w:fldChar w:fldCharType="separate"/>
      </w:r>
      <w:r>
        <w:rPr>
          <w:rFonts w:hint="eastAsia" w:ascii="Times New Roman" w:hAnsi="Times New Roman" w:eastAsia="宋体" w:cs="Times New Roman"/>
          <w:bCs/>
          <w:color w:val="auto"/>
          <w:sz w:val="24"/>
          <w:szCs w:val="21"/>
          <w:highlight w:val="none"/>
          <w:u w:val="none" w:color="auto"/>
          <w:lang w:val="en-US" w:eastAsia="zh-CN"/>
        </w:rPr>
        <w:t>②</w:t>
      </w:r>
      <w:r>
        <w:rPr>
          <w:rFonts w:hint="eastAsia" w:ascii="Times New Roman" w:hAnsi="Times New Roman" w:eastAsia="宋体" w:cs="Times New Roman"/>
          <w:bCs/>
          <w:color w:val="auto"/>
          <w:sz w:val="24"/>
          <w:szCs w:val="21"/>
          <w:highlight w:val="none"/>
          <w:u w:val="none" w:color="auto"/>
          <w:lang w:val="en-US" w:eastAsia="zh-CN"/>
        </w:rPr>
        <w:fldChar w:fldCharType="end"/>
      </w:r>
      <w:r>
        <w:rPr>
          <w:rFonts w:hint="eastAsia" w:ascii="Times New Roman" w:hAnsi="Times New Roman" w:eastAsia="宋体" w:cs="Times New Roman"/>
          <w:bCs/>
          <w:color w:val="auto"/>
          <w:sz w:val="24"/>
          <w:szCs w:val="21"/>
          <w:highlight w:val="none"/>
          <w:u w:val="none" w:color="auto"/>
          <w:lang w:val="en-US" w:eastAsia="zh-CN"/>
        </w:rPr>
        <w:t xml:space="preserve">芒草甸 </w:t>
      </w:r>
    </w:p>
    <w:p w14:paraId="33F036FA">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芒是禾本科芒属多年生苇状草本。叶片线形，下面疏生柔毛及被白粉，边缘粗糙，圆锥花序直立，小穗披针形，黄色有光泽，遍布于海拔</w:t>
      </w:r>
      <w:r>
        <w:rPr>
          <w:rFonts w:hint="default" w:ascii="Times New Roman" w:hAnsi="Times New Roman" w:eastAsia="宋体" w:cs="Times New Roman"/>
          <w:bCs/>
          <w:color w:val="auto"/>
          <w:sz w:val="24"/>
          <w:szCs w:val="21"/>
          <w:highlight w:val="none"/>
          <w:u w:val="none" w:color="auto"/>
          <w:lang w:val="en-US" w:eastAsia="zh-CN"/>
        </w:rPr>
        <w:t>1800</w:t>
      </w:r>
      <w:r>
        <w:rPr>
          <w:rFonts w:hint="eastAsia" w:ascii="Times New Roman" w:hAnsi="Times New Roman" w:eastAsia="宋体" w:cs="Times New Roman"/>
          <w:bCs/>
          <w:color w:val="auto"/>
          <w:sz w:val="24"/>
          <w:szCs w:val="21"/>
          <w:highlight w:val="none"/>
          <w:u w:val="none" w:color="auto"/>
          <w:lang w:val="en-US" w:eastAsia="zh-CN"/>
        </w:rPr>
        <w:t>米以下的山地、丘陵和荒坡原野，常组成优势群落。广泛分布于评价区堤坝两侧。芒草对重金属污染土壤有修复作用；芒草对土地沙化环境具有改善作用。</w:t>
      </w:r>
    </w:p>
    <w:p w14:paraId="664BCDD3">
      <w:pPr>
        <w:keepNext w:val="0"/>
        <w:keepLines w:val="0"/>
        <w:widowControl/>
        <w:suppressLineNumbers w:val="0"/>
        <w:jc w:val="left"/>
        <w:rPr>
          <w:rFonts w:ascii="仿宋" w:hAnsi="仿宋" w:eastAsia="仿宋" w:cs="仿宋"/>
          <w:color w:val="auto"/>
          <w:kern w:val="0"/>
          <w:sz w:val="27"/>
          <w:szCs w:val="27"/>
          <w:u w:val="none" w:color="auto"/>
          <w:lang w:val="en-US" w:eastAsia="zh-CN" w:bidi="ar"/>
        </w:rPr>
      </w:pPr>
      <w:r>
        <w:rPr>
          <w:color w:val="auto"/>
          <w:u w:val="none" w:color="auto"/>
        </w:rPr>
        <w:drawing>
          <wp:inline distT="0" distB="0" distL="114300" distR="114300">
            <wp:extent cx="5271770" cy="1861820"/>
            <wp:effectExtent l="0" t="0" r="5080" b="5080"/>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05"/>
                    <a:stretch>
                      <a:fillRect/>
                    </a:stretch>
                  </pic:blipFill>
                  <pic:spPr>
                    <a:xfrm>
                      <a:off x="0" y="0"/>
                      <a:ext cx="5271770" cy="1861820"/>
                    </a:xfrm>
                    <a:prstGeom prst="rect">
                      <a:avLst/>
                    </a:prstGeom>
                    <a:noFill/>
                    <a:ln>
                      <a:noFill/>
                    </a:ln>
                  </pic:spPr>
                </pic:pic>
              </a:graphicData>
            </a:graphic>
          </wp:inline>
        </w:drawing>
      </w:r>
    </w:p>
    <w:p w14:paraId="6F90189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③狗牙根草甸 </w:t>
      </w:r>
    </w:p>
    <w:p w14:paraId="30B90F1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狗牙根是禾本科狗牙根属多年生草本植物，广泛分布于热带、亚热带和温带地区，中国黄河流域以南各地均有狗牙根，北至新疆亦有野生狗牙根。狗牙根适合在温暖潮湿和温暖半干早地区生长，极耐热耐旱，耐践踏，但抗寒性差，也不耐阴，根系浅，喜在排水良好的肥沃土壤中生长，在轻度盐碱地上也生长较快，且侵占力强，如果疏于管理，两三年内就会完全侵占草坪。狗牙根多生长于村庄附近、道旁河岸、荒地山坡。以根茎、匍匐茎繁殖为主，也可种子繁殖。根茎蔓延力很强，广铺地面，是良好的固堤保土植物。 </w:t>
      </w:r>
    </w:p>
    <w:p w14:paraId="54E5A47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于评价区荒地、护堤、河滩广泛分布</w:t>
      </w:r>
    </w:p>
    <w:p w14:paraId="7D5AA1D0">
      <w:pPr>
        <w:adjustRightInd w:val="0"/>
        <w:snapToGrid w:val="0"/>
        <w:spacing w:line="360" w:lineRule="auto"/>
        <w:jc w:val="left"/>
        <w:rPr>
          <w:rFonts w:hint="eastAsia"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68595" cy="1841500"/>
            <wp:effectExtent l="0" t="0" r="8255" b="6350"/>
            <wp:docPr id="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
                    <pic:cNvPicPr>
                      <a:picLocks noChangeAspect="1"/>
                    </pic:cNvPicPr>
                  </pic:nvPicPr>
                  <pic:blipFill>
                    <a:blip r:embed="rId106"/>
                    <a:stretch>
                      <a:fillRect/>
                    </a:stretch>
                  </pic:blipFill>
                  <pic:spPr>
                    <a:xfrm>
                      <a:off x="0" y="0"/>
                      <a:ext cx="5268595" cy="1841500"/>
                    </a:xfrm>
                    <a:prstGeom prst="rect">
                      <a:avLst/>
                    </a:prstGeom>
                    <a:noFill/>
                    <a:ln>
                      <a:noFill/>
                    </a:ln>
                  </pic:spPr>
                </pic:pic>
              </a:graphicData>
            </a:graphic>
          </wp:inline>
        </w:drawing>
      </w:r>
    </w:p>
    <w:p w14:paraId="2F0A242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④灰化薹草草甸 </w:t>
      </w:r>
    </w:p>
    <w:p w14:paraId="3D44FD38">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灰化薹草是莎草科、薹草属多年生草本植物。根状茎短，具长的匍匐茎。生长在湖边、沼泽或湿地。灰化薹草薹草主要进行无性繁殖，依靠根状茎上的腋芽萌发成新株。灰化薹草具有发达的须根，其盘根错节，与土粒相互吸附，构成厚达 </w:t>
      </w:r>
      <w:r>
        <w:rPr>
          <w:rFonts w:hint="default" w:ascii="Times New Roman" w:hAnsi="Times New Roman" w:eastAsia="宋体" w:cs="Times New Roman"/>
          <w:bCs/>
          <w:color w:val="auto"/>
          <w:sz w:val="24"/>
          <w:szCs w:val="21"/>
          <w:highlight w:val="none"/>
          <w:u w:val="none" w:color="auto"/>
          <w:lang w:val="en-US" w:eastAsia="zh-CN"/>
        </w:rPr>
        <w:t xml:space="preserve">15-20 </w:t>
      </w:r>
      <w:r>
        <w:rPr>
          <w:rFonts w:hint="eastAsia" w:ascii="Times New Roman" w:hAnsi="Times New Roman" w:eastAsia="宋体" w:cs="Times New Roman"/>
          <w:bCs/>
          <w:color w:val="auto"/>
          <w:sz w:val="24"/>
          <w:szCs w:val="21"/>
          <w:highlight w:val="none"/>
          <w:u w:val="none" w:color="auto"/>
          <w:lang w:val="en-US" w:eastAsia="zh-CN"/>
        </w:rPr>
        <w:t xml:space="preserve">厘米的生草根层，坚实不易耕耙，正是由于这一庞大的须根，吸附着沼泽草甸土有限的速效养分，繁殖生长。灰化薹草是洞庭湖滨地区良等野生牧草，幼嫩时，牛、羊、鹅均喜食，除放牧外，因其粗蛋白质含量较高。可刈割、晒制于草、粉碎作为配合饲料的填充剂，也可青贮和作发酵饲料。 </w:t>
      </w:r>
    </w:p>
    <w:p w14:paraId="4C6F461F">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该草甸在湖区广泛分布，评价区藕池河河滩广泛分布。</w:t>
      </w:r>
    </w:p>
    <w:p w14:paraId="235D6F31">
      <w:pPr>
        <w:keepNext w:val="0"/>
        <w:keepLines w:val="0"/>
        <w:widowControl/>
        <w:suppressLineNumbers w:val="0"/>
        <w:jc w:val="left"/>
        <w:rPr>
          <w:color w:val="auto"/>
          <w:u w:val="none" w:color="auto"/>
        </w:rPr>
      </w:pPr>
      <w:r>
        <w:rPr>
          <w:color w:val="auto"/>
          <w:u w:val="none" w:color="auto"/>
        </w:rPr>
        <w:drawing>
          <wp:inline distT="0" distB="0" distL="114300" distR="114300">
            <wp:extent cx="5268595" cy="1825625"/>
            <wp:effectExtent l="0" t="0" r="8255" b="3175"/>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107"/>
                    <a:stretch>
                      <a:fillRect/>
                    </a:stretch>
                  </pic:blipFill>
                  <pic:spPr>
                    <a:xfrm>
                      <a:off x="0" y="0"/>
                      <a:ext cx="5268595" cy="1825625"/>
                    </a:xfrm>
                    <a:prstGeom prst="rect">
                      <a:avLst/>
                    </a:prstGeom>
                    <a:noFill/>
                    <a:ln>
                      <a:noFill/>
                    </a:ln>
                  </pic:spPr>
                </pic:pic>
              </a:graphicData>
            </a:graphic>
          </wp:inline>
        </w:drawing>
      </w:r>
    </w:p>
    <w:p w14:paraId="6B734FD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⑤牛毛毡草甸 </w:t>
      </w:r>
    </w:p>
    <w:p w14:paraId="36FF2807">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牛毛毡为多年生莎草科湿生性草本，喜酸性黏土、潮湿环境。一般生于海拔 </w:t>
      </w:r>
      <w:r>
        <w:rPr>
          <w:rFonts w:hint="default" w:ascii="Times New Roman" w:hAnsi="Times New Roman" w:eastAsia="宋体" w:cs="Times New Roman"/>
          <w:bCs/>
          <w:color w:val="auto"/>
          <w:sz w:val="24"/>
          <w:szCs w:val="21"/>
          <w:highlight w:val="none"/>
          <w:u w:val="none" w:color="auto"/>
          <w:lang w:val="en-US" w:eastAsia="zh-CN"/>
        </w:rPr>
        <w:t xml:space="preserve">0-3000 m </w:t>
      </w:r>
      <w:r>
        <w:rPr>
          <w:rFonts w:hint="eastAsia" w:ascii="Times New Roman" w:hAnsi="Times New Roman" w:eastAsia="宋体" w:cs="Times New Roman"/>
          <w:bCs/>
          <w:color w:val="auto"/>
          <w:sz w:val="24"/>
          <w:szCs w:val="21"/>
          <w:highlight w:val="none"/>
          <w:u w:val="none" w:color="auto"/>
          <w:lang w:val="en-US" w:eastAsia="zh-CN"/>
        </w:rPr>
        <w:t>的稻田、池塘边、河滩地及渠边等湿地。生长的适温为</w:t>
      </w:r>
      <w:r>
        <w:rPr>
          <w:rFonts w:hint="default" w:ascii="Times New Roman" w:hAnsi="Times New Roman" w:eastAsia="宋体" w:cs="Times New Roman"/>
          <w:bCs/>
          <w:color w:val="auto"/>
          <w:sz w:val="24"/>
          <w:szCs w:val="21"/>
          <w:highlight w:val="none"/>
          <w:u w:val="none" w:color="auto"/>
          <w:lang w:val="en-US" w:eastAsia="zh-CN"/>
        </w:rPr>
        <w:t>22-26 ℃</w:t>
      </w:r>
      <w:r>
        <w:rPr>
          <w:rFonts w:hint="eastAsia" w:ascii="Times New Roman" w:hAnsi="Times New Roman" w:eastAsia="宋体" w:cs="Times New Roman"/>
          <w:bCs/>
          <w:color w:val="auto"/>
          <w:sz w:val="24"/>
          <w:szCs w:val="21"/>
          <w:highlight w:val="none"/>
          <w:u w:val="none" w:color="auto"/>
          <w:lang w:val="en-US" w:eastAsia="zh-CN"/>
        </w:rPr>
        <w:t>。牛毛毡喜欢浅水和潮湿的环境，当有充足的光照时也能生长在</w:t>
      </w:r>
      <w:r>
        <w:rPr>
          <w:rFonts w:hint="default" w:ascii="Times New Roman" w:hAnsi="Times New Roman" w:eastAsia="宋体" w:cs="Times New Roman"/>
          <w:bCs/>
          <w:color w:val="auto"/>
          <w:sz w:val="24"/>
          <w:szCs w:val="21"/>
          <w:highlight w:val="none"/>
          <w:u w:val="none" w:color="auto"/>
          <w:lang w:val="en-US" w:eastAsia="zh-CN"/>
        </w:rPr>
        <w:t>80</w:t>
      </w:r>
      <w:r>
        <w:rPr>
          <w:rFonts w:hint="eastAsia" w:ascii="Times New Roman" w:hAnsi="Times New Roman" w:eastAsia="宋体" w:cs="Times New Roman"/>
          <w:bCs/>
          <w:color w:val="auto"/>
          <w:sz w:val="24"/>
          <w:szCs w:val="21"/>
          <w:highlight w:val="none"/>
          <w:u w:val="none" w:color="auto"/>
          <w:lang w:val="en-US" w:eastAsia="zh-CN"/>
        </w:rPr>
        <w:t>～</w:t>
      </w:r>
      <w:r>
        <w:rPr>
          <w:rFonts w:hint="default" w:ascii="Times New Roman" w:hAnsi="Times New Roman" w:eastAsia="宋体" w:cs="Times New Roman"/>
          <w:bCs/>
          <w:color w:val="auto"/>
          <w:sz w:val="24"/>
          <w:szCs w:val="21"/>
          <w:highlight w:val="none"/>
          <w:u w:val="none" w:color="auto"/>
          <w:lang w:val="en-US" w:eastAsia="zh-CN"/>
        </w:rPr>
        <w:t xml:space="preserve">100 cm </w:t>
      </w:r>
      <w:r>
        <w:rPr>
          <w:rFonts w:hint="eastAsia" w:ascii="Times New Roman" w:hAnsi="Times New Roman" w:eastAsia="宋体" w:cs="Times New Roman"/>
          <w:bCs/>
          <w:color w:val="auto"/>
          <w:sz w:val="24"/>
          <w:szCs w:val="21"/>
          <w:highlight w:val="none"/>
          <w:u w:val="none" w:color="auto"/>
          <w:lang w:val="en-US" w:eastAsia="zh-CN"/>
        </w:rPr>
        <w:t xml:space="preserve">的深水中。牛毛毡高发于 </w:t>
      </w:r>
      <w:r>
        <w:rPr>
          <w:rFonts w:hint="default" w:ascii="Times New Roman" w:hAnsi="Times New Roman" w:eastAsia="宋体" w:cs="Times New Roman"/>
          <w:bCs/>
          <w:color w:val="auto"/>
          <w:sz w:val="24"/>
          <w:szCs w:val="21"/>
          <w:highlight w:val="none"/>
          <w:u w:val="none" w:color="auto"/>
          <w:lang w:val="en-US" w:eastAsia="zh-CN"/>
        </w:rPr>
        <w:t>6</w:t>
      </w:r>
      <w:r>
        <w:rPr>
          <w:rFonts w:hint="eastAsia" w:ascii="Times New Roman" w:hAnsi="Times New Roman" w:eastAsia="宋体" w:cs="Times New Roman"/>
          <w:bCs/>
          <w:color w:val="auto"/>
          <w:sz w:val="24"/>
          <w:szCs w:val="21"/>
          <w:highlight w:val="none"/>
          <w:u w:val="none" w:color="auto"/>
          <w:lang w:val="en-US" w:eastAsia="zh-CN"/>
        </w:rPr>
        <w:t>～</w:t>
      </w:r>
      <w:r>
        <w:rPr>
          <w:rFonts w:hint="default" w:ascii="Times New Roman" w:hAnsi="Times New Roman" w:eastAsia="宋体" w:cs="Times New Roman"/>
          <w:bCs/>
          <w:color w:val="auto"/>
          <w:sz w:val="24"/>
          <w:szCs w:val="21"/>
          <w:highlight w:val="none"/>
          <w:u w:val="none" w:color="auto"/>
          <w:lang w:val="en-US" w:eastAsia="zh-CN"/>
        </w:rPr>
        <w:t xml:space="preserve">7 </w:t>
      </w:r>
      <w:r>
        <w:rPr>
          <w:rFonts w:hint="eastAsia" w:ascii="Times New Roman" w:hAnsi="Times New Roman" w:eastAsia="宋体" w:cs="Times New Roman"/>
          <w:bCs/>
          <w:color w:val="auto"/>
          <w:sz w:val="24"/>
          <w:szCs w:val="21"/>
          <w:highlight w:val="none"/>
          <w:u w:val="none" w:color="auto"/>
          <w:lang w:val="en-US" w:eastAsia="zh-CN"/>
        </w:rPr>
        <w:t xml:space="preserve">月，对水稻危害非常严重，在早晚稻田中甚至可以单独造成严重危害，与其它杂草形成坚不可摧的杂草群落，是稻田的噩梦。 </w:t>
      </w:r>
    </w:p>
    <w:p w14:paraId="4AA1549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该草甸于评价区农田和河岸区域内广泛分布，于农田中影响作物产量，但在河岸堤坝及河滩范围则有保持水土的作用。</w:t>
      </w:r>
    </w:p>
    <w:p w14:paraId="3147DD39">
      <w:pPr>
        <w:adjustRightInd w:val="0"/>
        <w:snapToGrid w:val="0"/>
        <w:spacing w:line="360" w:lineRule="auto"/>
        <w:jc w:val="left"/>
        <w:rPr>
          <w:color w:val="auto"/>
          <w:u w:val="none" w:color="auto"/>
        </w:rPr>
      </w:pPr>
      <w:r>
        <w:rPr>
          <w:color w:val="auto"/>
          <w:u w:val="none" w:color="auto"/>
        </w:rPr>
        <w:drawing>
          <wp:inline distT="0" distB="0" distL="114300" distR="114300">
            <wp:extent cx="5268595" cy="1727200"/>
            <wp:effectExtent l="0" t="0" r="8255" b="6350"/>
            <wp:docPr id="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
                    <pic:cNvPicPr>
                      <a:picLocks noChangeAspect="1"/>
                    </pic:cNvPicPr>
                  </pic:nvPicPr>
                  <pic:blipFill>
                    <a:blip r:embed="rId108"/>
                    <a:stretch>
                      <a:fillRect/>
                    </a:stretch>
                  </pic:blipFill>
                  <pic:spPr>
                    <a:xfrm>
                      <a:off x="0" y="0"/>
                      <a:ext cx="5268595" cy="1727200"/>
                    </a:xfrm>
                    <a:prstGeom prst="rect">
                      <a:avLst/>
                    </a:prstGeom>
                    <a:noFill/>
                    <a:ln>
                      <a:noFill/>
                    </a:ln>
                  </pic:spPr>
                </pic:pic>
              </a:graphicData>
            </a:graphic>
          </wp:inline>
        </w:drawing>
      </w:r>
    </w:p>
    <w:p w14:paraId="7FD5C5BE">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⑥紫云英草甸 </w:t>
      </w:r>
    </w:p>
    <w:p w14:paraId="3852A840">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紫云英别名翘摇、红花草等，是豆科黄芪属的二年生草本植物。紫云英富硒，含有丰富的蛋白质，可用做牲畜饲料，其嫩梢可供蔬食；泌蜜量大且蜂蜜品质好，是重要的蜜源植物；也是优良的观花植物，可应用于公园、花坛、花镜中；具有固氮能力，可固定空气中氮，植株腐解时，产生大量的氮素，维持农田生态系统中的氮循环；紫云英以全草、根及种子入药，具有一定的药用价值。 </w:t>
      </w:r>
    </w:p>
    <w:p w14:paraId="711873F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本种于评价区荒地及河滩广泛分布。</w:t>
      </w:r>
    </w:p>
    <w:p w14:paraId="7C2499BE">
      <w:pPr>
        <w:adjustRightInd w:val="0"/>
        <w:snapToGrid w:val="0"/>
        <w:spacing w:line="360" w:lineRule="auto"/>
        <w:jc w:val="left"/>
        <w:rPr>
          <w:color w:val="auto"/>
          <w:u w:val="none" w:color="auto"/>
        </w:rPr>
      </w:pPr>
      <w:r>
        <w:rPr>
          <w:color w:val="auto"/>
          <w:u w:val="none" w:color="auto"/>
        </w:rPr>
        <w:drawing>
          <wp:inline distT="0" distB="0" distL="114300" distR="114300">
            <wp:extent cx="5273040" cy="1730375"/>
            <wp:effectExtent l="0" t="0" r="3810" b="3175"/>
            <wp:docPr id="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
                    <pic:cNvPicPr>
                      <a:picLocks noChangeAspect="1"/>
                    </pic:cNvPicPr>
                  </pic:nvPicPr>
                  <pic:blipFill>
                    <a:blip r:embed="rId109"/>
                    <a:stretch>
                      <a:fillRect/>
                    </a:stretch>
                  </pic:blipFill>
                  <pic:spPr>
                    <a:xfrm>
                      <a:off x="0" y="0"/>
                      <a:ext cx="5273040" cy="1730375"/>
                    </a:xfrm>
                    <a:prstGeom prst="rect">
                      <a:avLst/>
                    </a:prstGeom>
                    <a:noFill/>
                    <a:ln>
                      <a:noFill/>
                    </a:ln>
                  </pic:spPr>
                </pic:pic>
              </a:graphicData>
            </a:graphic>
          </wp:inline>
        </w:drawing>
      </w:r>
    </w:p>
    <w:p w14:paraId="22DB3B42">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fldChar w:fldCharType="begin"/>
      </w:r>
      <w:r>
        <w:rPr>
          <w:rFonts w:hint="eastAsia" w:ascii="Times New Roman" w:hAnsi="Times New Roman" w:eastAsia="宋体" w:cs="Times New Roman"/>
          <w:bCs/>
          <w:color w:val="auto"/>
          <w:sz w:val="24"/>
          <w:szCs w:val="21"/>
          <w:highlight w:val="none"/>
          <w:u w:val="none" w:color="auto"/>
          <w:lang w:val="en-US" w:eastAsia="zh-CN"/>
        </w:rPr>
        <w:instrText xml:space="preserve"> = 7 \* GB3 \* MERGEFORMAT </w:instrText>
      </w:r>
      <w:r>
        <w:rPr>
          <w:rFonts w:hint="eastAsia" w:ascii="Times New Roman" w:hAnsi="Times New Roman" w:eastAsia="宋体" w:cs="Times New Roman"/>
          <w:bCs/>
          <w:color w:val="auto"/>
          <w:sz w:val="24"/>
          <w:szCs w:val="21"/>
          <w:highlight w:val="none"/>
          <w:u w:val="none" w:color="auto"/>
          <w:lang w:val="en-US" w:eastAsia="zh-CN"/>
        </w:rPr>
        <w:fldChar w:fldCharType="separate"/>
      </w:r>
      <w:r>
        <w:rPr>
          <w:rFonts w:hint="eastAsia" w:ascii="Times New Roman" w:hAnsi="Times New Roman" w:eastAsia="宋体" w:cs="Times New Roman"/>
          <w:bCs/>
          <w:color w:val="auto"/>
          <w:sz w:val="24"/>
          <w:szCs w:val="21"/>
          <w:highlight w:val="none"/>
          <w:u w:val="none" w:color="auto"/>
          <w:lang w:val="en-US" w:eastAsia="zh-CN"/>
        </w:rPr>
        <w:t>⑦</w:t>
      </w:r>
      <w:r>
        <w:rPr>
          <w:rFonts w:hint="eastAsia" w:ascii="Times New Roman" w:hAnsi="Times New Roman" w:eastAsia="宋体" w:cs="Times New Roman"/>
          <w:bCs/>
          <w:color w:val="auto"/>
          <w:sz w:val="24"/>
          <w:szCs w:val="21"/>
          <w:highlight w:val="none"/>
          <w:u w:val="none" w:color="auto"/>
          <w:lang w:val="en-US" w:eastAsia="zh-CN"/>
        </w:rPr>
        <w:fldChar w:fldCharType="end"/>
      </w:r>
      <w:r>
        <w:rPr>
          <w:rFonts w:hint="eastAsia" w:ascii="Times New Roman" w:hAnsi="Times New Roman" w:eastAsia="宋体" w:cs="Times New Roman"/>
          <w:bCs/>
          <w:color w:val="auto"/>
          <w:sz w:val="24"/>
          <w:szCs w:val="21"/>
          <w:highlight w:val="none"/>
          <w:u w:val="none" w:color="auto"/>
          <w:lang w:val="en-US" w:eastAsia="zh-CN"/>
        </w:rPr>
        <w:t xml:space="preserve">北美苍耳草甸 </w:t>
      </w:r>
    </w:p>
    <w:p w14:paraId="13DE9EE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北美苍耳是菊科苍耳属一年生草本植物，具有适应性强、繁殖能力强、生命力顽强等特点，因此是重要危险性外来杂草。北美苍耳成熟时种子外形成木质化总苞，总苞具有喙状针刺，以此粘附在人及动物身上进行远距离传播，本种一旦入侵成功会迅速占据大量生态位，对本土物种产生极其严重的排挤性危害。 </w:t>
      </w:r>
    </w:p>
    <w:p w14:paraId="5D53E09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该草甸类型为外来逸生，现已广泛分布于评价区草地。</w:t>
      </w:r>
    </w:p>
    <w:p w14:paraId="5A8F547E">
      <w:pPr>
        <w:adjustRightInd w:val="0"/>
        <w:snapToGrid w:val="0"/>
        <w:spacing w:line="360" w:lineRule="auto"/>
        <w:jc w:val="left"/>
        <w:rPr>
          <w:rFonts w:hint="eastAsia"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73040" cy="1896745"/>
            <wp:effectExtent l="0" t="0" r="3810" b="8255"/>
            <wp:docPr id="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
                    <pic:cNvPicPr>
                      <a:picLocks noChangeAspect="1"/>
                    </pic:cNvPicPr>
                  </pic:nvPicPr>
                  <pic:blipFill>
                    <a:blip r:embed="rId110"/>
                    <a:stretch>
                      <a:fillRect/>
                    </a:stretch>
                  </pic:blipFill>
                  <pic:spPr>
                    <a:xfrm>
                      <a:off x="0" y="0"/>
                      <a:ext cx="5273040" cy="1896745"/>
                    </a:xfrm>
                    <a:prstGeom prst="rect">
                      <a:avLst/>
                    </a:prstGeom>
                    <a:noFill/>
                    <a:ln>
                      <a:noFill/>
                    </a:ln>
                  </pic:spPr>
                </pic:pic>
              </a:graphicData>
            </a:graphic>
          </wp:inline>
        </w:drawing>
      </w:r>
    </w:p>
    <w:p w14:paraId="08EFEE4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w:t>
      </w:r>
      <w:r>
        <w:rPr>
          <w:rFonts w:hint="eastAsia"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 xml:space="preserve">）沼泽和水生植物型组 </w:t>
      </w:r>
    </w:p>
    <w:p w14:paraId="6527473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cs="Times New Roman"/>
          <w:bCs/>
          <w:color w:val="auto"/>
          <w:sz w:val="24"/>
          <w:szCs w:val="21"/>
          <w:highlight w:val="none"/>
          <w:u w:val="none" w:color="auto"/>
          <w:lang w:val="en-US" w:eastAsia="zh-CN"/>
        </w:rPr>
        <w:t>1）沼泽</w:t>
      </w:r>
      <w:r>
        <w:rPr>
          <w:rFonts w:hint="eastAsia" w:ascii="Times New Roman" w:hAnsi="Times New Roman" w:eastAsia="宋体" w:cs="Times New Roman"/>
          <w:bCs/>
          <w:color w:val="auto"/>
          <w:sz w:val="24"/>
          <w:szCs w:val="21"/>
          <w:highlight w:val="none"/>
          <w:u w:val="none" w:color="auto"/>
          <w:lang w:val="en-US" w:eastAsia="zh-CN"/>
        </w:rPr>
        <w:t>植被</w:t>
      </w:r>
    </w:p>
    <w:p w14:paraId="3E78528A">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①旱柳群落 </w:t>
      </w:r>
    </w:p>
    <w:p w14:paraId="777F7FC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旱柳是杨柳科柳属的乔木植物，产于中国的东北、华北平原、西北黄土高原，西至甘肃、青海，南至淮河流域以及浙江、江苏。喜光，耐寒，湿地，旱地皆能生长，适宜在湿润而排水良好的土壤生长。旱柳为耐湿植物，能够一定程度上作为防风固沙的生态屏障，对于保护琥珀周边地区的生态环境具有重要意义；此外，旱柳发达的根系能够有效地固定土壤，减少水土流失。尤其是在湖岸带，旱柳能稳固岸边土壤，防止因波浪侵蚀导致的岸线后退，根系还能够吸收并分解水中的一些有害物质，如重金属离子和过量的营养盐（氮、磷等），从而有助于减轻湖泊的富营养化问题。 </w:t>
      </w:r>
    </w:p>
    <w:p w14:paraId="0285E4E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该群落主要分布于评价区南侧藕池河河岸，为人工栽培，作防护林。林地潮湿，涨水时节林下常被水淹没。群落外貌较整齐，季相明显。群落郁闭度约</w:t>
      </w:r>
      <w:r>
        <w:rPr>
          <w:rFonts w:hint="default" w:ascii="Times New Roman" w:hAnsi="Times New Roman" w:eastAsia="宋体" w:cs="Times New Roman"/>
          <w:bCs/>
          <w:color w:val="auto"/>
          <w:sz w:val="24"/>
          <w:szCs w:val="21"/>
          <w:highlight w:val="none"/>
          <w:u w:val="none" w:color="auto"/>
          <w:lang w:val="en-US" w:eastAsia="zh-CN"/>
        </w:rPr>
        <w:t>0.8</w:t>
      </w:r>
      <w:r>
        <w:rPr>
          <w:rFonts w:hint="eastAsia" w:ascii="Times New Roman" w:hAnsi="Times New Roman" w:eastAsia="宋体" w:cs="Times New Roman"/>
          <w:bCs/>
          <w:color w:val="auto"/>
          <w:sz w:val="24"/>
          <w:szCs w:val="21"/>
          <w:highlight w:val="none"/>
          <w:u w:val="none" w:color="auto"/>
          <w:lang w:val="en-US" w:eastAsia="zh-CN"/>
        </w:rPr>
        <w:t xml:space="preserve">，乔木层以旱柳为单优种，林下灌木偶见粉团蔷薇，林下草本层主要有南荻、益母草、百球藨草、蛇床等。 </w:t>
      </w:r>
    </w:p>
    <w:p w14:paraId="5A4B19CD">
      <w:pPr>
        <w:adjustRightInd w:val="0"/>
        <w:snapToGrid w:val="0"/>
        <w:spacing w:line="360" w:lineRule="auto"/>
        <w:jc w:val="left"/>
        <w:rPr>
          <w:color w:val="auto"/>
          <w:u w:val="none" w:color="auto"/>
        </w:rPr>
      </w:pPr>
      <w:r>
        <w:rPr>
          <w:color w:val="auto"/>
          <w:u w:val="none" w:color="auto"/>
        </w:rPr>
        <w:drawing>
          <wp:inline distT="0" distB="0" distL="114300" distR="114300">
            <wp:extent cx="5199380" cy="1809115"/>
            <wp:effectExtent l="0" t="0" r="1270" b="635"/>
            <wp:docPr id="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
                    <pic:cNvPicPr>
                      <a:picLocks noChangeAspect="1"/>
                    </pic:cNvPicPr>
                  </pic:nvPicPr>
                  <pic:blipFill>
                    <a:blip r:embed="rId111"/>
                    <a:stretch>
                      <a:fillRect/>
                    </a:stretch>
                  </pic:blipFill>
                  <pic:spPr>
                    <a:xfrm>
                      <a:off x="0" y="0"/>
                      <a:ext cx="5199380" cy="1809115"/>
                    </a:xfrm>
                    <a:prstGeom prst="rect">
                      <a:avLst/>
                    </a:prstGeom>
                    <a:noFill/>
                    <a:ln>
                      <a:noFill/>
                    </a:ln>
                  </pic:spPr>
                </pic:pic>
              </a:graphicData>
            </a:graphic>
          </wp:inline>
        </w:drawing>
      </w:r>
    </w:p>
    <w:p w14:paraId="2E8A3E30">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②芦苇群落 </w:t>
      </w:r>
    </w:p>
    <w:p w14:paraId="2EEABD8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芦苇是禾本科芦苇属的多年生草本植物，分布在中国各地，常见于江河湖泽、池塘沟渠沿岸和低湿地。芦苇的繁殖能力强，在适宜条件下，无论是种子、根状茎和地上茎都可栽种。芦苇花序雄伟美观，常用作湖边、河岸低湿处的观赏植物，有固堤、护坡、控制杂草的作用，杆为造纸原料或作编席织帘及建棚材料，根状茎供药用。芦苇还是湿地沼泽环境中重要的组成部分，且芦苇湿地的生态价值具有</w:t>
      </w:r>
      <w:r>
        <w:rPr>
          <w:rFonts w:hint="default" w:ascii="Times New Roman" w:hAnsi="Times New Roman" w:eastAsia="宋体" w:cs="Times New Roman"/>
          <w:bCs/>
          <w:color w:val="auto"/>
          <w:sz w:val="24"/>
          <w:szCs w:val="21"/>
          <w:highlight w:val="none"/>
          <w:u w:val="none" w:color="auto"/>
          <w:lang w:val="en-US" w:eastAsia="zh-CN"/>
        </w:rPr>
        <w:t>“</w:t>
      </w:r>
      <w:r>
        <w:rPr>
          <w:rFonts w:hint="eastAsia" w:ascii="Times New Roman" w:hAnsi="Times New Roman" w:eastAsia="宋体" w:cs="Times New Roman"/>
          <w:bCs/>
          <w:color w:val="auto"/>
          <w:sz w:val="24"/>
          <w:szCs w:val="21"/>
          <w:highlight w:val="none"/>
          <w:u w:val="none" w:color="auto"/>
          <w:lang w:val="en-US" w:eastAsia="zh-CN"/>
        </w:rPr>
        <w:t>第二森林</w:t>
      </w:r>
      <w:r>
        <w:rPr>
          <w:rFonts w:hint="default" w:ascii="Times New Roman" w:hAnsi="Times New Roman" w:eastAsia="宋体" w:cs="Times New Roman"/>
          <w:bCs/>
          <w:color w:val="auto"/>
          <w:sz w:val="24"/>
          <w:szCs w:val="21"/>
          <w:highlight w:val="none"/>
          <w:u w:val="none" w:color="auto"/>
          <w:lang w:val="en-US" w:eastAsia="zh-CN"/>
        </w:rPr>
        <w:t>”</w:t>
      </w:r>
      <w:r>
        <w:rPr>
          <w:rFonts w:hint="eastAsia" w:ascii="Times New Roman" w:hAnsi="Times New Roman" w:eastAsia="宋体" w:cs="Times New Roman"/>
          <w:bCs/>
          <w:color w:val="auto"/>
          <w:sz w:val="24"/>
          <w:szCs w:val="21"/>
          <w:highlight w:val="none"/>
          <w:u w:val="none" w:color="auto"/>
          <w:lang w:val="en-US" w:eastAsia="zh-CN"/>
        </w:rPr>
        <w:t xml:space="preserve">之美誉，在净化水源、调节气候和保护生物多样性等方面具有其他植物不可替代的作用。 </w:t>
      </w:r>
    </w:p>
    <w:p w14:paraId="6EA3FA0A">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该群落广泛分布于评价区荒地、农田田埂、藕池河河岸、堤坝。群落总盖度约</w:t>
      </w:r>
      <w:r>
        <w:rPr>
          <w:rFonts w:hint="default" w:ascii="Times New Roman" w:hAnsi="Times New Roman" w:eastAsia="宋体" w:cs="Times New Roman"/>
          <w:bCs/>
          <w:color w:val="auto"/>
          <w:sz w:val="24"/>
          <w:szCs w:val="21"/>
          <w:highlight w:val="none"/>
          <w:u w:val="none" w:color="auto"/>
          <w:lang w:val="en-US" w:eastAsia="zh-CN"/>
        </w:rPr>
        <w:t>90%</w:t>
      </w:r>
      <w:r>
        <w:rPr>
          <w:rFonts w:hint="eastAsia" w:ascii="Times New Roman" w:hAnsi="Times New Roman" w:eastAsia="宋体" w:cs="Times New Roman"/>
          <w:bCs/>
          <w:color w:val="auto"/>
          <w:sz w:val="24"/>
          <w:szCs w:val="21"/>
          <w:highlight w:val="none"/>
          <w:u w:val="none" w:color="auto"/>
          <w:lang w:val="en-US" w:eastAsia="zh-CN"/>
        </w:rPr>
        <w:t>，平均高度约</w:t>
      </w:r>
      <w:r>
        <w:rPr>
          <w:rFonts w:hint="default" w:ascii="Times New Roman" w:hAnsi="Times New Roman" w:eastAsia="宋体" w:cs="Times New Roman"/>
          <w:bCs/>
          <w:color w:val="auto"/>
          <w:sz w:val="24"/>
          <w:szCs w:val="21"/>
          <w:highlight w:val="none"/>
          <w:u w:val="none" w:color="auto"/>
          <w:lang w:val="en-US" w:eastAsia="zh-CN"/>
        </w:rPr>
        <w:t>2m</w:t>
      </w:r>
      <w:r>
        <w:rPr>
          <w:rFonts w:hint="eastAsia" w:ascii="Times New Roman" w:hAnsi="Times New Roman" w:eastAsia="宋体" w:cs="Times New Roman"/>
          <w:bCs/>
          <w:color w:val="auto"/>
          <w:sz w:val="24"/>
          <w:szCs w:val="21"/>
          <w:highlight w:val="none"/>
          <w:u w:val="none" w:color="auto"/>
          <w:lang w:val="en-US" w:eastAsia="zh-CN"/>
        </w:rPr>
        <w:t xml:space="preserve">。群落可分三层，第一层主要为芦苇，第二层主要有蛇床、益母草等，第三层主要有野老鹳、南苜蓿、救荒野豌豆、旋花等。 </w:t>
      </w:r>
    </w:p>
    <w:p w14:paraId="0348250F">
      <w:pPr>
        <w:pStyle w:val="24"/>
        <w:ind w:left="0" w:leftChars="0" w:firstLine="0" w:firstLineChars="0"/>
        <w:rPr>
          <w:rFonts w:hint="eastAsia"/>
          <w:color w:val="auto"/>
          <w:u w:val="none" w:color="auto"/>
          <w:lang w:val="en-US" w:eastAsia="zh-CN"/>
        </w:rPr>
      </w:pPr>
      <w:r>
        <w:rPr>
          <w:color w:val="auto"/>
          <w:u w:val="none" w:color="auto"/>
        </w:rPr>
        <w:drawing>
          <wp:inline distT="0" distB="0" distL="114300" distR="114300">
            <wp:extent cx="5269865" cy="1863090"/>
            <wp:effectExtent l="0" t="0" r="6985" b="3810"/>
            <wp:docPr id="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pic:cNvPicPr>
                      <a:picLocks noChangeAspect="1"/>
                    </pic:cNvPicPr>
                  </pic:nvPicPr>
                  <pic:blipFill>
                    <a:blip r:embed="rId112"/>
                    <a:stretch>
                      <a:fillRect/>
                    </a:stretch>
                  </pic:blipFill>
                  <pic:spPr>
                    <a:xfrm>
                      <a:off x="0" y="0"/>
                      <a:ext cx="5269865" cy="1863090"/>
                    </a:xfrm>
                    <a:prstGeom prst="rect">
                      <a:avLst/>
                    </a:prstGeom>
                    <a:noFill/>
                    <a:ln>
                      <a:noFill/>
                    </a:ln>
                  </pic:spPr>
                </pic:pic>
              </a:graphicData>
            </a:graphic>
          </wp:inline>
        </w:drawing>
      </w:r>
    </w:p>
    <w:p w14:paraId="3943DC7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③南荻群系 </w:t>
      </w:r>
    </w:p>
    <w:p w14:paraId="10473DE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南荻是禾本科、芒属多年生高大竹状草本植物。南荻产于中国长江中下游以南各省；生于江洲湖滩上，海拔</w:t>
      </w:r>
      <w:r>
        <w:rPr>
          <w:rFonts w:hint="default" w:ascii="Times New Roman" w:hAnsi="Times New Roman" w:eastAsia="宋体" w:cs="Times New Roman"/>
          <w:bCs/>
          <w:color w:val="auto"/>
          <w:sz w:val="24"/>
          <w:szCs w:val="21"/>
          <w:highlight w:val="none"/>
          <w:u w:val="none" w:color="auto"/>
          <w:lang w:val="en-US" w:eastAsia="zh-CN"/>
        </w:rPr>
        <w:t>30-40 m</w:t>
      </w:r>
      <w:r>
        <w:rPr>
          <w:rFonts w:hint="eastAsia" w:ascii="Times New Roman" w:hAnsi="Times New Roman" w:eastAsia="宋体" w:cs="Times New Roman"/>
          <w:bCs/>
          <w:color w:val="auto"/>
          <w:sz w:val="24"/>
          <w:szCs w:val="21"/>
          <w:highlight w:val="none"/>
          <w:u w:val="none" w:color="auto"/>
          <w:lang w:val="en-US" w:eastAsia="zh-CN"/>
        </w:rPr>
        <w:t>。南获的根状茎强壮，容易扩散繁殖，植株散生，分藥也多，而且生长迅速，植物纤维长且品质良好。大面积的南获可以调节气候，涵养水源，形成良好的湿地生态环境，为鸟类提供栖息、觅食、繁殖的家园。</w:t>
      </w:r>
    </w:p>
    <w:p w14:paraId="5CFAC009">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评价区内南荻群落主要生长于藕池河两岸河滩，面积较大，为天然群落。该群落以南荻为单一优势种，群落总盖度约为</w:t>
      </w:r>
      <w:r>
        <w:rPr>
          <w:rFonts w:hint="default" w:ascii="Times New Roman" w:hAnsi="Times New Roman" w:eastAsia="宋体" w:cs="Times New Roman"/>
          <w:bCs/>
          <w:color w:val="auto"/>
          <w:sz w:val="24"/>
          <w:szCs w:val="21"/>
          <w:highlight w:val="none"/>
          <w:u w:val="none" w:color="auto"/>
          <w:lang w:val="en-US" w:eastAsia="zh-CN"/>
        </w:rPr>
        <w:t>85%</w:t>
      </w:r>
      <w:r>
        <w:rPr>
          <w:rFonts w:hint="eastAsia" w:ascii="Times New Roman" w:hAnsi="Times New Roman" w:eastAsia="宋体" w:cs="Times New Roman"/>
          <w:bCs/>
          <w:color w:val="auto"/>
          <w:sz w:val="24"/>
          <w:szCs w:val="21"/>
          <w:highlight w:val="none"/>
          <w:u w:val="none" w:color="auto"/>
          <w:lang w:val="en-US" w:eastAsia="zh-CN"/>
        </w:rPr>
        <w:t>，平均高度</w:t>
      </w:r>
      <w:r>
        <w:rPr>
          <w:rFonts w:hint="default" w:ascii="Times New Roman" w:hAnsi="Times New Roman" w:eastAsia="宋体" w:cs="Times New Roman"/>
          <w:bCs/>
          <w:color w:val="auto"/>
          <w:sz w:val="24"/>
          <w:szCs w:val="21"/>
          <w:highlight w:val="none"/>
          <w:u w:val="none" w:color="auto"/>
          <w:lang w:val="en-US" w:eastAsia="zh-CN"/>
        </w:rPr>
        <w:t>1.5m</w:t>
      </w:r>
      <w:r>
        <w:rPr>
          <w:rFonts w:hint="eastAsia" w:ascii="Times New Roman" w:hAnsi="Times New Roman" w:eastAsia="宋体" w:cs="Times New Roman"/>
          <w:bCs/>
          <w:color w:val="auto"/>
          <w:sz w:val="24"/>
          <w:szCs w:val="21"/>
          <w:highlight w:val="none"/>
          <w:u w:val="none" w:color="auto"/>
          <w:lang w:val="en-US" w:eastAsia="zh-CN"/>
        </w:rPr>
        <w:t xml:space="preserve">，伴生草本主要有牛筋草、益母草、双穗雀稗等。 </w:t>
      </w:r>
    </w:p>
    <w:p w14:paraId="23C72C40">
      <w:pPr>
        <w:pStyle w:val="24"/>
        <w:ind w:left="0" w:leftChars="0" w:firstLine="0" w:firstLineChars="0"/>
        <w:rPr>
          <w:rFonts w:hint="eastAsia"/>
          <w:color w:val="auto"/>
          <w:u w:val="none" w:color="auto"/>
          <w:lang w:val="en-US" w:eastAsia="zh-CN"/>
        </w:rPr>
      </w:pPr>
      <w:r>
        <w:rPr>
          <w:color w:val="auto"/>
          <w:u w:val="none" w:color="auto"/>
        </w:rPr>
        <w:drawing>
          <wp:inline distT="0" distB="0" distL="114300" distR="114300">
            <wp:extent cx="5267325" cy="1799590"/>
            <wp:effectExtent l="0" t="0" r="9525" b="10160"/>
            <wp:docPr id="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0"/>
                    <pic:cNvPicPr>
                      <a:picLocks noChangeAspect="1"/>
                    </pic:cNvPicPr>
                  </pic:nvPicPr>
                  <pic:blipFill>
                    <a:blip r:embed="rId113"/>
                    <a:stretch>
                      <a:fillRect/>
                    </a:stretch>
                  </pic:blipFill>
                  <pic:spPr>
                    <a:xfrm>
                      <a:off x="0" y="0"/>
                      <a:ext cx="5267325" cy="1799590"/>
                    </a:xfrm>
                    <a:prstGeom prst="rect">
                      <a:avLst/>
                    </a:prstGeom>
                    <a:noFill/>
                    <a:ln>
                      <a:noFill/>
                    </a:ln>
                  </pic:spPr>
                </pic:pic>
              </a:graphicData>
            </a:graphic>
          </wp:inline>
        </w:drawing>
      </w:r>
    </w:p>
    <w:p w14:paraId="3B03C6F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水生植被</w:t>
      </w:r>
    </w:p>
    <w:p w14:paraId="477CDE42">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① 黑藻群落 </w:t>
      </w:r>
    </w:p>
    <w:p w14:paraId="46F4FA8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黑藻是水鳖科黑藻属多年生沉水草本。喜光照充足的环境，喜温暖，耐寒冷，在 </w:t>
      </w:r>
      <w:r>
        <w:rPr>
          <w:rFonts w:hint="default" w:ascii="Times New Roman" w:hAnsi="Times New Roman" w:eastAsia="宋体" w:cs="Times New Roman"/>
          <w:bCs/>
          <w:color w:val="auto"/>
          <w:sz w:val="24"/>
          <w:szCs w:val="21"/>
          <w:highlight w:val="none"/>
          <w:u w:val="none" w:color="auto"/>
          <w:lang w:val="en-US" w:eastAsia="zh-CN"/>
        </w:rPr>
        <w:t>15-30℃</w:t>
      </w:r>
      <w:r>
        <w:rPr>
          <w:rFonts w:hint="eastAsia" w:ascii="Times New Roman" w:hAnsi="Times New Roman" w:eastAsia="宋体" w:cs="Times New Roman"/>
          <w:bCs/>
          <w:color w:val="auto"/>
          <w:sz w:val="24"/>
          <w:szCs w:val="21"/>
          <w:highlight w:val="none"/>
          <w:u w:val="none" w:color="auto"/>
          <w:lang w:val="en-US" w:eastAsia="zh-CN"/>
        </w:rPr>
        <w:t xml:space="preserve">的温度范围内生长良好，越冬温度不宜低于 </w:t>
      </w:r>
      <w:r>
        <w:rPr>
          <w:rFonts w:hint="default" w:ascii="Times New Roman" w:hAnsi="Times New Roman" w:eastAsia="宋体" w:cs="Times New Roman"/>
          <w:bCs/>
          <w:color w:val="auto"/>
          <w:sz w:val="24"/>
          <w:szCs w:val="21"/>
          <w:highlight w:val="none"/>
          <w:u w:val="none" w:color="auto"/>
          <w:lang w:val="en-US" w:eastAsia="zh-CN"/>
        </w:rPr>
        <w:t>4℃</w:t>
      </w:r>
      <w:r>
        <w:rPr>
          <w:rFonts w:hint="eastAsia" w:ascii="Times New Roman" w:hAnsi="Times New Roman" w:eastAsia="宋体" w:cs="Times New Roman"/>
          <w:bCs/>
          <w:color w:val="auto"/>
          <w:sz w:val="24"/>
          <w:szCs w:val="21"/>
          <w:highlight w:val="none"/>
          <w:u w:val="none" w:color="auto"/>
          <w:lang w:val="en-US" w:eastAsia="zh-CN"/>
        </w:rPr>
        <w:t xml:space="preserve">。该种植物适合室内水体绿化，是装饰水族箱的良好材料，常作为中景、背景草使用。全草可做猪饲料，亦可作为绿肥使用；亦能入药，具利尿祛湿之功效。 </w:t>
      </w:r>
    </w:p>
    <w:p w14:paraId="571B50C9">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现场调查结果显示，黑藻群落广泛分布于评价区北侧农田、原养虾池的静态水域中。群落以黑藻本种为单一优势种，伴生物种主要有水马齿、菹草等。 </w:t>
      </w:r>
    </w:p>
    <w:p w14:paraId="7BB8B586">
      <w:pPr>
        <w:adjustRightInd w:val="0"/>
        <w:snapToGrid w:val="0"/>
        <w:spacing w:line="360" w:lineRule="auto"/>
        <w:jc w:val="left"/>
        <w:rPr>
          <w:rFonts w:hint="default"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74310" cy="1909445"/>
            <wp:effectExtent l="0" t="0" r="2540" b="1460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114"/>
                    <a:stretch>
                      <a:fillRect/>
                    </a:stretch>
                  </pic:blipFill>
                  <pic:spPr>
                    <a:xfrm>
                      <a:off x="0" y="0"/>
                      <a:ext cx="5274310" cy="1909445"/>
                    </a:xfrm>
                    <a:prstGeom prst="rect">
                      <a:avLst/>
                    </a:prstGeom>
                    <a:noFill/>
                    <a:ln>
                      <a:noFill/>
                    </a:ln>
                  </pic:spPr>
                </pic:pic>
              </a:graphicData>
            </a:graphic>
          </wp:inline>
        </w:drawing>
      </w:r>
    </w:p>
    <w:p w14:paraId="14F6D83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 xml:space="preserve">② </w:t>
      </w:r>
      <w:r>
        <w:rPr>
          <w:rFonts w:hint="eastAsia" w:ascii="Times New Roman" w:hAnsi="Times New Roman" w:eastAsia="宋体" w:cs="Times New Roman"/>
          <w:bCs/>
          <w:color w:val="auto"/>
          <w:sz w:val="24"/>
          <w:szCs w:val="21"/>
          <w:highlight w:val="none"/>
          <w:u w:val="none" w:color="auto"/>
          <w:lang w:val="en-US" w:eastAsia="zh-CN"/>
        </w:rPr>
        <w:t xml:space="preserve">菹草群落 </w:t>
      </w:r>
    </w:p>
    <w:p w14:paraId="4C5F3BFE">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菹草眼为子菜科眼子菜属的多年生沉水草本植物。常生于池塘、湖泊、溪流中，水体多呈微酸至中性。广泛生长在湖沼、池塘、河沟和稻田。菹草的生长时期与大多数水生植物有所不同，冬、春生长良好，对水域的富营养化有较强的适应能力。 </w:t>
      </w:r>
    </w:p>
    <w:p w14:paraId="3A7F4CCE">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根据现场调查结果显示，该群落主要分布于评价区北侧农田沟渠的流动水域中，群落物种多样性较为单一，以菹草为主。</w:t>
      </w:r>
    </w:p>
    <w:p w14:paraId="3F0CB8A2">
      <w:pPr>
        <w:adjustRightInd w:val="0"/>
        <w:snapToGrid w:val="0"/>
        <w:spacing w:line="360" w:lineRule="auto"/>
        <w:jc w:val="left"/>
        <w:rPr>
          <w:rFonts w:hint="eastAsia"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67325" cy="1724025"/>
            <wp:effectExtent l="0" t="0" r="9525" b="9525"/>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115"/>
                    <a:stretch>
                      <a:fillRect/>
                    </a:stretch>
                  </pic:blipFill>
                  <pic:spPr>
                    <a:xfrm>
                      <a:off x="0" y="0"/>
                      <a:ext cx="5267325" cy="1724025"/>
                    </a:xfrm>
                    <a:prstGeom prst="rect">
                      <a:avLst/>
                    </a:prstGeom>
                    <a:noFill/>
                    <a:ln>
                      <a:noFill/>
                    </a:ln>
                  </pic:spPr>
                </pic:pic>
              </a:graphicData>
            </a:graphic>
          </wp:inline>
        </w:drawing>
      </w:r>
    </w:p>
    <w:p w14:paraId="6E49292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黑藻、菹草等原生水生植物在东洞庭湖国家级自然保护区湿地生态系统扮演至关重要的角色。在水质净化方面，黑藻能够吸收水体中的营养物质，如氮、磷等，有助于减少水体富营养化现象，其根系和茎叶可以减缓水流速度，帮助稳定底泥，防止沉积物再悬浮，从而保持水质清晰；在环境适应性方面，耐寒性强，能够在冬季存活，保证了湿地植被的连续性和稳定性；在生态保护方面促进了湿地生物多样性的提高，它不仅是许多水生动物的食物来源，还为微生物和其他小型生物提供了生存空间。 </w:t>
      </w:r>
    </w:p>
    <w:p w14:paraId="1FF1A4C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 xml:space="preserve">③ </w:t>
      </w:r>
      <w:r>
        <w:rPr>
          <w:rFonts w:hint="eastAsia" w:ascii="Times New Roman" w:hAnsi="Times New Roman" w:eastAsia="宋体" w:cs="Times New Roman"/>
          <w:bCs/>
          <w:color w:val="auto"/>
          <w:sz w:val="24"/>
          <w:szCs w:val="21"/>
          <w:highlight w:val="none"/>
          <w:u w:val="none" w:color="auto"/>
          <w:lang w:val="en-US" w:eastAsia="zh-CN"/>
        </w:rPr>
        <w:t xml:space="preserve">空心莲子草群落 </w:t>
      </w:r>
    </w:p>
    <w:p w14:paraId="0616365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空心莲子草为苋科莲子草属多年生草本植物，喜旱莲子草原产巴西，引种我国后，逸为野生，现已成为恶性入侵杂草。该群落于评价区内广泛分布。 </w:t>
      </w:r>
    </w:p>
    <w:p w14:paraId="5C57C7A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空心莲子草在湿地生态系统中的影响是双重的，既有正面作用也存在极其显著的负面影响。正面影响主要体现在水质净化、土壤保持和碳汇功能上；负面影响主要有，生态入侵、农业与水资源管理问题以及给当地的生态环境管理和经济发展带来负担。</w:t>
      </w:r>
    </w:p>
    <w:p w14:paraId="1B525E14">
      <w:pPr>
        <w:pStyle w:val="24"/>
        <w:ind w:left="0" w:leftChars="0" w:firstLine="0" w:firstLineChars="0"/>
        <w:rPr>
          <w:rFonts w:hint="eastAsia" w:ascii="Times New Roman" w:hAnsi="Times New Roman" w:eastAsia="宋体" w:cs="Times New Roman"/>
          <w:bCs/>
          <w:color w:val="auto"/>
          <w:sz w:val="24"/>
          <w:szCs w:val="21"/>
          <w:highlight w:val="none"/>
          <w:u w:val="none" w:color="auto"/>
          <w:lang w:val="en-US" w:eastAsia="zh-CN"/>
        </w:rPr>
      </w:pPr>
      <w:r>
        <w:rPr>
          <w:color w:val="auto"/>
          <w:u w:val="none" w:color="auto"/>
        </w:rPr>
        <w:drawing>
          <wp:inline distT="0" distB="0" distL="114300" distR="114300">
            <wp:extent cx="5273040" cy="1798955"/>
            <wp:effectExtent l="0" t="0" r="3810" b="10795"/>
            <wp:docPr id="8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
                    <pic:cNvPicPr>
                      <a:picLocks noChangeAspect="1"/>
                    </pic:cNvPicPr>
                  </pic:nvPicPr>
                  <pic:blipFill>
                    <a:blip r:embed="rId116"/>
                    <a:stretch>
                      <a:fillRect/>
                    </a:stretch>
                  </pic:blipFill>
                  <pic:spPr>
                    <a:xfrm>
                      <a:off x="0" y="0"/>
                      <a:ext cx="5273040" cy="1798955"/>
                    </a:xfrm>
                    <a:prstGeom prst="rect">
                      <a:avLst/>
                    </a:prstGeom>
                    <a:noFill/>
                    <a:ln>
                      <a:noFill/>
                    </a:ln>
                  </pic:spPr>
                </pic:pic>
              </a:graphicData>
            </a:graphic>
          </wp:inline>
        </w:drawing>
      </w:r>
    </w:p>
    <w:p w14:paraId="1DB5DA57">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w:t>
      </w:r>
      <w:r>
        <w:rPr>
          <w:rFonts w:hint="eastAsia"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 xml:space="preserve">）木本类（栽培植被） </w:t>
      </w:r>
    </w:p>
    <w:p w14:paraId="1553630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①</w:t>
      </w:r>
      <w:r>
        <w:rPr>
          <w:rFonts w:hint="eastAsia" w:ascii="Times New Roman" w:hAnsi="Times New Roman" w:eastAsia="宋体" w:cs="Times New Roman"/>
          <w:bCs/>
          <w:color w:val="auto"/>
          <w:sz w:val="24"/>
          <w:szCs w:val="21"/>
          <w:highlight w:val="none"/>
          <w:u w:val="none" w:color="auto"/>
          <w:lang w:val="en-US" w:eastAsia="zh-CN"/>
        </w:rPr>
        <w:t xml:space="preserve">加杨林 </w:t>
      </w:r>
    </w:p>
    <w:p w14:paraId="6246C81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加杨是杨柳科、杨属的大乔木，高可达</w:t>
      </w:r>
      <w:r>
        <w:rPr>
          <w:rFonts w:hint="default" w:ascii="Times New Roman" w:hAnsi="Times New Roman" w:eastAsia="宋体" w:cs="Times New Roman"/>
          <w:bCs/>
          <w:color w:val="auto"/>
          <w:sz w:val="24"/>
          <w:szCs w:val="21"/>
          <w:highlight w:val="none"/>
          <w:u w:val="none" w:color="auto"/>
          <w:lang w:val="en-US" w:eastAsia="zh-CN"/>
        </w:rPr>
        <w:t>30</w:t>
      </w:r>
      <w:r>
        <w:rPr>
          <w:rFonts w:hint="eastAsia" w:ascii="Times New Roman" w:hAnsi="Times New Roman" w:eastAsia="宋体" w:cs="Times New Roman"/>
          <w:bCs/>
          <w:color w:val="auto"/>
          <w:sz w:val="24"/>
          <w:szCs w:val="21"/>
          <w:highlight w:val="none"/>
          <w:u w:val="none" w:color="auto"/>
          <w:lang w:val="en-US" w:eastAsia="zh-CN"/>
        </w:rPr>
        <w:t xml:space="preserve">多米。加杨原产于加拿大，现于中国各省广泛分布。喜温暖湿润气候，喜光，耐寒，喜湿润而排水良好的冲积土，对水涝、盐碱和薄土地均有一定的适应能力。 </w:t>
      </w:r>
    </w:p>
    <w:p w14:paraId="07F27444">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现场调查结果显示，该群落主要分布于藕池河两岸，在农田水渠也有少量分布，乔木层以加杨为主，伴生有旱柳，群落盖度约为</w:t>
      </w:r>
      <w:r>
        <w:rPr>
          <w:rFonts w:hint="default" w:ascii="Times New Roman" w:hAnsi="Times New Roman" w:eastAsia="宋体" w:cs="Times New Roman"/>
          <w:bCs/>
          <w:color w:val="auto"/>
          <w:sz w:val="24"/>
          <w:szCs w:val="21"/>
          <w:highlight w:val="none"/>
          <w:u w:val="none" w:color="auto"/>
          <w:lang w:val="en-US" w:eastAsia="zh-CN"/>
        </w:rPr>
        <w:t>80%</w:t>
      </w:r>
      <w:r>
        <w:rPr>
          <w:rFonts w:hint="eastAsia" w:ascii="Times New Roman" w:hAnsi="Times New Roman" w:eastAsia="宋体" w:cs="Times New Roman"/>
          <w:bCs/>
          <w:color w:val="auto"/>
          <w:sz w:val="24"/>
          <w:szCs w:val="21"/>
          <w:highlight w:val="none"/>
          <w:u w:val="none" w:color="auto"/>
          <w:lang w:val="en-US" w:eastAsia="zh-CN"/>
        </w:rPr>
        <w:t>，平均高度</w:t>
      </w:r>
      <w:r>
        <w:rPr>
          <w:rFonts w:hint="default" w:ascii="Times New Roman" w:hAnsi="Times New Roman" w:eastAsia="宋体" w:cs="Times New Roman"/>
          <w:bCs/>
          <w:color w:val="auto"/>
          <w:sz w:val="24"/>
          <w:szCs w:val="21"/>
          <w:highlight w:val="none"/>
          <w:u w:val="none" w:color="auto"/>
          <w:lang w:val="en-US" w:eastAsia="zh-CN"/>
        </w:rPr>
        <w:t>10 m</w:t>
      </w:r>
      <w:r>
        <w:rPr>
          <w:rFonts w:hint="eastAsia" w:ascii="Times New Roman" w:hAnsi="Times New Roman" w:eastAsia="宋体" w:cs="Times New Roman"/>
          <w:bCs/>
          <w:color w:val="auto"/>
          <w:sz w:val="24"/>
          <w:szCs w:val="21"/>
          <w:highlight w:val="none"/>
          <w:u w:val="none" w:color="auto"/>
          <w:lang w:val="en-US" w:eastAsia="zh-CN"/>
        </w:rPr>
        <w:t xml:space="preserve">；草本层主要有益母草、荔枝草、蓼子草和风花菜等。 </w:t>
      </w:r>
    </w:p>
    <w:p w14:paraId="407F3B5C">
      <w:pPr>
        <w:adjustRightInd w:val="0"/>
        <w:snapToGrid w:val="0"/>
        <w:spacing w:line="360" w:lineRule="auto"/>
        <w:ind w:firstLine="420" w:firstLineChars="200"/>
        <w:jc w:val="left"/>
        <w:rPr>
          <w:color w:val="auto"/>
          <w:u w:val="none" w:color="auto"/>
        </w:rPr>
      </w:pPr>
      <w:r>
        <w:rPr>
          <w:color w:val="auto"/>
          <w:u w:val="none" w:color="auto"/>
        </w:rPr>
        <w:drawing>
          <wp:inline distT="0" distB="0" distL="114300" distR="114300">
            <wp:extent cx="4905375" cy="3476625"/>
            <wp:effectExtent l="0" t="0" r="9525" b="9525"/>
            <wp:docPr id="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4"/>
                    <pic:cNvPicPr>
                      <a:picLocks noChangeAspect="1"/>
                    </pic:cNvPicPr>
                  </pic:nvPicPr>
                  <pic:blipFill>
                    <a:blip r:embed="rId117"/>
                    <a:stretch>
                      <a:fillRect/>
                    </a:stretch>
                  </pic:blipFill>
                  <pic:spPr>
                    <a:xfrm>
                      <a:off x="0" y="0"/>
                      <a:ext cx="4905375" cy="3476625"/>
                    </a:xfrm>
                    <a:prstGeom prst="rect">
                      <a:avLst/>
                    </a:prstGeom>
                    <a:noFill/>
                    <a:ln>
                      <a:noFill/>
                    </a:ln>
                  </pic:spPr>
                </pic:pic>
              </a:graphicData>
            </a:graphic>
          </wp:inline>
        </w:drawing>
      </w:r>
    </w:p>
    <w:p w14:paraId="3A6FE35D">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②</w:t>
      </w:r>
      <w:r>
        <w:rPr>
          <w:rFonts w:hint="eastAsia" w:ascii="Times New Roman" w:hAnsi="Times New Roman" w:eastAsia="宋体" w:cs="Times New Roman"/>
          <w:bCs/>
          <w:color w:val="auto"/>
          <w:sz w:val="24"/>
          <w:szCs w:val="21"/>
          <w:highlight w:val="none"/>
          <w:u w:val="none" w:color="auto"/>
          <w:lang w:val="en-US" w:eastAsia="zh-CN"/>
        </w:rPr>
        <w:t xml:space="preserve">水杉林 </w:t>
      </w:r>
    </w:p>
    <w:p w14:paraId="29F677B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水杉树原产地是在中国湖北省，分布的地区环境都是比较湿润多雨的，之后在中国各地广泛移栽种植。水杉喜温暖湿润气候；喜深厚肥沃的酸性土；不耐旱，对土壤干旱较敏感，对二氧化硫等有害气体的抗性较弱。水杉木材质轻软，生长较快，纹理直，结构比较粗壮，早晚材硬度区别大，不耐水湿，是很好的工业原料，可供房屋及安置、板料、电杆、家具及木纤维工业原料使用。 </w:t>
      </w:r>
    </w:p>
    <w:p w14:paraId="2A5CEDDE">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现场调查结果表明，水杉林在评价区内分布面积较小，主要作为评价区居民区的四旁树。 </w:t>
      </w:r>
      <w:r>
        <w:rPr>
          <w:color w:val="auto"/>
          <w:u w:val="none" w:color="auto"/>
        </w:rPr>
        <w:drawing>
          <wp:inline distT="0" distB="0" distL="114300" distR="114300">
            <wp:extent cx="5273040" cy="1869440"/>
            <wp:effectExtent l="0" t="0" r="3810" b="16510"/>
            <wp:docPr id="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5"/>
                    <pic:cNvPicPr>
                      <a:picLocks noChangeAspect="1"/>
                    </pic:cNvPicPr>
                  </pic:nvPicPr>
                  <pic:blipFill>
                    <a:blip r:embed="rId118"/>
                    <a:stretch>
                      <a:fillRect/>
                    </a:stretch>
                  </pic:blipFill>
                  <pic:spPr>
                    <a:xfrm>
                      <a:off x="0" y="0"/>
                      <a:ext cx="5273040" cy="1869440"/>
                    </a:xfrm>
                    <a:prstGeom prst="rect">
                      <a:avLst/>
                    </a:prstGeom>
                    <a:noFill/>
                    <a:ln>
                      <a:noFill/>
                    </a:ln>
                  </pic:spPr>
                </pic:pic>
              </a:graphicData>
            </a:graphic>
          </wp:inline>
        </w:drawing>
      </w:r>
    </w:p>
    <w:p w14:paraId="1535D9A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在</w:t>
      </w:r>
      <w:r>
        <w:rPr>
          <w:rFonts w:hint="default" w:ascii="Times New Roman" w:hAnsi="Times New Roman" w:eastAsia="宋体" w:cs="Times New Roman"/>
          <w:bCs/>
          <w:color w:val="auto"/>
          <w:sz w:val="24"/>
          <w:szCs w:val="21"/>
          <w:highlight w:val="none"/>
          <w:u w:val="none" w:color="auto"/>
          <w:lang w:val="en-US" w:eastAsia="zh-CN"/>
        </w:rPr>
        <w:t>20</w:t>
      </w:r>
      <w:r>
        <w:rPr>
          <w:rFonts w:hint="eastAsia" w:ascii="Times New Roman" w:hAnsi="Times New Roman" w:eastAsia="宋体" w:cs="Times New Roman"/>
          <w:bCs/>
          <w:color w:val="auto"/>
          <w:sz w:val="24"/>
          <w:szCs w:val="21"/>
          <w:highlight w:val="none"/>
          <w:u w:val="none" w:color="auto"/>
          <w:lang w:val="en-US" w:eastAsia="zh-CN"/>
        </w:rPr>
        <w:t xml:space="preserve">世纪中后期，随着对湖区生态保护重视程度的增加，加杨、水杉开始在洞庭湖周边广泛种植。 </w:t>
      </w:r>
    </w:p>
    <w:p w14:paraId="3D5915A7">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加杨和水杉的结合种植，充分利用了各自的优势。加杨的快速生长特性有助于短期内建立植被覆盖，而水杉则能在长期内提供更加稳定的生态环境。两者共同种植不仅能增强湖泊周边的生态稳定性，还能提高整个区域的生物多样性和美观度，促进生态系统的健康与可持续发展。</w:t>
      </w:r>
    </w:p>
    <w:p w14:paraId="31C4B948">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通过厂址现场实地调查和有关资料的记载，评价区内无珍稀古树名木和保护植物，项目位于城镇建成区腹地，远离野生植物生长范围，不会对项目范围内野生植物造成直接或间接的影响。</w:t>
      </w:r>
    </w:p>
    <w:p w14:paraId="10C58C46">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3）动物多样性调查</w:t>
      </w:r>
    </w:p>
    <w:p w14:paraId="39A3B13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自然保护区实验区毗邻的岳阳楼区地块土地开发利用程度较高，周边为受人类活动的影响非常大，评价区内无大型陆生野生动物。评价范围内野生动物主要分布在东洞庭湖自然保护区内部核心区和缓冲区，本次位于东洞庭湖自然保护区实验区范围内（</w:t>
      </w:r>
      <w:r>
        <w:rPr>
          <w:rFonts w:hint="eastAsia" w:cs="Times New Roman"/>
          <w:bCs/>
          <w:color w:val="auto"/>
          <w:sz w:val="24"/>
          <w:szCs w:val="21"/>
          <w:highlight w:val="none"/>
          <w:u w:val="none" w:color="auto"/>
          <w:lang w:val="en-US" w:eastAsia="zh-CN"/>
        </w:rPr>
        <w:t>自然保护区整合优化后</w:t>
      </w:r>
      <w:r>
        <w:rPr>
          <w:rFonts w:hint="eastAsia" w:ascii="Times New Roman" w:hAnsi="Times New Roman" w:eastAsia="宋体" w:cs="Times New Roman"/>
          <w:bCs/>
          <w:color w:val="auto"/>
          <w:sz w:val="24"/>
          <w:szCs w:val="21"/>
          <w:highlight w:val="none"/>
          <w:u w:val="none" w:color="auto"/>
          <w:lang w:val="en-US" w:eastAsia="zh-CN"/>
        </w:rPr>
        <w:t>的自然保护区</w:t>
      </w:r>
      <w:r>
        <w:rPr>
          <w:rFonts w:hint="eastAsia" w:cs="Times New Roman"/>
          <w:bCs/>
          <w:color w:val="auto"/>
          <w:sz w:val="24"/>
          <w:szCs w:val="21"/>
          <w:highlight w:val="none"/>
          <w:u w:val="none" w:color="auto"/>
          <w:lang w:val="en-US" w:eastAsia="zh-CN"/>
        </w:rPr>
        <w:t>边界</w:t>
      </w:r>
      <w:r>
        <w:rPr>
          <w:rFonts w:hint="eastAsia" w:ascii="Times New Roman" w:hAnsi="Times New Roman" w:eastAsia="宋体" w:cs="Times New Roman"/>
          <w:bCs/>
          <w:color w:val="auto"/>
          <w:sz w:val="24"/>
          <w:szCs w:val="21"/>
          <w:highlight w:val="none"/>
          <w:u w:val="none" w:color="auto"/>
          <w:lang w:val="en-US" w:eastAsia="zh-CN"/>
        </w:rPr>
        <w:t>外）。</w:t>
      </w:r>
    </w:p>
    <w:p w14:paraId="749A4951">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①</w:t>
      </w:r>
      <w:r>
        <w:rPr>
          <w:rFonts w:hint="eastAsia" w:ascii="Times New Roman" w:hAnsi="Times New Roman" w:eastAsia="宋体" w:cs="Times New Roman"/>
          <w:bCs/>
          <w:color w:val="auto"/>
          <w:sz w:val="24"/>
          <w:szCs w:val="21"/>
          <w:highlight w:val="none"/>
          <w:u w:val="none" w:color="auto"/>
          <w:lang w:val="en-US" w:eastAsia="zh-CN"/>
        </w:rPr>
        <w:t xml:space="preserve">兽类 </w:t>
      </w:r>
    </w:p>
    <w:p w14:paraId="45023D19">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通过实地调查和参考相关资料</w:t>
      </w:r>
      <w:r>
        <w:rPr>
          <w:rFonts w:hint="eastAsia" w:cs="Times New Roman"/>
          <w:bCs/>
          <w:color w:val="auto"/>
          <w:sz w:val="24"/>
          <w:szCs w:val="21"/>
          <w:highlight w:val="none"/>
          <w:u w:val="none" w:color="auto"/>
          <w:lang w:val="en-US" w:eastAsia="zh-CN"/>
        </w:rPr>
        <w:t>——</w:t>
      </w:r>
      <w:r>
        <w:rPr>
          <w:rFonts w:hint="eastAsia" w:ascii="Times New Roman" w:hAnsi="Times New Roman" w:eastAsia="宋体" w:cs="宋体"/>
          <w:bCs/>
          <w:color w:val="auto"/>
          <w:sz w:val="24"/>
          <w:szCs w:val="21"/>
          <w:u w:val="none" w:color="auto"/>
          <w:lang w:val="en-US" w:eastAsia="zh-CN"/>
        </w:rPr>
        <w:t>《</w:t>
      </w:r>
      <w:r>
        <w:rPr>
          <w:rFonts w:hint="default" w:ascii="Times New Roman" w:hAnsi="Times New Roman" w:eastAsia="宋体" w:cs="宋体"/>
          <w:bCs/>
          <w:color w:val="auto"/>
          <w:sz w:val="24"/>
          <w:szCs w:val="21"/>
          <w:u w:val="none" w:color="auto"/>
          <w:lang w:val="en-US" w:eastAsia="zh-CN"/>
        </w:rPr>
        <w:t>华容县团洲垸决口灾后农村居民集中安置房项目</w:t>
      </w:r>
      <w:r>
        <w:rPr>
          <w:rFonts w:hint="eastAsia" w:ascii="Times New Roman" w:hAnsi="Times New Roman" w:eastAsia="宋体" w:cs="宋体"/>
          <w:bCs/>
          <w:color w:val="auto"/>
          <w:sz w:val="24"/>
          <w:szCs w:val="21"/>
          <w:u w:val="none" w:color="auto"/>
          <w:lang w:val="en-US" w:eastAsia="zh-CN"/>
        </w:rPr>
        <w:t>对湖南东洞庭湖国家级自然保护区生物多样性影响评价报告》</w:t>
      </w:r>
      <w:r>
        <w:rPr>
          <w:rFonts w:hint="eastAsia" w:ascii="Times New Roman" w:hAnsi="Times New Roman" w:eastAsia="宋体" w:cs="Times New Roman"/>
          <w:bCs/>
          <w:color w:val="auto"/>
          <w:sz w:val="24"/>
          <w:szCs w:val="21"/>
          <w:highlight w:val="none"/>
          <w:u w:val="none" w:color="auto"/>
          <w:lang w:val="en-US" w:eastAsia="zh-CN"/>
        </w:rPr>
        <w:t>，评价区</w:t>
      </w:r>
      <w:r>
        <w:rPr>
          <w:rFonts w:hint="eastAsia" w:cs="Times New Roman"/>
          <w:bCs/>
          <w:color w:val="auto"/>
          <w:sz w:val="24"/>
          <w:szCs w:val="21"/>
          <w:highlight w:val="none"/>
          <w:u w:val="none" w:color="auto"/>
          <w:lang w:val="en-US" w:eastAsia="zh-CN"/>
        </w:rPr>
        <w:t>范围内</w:t>
      </w:r>
      <w:r>
        <w:rPr>
          <w:rFonts w:hint="eastAsia" w:ascii="Times New Roman" w:hAnsi="Times New Roman" w:eastAsia="宋体" w:cs="Times New Roman"/>
          <w:bCs/>
          <w:color w:val="auto"/>
          <w:sz w:val="24"/>
          <w:szCs w:val="21"/>
          <w:highlight w:val="none"/>
          <w:u w:val="none" w:color="auto"/>
          <w:lang w:val="en-US" w:eastAsia="zh-CN"/>
        </w:rPr>
        <w:t>共记录哺乳动物</w:t>
      </w:r>
      <w:r>
        <w:rPr>
          <w:rFonts w:hint="default" w:ascii="Times New Roman" w:hAnsi="Times New Roman" w:eastAsia="宋体" w:cs="Times New Roman"/>
          <w:bCs/>
          <w:color w:val="auto"/>
          <w:sz w:val="24"/>
          <w:szCs w:val="21"/>
          <w:highlight w:val="none"/>
          <w:u w:val="none" w:color="auto"/>
          <w:lang w:val="en-US" w:eastAsia="zh-CN"/>
        </w:rPr>
        <w:t>7</w:t>
      </w:r>
      <w:r>
        <w:rPr>
          <w:rFonts w:hint="eastAsia" w:ascii="Times New Roman" w:hAnsi="Times New Roman" w:eastAsia="宋体" w:cs="Times New Roman"/>
          <w:bCs/>
          <w:color w:val="auto"/>
          <w:sz w:val="24"/>
          <w:szCs w:val="21"/>
          <w:highlight w:val="none"/>
          <w:u w:val="none" w:color="auto"/>
          <w:lang w:val="en-US" w:eastAsia="zh-CN"/>
        </w:rPr>
        <w:t>种，隶属于</w:t>
      </w:r>
      <w:r>
        <w:rPr>
          <w:rFonts w:hint="default" w:ascii="Times New Roman" w:hAnsi="Times New Roman" w:eastAsia="宋体" w:cs="Times New Roman"/>
          <w:bCs/>
          <w:color w:val="auto"/>
          <w:sz w:val="24"/>
          <w:szCs w:val="21"/>
          <w:highlight w:val="none"/>
          <w:u w:val="none" w:color="auto"/>
          <w:lang w:val="en-US" w:eastAsia="zh-CN"/>
        </w:rPr>
        <w:t>5</w:t>
      </w:r>
      <w:r>
        <w:rPr>
          <w:rFonts w:hint="eastAsia" w:ascii="Times New Roman" w:hAnsi="Times New Roman" w:eastAsia="宋体" w:cs="Times New Roman"/>
          <w:bCs/>
          <w:color w:val="auto"/>
          <w:sz w:val="24"/>
          <w:szCs w:val="21"/>
          <w:highlight w:val="none"/>
          <w:u w:val="none" w:color="auto"/>
          <w:lang w:val="en-US" w:eastAsia="zh-CN"/>
        </w:rPr>
        <w:t>目</w:t>
      </w:r>
      <w:r>
        <w:rPr>
          <w:rFonts w:hint="default" w:ascii="Times New Roman" w:hAnsi="Times New Roman" w:eastAsia="宋体" w:cs="Times New Roman"/>
          <w:bCs/>
          <w:color w:val="auto"/>
          <w:sz w:val="24"/>
          <w:szCs w:val="21"/>
          <w:highlight w:val="none"/>
          <w:u w:val="none" w:color="auto"/>
          <w:lang w:val="en-US" w:eastAsia="zh-CN"/>
        </w:rPr>
        <w:t>6</w:t>
      </w:r>
      <w:r>
        <w:rPr>
          <w:rFonts w:hint="eastAsia" w:ascii="Times New Roman" w:hAnsi="Times New Roman" w:eastAsia="宋体" w:cs="Times New Roman"/>
          <w:bCs/>
          <w:color w:val="auto"/>
          <w:sz w:val="24"/>
          <w:szCs w:val="21"/>
          <w:highlight w:val="none"/>
          <w:u w:val="none" w:color="auto"/>
          <w:lang w:val="en-US" w:eastAsia="zh-CN"/>
        </w:rPr>
        <w:t>科。其中劳亚食虫目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种，兔形目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种，啮齿目</w:t>
      </w:r>
      <w:r>
        <w:rPr>
          <w:rFonts w:hint="default" w:ascii="Times New Roman" w:hAnsi="Times New Roman" w:eastAsia="宋体" w:cs="Times New Roman"/>
          <w:bCs/>
          <w:color w:val="auto"/>
          <w:sz w:val="24"/>
          <w:szCs w:val="21"/>
          <w:highlight w:val="none"/>
          <w:u w:val="none" w:color="auto"/>
          <w:lang w:val="en-US" w:eastAsia="zh-CN"/>
        </w:rPr>
        <w:t xml:space="preserve">2 </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种，食肉目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种，翼手目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 xml:space="preserve">种。统计得出，有 </w:t>
      </w:r>
      <w:r>
        <w:rPr>
          <w:rFonts w:hint="default" w:ascii="Times New Roman" w:hAnsi="Times New Roman" w:eastAsia="宋体" w:cs="Times New Roman"/>
          <w:bCs/>
          <w:color w:val="auto"/>
          <w:sz w:val="24"/>
          <w:szCs w:val="21"/>
          <w:highlight w:val="none"/>
          <w:u w:val="none" w:color="auto"/>
          <w:lang w:val="en-US" w:eastAsia="zh-CN"/>
        </w:rPr>
        <w:t xml:space="preserve">3 </w:t>
      </w:r>
      <w:r>
        <w:rPr>
          <w:rFonts w:hint="eastAsia" w:ascii="Times New Roman" w:hAnsi="Times New Roman" w:eastAsia="宋体" w:cs="Times New Roman"/>
          <w:bCs/>
          <w:color w:val="auto"/>
          <w:sz w:val="24"/>
          <w:szCs w:val="21"/>
          <w:highlight w:val="none"/>
          <w:u w:val="none" w:color="auto"/>
          <w:lang w:val="en-US" w:eastAsia="zh-CN"/>
        </w:rPr>
        <w:t xml:space="preserve">种哺乳动物被列入《湖南省地方种重点保护野生动物名录》，即隐纹花鼠、东北刺猬、黄鼬。所有物种受威胁等级均为无危。 </w:t>
      </w:r>
    </w:p>
    <w:p w14:paraId="6A406DA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②</w:t>
      </w:r>
      <w:r>
        <w:rPr>
          <w:rFonts w:hint="eastAsia" w:ascii="Times New Roman" w:hAnsi="Times New Roman" w:eastAsia="宋体" w:cs="Times New Roman"/>
          <w:bCs/>
          <w:color w:val="auto"/>
          <w:sz w:val="24"/>
          <w:szCs w:val="21"/>
          <w:highlight w:val="none"/>
          <w:u w:val="none" w:color="auto"/>
          <w:lang w:val="en-US" w:eastAsia="zh-CN"/>
        </w:rPr>
        <w:t>鸟类</w:t>
      </w:r>
    </w:p>
    <w:p w14:paraId="406147F3">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根据实地调查、访问调查和查阅有关文献，评价区共记录鸟类</w:t>
      </w:r>
      <w:r>
        <w:rPr>
          <w:rFonts w:hint="default" w:ascii="Times New Roman" w:hAnsi="Times New Roman" w:eastAsia="宋体" w:cs="Times New Roman"/>
          <w:bCs/>
          <w:color w:val="auto"/>
          <w:sz w:val="24"/>
          <w:szCs w:val="21"/>
          <w:highlight w:val="none"/>
          <w:u w:val="none" w:color="auto"/>
          <w:lang w:val="en-US" w:eastAsia="zh-CN"/>
        </w:rPr>
        <w:t>56</w:t>
      </w:r>
      <w:r>
        <w:rPr>
          <w:rFonts w:hint="eastAsia" w:ascii="Times New Roman" w:hAnsi="Times New Roman" w:eastAsia="宋体" w:cs="Times New Roman"/>
          <w:bCs/>
          <w:color w:val="auto"/>
          <w:sz w:val="24"/>
          <w:szCs w:val="21"/>
          <w:highlight w:val="none"/>
          <w:u w:val="none" w:color="auto"/>
          <w:lang w:val="en-US" w:eastAsia="zh-CN"/>
        </w:rPr>
        <w:t>种，隶属</w:t>
      </w:r>
      <w:r>
        <w:rPr>
          <w:rFonts w:hint="default" w:ascii="Times New Roman" w:hAnsi="Times New Roman" w:eastAsia="宋体" w:cs="Times New Roman"/>
          <w:bCs/>
          <w:color w:val="auto"/>
          <w:sz w:val="24"/>
          <w:szCs w:val="21"/>
          <w:highlight w:val="none"/>
          <w:u w:val="none" w:color="auto"/>
          <w:lang w:val="en-US" w:eastAsia="zh-CN"/>
        </w:rPr>
        <w:t>11</w:t>
      </w:r>
      <w:r>
        <w:rPr>
          <w:rFonts w:hint="eastAsia" w:ascii="Times New Roman" w:hAnsi="Times New Roman" w:eastAsia="宋体" w:cs="Times New Roman"/>
          <w:bCs/>
          <w:color w:val="auto"/>
          <w:sz w:val="24"/>
          <w:szCs w:val="21"/>
          <w:highlight w:val="none"/>
          <w:u w:val="none" w:color="auto"/>
          <w:lang w:val="en-US" w:eastAsia="zh-CN"/>
        </w:rPr>
        <w:t>目</w:t>
      </w:r>
      <w:r>
        <w:rPr>
          <w:rFonts w:hint="default" w:ascii="Times New Roman" w:hAnsi="Times New Roman" w:eastAsia="宋体" w:cs="Times New Roman"/>
          <w:bCs/>
          <w:color w:val="auto"/>
          <w:sz w:val="24"/>
          <w:szCs w:val="21"/>
          <w:highlight w:val="none"/>
          <w:u w:val="none" w:color="auto"/>
          <w:lang w:val="en-US" w:eastAsia="zh-CN"/>
        </w:rPr>
        <w:t>30</w:t>
      </w:r>
      <w:r>
        <w:rPr>
          <w:rFonts w:hint="eastAsia" w:ascii="Times New Roman" w:hAnsi="Times New Roman" w:eastAsia="宋体" w:cs="Times New Roman"/>
          <w:bCs/>
          <w:color w:val="auto"/>
          <w:sz w:val="24"/>
          <w:szCs w:val="21"/>
          <w:highlight w:val="none"/>
          <w:u w:val="none" w:color="auto"/>
          <w:lang w:val="en-US" w:eastAsia="zh-CN"/>
        </w:rPr>
        <w:t>科，其中雁形目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种、鹈形目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6</w:t>
      </w:r>
      <w:r>
        <w:rPr>
          <w:rFonts w:hint="eastAsia" w:ascii="Times New Roman" w:hAnsi="Times New Roman" w:eastAsia="宋体" w:cs="Times New Roman"/>
          <w:bCs/>
          <w:color w:val="auto"/>
          <w:sz w:val="24"/>
          <w:szCs w:val="21"/>
          <w:highlight w:val="none"/>
          <w:u w:val="none" w:color="auto"/>
          <w:lang w:val="en-US" w:eastAsia="zh-CN"/>
        </w:rPr>
        <w:t>种、䴙䴘目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 xml:space="preserve">种、鹤形目 </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种、鸻形目</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种、鸡形目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种、鹃形目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种、佛法僧目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 xml:space="preserve">科 </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种、鸽形目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种、犀鸟目</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种、雀形目</w:t>
      </w:r>
      <w:r>
        <w:rPr>
          <w:rFonts w:hint="default" w:ascii="Times New Roman" w:hAnsi="Times New Roman" w:eastAsia="宋体" w:cs="Times New Roman"/>
          <w:bCs/>
          <w:color w:val="auto"/>
          <w:sz w:val="24"/>
          <w:szCs w:val="21"/>
          <w:highlight w:val="none"/>
          <w:u w:val="none" w:color="auto"/>
          <w:lang w:val="en-US" w:eastAsia="zh-CN"/>
        </w:rPr>
        <w:t>19</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34</w:t>
      </w:r>
      <w:r>
        <w:rPr>
          <w:rFonts w:hint="eastAsia" w:ascii="Times New Roman" w:hAnsi="Times New Roman" w:eastAsia="宋体" w:cs="Times New Roman"/>
          <w:bCs/>
          <w:color w:val="auto"/>
          <w:sz w:val="24"/>
          <w:szCs w:val="21"/>
          <w:highlight w:val="none"/>
          <w:u w:val="none" w:color="auto"/>
          <w:lang w:val="en-US" w:eastAsia="zh-CN"/>
        </w:rPr>
        <w:t>种。有小䴙䴘、白鹭、苍鹭等</w:t>
      </w:r>
      <w:r>
        <w:rPr>
          <w:rFonts w:hint="default" w:ascii="Times New Roman" w:hAnsi="Times New Roman" w:eastAsia="宋体" w:cs="Times New Roman"/>
          <w:bCs/>
          <w:color w:val="auto"/>
          <w:sz w:val="24"/>
          <w:szCs w:val="21"/>
          <w:highlight w:val="none"/>
          <w:u w:val="none" w:color="auto"/>
          <w:lang w:val="en-US" w:eastAsia="zh-CN"/>
        </w:rPr>
        <w:t>27</w:t>
      </w:r>
      <w:r>
        <w:rPr>
          <w:rFonts w:hint="eastAsia" w:ascii="Times New Roman" w:hAnsi="Times New Roman" w:eastAsia="宋体" w:cs="Times New Roman"/>
          <w:bCs/>
          <w:color w:val="auto"/>
          <w:sz w:val="24"/>
          <w:szCs w:val="21"/>
          <w:highlight w:val="none"/>
          <w:u w:val="none" w:color="auto"/>
          <w:lang w:val="en-US" w:eastAsia="zh-CN"/>
        </w:rPr>
        <w:t xml:space="preserve">种鸟类被列入《湖南省地方重点保护野生动物名录》。 </w:t>
      </w:r>
    </w:p>
    <w:p w14:paraId="3B1F54B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③</w:t>
      </w:r>
      <w:r>
        <w:rPr>
          <w:rFonts w:hint="eastAsia" w:ascii="Times New Roman" w:hAnsi="Times New Roman" w:eastAsia="宋体" w:cs="Times New Roman"/>
          <w:bCs/>
          <w:color w:val="auto"/>
          <w:sz w:val="24"/>
          <w:szCs w:val="21"/>
          <w:highlight w:val="none"/>
          <w:u w:val="none" w:color="auto"/>
          <w:lang w:val="en-US" w:eastAsia="zh-CN"/>
        </w:rPr>
        <w:t xml:space="preserve">爬行类 </w:t>
      </w:r>
    </w:p>
    <w:p w14:paraId="2E81305F">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根据实地调查、访问调查及查阅文献得知，评价区共记录爬行动物</w:t>
      </w:r>
      <w:r>
        <w:rPr>
          <w:rFonts w:hint="default" w:ascii="Times New Roman" w:hAnsi="Times New Roman" w:eastAsia="宋体" w:cs="Times New Roman"/>
          <w:bCs/>
          <w:color w:val="auto"/>
          <w:sz w:val="24"/>
          <w:szCs w:val="21"/>
          <w:highlight w:val="none"/>
          <w:u w:val="none" w:color="auto"/>
          <w:lang w:val="en-US" w:eastAsia="zh-CN"/>
        </w:rPr>
        <w:t>10</w:t>
      </w:r>
      <w:r>
        <w:rPr>
          <w:rFonts w:hint="eastAsia" w:ascii="Times New Roman" w:hAnsi="Times New Roman" w:eastAsia="宋体" w:cs="Times New Roman"/>
          <w:bCs/>
          <w:color w:val="auto"/>
          <w:sz w:val="24"/>
          <w:szCs w:val="21"/>
          <w:highlight w:val="none"/>
          <w:u w:val="none" w:color="auto"/>
          <w:lang w:val="en-US" w:eastAsia="zh-CN"/>
        </w:rPr>
        <w:t>种，隶属于</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目</w:t>
      </w:r>
      <w:r>
        <w:rPr>
          <w:rFonts w:hint="default" w:ascii="Times New Roman" w:hAnsi="Times New Roman" w:eastAsia="宋体" w:cs="Times New Roman"/>
          <w:bCs/>
          <w:color w:val="auto"/>
          <w:sz w:val="24"/>
          <w:szCs w:val="21"/>
          <w:highlight w:val="none"/>
          <w:u w:val="none" w:color="auto"/>
          <w:lang w:val="en-US" w:eastAsia="zh-CN"/>
        </w:rPr>
        <w:t>6</w:t>
      </w:r>
      <w:r>
        <w:rPr>
          <w:rFonts w:hint="eastAsia" w:ascii="Times New Roman" w:hAnsi="Times New Roman" w:eastAsia="宋体" w:cs="Times New Roman"/>
          <w:bCs/>
          <w:color w:val="auto"/>
          <w:sz w:val="24"/>
          <w:szCs w:val="21"/>
          <w:highlight w:val="none"/>
          <w:u w:val="none" w:color="auto"/>
          <w:lang w:val="en-US" w:eastAsia="zh-CN"/>
        </w:rPr>
        <w:t>科。其中，壁虎科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种、蜥蜴科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种、石龙子科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种、游蛇科</w:t>
      </w:r>
      <w:r>
        <w:rPr>
          <w:rFonts w:hint="default" w:ascii="Times New Roman" w:hAnsi="Times New Roman" w:eastAsia="宋体" w:cs="Times New Roman"/>
          <w:bCs/>
          <w:color w:val="auto"/>
          <w:sz w:val="24"/>
          <w:szCs w:val="21"/>
          <w:highlight w:val="none"/>
          <w:u w:val="none" w:color="auto"/>
          <w:lang w:val="en-US" w:eastAsia="zh-CN"/>
        </w:rPr>
        <w:t>4</w:t>
      </w:r>
      <w:r>
        <w:rPr>
          <w:rFonts w:hint="eastAsia" w:ascii="Times New Roman" w:hAnsi="Times New Roman" w:eastAsia="宋体" w:cs="Times New Roman"/>
          <w:bCs/>
          <w:color w:val="auto"/>
          <w:sz w:val="24"/>
          <w:szCs w:val="21"/>
          <w:highlight w:val="none"/>
          <w:u w:val="none" w:color="auto"/>
          <w:lang w:val="en-US" w:eastAsia="zh-CN"/>
        </w:rPr>
        <w:t>种、水蛇科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种和蝰科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种，以游蛇科种类占优势。在评价区记录的</w:t>
      </w:r>
      <w:r>
        <w:rPr>
          <w:rFonts w:hint="default" w:ascii="Times New Roman" w:hAnsi="Times New Roman" w:eastAsia="宋体" w:cs="Times New Roman"/>
          <w:bCs/>
          <w:color w:val="auto"/>
          <w:sz w:val="24"/>
          <w:szCs w:val="21"/>
          <w:highlight w:val="none"/>
          <w:u w:val="none" w:color="auto"/>
          <w:lang w:val="en-US" w:eastAsia="zh-CN"/>
        </w:rPr>
        <w:t>10</w:t>
      </w:r>
      <w:r>
        <w:rPr>
          <w:rFonts w:hint="eastAsia" w:ascii="Times New Roman" w:hAnsi="Times New Roman" w:eastAsia="宋体" w:cs="Times New Roman"/>
          <w:bCs/>
          <w:color w:val="auto"/>
          <w:sz w:val="24"/>
          <w:szCs w:val="21"/>
          <w:highlight w:val="none"/>
          <w:u w:val="none" w:color="auto"/>
          <w:lang w:val="en-US" w:eastAsia="zh-CN"/>
        </w:rPr>
        <w:t xml:space="preserve">种爬行动物均属于湖南省地方重点保护陆生野生动物。 </w:t>
      </w:r>
    </w:p>
    <w:p w14:paraId="7FE37C2C">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 xml:space="preserve">④两栖类 </w:t>
      </w:r>
    </w:p>
    <w:p w14:paraId="18C5D62F">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根据实地调查、访问调查及查阅相关文献得知，评价区内共记录两栖动物</w:t>
      </w:r>
      <w:r>
        <w:rPr>
          <w:rFonts w:hint="default" w:ascii="Times New Roman" w:hAnsi="Times New Roman" w:eastAsia="宋体" w:cs="Times New Roman"/>
          <w:bCs/>
          <w:color w:val="auto"/>
          <w:sz w:val="24"/>
          <w:szCs w:val="21"/>
          <w:highlight w:val="none"/>
          <w:u w:val="none" w:color="auto"/>
          <w:lang w:val="en-US" w:eastAsia="zh-CN"/>
        </w:rPr>
        <w:t xml:space="preserve">7 </w:t>
      </w:r>
      <w:r>
        <w:rPr>
          <w:rFonts w:hint="eastAsia" w:ascii="Times New Roman" w:hAnsi="Times New Roman" w:eastAsia="宋体" w:cs="Times New Roman"/>
          <w:bCs/>
          <w:color w:val="auto"/>
          <w:sz w:val="24"/>
          <w:szCs w:val="21"/>
          <w:highlight w:val="none"/>
          <w:u w:val="none" w:color="auto"/>
          <w:lang w:val="en-US" w:eastAsia="zh-CN"/>
        </w:rPr>
        <w:t>种，隶属于</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目</w:t>
      </w:r>
      <w:r>
        <w:rPr>
          <w:rFonts w:hint="default" w:ascii="Times New Roman" w:hAnsi="Times New Roman" w:eastAsia="宋体" w:cs="Times New Roman"/>
          <w:bCs/>
          <w:color w:val="auto"/>
          <w:sz w:val="24"/>
          <w:szCs w:val="21"/>
          <w:highlight w:val="none"/>
          <w:u w:val="none" w:color="auto"/>
          <w:lang w:val="en-US" w:eastAsia="zh-CN"/>
        </w:rPr>
        <w:t>4</w:t>
      </w:r>
      <w:r>
        <w:rPr>
          <w:rFonts w:hint="eastAsia" w:ascii="Times New Roman" w:hAnsi="Times New Roman" w:eastAsia="宋体" w:cs="Times New Roman"/>
          <w:bCs/>
          <w:color w:val="auto"/>
          <w:sz w:val="24"/>
          <w:szCs w:val="21"/>
          <w:highlight w:val="none"/>
          <w:u w:val="none" w:color="auto"/>
          <w:lang w:val="en-US" w:eastAsia="zh-CN"/>
        </w:rPr>
        <w:t>科。其中，蟾蜍科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种、蛙科</w:t>
      </w:r>
      <w:r>
        <w:rPr>
          <w:rFonts w:hint="default" w:ascii="Times New Roman" w:hAnsi="Times New Roman" w:eastAsia="宋体"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种、姬蛙科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种和叉舌蛙科</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种。记录的</w:t>
      </w:r>
      <w:r>
        <w:rPr>
          <w:rFonts w:hint="default" w:ascii="Times New Roman" w:hAnsi="Times New Roman" w:eastAsia="宋体" w:cs="Times New Roman"/>
          <w:bCs/>
          <w:color w:val="auto"/>
          <w:sz w:val="24"/>
          <w:szCs w:val="21"/>
          <w:highlight w:val="none"/>
          <w:u w:val="none" w:color="auto"/>
          <w:lang w:val="en-US" w:eastAsia="zh-CN"/>
        </w:rPr>
        <w:t>3</w:t>
      </w:r>
      <w:r>
        <w:rPr>
          <w:rFonts w:hint="eastAsia" w:ascii="Times New Roman" w:hAnsi="Times New Roman" w:eastAsia="宋体" w:cs="Times New Roman"/>
          <w:bCs/>
          <w:color w:val="auto"/>
          <w:sz w:val="24"/>
          <w:szCs w:val="21"/>
          <w:highlight w:val="none"/>
          <w:u w:val="none" w:color="auto"/>
          <w:lang w:val="en-US" w:eastAsia="zh-CN"/>
        </w:rPr>
        <w:t xml:space="preserve">种两栖动物，均属于湖南省地方重点保护野生动物，即黑斑侧褶蛙、小弧斑姬蛙、饰纹姬蛙。 </w:t>
      </w:r>
    </w:p>
    <w:p w14:paraId="7CBCB0AA">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fldChar w:fldCharType="begin"/>
      </w:r>
      <w:r>
        <w:rPr>
          <w:rFonts w:hint="eastAsia" w:ascii="Times New Roman" w:hAnsi="Times New Roman" w:eastAsia="宋体" w:cs="Times New Roman"/>
          <w:bCs/>
          <w:color w:val="auto"/>
          <w:sz w:val="24"/>
          <w:szCs w:val="21"/>
          <w:highlight w:val="none"/>
          <w:u w:val="none" w:color="auto"/>
          <w:lang w:val="en-US" w:eastAsia="zh-CN"/>
        </w:rPr>
        <w:instrText xml:space="preserve"> = 5 \* GB3 \* MERGEFORMAT </w:instrText>
      </w:r>
      <w:r>
        <w:rPr>
          <w:rFonts w:hint="eastAsia" w:ascii="Times New Roman" w:hAnsi="Times New Roman" w:eastAsia="宋体" w:cs="Times New Roman"/>
          <w:bCs/>
          <w:color w:val="auto"/>
          <w:sz w:val="24"/>
          <w:szCs w:val="21"/>
          <w:highlight w:val="none"/>
          <w:u w:val="none" w:color="auto"/>
          <w:lang w:val="en-US" w:eastAsia="zh-CN"/>
        </w:rPr>
        <w:fldChar w:fldCharType="separate"/>
      </w:r>
      <w:r>
        <w:rPr>
          <w:rFonts w:hint="eastAsia" w:ascii="Times New Roman" w:hAnsi="Times New Roman" w:eastAsia="宋体" w:cs="Times New Roman"/>
          <w:bCs/>
          <w:color w:val="auto"/>
          <w:sz w:val="24"/>
          <w:szCs w:val="21"/>
          <w:highlight w:val="none"/>
          <w:u w:val="none" w:color="auto"/>
          <w:lang w:val="en-US" w:eastAsia="zh-CN"/>
        </w:rPr>
        <w:t>⑤</w:t>
      </w:r>
      <w:r>
        <w:rPr>
          <w:rFonts w:hint="eastAsia" w:ascii="Times New Roman" w:hAnsi="Times New Roman" w:eastAsia="宋体" w:cs="Times New Roman"/>
          <w:bCs/>
          <w:color w:val="auto"/>
          <w:sz w:val="24"/>
          <w:szCs w:val="21"/>
          <w:highlight w:val="none"/>
          <w:u w:val="none" w:color="auto"/>
          <w:lang w:val="en-US" w:eastAsia="zh-CN"/>
        </w:rPr>
        <w:fldChar w:fldCharType="end"/>
      </w:r>
      <w:r>
        <w:rPr>
          <w:rFonts w:hint="eastAsia" w:ascii="Times New Roman" w:hAnsi="Times New Roman" w:eastAsia="宋体" w:cs="Times New Roman"/>
          <w:bCs/>
          <w:color w:val="auto"/>
          <w:sz w:val="24"/>
          <w:szCs w:val="21"/>
          <w:highlight w:val="none"/>
          <w:u w:val="none" w:color="auto"/>
          <w:lang w:val="en-US" w:eastAsia="zh-CN"/>
        </w:rPr>
        <w:t xml:space="preserve">鱼类 </w:t>
      </w:r>
    </w:p>
    <w:p w14:paraId="04EAA824">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根据实地调查、访问调查及查阅相关文献得知，工程评价区共记录鱼类</w:t>
      </w:r>
      <w:r>
        <w:rPr>
          <w:rFonts w:hint="default" w:ascii="Times New Roman" w:hAnsi="Times New Roman" w:eastAsia="宋体" w:cs="Times New Roman"/>
          <w:bCs/>
          <w:color w:val="auto"/>
          <w:sz w:val="24"/>
          <w:szCs w:val="21"/>
          <w:highlight w:val="none"/>
          <w:u w:val="none" w:color="auto"/>
          <w:lang w:val="en-US" w:eastAsia="zh-CN"/>
        </w:rPr>
        <w:t xml:space="preserve">15 </w:t>
      </w:r>
      <w:r>
        <w:rPr>
          <w:rFonts w:hint="eastAsia" w:ascii="Times New Roman" w:hAnsi="Times New Roman" w:eastAsia="宋体" w:cs="Times New Roman"/>
          <w:bCs/>
          <w:color w:val="auto"/>
          <w:sz w:val="24"/>
          <w:szCs w:val="21"/>
          <w:highlight w:val="none"/>
          <w:u w:val="none" w:color="auto"/>
          <w:lang w:val="en-US" w:eastAsia="zh-CN"/>
        </w:rPr>
        <w:t>种，隶属于</w:t>
      </w:r>
      <w:r>
        <w:rPr>
          <w:rFonts w:hint="default" w:ascii="Times New Roman" w:hAnsi="Times New Roman" w:eastAsia="宋体" w:cs="Times New Roman"/>
          <w:bCs/>
          <w:color w:val="auto"/>
          <w:sz w:val="24"/>
          <w:szCs w:val="21"/>
          <w:highlight w:val="none"/>
          <w:u w:val="none" w:color="auto"/>
          <w:lang w:val="en-US" w:eastAsia="zh-CN"/>
        </w:rPr>
        <w:t>4</w:t>
      </w:r>
      <w:r>
        <w:rPr>
          <w:rFonts w:hint="eastAsia" w:ascii="Times New Roman" w:hAnsi="Times New Roman" w:eastAsia="宋体" w:cs="Times New Roman"/>
          <w:bCs/>
          <w:color w:val="auto"/>
          <w:sz w:val="24"/>
          <w:szCs w:val="21"/>
          <w:highlight w:val="none"/>
          <w:u w:val="none" w:color="auto"/>
          <w:lang w:val="en-US" w:eastAsia="zh-CN"/>
        </w:rPr>
        <w:t>目</w:t>
      </w:r>
      <w:r>
        <w:rPr>
          <w:rFonts w:hint="default" w:ascii="Times New Roman" w:hAnsi="Times New Roman" w:eastAsia="宋体" w:cs="Times New Roman"/>
          <w:bCs/>
          <w:color w:val="auto"/>
          <w:sz w:val="24"/>
          <w:szCs w:val="21"/>
          <w:highlight w:val="none"/>
          <w:u w:val="none" w:color="auto"/>
          <w:lang w:val="en-US" w:eastAsia="zh-CN"/>
        </w:rPr>
        <w:t>6</w:t>
      </w:r>
      <w:r>
        <w:rPr>
          <w:rFonts w:hint="eastAsia" w:ascii="Times New Roman" w:hAnsi="Times New Roman" w:eastAsia="宋体" w:cs="Times New Roman"/>
          <w:bCs/>
          <w:color w:val="auto"/>
          <w:sz w:val="24"/>
          <w:szCs w:val="21"/>
          <w:highlight w:val="none"/>
          <w:u w:val="none" w:color="auto"/>
          <w:lang w:val="en-US" w:eastAsia="zh-CN"/>
        </w:rPr>
        <w:t>科，其中鲤形目鱼类最多，共</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11</w:t>
      </w:r>
      <w:r>
        <w:rPr>
          <w:rFonts w:hint="eastAsia" w:ascii="Times New Roman" w:hAnsi="Times New Roman" w:eastAsia="宋体" w:cs="Times New Roman"/>
          <w:bCs/>
          <w:color w:val="auto"/>
          <w:sz w:val="24"/>
          <w:szCs w:val="21"/>
          <w:highlight w:val="none"/>
          <w:u w:val="none" w:color="auto"/>
          <w:lang w:val="en-US" w:eastAsia="zh-CN"/>
        </w:rPr>
        <w:t>种，占评价区鱼类总数的</w:t>
      </w:r>
      <w:r>
        <w:rPr>
          <w:rFonts w:hint="default" w:ascii="Times New Roman" w:hAnsi="Times New Roman" w:eastAsia="宋体" w:cs="Times New Roman"/>
          <w:bCs/>
          <w:color w:val="auto"/>
          <w:sz w:val="24"/>
          <w:szCs w:val="21"/>
          <w:highlight w:val="none"/>
          <w:u w:val="none" w:color="auto"/>
          <w:lang w:val="en-US" w:eastAsia="zh-CN"/>
        </w:rPr>
        <w:t>73.33%</w:t>
      </w:r>
      <w:r>
        <w:rPr>
          <w:rFonts w:hint="eastAsia" w:ascii="Times New Roman" w:hAnsi="Times New Roman" w:eastAsia="宋体" w:cs="Times New Roman"/>
          <w:bCs/>
          <w:color w:val="auto"/>
          <w:sz w:val="24"/>
          <w:szCs w:val="21"/>
          <w:highlight w:val="none"/>
          <w:u w:val="none" w:color="auto"/>
          <w:lang w:val="en-US" w:eastAsia="zh-CN"/>
        </w:rPr>
        <w:t>；鲈形目次之，共</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科</w:t>
      </w:r>
      <w:r>
        <w:rPr>
          <w:rFonts w:hint="default" w:ascii="Times New Roman" w:hAnsi="Times New Roman" w:eastAsia="宋体" w:cs="Times New Roman"/>
          <w:bCs/>
          <w:color w:val="auto"/>
          <w:sz w:val="24"/>
          <w:szCs w:val="21"/>
          <w:highlight w:val="none"/>
          <w:u w:val="none" w:color="auto"/>
          <w:lang w:val="en-US" w:eastAsia="zh-CN"/>
        </w:rPr>
        <w:t>2</w:t>
      </w:r>
      <w:r>
        <w:rPr>
          <w:rFonts w:hint="eastAsia" w:ascii="Times New Roman" w:hAnsi="Times New Roman" w:eastAsia="宋体" w:cs="Times New Roman"/>
          <w:bCs/>
          <w:color w:val="auto"/>
          <w:sz w:val="24"/>
          <w:szCs w:val="21"/>
          <w:highlight w:val="none"/>
          <w:u w:val="none" w:color="auto"/>
          <w:lang w:val="en-US" w:eastAsia="zh-CN"/>
        </w:rPr>
        <w:t>种，占评价区鱼类总数的</w:t>
      </w:r>
      <w:r>
        <w:rPr>
          <w:rFonts w:hint="default" w:ascii="Times New Roman" w:hAnsi="Times New Roman" w:eastAsia="宋体" w:cs="Times New Roman"/>
          <w:bCs/>
          <w:color w:val="auto"/>
          <w:sz w:val="24"/>
          <w:szCs w:val="21"/>
          <w:highlight w:val="none"/>
          <w:u w:val="none" w:color="auto"/>
          <w:lang w:val="en-US" w:eastAsia="zh-CN"/>
        </w:rPr>
        <w:t>13.33%</w:t>
      </w:r>
      <w:r>
        <w:rPr>
          <w:rFonts w:hint="eastAsia" w:ascii="Times New Roman" w:hAnsi="Times New Roman" w:eastAsia="宋体" w:cs="Times New Roman"/>
          <w:bCs/>
          <w:color w:val="auto"/>
          <w:sz w:val="24"/>
          <w:szCs w:val="21"/>
          <w:highlight w:val="none"/>
          <w:u w:val="none" w:color="auto"/>
          <w:lang w:val="en-US" w:eastAsia="zh-CN"/>
        </w:rPr>
        <w:t>；合鳃鱼目和鲇形目各</w:t>
      </w:r>
      <w:r>
        <w:rPr>
          <w:rFonts w:hint="default" w:ascii="Times New Roman" w:hAnsi="Times New Roman" w:eastAsia="宋体" w:cs="Times New Roman"/>
          <w:bCs/>
          <w:color w:val="auto"/>
          <w:sz w:val="24"/>
          <w:szCs w:val="21"/>
          <w:highlight w:val="none"/>
          <w:u w:val="none" w:color="auto"/>
          <w:lang w:val="en-US" w:eastAsia="zh-CN"/>
        </w:rPr>
        <w:t>1</w:t>
      </w:r>
      <w:r>
        <w:rPr>
          <w:rFonts w:hint="eastAsia" w:ascii="Times New Roman" w:hAnsi="Times New Roman" w:eastAsia="宋体" w:cs="Times New Roman"/>
          <w:bCs/>
          <w:color w:val="auto"/>
          <w:sz w:val="24"/>
          <w:szCs w:val="21"/>
          <w:highlight w:val="none"/>
          <w:u w:val="none" w:color="auto"/>
          <w:lang w:val="en-US" w:eastAsia="zh-CN"/>
        </w:rPr>
        <w:t>种，各占评价区鱼类总数的</w:t>
      </w:r>
      <w:r>
        <w:rPr>
          <w:rFonts w:hint="default" w:ascii="Times New Roman" w:hAnsi="Times New Roman" w:eastAsia="宋体" w:cs="Times New Roman"/>
          <w:bCs/>
          <w:color w:val="auto"/>
          <w:sz w:val="24"/>
          <w:szCs w:val="21"/>
          <w:highlight w:val="none"/>
          <w:u w:val="none" w:color="auto"/>
          <w:lang w:val="en-US" w:eastAsia="zh-CN"/>
        </w:rPr>
        <w:t>6.67%</w:t>
      </w:r>
      <w:r>
        <w:rPr>
          <w:rFonts w:hint="eastAsia" w:ascii="Times New Roman" w:hAnsi="Times New Roman" w:eastAsia="宋体" w:cs="Times New Roman"/>
          <w:bCs/>
          <w:color w:val="auto"/>
          <w:sz w:val="24"/>
          <w:szCs w:val="21"/>
          <w:highlight w:val="none"/>
          <w:u w:val="none" w:color="auto"/>
          <w:lang w:val="en-US" w:eastAsia="zh-CN"/>
        </w:rPr>
        <w:t>。</w:t>
      </w:r>
    </w:p>
    <w:p w14:paraId="45E396F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东洞庭湖实验区内的野生动物主要由常见的小型和庭院动物构成，常见的物种有白头鹎、八哥、小云雀、戴胜、普通翠鸟、普通秧鸡、白鹃鸰、红嘴蓝鹊、普通秧鸡、中华大蟾蜍等。本项目评价区内无珍稀濒危陆生野生动物，且不涉及上述野生脊椎动物分布。</w:t>
      </w:r>
    </w:p>
    <w:p w14:paraId="54ED76A5">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4）自然遗迹调查</w:t>
      </w:r>
    </w:p>
    <w:p w14:paraId="6AC06A7E">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本项目评价区内无需要保护的自然遗迹分布。</w:t>
      </w:r>
    </w:p>
    <w:bookmarkEnd w:id="325"/>
    <w:bookmarkEnd w:id="326"/>
    <w:bookmarkEnd w:id="327"/>
    <w:bookmarkEnd w:id="328"/>
    <w:bookmarkEnd w:id="329"/>
    <w:bookmarkEnd w:id="330"/>
    <w:bookmarkEnd w:id="331"/>
    <w:bookmarkEnd w:id="339"/>
    <w:p w14:paraId="276AF4BB">
      <w:pPr>
        <w:keepNext/>
        <w:keepLines/>
        <w:widowControl w:val="0"/>
        <w:adjustRightInd w:val="0"/>
        <w:snapToGrid w:val="0"/>
        <w:spacing w:before="0" w:after="0" w:line="360" w:lineRule="auto"/>
        <w:jc w:val="both"/>
        <w:outlineLvl w:val="1"/>
        <w:rPr>
          <w:rFonts w:hint="eastAsia" w:ascii="Times New Roman" w:hAnsi="Times New Roman" w:eastAsia="宋体" w:cs="Times New Roman"/>
          <w:b/>
          <w:bCs/>
          <w:color w:val="auto"/>
          <w:kern w:val="2"/>
          <w:sz w:val="28"/>
          <w:szCs w:val="28"/>
          <w:u w:val="none" w:color="auto"/>
          <w:lang w:val="en-US" w:eastAsia="zh-CN" w:bidi="ar-SA"/>
        </w:rPr>
      </w:pPr>
      <w:bookmarkStart w:id="340" w:name="_Toc6616"/>
      <w:bookmarkStart w:id="341" w:name="_Toc9448"/>
      <w:bookmarkStart w:id="342" w:name="_Toc15779"/>
      <w:bookmarkStart w:id="343" w:name="_Toc3826"/>
      <w:bookmarkStart w:id="344" w:name="_Toc31479"/>
      <w:bookmarkStart w:id="345" w:name="_Toc6054"/>
      <w:r>
        <w:rPr>
          <w:rFonts w:hint="eastAsia" w:ascii="Times New Roman" w:hAnsi="Times New Roman" w:eastAsia="宋体" w:cs="Times New Roman"/>
          <w:b/>
          <w:bCs/>
          <w:color w:val="auto"/>
          <w:kern w:val="2"/>
          <w:sz w:val="28"/>
          <w:szCs w:val="28"/>
          <w:u w:val="none" w:color="auto"/>
          <w:lang w:val="en-US" w:eastAsia="zh-CN" w:bidi="ar-SA"/>
        </w:rPr>
        <w:t>3</w:t>
      </w:r>
      <w:r>
        <w:rPr>
          <w:rFonts w:hint="default" w:ascii="Times New Roman" w:hAnsi="Times New Roman" w:eastAsia="宋体" w:cs="Times New Roman"/>
          <w:b/>
          <w:bCs/>
          <w:color w:val="auto"/>
          <w:kern w:val="2"/>
          <w:sz w:val="28"/>
          <w:szCs w:val="28"/>
          <w:u w:val="none" w:color="auto"/>
          <w:lang w:val="en-US" w:eastAsia="zh-CN" w:bidi="ar-SA"/>
        </w:rPr>
        <w:t>.</w:t>
      </w:r>
      <w:r>
        <w:rPr>
          <w:rFonts w:hint="eastAsia" w:ascii="Times New Roman" w:hAnsi="Times New Roman" w:eastAsia="宋体" w:cs="Times New Roman"/>
          <w:b/>
          <w:bCs/>
          <w:color w:val="auto"/>
          <w:kern w:val="2"/>
          <w:sz w:val="28"/>
          <w:szCs w:val="28"/>
          <w:u w:val="none" w:color="auto"/>
          <w:lang w:val="en-US" w:eastAsia="zh-CN" w:bidi="ar-SA"/>
        </w:rPr>
        <w:t>3湖南东洞庭湖国家级自然保护区</w:t>
      </w:r>
      <w:bookmarkEnd w:id="340"/>
      <w:bookmarkEnd w:id="341"/>
      <w:bookmarkEnd w:id="342"/>
    </w:p>
    <w:p w14:paraId="2334AC04">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3.3.1本项目与保护区位置关系</w:t>
      </w:r>
    </w:p>
    <w:p w14:paraId="3078EB89">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color="auto"/>
        </w:rPr>
      </w:pPr>
      <w:r>
        <w:rPr>
          <w:rFonts w:hint="eastAsia" w:ascii="Times New Roman" w:hAnsi="Times New Roman" w:eastAsia="宋体" w:cs="Times New Roman"/>
          <w:bCs/>
          <w:color w:val="auto"/>
          <w:sz w:val="24"/>
          <w:szCs w:val="21"/>
          <w:highlight w:val="none"/>
          <w:u w:val="none" w:color="auto"/>
        </w:rPr>
        <w:t>位于东洞庭湖国家级自然保护区内，项目建设</w:t>
      </w:r>
      <w:r>
        <w:rPr>
          <w:rFonts w:hint="eastAsia" w:ascii="Times New Roman" w:hAnsi="Times New Roman" w:eastAsia="宋体" w:cs="Times New Roman"/>
          <w:bCs/>
          <w:color w:val="auto"/>
          <w:sz w:val="24"/>
          <w:szCs w:val="21"/>
          <w:highlight w:val="none"/>
          <w:u w:val="none" w:color="auto"/>
          <w:lang w:val="en-US" w:eastAsia="zh-CN"/>
        </w:rPr>
        <w:t>位于保护区的实验区范围内，</w:t>
      </w:r>
      <w:r>
        <w:rPr>
          <w:rFonts w:hint="eastAsia" w:ascii="Times New Roman" w:hAnsi="Times New Roman" w:eastAsia="宋体" w:cs="Times New Roman"/>
          <w:bCs/>
          <w:color w:val="auto"/>
          <w:sz w:val="24"/>
          <w:szCs w:val="21"/>
          <w:highlight w:val="none"/>
          <w:u w:val="none" w:color="auto"/>
        </w:rPr>
        <w:t>不涉及保护区的核心区和缓冲区，离核心区最近距离约</w:t>
      </w:r>
      <w:r>
        <w:rPr>
          <w:rFonts w:hint="eastAsia" w:ascii="Times New Roman" w:hAnsi="Times New Roman" w:eastAsia="宋体" w:cs="Times New Roman"/>
          <w:bCs/>
          <w:color w:val="auto"/>
          <w:sz w:val="24"/>
          <w:szCs w:val="21"/>
          <w:highlight w:val="none"/>
          <w:u w:val="none" w:color="auto"/>
          <w:lang w:val="en-US" w:eastAsia="zh-CN"/>
        </w:rPr>
        <w:t xml:space="preserve">8.5 </w:t>
      </w:r>
      <w:r>
        <w:rPr>
          <w:rFonts w:hint="eastAsia" w:ascii="Times New Roman" w:hAnsi="Times New Roman" w:eastAsia="宋体" w:cs="Times New Roman"/>
          <w:bCs/>
          <w:color w:val="auto"/>
          <w:sz w:val="24"/>
          <w:szCs w:val="21"/>
          <w:highlight w:val="none"/>
          <w:u w:val="none" w:color="auto"/>
        </w:rPr>
        <w:t>km，离缓冲区最近距离约</w:t>
      </w:r>
      <w:r>
        <w:rPr>
          <w:rFonts w:hint="eastAsia" w:ascii="Times New Roman" w:hAnsi="Times New Roman" w:eastAsia="宋体" w:cs="Times New Roman"/>
          <w:bCs/>
          <w:color w:val="auto"/>
          <w:sz w:val="24"/>
          <w:szCs w:val="21"/>
          <w:highlight w:val="none"/>
          <w:u w:val="none" w:color="auto"/>
          <w:lang w:val="en-US" w:eastAsia="zh-CN"/>
        </w:rPr>
        <w:t>7.8</w:t>
      </w:r>
      <w:r>
        <w:rPr>
          <w:rFonts w:hint="eastAsia" w:ascii="Times New Roman" w:hAnsi="Times New Roman" w:eastAsia="宋体" w:cs="Times New Roman"/>
          <w:bCs/>
          <w:color w:val="auto"/>
          <w:sz w:val="24"/>
          <w:szCs w:val="21"/>
          <w:highlight w:val="none"/>
          <w:u w:val="none" w:color="auto"/>
        </w:rPr>
        <w:t>km。</w:t>
      </w:r>
      <w:r>
        <w:rPr>
          <w:rFonts w:hint="eastAsia" w:ascii="Times New Roman" w:hAnsi="Times New Roman" w:eastAsia="宋体" w:cs="Times New Roman"/>
          <w:bCs/>
          <w:color w:val="auto"/>
          <w:sz w:val="24"/>
          <w:szCs w:val="21"/>
          <w:highlight w:val="none"/>
          <w:u w:val="none" w:color="auto"/>
          <w:lang w:val="en-US" w:eastAsia="zh-CN"/>
        </w:rPr>
        <w:t>东</w:t>
      </w:r>
      <w:r>
        <w:rPr>
          <w:rFonts w:hint="eastAsia" w:ascii="Times New Roman" w:hAnsi="Times New Roman" w:cs="Times New Roman"/>
          <w:bCs/>
          <w:color w:val="auto"/>
          <w:sz w:val="24"/>
          <w:szCs w:val="21"/>
          <w:highlight w:val="none"/>
          <w:u w:val="none" w:color="auto"/>
          <w:lang w:val="en-US" w:eastAsia="zh-CN"/>
        </w:rPr>
        <w:t>洞庭湖自然保护区方案调整后，本项目处于保护区实验区边界之外（距离</w:t>
      </w:r>
      <w:r>
        <w:rPr>
          <w:rFonts w:hint="eastAsia" w:cs="Times New Roman"/>
          <w:bCs/>
          <w:color w:val="auto"/>
          <w:sz w:val="24"/>
          <w:szCs w:val="21"/>
          <w:highlight w:val="none"/>
          <w:u w:val="none" w:color="auto"/>
          <w:lang w:val="en-US" w:eastAsia="zh-CN"/>
        </w:rPr>
        <w:t>整合优化</w:t>
      </w:r>
      <w:r>
        <w:rPr>
          <w:rFonts w:hint="eastAsia" w:ascii="Times New Roman" w:hAnsi="Times New Roman" w:cs="Times New Roman"/>
          <w:bCs/>
          <w:color w:val="auto"/>
          <w:sz w:val="24"/>
          <w:szCs w:val="21"/>
          <w:highlight w:val="none"/>
          <w:u w:val="none" w:color="auto"/>
          <w:lang w:val="en-US" w:eastAsia="zh-CN"/>
        </w:rPr>
        <w:t>后</w:t>
      </w:r>
      <w:r>
        <w:rPr>
          <w:rFonts w:hint="eastAsia" w:cs="Times New Roman"/>
          <w:bCs/>
          <w:color w:val="auto"/>
          <w:sz w:val="24"/>
          <w:szCs w:val="21"/>
          <w:highlight w:val="none"/>
          <w:u w:val="none" w:color="auto"/>
          <w:lang w:val="en-US" w:eastAsia="zh-CN"/>
        </w:rPr>
        <w:t>湖南东洞庭湖国家级自然保护区</w:t>
      </w:r>
      <w:r>
        <w:rPr>
          <w:rFonts w:hint="eastAsia" w:ascii="Times New Roman" w:hAnsi="Times New Roman" w:cs="Times New Roman"/>
          <w:bCs/>
          <w:color w:val="auto"/>
          <w:sz w:val="24"/>
          <w:szCs w:val="21"/>
          <w:highlight w:val="none"/>
          <w:u w:val="none" w:color="auto"/>
          <w:lang w:val="en-US" w:eastAsia="zh-CN"/>
        </w:rPr>
        <w:t>约1.7km）。</w:t>
      </w:r>
    </w:p>
    <w:p w14:paraId="71A028DC">
      <w:pPr>
        <w:pStyle w:val="56"/>
        <w:adjustRightInd w:val="0"/>
        <w:snapToGrid w:val="0"/>
        <w:spacing w:line="360" w:lineRule="auto"/>
        <w:ind w:left="0" w:leftChars="0" w:firstLine="0" w:firstLineChars="0"/>
        <w:rPr>
          <w:rFonts w:hint="default" w:ascii="Times New Roman" w:hAnsi="Times New Roman" w:cs="Times New Roman"/>
          <w:b/>
          <w:color w:val="auto"/>
          <w:sz w:val="24"/>
          <w:szCs w:val="21"/>
          <w:u w:val="none" w:color="auto"/>
          <w:lang w:val="en-US" w:eastAsia="zh-CN"/>
        </w:rPr>
      </w:pPr>
      <w:r>
        <w:rPr>
          <w:rFonts w:hint="eastAsia" w:ascii="Times New Roman" w:hAnsi="Times New Roman" w:cs="Times New Roman"/>
          <w:b/>
          <w:color w:val="auto"/>
          <w:sz w:val="24"/>
          <w:szCs w:val="21"/>
          <w:u w:val="none" w:color="auto"/>
          <w:lang w:val="en-US" w:eastAsia="zh-CN"/>
        </w:rPr>
        <w:t>3.3.2保护区功能区划</w:t>
      </w:r>
    </w:p>
    <w:p w14:paraId="1539108F">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rPr>
      </w:pPr>
      <w:r>
        <w:rPr>
          <w:rFonts w:hint="eastAsia" w:ascii="Times New Roman" w:hAnsi="Times New Roman" w:cs="Times New Roman"/>
          <w:bCs/>
          <w:color w:val="auto"/>
          <w:sz w:val="24"/>
          <w:szCs w:val="21"/>
          <w:highlight w:val="none"/>
          <w:u w:val="none" w:color="auto"/>
        </w:rPr>
        <w:t>东洞庭湖是洞庭湖湖系中最大的湖泊，年平均过湖水量达3126亿立方米。常年湖容量178亿立方米，水深4-22m，最大水位落差为17.76m，ph6.8-8.6。它的地貌呈沟港纵横的湿地景观。土壤为湖沼土和河沼土。年平均气温为17℃，湖水年平均温度17.5℃，总降水量1200-1330mm，无霜期258-275天</w:t>
      </w:r>
      <w:r>
        <w:rPr>
          <w:rFonts w:hint="eastAsia" w:ascii="Times New Roman" w:hAnsi="Times New Roman" w:cs="Times New Roman"/>
          <w:bCs/>
          <w:color w:val="auto"/>
          <w:sz w:val="24"/>
          <w:szCs w:val="21"/>
          <w:highlight w:val="none"/>
          <w:u w:val="none" w:color="auto"/>
          <w:lang w:eastAsia="zh-CN"/>
        </w:rPr>
        <w:t>。</w:t>
      </w:r>
      <w:r>
        <w:rPr>
          <w:rFonts w:hint="eastAsia" w:ascii="Times New Roman" w:hAnsi="Times New Roman" w:cs="Times New Roman"/>
          <w:bCs/>
          <w:color w:val="auto"/>
          <w:sz w:val="24"/>
          <w:szCs w:val="21"/>
          <w:highlight w:val="none"/>
          <w:u w:val="none" w:color="auto"/>
        </w:rPr>
        <w:t>东洞庭湖既是我国湿地水禽的重要越冬地，也是重要繁殖地、停歇地。栖息的雁鸭类、鸻鹬类等水鸟达数十万羽。</w:t>
      </w:r>
    </w:p>
    <w:p w14:paraId="10F6FA10">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eastAsia="zh-CN"/>
        </w:rPr>
      </w:pPr>
      <w:r>
        <w:rPr>
          <w:rFonts w:hint="eastAsia" w:ascii="Times New Roman" w:hAnsi="Times New Roman" w:cs="Times New Roman"/>
          <w:bCs/>
          <w:color w:val="auto"/>
          <w:sz w:val="24"/>
          <w:szCs w:val="21"/>
          <w:highlight w:val="none"/>
          <w:u w:val="none" w:color="auto"/>
          <w:lang w:eastAsia="zh-CN"/>
        </w:rPr>
        <w:t>（</w:t>
      </w:r>
      <w:r>
        <w:rPr>
          <w:rFonts w:hint="eastAsia" w:ascii="Times New Roman" w:hAnsi="Times New Roman" w:cs="Times New Roman"/>
          <w:bCs/>
          <w:color w:val="auto"/>
          <w:sz w:val="24"/>
          <w:szCs w:val="21"/>
          <w:highlight w:val="none"/>
          <w:u w:val="none" w:color="auto"/>
          <w:lang w:val="en-US" w:eastAsia="zh-CN"/>
        </w:rPr>
        <w:t>1</w:t>
      </w:r>
      <w:r>
        <w:rPr>
          <w:rFonts w:hint="eastAsia" w:ascii="Times New Roman" w:hAnsi="Times New Roman" w:cs="Times New Roman"/>
          <w:bCs/>
          <w:color w:val="auto"/>
          <w:sz w:val="24"/>
          <w:szCs w:val="21"/>
          <w:highlight w:val="none"/>
          <w:u w:val="none" w:color="auto"/>
          <w:lang w:eastAsia="zh-CN"/>
        </w:rPr>
        <w:t>）功能区划概况</w:t>
      </w:r>
    </w:p>
    <w:p w14:paraId="4469042E">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东洞庭湖国家级自然保护区功能区划分情况为:</w:t>
      </w:r>
    </w:p>
    <w:p w14:paraId="4012CE20">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①核心区。湿地生态系统完整，生物资源丰富，白鹤、黑鹤、东方白鹤、小天鹅、鸿雁等珍稀濒危鸟类集中栖息的地段，面积2.90x10</w:t>
      </w:r>
      <w:r>
        <w:rPr>
          <w:rFonts w:hint="eastAsia" w:ascii="Times New Roman" w:hAnsi="Times New Roman" w:cs="Times New Roman"/>
          <w:bCs/>
          <w:color w:val="auto"/>
          <w:sz w:val="24"/>
          <w:szCs w:val="21"/>
          <w:highlight w:val="none"/>
          <w:u w:val="none" w:color="auto"/>
          <w:vertAlign w:val="superscript"/>
          <w:lang w:val="en-US" w:eastAsia="zh-CN"/>
        </w:rPr>
        <w:t>4</w:t>
      </w:r>
      <w:r>
        <w:rPr>
          <w:rFonts w:hint="eastAsia" w:ascii="Times New Roman" w:hAnsi="Times New Roman" w:cs="Times New Roman"/>
          <w:bCs/>
          <w:color w:val="auto"/>
          <w:sz w:val="24"/>
          <w:szCs w:val="21"/>
          <w:highlight w:val="none"/>
          <w:u w:val="none" w:color="auto"/>
          <w:lang w:val="en-US" w:eastAsia="zh-CN"/>
        </w:rPr>
        <w:t>hm²。</w:t>
      </w:r>
    </w:p>
    <w:p w14:paraId="3E5455C7">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将湿地生态系统完整、生物资源丰富、白鹤、黑鹳、东方白鹳、小天鹅、鸿雁等珍稀濒危鸟类集中栖息的地段作为核心区，总面积2.90万hm</w:t>
      </w:r>
      <w:r>
        <w:rPr>
          <w:rFonts w:hint="eastAsia" w:ascii="Times New Roman" w:hAnsi="Times New Roman" w:cs="Times New Roman"/>
          <w:bCs/>
          <w:color w:val="auto"/>
          <w:sz w:val="24"/>
          <w:szCs w:val="21"/>
          <w:highlight w:val="none"/>
          <w:u w:val="none" w:color="auto"/>
          <w:vertAlign w:val="superscript"/>
          <w:lang w:val="en-US" w:eastAsia="zh-CN"/>
        </w:rPr>
        <w:t>2</w:t>
      </w:r>
      <w:r>
        <w:rPr>
          <w:rFonts w:hint="eastAsia" w:ascii="Times New Roman" w:hAnsi="Times New Roman" w:cs="Times New Roman"/>
          <w:bCs/>
          <w:color w:val="auto"/>
          <w:sz w:val="24"/>
          <w:szCs w:val="21"/>
          <w:highlight w:val="none"/>
          <w:u w:val="none" w:color="auto"/>
          <w:lang w:val="en-US" w:eastAsia="zh-CN"/>
        </w:rPr>
        <w:t>。依据功能区划原则，又将保护区核心区分为3大块。即大小西湖-君山后湖核心区</w:t>
      </w:r>
      <w:r>
        <w:rPr>
          <w:rFonts w:hint="eastAsia" w:cs="Times New Roman"/>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从大小西湖、三坝、四坝至君山后湖包括黑嘴在内的定权发证区域，面积1.60万hm</w:t>
      </w:r>
      <w:r>
        <w:rPr>
          <w:rFonts w:hint="eastAsia" w:ascii="Times New Roman" w:hAnsi="Times New Roman" w:cs="Times New Roman"/>
          <w:bCs/>
          <w:color w:val="auto"/>
          <w:sz w:val="24"/>
          <w:szCs w:val="21"/>
          <w:highlight w:val="none"/>
          <w:u w:val="none" w:color="auto"/>
          <w:vertAlign w:val="superscript"/>
          <w:lang w:val="en-US" w:eastAsia="zh-CN"/>
        </w:rPr>
        <w:t>2</w:t>
      </w:r>
      <w:r>
        <w:rPr>
          <w:rFonts w:hint="eastAsia" w:cs="Times New Roman"/>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红旗湖核心区:上、下红旗湖、天鹅段定权发证区域，面积0.80万hm</w:t>
      </w:r>
      <w:r>
        <w:rPr>
          <w:rFonts w:hint="eastAsia" w:ascii="Times New Roman" w:hAnsi="Times New Roman" w:cs="Times New Roman"/>
          <w:bCs/>
          <w:color w:val="auto"/>
          <w:sz w:val="24"/>
          <w:szCs w:val="21"/>
          <w:highlight w:val="none"/>
          <w:u w:val="none" w:color="auto"/>
          <w:vertAlign w:val="superscript"/>
          <w:lang w:val="en-US" w:eastAsia="zh-CN"/>
        </w:rPr>
        <w:t>2</w:t>
      </w:r>
      <w:r>
        <w:rPr>
          <w:rFonts w:hint="eastAsia" w:cs="Times New Roman"/>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春风湖核心区:包括春风湖及其大片洲滩在内的0.50万hm</w:t>
      </w:r>
      <w:r>
        <w:rPr>
          <w:rFonts w:hint="eastAsia" w:ascii="Times New Roman" w:hAnsi="Times New Roman" w:cs="Times New Roman"/>
          <w:bCs/>
          <w:color w:val="auto"/>
          <w:sz w:val="24"/>
          <w:szCs w:val="21"/>
          <w:highlight w:val="none"/>
          <w:u w:val="none" w:color="auto"/>
          <w:vertAlign w:val="superscript"/>
          <w:lang w:val="en-US" w:eastAsia="zh-CN"/>
        </w:rPr>
        <w:t>2</w:t>
      </w:r>
      <w:r>
        <w:rPr>
          <w:rFonts w:hint="eastAsia" w:ascii="Times New Roman" w:hAnsi="Times New Roman" w:cs="Times New Roman"/>
          <w:bCs/>
          <w:color w:val="auto"/>
          <w:sz w:val="24"/>
          <w:szCs w:val="21"/>
          <w:highlight w:val="none"/>
          <w:u w:val="none" w:color="auto"/>
          <w:lang w:val="en-US" w:eastAsia="zh-CN"/>
        </w:rPr>
        <w:t>定权发证区域。核心区内，实行封闭式管理，严格控制外界人员随意进入或从事捕鱼、放牧等生产经营活动，并对湖水水位进行严格的管理和调控。</w:t>
      </w:r>
    </w:p>
    <w:p w14:paraId="4E00DA6D">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fldChar w:fldCharType="begin"/>
      </w:r>
      <w:r>
        <w:rPr>
          <w:rFonts w:hint="eastAsia" w:ascii="Times New Roman" w:hAnsi="Times New Roman" w:cs="Times New Roman"/>
          <w:bCs/>
          <w:color w:val="auto"/>
          <w:sz w:val="24"/>
          <w:szCs w:val="21"/>
          <w:highlight w:val="none"/>
          <w:u w:val="none" w:color="auto"/>
          <w:lang w:val="en-US" w:eastAsia="zh-CN"/>
        </w:rPr>
        <w:instrText xml:space="preserve"> = 2 \* GB3 \* MERGEFORMAT </w:instrText>
      </w:r>
      <w:r>
        <w:rPr>
          <w:rFonts w:hint="eastAsia" w:ascii="Times New Roman" w:hAnsi="Times New Roman" w:cs="Times New Roman"/>
          <w:bCs/>
          <w:color w:val="auto"/>
          <w:sz w:val="24"/>
          <w:szCs w:val="21"/>
          <w:highlight w:val="none"/>
          <w:u w:val="none" w:color="auto"/>
          <w:lang w:val="en-US" w:eastAsia="zh-CN"/>
        </w:rPr>
        <w:fldChar w:fldCharType="separate"/>
      </w:r>
      <w:r>
        <w:rPr>
          <w:rFonts w:hint="eastAsia" w:ascii="Times New Roman" w:hAnsi="Times New Roman" w:cs="Times New Roman"/>
          <w:bCs/>
          <w:color w:val="auto"/>
          <w:sz w:val="24"/>
          <w:szCs w:val="21"/>
          <w:highlight w:val="none"/>
          <w:u w:val="none" w:color="auto"/>
          <w:lang w:val="en-US" w:eastAsia="zh-CN"/>
        </w:rPr>
        <w:t>②</w:t>
      </w:r>
      <w:r>
        <w:rPr>
          <w:rFonts w:hint="eastAsia" w:ascii="Times New Roman" w:hAnsi="Times New Roman" w:cs="Times New Roman"/>
          <w:bCs/>
          <w:color w:val="auto"/>
          <w:sz w:val="24"/>
          <w:szCs w:val="21"/>
          <w:highlight w:val="none"/>
          <w:u w:val="none" w:color="auto"/>
          <w:lang w:val="en-US" w:eastAsia="zh-CN"/>
        </w:rPr>
        <w:fldChar w:fldCharType="end"/>
      </w:r>
      <w:r>
        <w:rPr>
          <w:rFonts w:hint="eastAsia" w:ascii="Times New Roman" w:hAnsi="Times New Roman" w:cs="Times New Roman"/>
          <w:bCs/>
          <w:color w:val="auto"/>
          <w:sz w:val="24"/>
          <w:szCs w:val="21"/>
          <w:highlight w:val="none"/>
          <w:u w:val="none" w:color="auto"/>
          <w:lang w:val="en-US" w:eastAsia="zh-CN"/>
        </w:rPr>
        <w:t>缓冲区。核心区外围所有东洞庭湖区域，面积3.64</w:t>
      </w:r>
      <w:r>
        <w:rPr>
          <w:rFonts w:hint="default" w:ascii="Arial" w:hAnsi="Arial" w:cs="Arial"/>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10</w:t>
      </w:r>
      <w:r>
        <w:rPr>
          <w:rFonts w:hint="eastAsia" w:ascii="Times New Roman" w:hAnsi="Times New Roman" w:cs="Times New Roman"/>
          <w:bCs/>
          <w:color w:val="auto"/>
          <w:sz w:val="24"/>
          <w:szCs w:val="21"/>
          <w:highlight w:val="none"/>
          <w:u w:val="none" w:color="auto"/>
          <w:vertAlign w:val="superscript"/>
          <w:lang w:val="en-US" w:eastAsia="zh-CN"/>
        </w:rPr>
        <w:t>4</w:t>
      </w:r>
      <w:r>
        <w:rPr>
          <w:rFonts w:hint="eastAsia" w:ascii="Times New Roman" w:hAnsi="Times New Roman" w:cs="Times New Roman"/>
          <w:bCs/>
          <w:color w:val="auto"/>
          <w:sz w:val="24"/>
          <w:szCs w:val="21"/>
          <w:highlight w:val="none"/>
          <w:u w:val="none" w:color="auto"/>
          <w:lang w:val="en-US" w:eastAsia="zh-CN"/>
        </w:rPr>
        <w:t>hm²。</w:t>
      </w:r>
    </w:p>
    <w:p w14:paraId="0A4FA9E6">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fldChar w:fldCharType="begin"/>
      </w:r>
      <w:r>
        <w:rPr>
          <w:rFonts w:hint="eastAsia" w:ascii="Times New Roman" w:hAnsi="Times New Roman" w:cs="Times New Roman"/>
          <w:bCs/>
          <w:color w:val="auto"/>
          <w:sz w:val="24"/>
          <w:szCs w:val="21"/>
          <w:highlight w:val="none"/>
          <w:u w:val="none" w:color="auto"/>
          <w:lang w:val="en-US" w:eastAsia="zh-CN"/>
        </w:rPr>
        <w:instrText xml:space="preserve"> = 3 \* GB3 \* MERGEFORMAT </w:instrText>
      </w:r>
      <w:r>
        <w:rPr>
          <w:rFonts w:hint="eastAsia" w:ascii="Times New Roman" w:hAnsi="Times New Roman" w:cs="Times New Roman"/>
          <w:bCs/>
          <w:color w:val="auto"/>
          <w:sz w:val="24"/>
          <w:szCs w:val="21"/>
          <w:highlight w:val="none"/>
          <w:u w:val="none" w:color="auto"/>
          <w:lang w:val="en-US" w:eastAsia="zh-CN"/>
        </w:rPr>
        <w:fldChar w:fldCharType="separate"/>
      </w:r>
      <w:r>
        <w:rPr>
          <w:rFonts w:hint="eastAsia" w:ascii="Times New Roman" w:hAnsi="Times New Roman" w:cs="Times New Roman"/>
          <w:bCs/>
          <w:color w:val="auto"/>
          <w:sz w:val="24"/>
          <w:szCs w:val="21"/>
          <w:highlight w:val="none"/>
          <w:u w:val="none" w:color="auto"/>
          <w:lang w:val="en-US" w:eastAsia="zh-CN"/>
        </w:rPr>
        <w:t>③</w:t>
      </w:r>
      <w:r>
        <w:rPr>
          <w:rFonts w:hint="eastAsia" w:ascii="Times New Roman" w:hAnsi="Times New Roman" w:cs="Times New Roman"/>
          <w:bCs/>
          <w:color w:val="auto"/>
          <w:sz w:val="24"/>
          <w:szCs w:val="21"/>
          <w:highlight w:val="none"/>
          <w:u w:val="none" w:color="auto"/>
          <w:lang w:val="en-US" w:eastAsia="zh-CN"/>
        </w:rPr>
        <w:fldChar w:fldCharType="end"/>
      </w:r>
      <w:r>
        <w:rPr>
          <w:rFonts w:hint="eastAsia" w:ascii="Times New Roman" w:hAnsi="Times New Roman" w:cs="Times New Roman"/>
          <w:bCs/>
          <w:color w:val="auto"/>
          <w:sz w:val="24"/>
          <w:szCs w:val="21"/>
          <w:highlight w:val="none"/>
          <w:u w:val="none" w:color="auto"/>
          <w:lang w:val="en-US" w:eastAsia="zh-CN"/>
        </w:rPr>
        <w:t>实验区。保护区区界以内缓冲区以外的广大区域，包括采桑湖、团湖、方台湖、南湖、芭蕉湖等在内的烷内湖泊和农业用地，面积12.46</w:t>
      </w:r>
      <w:r>
        <w:rPr>
          <w:rFonts w:hint="default" w:ascii="Arial" w:hAnsi="Arial" w:cs="Arial"/>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104hm²。</w:t>
      </w:r>
    </w:p>
    <w:p w14:paraId="586AA24E">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在缓冲区和实验区内，保护区将依法取缔各种非法渔具，全面禁止偷猎或毒杀珍禽的违法活动。</w:t>
      </w:r>
    </w:p>
    <w:p w14:paraId="63B50939">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保护区的核心区和缓冲区，是珍稀濒危野生动物的主要栖息地，又是湿地生态系统的典型区域。在该范围内以保护为主，除开展科研、调查活动外，尽量减少人为影响和干扰，绝对禁止在该区域开展经营活动和一切生产活动。</w:t>
      </w:r>
    </w:p>
    <w:p w14:paraId="007789F5">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实验区实际上应该为可持续发展示范区，且实验区内在有利于保护的基础上，该区域内可以开展自然资源的合理利用，特别是应开展非消耗性资源利用，如开展生态旅游业(观鸟、观荷花等)，以减少人们对自然资源的直接消耗和过分依赖。</w:t>
      </w:r>
    </w:p>
    <w:p w14:paraId="7DDD9048">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eastAsia="zh-CN"/>
        </w:rPr>
      </w:pPr>
      <w:r>
        <w:rPr>
          <w:rFonts w:hint="eastAsia" w:ascii="Times New Roman" w:hAnsi="Times New Roman" w:cs="Times New Roman"/>
          <w:bCs/>
          <w:color w:val="auto"/>
          <w:sz w:val="24"/>
          <w:szCs w:val="21"/>
          <w:highlight w:val="none"/>
          <w:u w:val="none" w:color="auto"/>
          <w:lang w:eastAsia="zh-CN"/>
        </w:rPr>
        <w:t>（</w:t>
      </w:r>
      <w:r>
        <w:rPr>
          <w:rFonts w:hint="eastAsia" w:ascii="Times New Roman" w:hAnsi="Times New Roman" w:cs="Times New Roman"/>
          <w:bCs/>
          <w:color w:val="auto"/>
          <w:sz w:val="24"/>
          <w:szCs w:val="21"/>
          <w:highlight w:val="none"/>
          <w:u w:val="none" w:color="auto"/>
          <w:lang w:val="en-US" w:eastAsia="zh-CN"/>
        </w:rPr>
        <w:t>2</w:t>
      </w:r>
      <w:r>
        <w:rPr>
          <w:rFonts w:hint="eastAsia" w:ascii="Times New Roman" w:hAnsi="Times New Roman" w:cs="Times New Roman"/>
          <w:bCs/>
          <w:color w:val="auto"/>
          <w:sz w:val="24"/>
          <w:szCs w:val="21"/>
          <w:highlight w:val="none"/>
          <w:u w:val="none" w:color="auto"/>
          <w:lang w:eastAsia="zh-CN"/>
        </w:rPr>
        <w:t>）功能区划</w:t>
      </w:r>
      <w:r>
        <w:rPr>
          <w:rFonts w:hint="eastAsia" w:ascii="Times New Roman" w:hAnsi="Times New Roman" w:cs="Times New Roman"/>
          <w:bCs/>
          <w:color w:val="auto"/>
          <w:sz w:val="24"/>
          <w:szCs w:val="21"/>
          <w:highlight w:val="none"/>
          <w:u w:val="none" w:color="auto"/>
          <w:lang w:val="en-US" w:eastAsia="zh-CN"/>
        </w:rPr>
        <w:t>调整</w:t>
      </w:r>
      <w:r>
        <w:rPr>
          <w:rFonts w:hint="eastAsia" w:ascii="Times New Roman" w:hAnsi="Times New Roman" w:cs="Times New Roman"/>
          <w:bCs/>
          <w:color w:val="auto"/>
          <w:sz w:val="24"/>
          <w:szCs w:val="21"/>
          <w:highlight w:val="none"/>
          <w:u w:val="none" w:color="auto"/>
          <w:lang w:eastAsia="zh-CN"/>
        </w:rPr>
        <w:t>概况</w:t>
      </w:r>
    </w:p>
    <w:p w14:paraId="4E92DD2D">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14:paraId="5C660658">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bCs/>
          <w:color w:val="auto"/>
          <w:sz w:val="24"/>
          <w:szCs w:val="21"/>
          <w:highlight w:val="none"/>
          <w:u w:val="none" w:color="auto"/>
          <w:lang w:val="en-US" w:eastAsia="zh-CN"/>
        </w:rPr>
        <w:t>。</w:t>
      </w:r>
    </w:p>
    <w:p w14:paraId="3C3E8186">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1）规划拟调整概况</w:t>
      </w:r>
    </w:p>
    <w:p w14:paraId="55ED15CB">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东洞庭湖自然保护区现正在整合优化，关于湖南东洞庭湖国家级自然保护区整合优化方案情况已</w:t>
      </w:r>
      <w:r>
        <w:rPr>
          <w:rFonts w:hint="eastAsia" w:cs="Times New Roman"/>
          <w:bCs/>
          <w:color w:val="auto"/>
          <w:sz w:val="24"/>
          <w:szCs w:val="21"/>
          <w:highlight w:val="none"/>
          <w:u w:val="none" w:color="auto"/>
          <w:lang w:val="en-US" w:eastAsia="zh-CN"/>
        </w:rPr>
        <w:t>于2023年3月</w:t>
      </w:r>
      <w:r>
        <w:rPr>
          <w:rFonts w:hint="eastAsia" w:ascii="Times New Roman" w:hAnsi="Times New Roman" w:cs="Times New Roman"/>
          <w:bCs/>
          <w:color w:val="auto"/>
          <w:sz w:val="24"/>
          <w:szCs w:val="21"/>
          <w:highlight w:val="none"/>
          <w:u w:val="none" w:color="auto"/>
          <w:lang w:val="en-US" w:eastAsia="zh-CN"/>
        </w:rPr>
        <w:t>在岳阳市林业局网站进行公示，目前</w:t>
      </w:r>
      <w:r>
        <w:rPr>
          <w:rFonts w:hint="eastAsia" w:cs="Times New Roman"/>
          <w:bCs/>
          <w:color w:val="auto"/>
          <w:sz w:val="24"/>
          <w:szCs w:val="21"/>
          <w:highlight w:val="none"/>
          <w:u w:val="none" w:color="auto"/>
          <w:lang w:val="en-US" w:eastAsia="zh-CN"/>
        </w:rPr>
        <w:t>整合优化方案及新的自然保护区规划正在积极编制中</w:t>
      </w:r>
      <w:r>
        <w:rPr>
          <w:rFonts w:hint="eastAsia" w:ascii="Times New Roman" w:hAnsi="Times New Roman" w:cs="Times New Roman"/>
          <w:bCs/>
          <w:color w:val="auto"/>
          <w:sz w:val="24"/>
          <w:szCs w:val="21"/>
          <w:highlight w:val="none"/>
          <w:u w:val="none" w:color="auto"/>
          <w:lang w:val="en-US" w:eastAsia="zh-CN"/>
        </w:rPr>
        <w:t>，未正式发布。此次范围调整只涉及将部分实验区部分区域调出保护区</w:t>
      </w:r>
      <w:r>
        <w:rPr>
          <w:rFonts w:hint="eastAsia" w:cs="Times New Roman"/>
          <w:bCs/>
          <w:color w:val="auto"/>
          <w:sz w:val="24"/>
          <w:szCs w:val="21"/>
          <w:highlight w:val="none"/>
          <w:u w:val="none" w:color="auto"/>
          <w:lang w:val="en-US" w:eastAsia="zh-CN"/>
        </w:rPr>
        <w:t>；</w:t>
      </w:r>
      <w:r>
        <w:rPr>
          <w:rFonts w:hint="eastAsia" w:ascii="Times New Roman" w:hAnsi="Times New Roman" w:cs="Times New Roman"/>
          <w:bCs/>
          <w:color w:val="auto"/>
          <w:sz w:val="24"/>
          <w:szCs w:val="21"/>
          <w:highlight w:val="none"/>
          <w:u w:val="none" w:color="auto"/>
          <w:lang w:val="en-US" w:eastAsia="zh-CN"/>
        </w:rPr>
        <w:t>功能区调整拟将部分实验区调整为</w:t>
      </w:r>
      <w:r>
        <w:rPr>
          <w:rFonts w:hint="eastAsia" w:cs="Times New Roman"/>
          <w:bCs/>
          <w:color w:val="auto"/>
          <w:sz w:val="24"/>
          <w:szCs w:val="21"/>
          <w:highlight w:val="none"/>
          <w:u w:val="none" w:color="auto"/>
          <w:lang w:val="en-US" w:eastAsia="zh-CN"/>
        </w:rPr>
        <w:t>一般狗控制区</w:t>
      </w:r>
      <w:r>
        <w:rPr>
          <w:rFonts w:hint="eastAsia" w:ascii="Times New Roman" w:hAnsi="Times New Roman" w:cs="Times New Roman"/>
          <w:bCs/>
          <w:color w:val="auto"/>
          <w:sz w:val="24"/>
          <w:szCs w:val="21"/>
          <w:highlight w:val="none"/>
          <w:u w:val="none" w:color="auto"/>
          <w:lang w:val="en-US" w:eastAsia="zh-CN"/>
        </w:rPr>
        <w:t>，并将</w:t>
      </w:r>
      <w:r>
        <w:rPr>
          <w:rFonts w:hint="eastAsia" w:cs="Times New Roman"/>
          <w:bCs/>
          <w:color w:val="auto"/>
          <w:sz w:val="24"/>
          <w:szCs w:val="21"/>
          <w:highlight w:val="none"/>
          <w:u w:val="none" w:color="auto"/>
          <w:lang w:val="en-US" w:eastAsia="zh-CN"/>
        </w:rPr>
        <w:t>原有核心区以及</w:t>
      </w:r>
      <w:r>
        <w:rPr>
          <w:rFonts w:hint="eastAsia" w:ascii="Times New Roman" w:hAnsi="Times New Roman" w:cs="Times New Roman"/>
          <w:bCs/>
          <w:color w:val="auto"/>
          <w:sz w:val="24"/>
          <w:szCs w:val="21"/>
          <w:highlight w:val="none"/>
          <w:u w:val="none" w:color="auto"/>
          <w:lang w:val="en-US" w:eastAsia="zh-CN"/>
        </w:rPr>
        <w:t>部分缓冲区调整为</w:t>
      </w:r>
      <w:r>
        <w:rPr>
          <w:rFonts w:hint="eastAsia" w:cs="Times New Roman"/>
          <w:bCs/>
          <w:color w:val="auto"/>
          <w:sz w:val="24"/>
          <w:szCs w:val="21"/>
          <w:highlight w:val="none"/>
          <w:u w:val="none" w:color="auto"/>
          <w:lang w:val="en-US" w:eastAsia="zh-CN"/>
        </w:rPr>
        <w:t>核心保护区</w:t>
      </w:r>
      <w:r>
        <w:rPr>
          <w:rFonts w:hint="eastAsia" w:ascii="Times New Roman" w:hAnsi="Times New Roman" w:cs="Times New Roman"/>
          <w:bCs/>
          <w:color w:val="auto"/>
          <w:sz w:val="24"/>
          <w:szCs w:val="21"/>
          <w:highlight w:val="none"/>
          <w:u w:val="none" w:color="auto"/>
          <w:lang w:val="en-US" w:eastAsia="zh-CN"/>
        </w:rPr>
        <w:t>。</w:t>
      </w:r>
    </w:p>
    <w:p w14:paraId="04AA1061">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2）调整范围</w:t>
      </w:r>
    </w:p>
    <w:p w14:paraId="424E5742">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拟将</w:t>
      </w:r>
      <w:r>
        <w:rPr>
          <w:rFonts w:hint="eastAsia" w:cs="Times New Roman"/>
          <w:bCs/>
          <w:color w:val="auto"/>
          <w:sz w:val="24"/>
          <w:szCs w:val="21"/>
          <w:highlight w:val="none"/>
          <w:u w:val="none" w:color="auto"/>
          <w:lang w:val="en-US" w:eastAsia="zh-CN"/>
        </w:rPr>
        <w:t>部分</w:t>
      </w:r>
      <w:r>
        <w:rPr>
          <w:rFonts w:hint="eastAsia" w:ascii="Times New Roman" w:hAnsi="Times New Roman" w:cs="Times New Roman"/>
          <w:bCs/>
          <w:color w:val="auto"/>
          <w:sz w:val="24"/>
          <w:szCs w:val="21"/>
          <w:highlight w:val="none"/>
          <w:u w:val="none" w:color="auto"/>
          <w:lang w:val="en-US" w:eastAsia="zh-CN"/>
        </w:rPr>
        <w:t>实验区地块调出自然保护区范围。由于历史原因，这些区域（详见附图）早在80年代被划入了自然保护区，被划为自然保护区的实验区进行保护管理。由于人口密集，工农业聚集，管理难度极大，基本不具各自然保护区实验区的保护意义。通过组织专家进行实地调查发现，该区域近洞庭湖大堤区域大部分为城市集镇，城区周边区域则多为平原、农田村庄。</w:t>
      </w:r>
    </w:p>
    <w:p w14:paraId="5BA34737">
      <w:pPr>
        <w:pStyle w:val="68"/>
        <w:ind w:firstLine="480"/>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湖南东洞庭湖国家级自然保护区调整后范围为地理坐标在N29</w:t>
      </w:r>
      <w:r>
        <w:rPr>
          <w:rFonts w:hint="eastAsia" w:ascii="微软雅黑" w:hAnsi="微软雅黑" w:eastAsia="微软雅黑" w:cs="微软雅黑"/>
          <w:bCs/>
          <w:color w:val="auto"/>
          <w:sz w:val="24"/>
          <w:szCs w:val="21"/>
          <w:highlight w:val="none"/>
          <w:u w:val="none" w:color="auto"/>
          <w:lang w:val="en-US" w:eastAsia="zh-CN"/>
        </w:rPr>
        <w:t>⁰</w:t>
      </w:r>
      <w:r>
        <w:rPr>
          <w:rFonts w:hint="eastAsia" w:ascii="Times New Roman" w:hAnsi="Times New Roman" w:cs="Times New Roman"/>
          <w:bCs/>
          <w:color w:val="auto"/>
          <w:sz w:val="24"/>
          <w:szCs w:val="21"/>
          <w:highlight w:val="none"/>
          <w:u w:val="none" w:color="auto"/>
          <w:lang w:val="en-US" w:eastAsia="zh-CN"/>
        </w:rPr>
        <w:t>0'0"-29</w:t>
      </w:r>
      <w:r>
        <w:rPr>
          <w:rFonts w:hint="eastAsia" w:ascii="微软雅黑" w:hAnsi="微软雅黑" w:eastAsia="微软雅黑" w:cs="微软雅黑"/>
          <w:bCs/>
          <w:color w:val="auto"/>
          <w:sz w:val="24"/>
          <w:szCs w:val="21"/>
          <w:highlight w:val="none"/>
          <w:u w:val="none" w:color="auto"/>
          <w:lang w:val="en-US" w:eastAsia="zh-CN"/>
        </w:rPr>
        <w:t>⁰</w:t>
      </w:r>
      <w:r>
        <w:rPr>
          <w:rFonts w:hint="eastAsia" w:ascii="Times New Roman" w:hAnsi="Times New Roman" w:cs="Times New Roman"/>
          <w:bCs/>
          <w:color w:val="auto"/>
          <w:sz w:val="24"/>
          <w:szCs w:val="21"/>
          <w:highlight w:val="none"/>
          <w:u w:val="none" w:color="auto"/>
          <w:lang w:val="en-US" w:eastAsia="zh-CN"/>
        </w:rPr>
        <w:t>37'45.7"，E112</w:t>
      </w:r>
      <w:r>
        <w:rPr>
          <w:rFonts w:hint="eastAsia" w:ascii="微软雅黑" w:hAnsi="微软雅黑" w:eastAsia="微软雅黑" w:cs="微软雅黑"/>
          <w:bCs/>
          <w:color w:val="auto"/>
          <w:sz w:val="24"/>
          <w:szCs w:val="21"/>
          <w:highlight w:val="none"/>
          <w:u w:val="none" w:color="auto"/>
          <w:lang w:val="en-US" w:eastAsia="zh-CN"/>
        </w:rPr>
        <w:t>⁰</w:t>
      </w:r>
      <w:r>
        <w:rPr>
          <w:rFonts w:hint="eastAsia" w:ascii="Times New Roman" w:hAnsi="Times New Roman" w:cs="Times New Roman"/>
          <w:bCs/>
          <w:color w:val="auto"/>
          <w:sz w:val="24"/>
          <w:szCs w:val="21"/>
          <w:highlight w:val="none"/>
          <w:u w:val="none" w:color="auto"/>
          <w:lang w:val="en-US" w:eastAsia="zh-CN"/>
        </w:rPr>
        <w:t>43'59.5"-113</w:t>
      </w:r>
      <w:r>
        <w:rPr>
          <w:rFonts w:hint="eastAsia" w:ascii="微软雅黑" w:hAnsi="微软雅黑" w:eastAsia="微软雅黑" w:cs="微软雅黑"/>
          <w:bCs/>
          <w:color w:val="auto"/>
          <w:sz w:val="24"/>
          <w:szCs w:val="21"/>
          <w:highlight w:val="none"/>
          <w:u w:val="none" w:color="auto"/>
          <w:lang w:val="en-US" w:eastAsia="zh-CN"/>
        </w:rPr>
        <w:t>⁰</w:t>
      </w:r>
      <w:r>
        <w:rPr>
          <w:rFonts w:hint="eastAsia" w:ascii="Times New Roman" w:hAnsi="Times New Roman" w:cs="Times New Roman"/>
          <w:bCs/>
          <w:color w:val="auto"/>
          <w:sz w:val="24"/>
          <w:szCs w:val="21"/>
          <w:highlight w:val="none"/>
          <w:u w:val="none" w:color="auto"/>
          <w:lang w:val="en-US" w:eastAsia="zh-CN"/>
        </w:rPr>
        <w:t>13'13.4"之间，自然保护区北起长江湘鄂两省主航道分界线，南至汨罗磊石山，东至京广铁路，西与南县交界。东西宽约50公里，南北长70公里，总面积</w:t>
      </w:r>
      <w:r>
        <w:rPr>
          <w:rFonts w:hint="eastAsia" w:cs="Times New Roman"/>
          <w:bCs/>
          <w:color w:val="auto"/>
          <w:sz w:val="24"/>
          <w:szCs w:val="21"/>
          <w:highlight w:val="none"/>
          <w:u w:val="none" w:color="auto"/>
          <w:lang w:val="en-US" w:eastAsia="zh-CN"/>
        </w:rPr>
        <w:t>101152.28</w:t>
      </w:r>
      <w:r>
        <w:rPr>
          <w:rFonts w:hint="eastAsia" w:ascii="Times New Roman" w:hAnsi="Times New Roman" w:cs="Times New Roman"/>
          <w:bCs/>
          <w:color w:val="auto"/>
          <w:sz w:val="24"/>
          <w:szCs w:val="21"/>
          <w:highlight w:val="none"/>
          <w:u w:val="none" w:color="auto"/>
          <w:lang w:val="en-US" w:eastAsia="zh-CN"/>
        </w:rPr>
        <w:t>公顷，东洞庭湖自然保护区方案调整后，本项目正好处于</w:t>
      </w:r>
      <w:r>
        <w:rPr>
          <w:rFonts w:hint="eastAsia" w:cs="Times New Roman"/>
          <w:bCs/>
          <w:color w:val="auto"/>
          <w:sz w:val="24"/>
          <w:szCs w:val="21"/>
          <w:highlight w:val="none"/>
          <w:u w:val="none" w:color="auto"/>
          <w:lang w:val="en-US" w:eastAsia="zh-CN"/>
        </w:rPr>
        <w:t>湖南东洞庭湖自然保护区一般控制区</w:t>
      </w:r>
      <w:r>
        <w:rPr>
          <w:rFonts w:hint="eastAsia" w:ascii="Times New Roman" w:hAnsi="Times New Roman" w:cs="Times New Roman"/>
          <w:bCs/>
          <w:color w:val="auto"/>
          <w:sz w:val="24"/>
          <w:szCs w:val="21"/>
          <w:highlight w:val="none"/>
          <w:u w:val="none" w:color="auto"/>
          <w:lang w:val="en-US" w:eastAsia="zh-CN"/>
        </w:rPr>
        <w:t>边界之外（距离</w:t>
      </w:r>
      <w:r>
        <w:rPr>
          <w:rFonts w:hint="eastAsia" w:cs="Times New Roman"/>
          <w:bCs/>
          <w:color w:val="auto"/>
          <w:sz w:val="24"/>
          <w:szCs w:val="21"/>
          <w:highlight w:val="none"/>
          <w:u w:val="none" w:color="auto"/>
          <w:lang w:val="en-US" w:eastAsia="zh-CN"/>
        </w:rPr>
        <w:t>湖南东洞庭湖国家级自然保护区</w:t>
      </w:r>
      <w:r>
        <w:rPr>
          <w:rFonts w:hint="eastAsia" w:ascii="Times New Roman" w:hAnsi="Times New Roman" w:cs="Times New Roman"/>
          <w:bCs/>
          <w:color w:val="auto"/>
          <w:sz w:val="24"/>
          <w:szCs w:val="21"/>
          <w:highlight w:val="none"/>
          <w:u w:val="none" w:color="auto"/>
          <w:lang w:val="en-US" w:eastAsia="zh-CN"/>
        </w:rPr>
        <w:t>约1.7km），由于调整规划目前仍</w:t>
      </w:r>
      <w:r>
        <w:rPr>
          <w:rFonts w:hint="eastAsia" w:cs="Times New Roman"/>
          <w:bCs/>
          <w:color w:val="auto"/>
          <w:sz w:val="24"/>
          <w:szCs w:val="21"/>
          <w:highlight w:val="none"/>
          <w:u w:val="none" w:color="auto"/>
          <w:lang w:val="en-US" w:eastAsia="zh-CN"/>
        </w:rPr>
        <w:t>未正式发布</w:t>
      </w:r>
      <w:r>
        <w:rPr>
          <w:rFonts w:hint="eastAsia" w:ascii="Times New Roman" w:hAnsi="Times New Roman" w:cs="Times New Roman"/>
          <w:bCs/>
          <w:color w:val="auto"/>
          <w:sz w:val="24"/>
          <w:szCs w:val="21"/>
          <w:highlight w:val="none"/>
          <w:u w:val="none" w:color="auto"/>
          <w:lang w:val="en-US" w:eastAsia="zh-CN"/>
        </w:rPr>
        <w:t>，故本报告仍以原有功能区划为准。</w:t>
      </w:r>
    </w:p>
    <w:p w14:paraId="5D1227F0">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u w:val="none" w:color="auto"/>
          <w:lang w:val="en-US" w:eastAsia="zh-CN"/>
        </w:rPr>
      </w:pPr>
      <w:r>
        <w:rPr>
          <w:rFonts w:hint="eastAsia" w:ascii="Times New Roman" w:hAnsi="Times New Roman" w:cs="Times New Roman"/>
          <w:color w:val="auto"/>
          <w:sz w:val="21"/>
          <w:szCs w:val="21"/>
          <w:u w:val="none" w:color="auto"/>
          <w:lang w:val="en-US" w:eastAsia="zh-CN"/>
        </w:rPr>
        <w:t>表3-3 湖南东洞庭湖国家级自然保护区整合优化方案拟调整基本情况</w:t>
      </w:r>
    </w:p>
    <w:tbl>
      <w:tblPr>
        <w:tblStyle w:val="25"/>
        <w:tblW w:w="0" w:type="auto"/>
        <w:tblInd w:w="4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6"/>
        <w:gridCol w:w="1233"/>
        <w:gridCol w:w="797"/>
        <w:gridCol w:w="461"/>
        <w:gridCol w:w="2899"/>
        <w:gridCol w:w="1300"/>
        <w:gridCol w:w="980"/>
      </w:tblGrid>
      <w:tr w14:paraId="2B90B2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1040" w:hRule="atLeast"/>
        </w:trPr>
        <w:tc>
          <w:tcPr>
            <w:tcW w:w="616" w:type="dxa"/>
            <w:tcBorders>
              <w:tl2br w:val="nil"/>
              <w:tr2bl w:val="nil"/>
            </w:tcBorders>
            <w:vAlign w:val="center"/>
          </w:tcPr>
          <w:p w14:paraId="6E6393A0">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保护区名称</w:t>
            </w:r>
          </w:p>
        </w:tc>
        <w:tc>
          <w:tcPr>
            <w:tcW w:w="1233" w:type="dxa"/>
            <w:tcBorders>
              <w:tl2br w:val="nil"/>
              <w:tr2bl w:val="nil"/>
            </w:tcBorders>
            <w:vAlign w:val="center"/>
          </w:tcPr>
          <w:p w14:paraId="5428F688">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所在行政区域及地理坐标</w:t>
            </w:r>
          </w:p>
        </w:tc>
        <w:tc>
          <w:tcPr>
            <w:tcW w:w="797" w:type="dxa"/>
            <w:tcBorders>
              <w:tl2br w:val="nil"/>
              <w:tr2bl w:val="nil"/>
            </w:tcBorders>
            <w:vAlign w:val="center"/>
          </w:tcPr>
          <w:p w14:paraId="212C8EBF">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主要保护对象</w:t>
            </w:r>
          </w:p>
        </w:tc>
        <w:tc>
          <w:tcPr>
            <w:tcW w:w="461" w:type="dxa"/>
            <w:tcBorders>
              <w:tl2br w:val="nil"/>
              <w:tr2bl w:val="nil"/>
            </w:tcBorders>
            <w:vAlign w:val="center"/>
          </w:tcPr>
          <w:p w14:paraId="0FB5AFC0">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调整类型</w:t>
            </w:r>
          </w:p>
        </w:tc>
        <w:tc>
          <w:tcPr>
            <w:tcW w:w="2899" w:type="dxa"/>
            <w:tcBorders>
              <w:tl2br w:val="nil"/>
              <w:tr2bl w:val="nil"/>
            </w:tcBorders>
            <w:vAlign w:val="center"/>
          </w:tcPr>
          <w:p w14:paraId="3097A719">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调整理由</w:t>
            </w:r>
          </w:p>
        </w:tc>
        <w:tc>
          <w:tcPr>
            <w:tcW w:w="1300" w:type="dxa"/>
            <w:tcBorders>
              <w:tl2br w:val="nil"/>
              <w:tr2bl w:val="nil"/>
            </w:tcBorders>
            <w:vAlign w:val="center"/>
          </w:tcPr>
          <w:p w14:paraId="297450BA">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调整前面积</w:t>
            </w:r>
          </w:p>
        </w:tc>
        <w:tc>
          <w:tcPr>
            <w:tcW w:w="980" w:type="dxa"/>
            <w:tcBorders>
              <w:tl2br w:val="nil"/>
              <w:tr2bl w:val="nil"/>
            </w:tcBorders>
            <w:vAlign w:val="center"/>
          </w:tcPr>
          <w:p w14:paraId="2C099B9B">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调整后面积</w:t>
            </w:r>
          </w:p>
        </w:tc>
      </w:tr>
      <w:tr w14:paraId="6EB58E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1315" w:hRule="atLeast"/>
        </w:trPr>
        <w:tc>
          <w:tcPr>
            <w:tcW w:w="616" w:type="dxa"/>
            <w:tcBorders>
              <w:tl2br w:val="nil"/>
              <w:tr2bl w:val="nil"/>
            </w:tcBorders>
            <w:vAlign w:val="center"/>
          </w:tcPr>
          <w:p w14:paraId="2D6BE5BA">
            <w:pPr>
              <w:pStyle w:val="70"/>
              <w:jc w:val="center"/>
              <w:rPr>
                <w:rFonts w:hint="eastAsia" w:ascii="Times New Roman" w:hAnsi="Times New Roman" w:cs="Times New Roman"/>
                <w:color w:val="auto"/>
                <w:u w:val="none" w:color="auto"/>
              </w:rPr>
            </w:pPr>
          </w:p>
          <w:p w14:paraId="7C46AFAC">
            <w:pPr>
              <w:pStyle w:val="70"/>
              <w:jc w:val="center"/>
              <w:rPr>
                <w:rFonts w:hint="eastAsia" w:ascii="Times New Roman" w:hAnsi="Times New Roman" w:cs="Times New Roman"/>
                <w:color w:val="auto"/>
                <w:u w:val="none" w:color="auto"/>
              </w:rPr>
            </w:pPr>
          </w:p>
          <w:p w14:paraId="0A584147">
            <w:pPr>
              <w:pStyle w:val="70"/>
              <w:jc w:val="center"/>
              <w:rPr>
                <w:rFonts w:hint="eastAsia" w:ascii="Times New Roman" w:hAnsi="Times New Roman" w:cs="Times New Roman"/>
                <w:color w:val="auto"/>
                <w:u w:val="none" w:color="auto"/>
              </w:rPr>
            </w:pPr>
          </w:p>
          <w:p w14:paraId="6542606D">
            <w:pPr>
              <w:pStyle w:val="70"/>
              <w:jc w:val="center"/>
              <w:rPr>
                <w:rFonts w:hint="eastAsia" w:ascii="Times New Roman" w:hAnsi="Times New Roman" w:cs="Times New Roman"/>
                <w:color w:val="auto"/>
                <w:u w:val="none" w:color="auto"/>
              </w:rPr>
            </w:pPr>
          </w:p>
          <w:p w14:paraId="266BEDB9">
            <w:pPr>
              <w:pStyle w:val="70"/>
              <w:jc w:val="center"/>
              <w:rPr>
                <w:rFonts w:hint="eastAsia" w:ascii="Times New Roman" w:hAnsi="Times New Roman" w:cs="Times New Roman"/>
                <w:color w:val="auto"/>
                <w:u w:val="none" w:color="auto"/>
              </w:rPr>
            </w:pPr>
          </w:p>
          <w:p w14:paraId="06D6DD89">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湖南东洞庭湖国家级自然保护区</w:t>
            </w:r>
          </w:p>
        </w:tc>
        <w:tc>
          <w:tcPr>
            <w:tcW w:w="1233" w:type="dxa"/>
            <w:tcBorders>
              <w:tl2br w:val="nil"/>
              <w:tr2bl w:val="nil"/>
            </w:tcBorders>
            <w:vAlign w:val="center"/>
          </w:tcPr>
          <w:p w14:paraId="5E67F0A2">
            <w:pPr>
              <w:pStyle w:val="70"/>
              <w:jc w:val="center"/>
              <w:rPr>
                <w:rFonts w:hint="eastAsia" w:ascii="Times New Roman" w:hAnsi="Times New Roman" w:cs="Times New Roman"/>
                <w:color w:val="auto"/>
                <w:u w:val="none" w:color="auto"/>
              </w:rPr>
            </w:pPr>
          </w:p>
          <w:p w14:paraId="3C569B1C">
            <w:pPr>
              <w:pStyle w:val="70"/>
              <w:jc w:val="center"/>
              <w:rPr>
                <w:rFonts w:hint="eastAsia" w:ascii="Times New Roman" w:hAnsi="Times New Roman" w:cs="Times New Roman"/>
                <w:color w:val="auto"/>
                <w:u w:val="none" w:color="auto"/>
              </w:rPr>
            </w:pPr>
          </w:p>
          <w:p w14:paraId="46C40CC8">
            <w:pPr>
              <w:pStyle w:val="70"/>
              <w:jc w:val="center"/>
              <w:rPr>
                <w:rFonts w:hint="eastAsia" w:ascii="Times New Roman" w:hAnsi="Times New Roman" w:cs="Times New Roman"/>
                <w:color w:val="auto"/>
                <w:u w:val="none" w:color="auto"/>
              </w:rPr>
            </w:pPr>
          </w:p>
          <w:p w14:paraId="4F9D5206">
            <w:pPr>
              <w:pStyle w:val="70"/>
              <w:jc w:val="center"/>
              <w:rPr>
                <w:rFonts w:hint="default" w:ascii="Times New Roman" w:hAnsi="Times New Roman" w:cs="Times New Roman"/>
                <w:color w:val="auto"/>
                <w:u w:val="none" w:color="auto"/>
              </w:rPr>
            </w:pPr>
            <w:r>
              <w:rPr>
                <w:rFonts w:hint="eastAsia" w:ascii="Times New Roman" w:hAnsi="Times New Roman" w:cs="Times New Roman"/>
                <w:color w:val="auto"/>
                <w:u w:val="none" w:color="auto"/>
              </w:rPr>
              <w:t>岳阳市岳阳楼区、君山区、云溪区、华容县、岳阳县、汨罗市。112</w:t>
            </w:r>
            <w:r>
              <w:rPr>
                <w:rFonts w:hint="default" w:ascii="Times New Roman" w:hAnsi="Times New Roman" w:cs="Times New Roman"/>
                <w:color w:val="auto"/>
                <w:u w:val="none" w:color="auto"/>
              </w:rPr>
              <w:t>° 42'55”</w:t>
            </w:r>
            <w:r>
              <w:rPr>
                <w:rFonts w:hint="eastAsia" w:ascii="Times New Roman" w:hAnsi="Times New Roman" w:cs="Times New Roman"/>
                <w:color w:val="auto"/>
                <w:u w:val="none" w:color="auto"/>
                <w:lang w:val="en-US" w:eastAsia="zh-CN"/>
              </w:rPr>
              <w:t xml:space="preserve"> </w:t>
            </w:r>
            <w:r>
              <w:rPr>
                <w:rFonts w:hint="default" w:ascii="Times New Roman" w:hAnsi="Times New Roman" w:cs="Times New Roman"/>
                <w:color w:val="auto"/>
                <w:u w:val="none" w:color="auto"/>
              </w:rPr>
              <w:t>~113°13' 6"E.28° 59' 58"~29° 37'40"</w:t>
            </w:r>
          </w:p>
          <w:p w14:paraId="2C0D30C1">
            <w:pPr>
              <w:pStyle w:val="70"/>
              <w:jc w:val="center"/>
              <w:rPr>
                <w:rFonts w:hint="eastAsia" w:ascii="Times New Roman" w:hAnsi="Times New Roman" w:cs="Times New Roman"/>
                <w:color w:val="auto"/>
                <w:u w:val="none" w:color="auto"/>
              </w:rPr>
            </w:pPr>
            <w:r>
              <w:rPr>
                <w:rFonts w:hint="default" w:ascii="Times New Roman" w:hAnsi="Times New Roman" w:cs="Times New Roman"/>
                <w:color w:val="auto"/>
                <w:u w:val="none" w:color="auto"/>
              </w:rPr>
              <w:t>N.</w:t>
            </w:r>
          </w:p>
        </w:tc>
        <w:tc>
          <w:tcPr>
            <w:tcW w:w="797" w:type="dxa"/>
            <w:tcBorders>
              <w:tl2br w:val="nil"/>
              <w:tr2bl w:val="nil"/>
            </w:tcBorders>
            <w:vAlign w:val="center"/>
          </w:tcPr>
          <w:p w14:paraId="2F9AB5BC">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湖南东洞庭湖国家级自然保护区主要保护对象为白鹤、白头鹤、东方白鹤、黑鹤等越冬候乌和麋鹿、江豚、中华秋沙鸭等珍稀濒危野生动</w:t>
            </w:r>
          </w:p>
          <w:p w14:paraId="286F3A93">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物及洞庭湖湿地生态系统和生物多样性</w:t>
            </w:r>
          </w:p>
        </w:tc>
        <w:tc>
          <w:tcPr>
            <w:tcW w:w="461" w:type="dxa"/>
            <w:tcBorders>
              <w:tl2br w:val="nil"/>
              <w:tr2bl w:val="nil"/>
            </w:tcBorders>
            <w:vAlign w:val="center"/>
          </w:tcPr>
          <w:p w14:paraId="5F303168">
            <w:pPr>
              <w:pStyle w:val="70"/>
              <w:jc w:val="center"/>
              <w:rPr>
                <w:rFonts w:hint="eastAsia" w:ascii="Times New Roman" w:hAnsi="Times New Roman" w:cs="Times New Roman"/>
                <w:color w:val="auto"/>
                <w:u w:val="none" w:color="auto"/>
              </w:rPr>
            </w:pPr>
          </w:p>
          <w:p w14:paraId="4344DC7F">
            <w:pPr>
              <w:pStyle w:val="70"/>
              <w:jc w:val="center"/>
              <w:rPr>
                <w:rFonts w:hint="eastAsia" w:ascii="Times New Roman" w:hAnsi="Times New Roman" w:cs="Times New Roman"/>
                <w:color w:val="auto"/>
                <w:u w:val="none" w:color="auto"/>
              </w:rPr>
            </w:pPr>
          </w:p>
          <w:p w14:paraId="3F7D10D6">
            <w:pPr>
              <w:pStyle w:val="70"/>
              <w:jc w:val="center"/>
              <w:rPr>
                <w:rFonts w:hint="eastAsia" w:ascii="Times New Roman" w:hAnsi="Times New Roman" w:cs="Times New Roman"/>
                <w:color w:val="auto"/>
                <w:u w:val="none" w:color="auto"/>
              </w:rPr>
            </w:pPr>
          </w:p>
          <w:p w14:paraId="4D3104FE">
            <w:pPr>
              <w:pStyle w:val="70"/>
              <w:jc w:val="center"/>
              <w:rPr>
                <w:rFonts w:hint="eastAsia" w:ascii="Times New Roman" w:hAnsi="Times New Roman" w:cs="Times New Roman"/>
                <w:color w:val="auto"/>
                <w:u w:val="none" w:color="auto"/>
              </w:rPr>
            </w:pPr>
          </w:p>
          <w:p w14:paraId="364F872D">
            <w:pPr>
              <w:pStyle w:val="70"/>
              <w:jc w:val="center"/>
              <w:rPr>
                <w:rFonts w:hint="eastAsia" w:ascii="Times New Roman" w:hAnsi="Times New Roman" w:cs="Times New Roman"/>
                <w:color w:val="auto"/>
                <w:u w:val="none" w:color="auto"/>
              </w:rPr>
            </w:pPr>
          </w:p>
          <w:p w14:paraId="4949026D">
            <w:pPr>
              <w:pStyle w:val="70"/>
              <w:jc w:val="center"/>
              <w:rPr>
                <w:rFonts w:hint="eastAsia" w:ascii="Times New Roman" w:hAnsi="Times New Roman" w:cs="Times New Roman"/>
                <w:color w:val="auto"/>
                <w:u w:val="none" w:color="auto"/>
              </w:rPr>
            </w:pPr>
          </w:p>
          <w:p w14:paraId="635C5663">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范围和功能区</w:t>
            </w:r>
          </w:p>
          <w:p w14:paraId="76EA954E">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调整</w:t>
            </w:r>
          </w:p>
        </w:tc>
        <w:tc>
          <w:tcPr>
            <w:tcW w:w="2899" w:type="dxa"/>
            <w:tcBorders>
              <w:tl2br w:val="nil"/>
              <w:tr2bl w:val="nil"/>
            </w:tcBorders>
            <w:vAlign w:val="center"/>
          </w:tcPr>
          <w:p w14:paraId="5FAEFCA5">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根据“中办发〔2019〕42号”“自然资函〔2020〕71号”“湘林保〔2020〕16号”等相关政策文件，要求开展自然保护地整合优化工作，合理确定自然保护地类型和功能定位，优化边界范围和功能分区，重点解决自然保护地空间重叠、边界不清、权责不明、保护与发展矛盾突出等问题。</w:t>
            </w:r>
          </w:p>
          <w:p w14:paraId="35EB7E9B">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一是因湖南东洞庭湖国家级自然保护区与岳阳楼-东洞庭湖风景名胜区存在大量交叉重叠部分，为加强人文景观资源的保护，将其保留为风景风景名胜区，二是在设立之初，自然保护区划入了大量城镇建成区、村庄及永久基本农田，为有效解决历史遗留问题，促进自然保护区与社区和谐发展，将其调出自然保护区范围.</w:t>
            </w:r>
          </w:p>
        </w:tc>
        <w:tc>
          <w:tcPr>
            <w:tcW w:w="1300" w:type="dxa"/>
            <w:tcBorders>
              <w:tl2br w:val="nil"/>
              <w:tr2bl w:val="nil"/>
            </w:tcBorders>
            <w:vAlign w:val="center"/>
          </w:tcPr>
          <w:p w14:paraId="50F13BFB">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批复总面积</w:t>
            </w:r>
          </w:p>
          <w:p w14:paraId="390FEA8B">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157627.00公顷，落图总面积157534.30公顷.其中核心区批复面积33286.20公顷，落图面积</w:t>
            </w:r>
          </w:p>
          <w:p w14:paraId="30E6FB39">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33247.96公顷：缓冲区批复面积32369.80公顷，落图面积32456.51公顷：</w:t>
            </w:r>
          </w:p>
          <w:p w14:paraId="4F007F53">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实验区批复面积91972.00公顷，落图面积9182983公顷</w:t>
            </w:r>
          </w:p>
        </w:tc>
        <w:tc>
          <w:tcPr>
            <w:tcW w:w="980" w:type="dxa"/>
            <w:tcBorders>
              <w:tl2br w:val="nil"/>
              <w:tr2bl w:val="nil"/>
            </w:tcBorders>
            <w:vAlign w:val="center"/>
          </w:tcPr>
          <w:p w14:paraId="05E0FC36">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总面积</w:t>
            </w:r>
          </w:p>
          <w:p w14:paraId="11208125">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101152.28公顷其中：核心保护区面积68055.08公</w:t>
            </w:r>
          </w:p>
          <w:p w14:paraId="4E60E7E0">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顷，一般控制区面积33097.21公</w:t>
            </w:r>
          </w:p>
          <w:p w14:paraId="03263E08">
            <w:pPr>
              <w:pStyle w:val="70"/>
              <w:jc w:val="center"/>
              <w:rPr>
                <w:rFonts w:hint="eastAsia" w:ascii="Times New Roman" w:hAnsi="Times New Roman" w:cs="Times New Roman"/>
                <w:color w:val="auto"/>
                <w:u w:val="none" w:color="auto"/>
              </w:rPr>
            </w:pPr>
            <w:r>
              <w:rPr>
                <w:rFonts w:hint="eastAsia" w:ascii="Times New Roman" w:hAnsi="Times New Roman" w:cs="Times New Roman"/>
                <w:color w:val="auto"/>
                <w:u w:val="none" w:color="auto"/>
              </w:rPr>
              <w:t>顷.</w:t>
            </w:r>
          </w:p>
        </w:tc>
      </w:tr>
    </w:tbl>
    <w:p w14:paraId="2BA7EAF6">
      <w:pPr>
        <w:pStyle w:val="68"/>
        <w:ind w:firstLine="480"/>
        <w:rPr>
          <w:rFonts w:hint="eastAsia" w:ascii="Times New Roman" w:hAnsi="Times New Roman" w:cs="Times New Roman"/>
          <w:bCs/>
          <w:color w:val="auto"/>
          <w:sz w:val="24"/>
          <w:szCs w:val="21"/>
          <w:highlight w:val="none"/>
          <w:u w:val="none" w:color="auto"/>
          <w:lang w:val="en-US" w:eastAsia="zh-CN"/>
        </w:rPr>
      </w:pPr>
    </w:p>
    <w:p w14:paraId="4C0833B6">
      <w:pPr>
        <w:pStyle w:val="56"/>
        <w:adjustRightInd w:val="0"/>
        <w:snapToGrid w:val="0"/>
        <w:spacing w:line="360" w:lineRule="auto"/>
        <w:ind w:left="0" w:leftChars="0" w:firstLine="0" w:firstLineChars="0"/>
        <w:rPr>
          <w:rFonts w:hint="default" w:ascii="Times New Roman" w:hAnsi="Times New Roman" w:cs="Times New Roman"/>
          <w:b/>
          <w:color w:val="auto"/>
          <w:sz w:val="24"/>
          <w:szCs w:val="21"/>
          <w:u w:val="none" w:color="auto"/>
          <w:lang w:val="en-US" w:eastAsia="zh-CN"/>
        </w:rPr>
      </w:pPr>
      <w:r>
        <w:rPr>
          <w:rFonts w:hint="eastAsia" w:ascii="Times New Roman" w:hAnsi="Times New Roman" w:cs="Times New Roman"/>
          <w:b/>
          <w:color w:val="auto"/>
          <w:sz w:val="24"/>
          <w:szCs w:val="21"/>
          <w:u w:val="none" w:color="auto"/>
          <w:lang w:val="en-US" w:eastAsia="zh-CN"/>
        </w:rPr>
        <w:t>3.3.2保护区内生态系统</w:t>
      </w:r>
    </w:p>
    <w:p w14:paraId="6939F32A">
      <w:pPr>
        <w:pStyle w:val="68"/>
        <w:ind w:firstLine="480"/>
        <w:rPr>
          <w:rFonts w:hint="default" w:ascii="Times New Roman" w:hAnsi="Times New Roman" w:cs="Times New Roman"/>
          <w:color w:val="auto"/>
          <w:u w:val="none" w:color="auto"/>
          <w:lang w:val="en-US" w:eastAsia="zh-CN"/>
        </w:rPr>
      </w:pPr>
      <w:r>
        <w:rPr>
          <w:rFonts w:hint="eastAsia" w:cs="Times New Roman"/>
          <w:color w:val="auto"/>
          <w:u w:val="none" w:color="auto"/>
          <w:lang w:val="en-US" w:eastAsia="zh-CN"/>
        </w:rPr>
        <w:t>（1）植被</w:t>
      </w:r>
    </w:p>
    <w:p w14:paraId="51F61964">
      <w:pPr>
        <w:pStyle w:val="68"/>
        <w:ind w:firstLine="480"/>
        <w:rPr>
          <w:rFonts w:hint="default" w:ascii="Times New Roman" w:hAnsi="Times New Roman" w:cs="Times New Roman"/>
          <w:color w:val="auto"/>
          <w:u w:val="none" w:color="auto"/>
        </w:rPr>
      </w:pPr>
      <w:r>
        <w:rPr>
          <w:rFonts w:hint="default" w:ascii="Times New Roman" w:hAnsi="Times New Roman" w:cs="Times New Roman"/>
          <w:color w:val="auto"/>
          <w:u w:val="none" w:color="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14:paraId="651D88C3">
      <w:pPr>
        <w:pStyle w:val="68"/>
        <w:ind w:firstLine="480"/>
        <w:rPr>
          <w:rFonts w:hint="default" w:ascii="Times New Roman" w:hAnsi="Times New Roman" w:eastAsia="宋体" w:cs="Times New Roman"/>
          <w:color w:val="auto"/>
          <w:u w:val="none" w:color="auto"/>
          <w:lang w:val="en-US" w:eastAsia="zh-CN"/>
        </w:rPr>
      </w:pPr>
      <w:r>
        <w:rPr>
          <w:rFonts w:hint="eastAsia" w:cs="Times New Roman"/>
          <w:color w:val="auto"/>
          <w:u w:val="none" w:color="auto"/>
          <w:lang w:val="en-US" w:eastAsia="zh-CN"/>
        </w:rPr>
        <w:t>（2）动物</w:t>
      </w:r>
    </w:p>
    <w:p w14:paraId="5508D58B">
      <w:pPr>
        <w:pStyle w:val="68"/>
        <w:ind w:firstLine="480"/>
        <w:rPr>
          <w:rFonts w:hint="eastAsia" w:ascii="Times New Roman" w:hAnsi="Times New Roman" w:eastAsia="宋体" w:cs="Times New Roman"/>
          <w:color w:val="auto"/>
          <w:u w:val="none" w:color="auto"/>
          <w:lang w:eastAsia="zh-CN"/>
        </w:rPr>
      </w:pPr>
      <w:r>
        <w:rPr>
          <w:rFonts w:hint="default" w:ascii="Times New Roman" w:hAnsi="Times New Roman" w:cs="Times New Roman"/>
          <w:color w:val="auto"/>
          <w:u w:val="none" w:color="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r>
        <w:rPr>
          <w:rFonts w:hint="eastAsia" w:cs="Times New Roman"/>
          <w:color w:val="auto"/>
          <w:u w:val="none" w:color="auto"/>
          <w:lang w:eastAsia="zh-CN"/>
        </w:rPr>
        <w:t>。</w:t>
      </w:r>
    </w:p>
    <w:p w14:paraId="4A2648D9">
      <w:pPr>
        <w:pStyle w:val="68"/>
        <w:ind w:firstLine="480"/>
        <w:rPr>
          <w:rFonts w:hint="default" w:ascii="Times New Roman" w:hAnsi="Times New Roman" w:cs="Times New Roman"/>
          <w:color w:val="auto"/>
          <w:u w:val="none" w:color="auto"/>
        </w:rPr>
      </w:pPr>
      <w:r>
        <w:rPr>
          <w:rFonts w:hint="eastAsia" w:cs="Times New Roman"/>
          <w:color w:val="auto"/>
          <w:u w:val="none" w:color="auto"/>
          <w:lang w:val="en-US" w:eastAsia="zh-CN"/>
        </w:rPr>
        <w:t>（3）</w:t>
      </w:r>
      <w:r>
        <w:rPr>
          <w:rFonts w:hint="eastAsia" w:ascii="Times New Roman" w:hAnsi="Times New Roman" w:cs="Times New Roman"/>
          <w:color w:val="auto"/>
          <w:u w:val="none" w:color="auto"/>
        </w:rPr>
        <w:t>景观资源</w:t>
      </w:r>
    </w:p>
    <w:p w14:paraId="1B8CD286">
      <w:pPr>
        <w:pStyle w:val="68"/>
        <w:ind w:firstLine="480"/>
        <w:rPr>
          <w:rFonts w:hint="eastAsia" w:ascii="Times New Roman" w:hAnsi="Times New Roman" w:eastAsia="宋体" w:cs="Times New Roman"/>
          <w:color w:val="auto"/>
          <w:u w:val="none" w:color="auto"/>
        </w:rPr>
      </w:pPr>
      <w:r>
        <w:rPr>
          <w:rFonts w:hint="eastAsia" w:ascii="Times New Roman" w:hAnsi="Times New Roman" w:cs="Times New Roman"/>
          <w:color w:val="auto"/>
          <w:u w:val="none" w:color="auto"/>
        </w:rPr>
        <w:t>壮丽的湿地景观：洞庭湖纳湘江、资江、澧水、沅江四水，吞吐长江，浩浩</w:t>
      </w:r>
      <w:r>
        <w:rPr>
          <w:rFonts w:hint="eastAsia" w:ascii="Times New Roman" w:hAnsi="Times New Roman" w:eastAsia="宋体" w:cs="Times New Roman"/>
          <w:color w:val="auto"/>
          <w:u w:val="none" w:color="auto"/>
        </w:rPr>
        <w:t>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14:paraId="49646400">
      <w:pPr>
        <w:pStyle w:val="68"/>
        <w:ind w:firstLine="480"/>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w:t>
      </w:r>
    </w:p>
    <w:p w14:paraId="05D82DA2">
      <w:pPr>
        <w:pStyle w:val="68"/>
        <w:ind w:firstLine="480"/>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（4）重点保护对象</w:t>
      </w:r>
    </w:p>
    <w:p w14:paraId="24B3B027">
      <w:pPr>
        <w:pStyle w:val="68"/>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重点保护对象：东洞庭湖国家级自然保护区湿地洲滩发育，是我国珍稀候鸟越冬栖息地和繁殖地。鸟类数量、种类，水生生物数量、种类，淡水鱼类数量、种类都十分丰富。鱼类有114种、贝类40余种、鸟类80余种、兽类10余种，野生植物有873种。其中属于国家一类保护的水禽有白鹤、丹顶鹤、白头鹤、白枕鹤、白图、黑鹤、斑嘴鸦鹏等7种，属于国家二类保护的水禽有大鸨、灰鹤、白琵鸳、天鹅等多种:还有属于国家一类保护的中华鲟、白鳍豚，属于国家二类保护的江豚、扬子鳄、麋鹿、具有十分重要的研究和保护价值。</w:t>
      </w:r>
    </w:p>
    <w:p w14:paraId="5D170019">
      <w:pPr>
        <w:pStyle w:val="68"/>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本项目位于该保护区现状实验区范围内、</w:t>
      </w:r>
      <w:r>
        <w:rPr>
          <w:rFonts w:hint="eastAsia" w:cs="Times New Roman"/>
          <w:color w:val="auto"/>
          <w:u w:val="none" w:color="auto"/>
          <w:lang w:val="en-US" w:eastAsia="zh-CN"/>
        </w:rPr>
        <w:t>整合优化范围后的自然保护区范围</w:t>
      </w:r>
      <w:r>
        <w:rPr>
          <w:rFonts w:hint="eastAsia" w:ascii="Times New Roman" w:hAnsi="Times New Roman" w:eastAsia="宋体" w:cs="Times New Roman"/>
          <w:color w:val="auto"/>
          <w:u w:val="none" w:color="auto"/>
          <w:lang w:val="en-US" w:eastAsia="zh-CN"/>
        </w:rPr>
        <w:t>外，不涉及珍稀保护动物。</w:t>
      </w:r>
    </w:p>
    <w:p w14:paraId="46AC875C">
      <w:pPr>
        <w:pStyle w:val="68"/>
        <w:ind w:firstLine="480"/>
        <w:rPr>
          <w:rFonts w:hint="eastAsia" w:ascii="Times New Roman" w:hAnsi="Times New Roman" w:eastAsia="宋体" w:cs="Times New Roman"/>
          <w:b/>
          <w:bCs w:val="0"/>
          <w:snapToGrid w:val="0"/>
          <w:color w:val="auto"/>
          <w:kern w:val="0"/>
          <w:sz w:val="30"/>
          <w:szCs w:val="30"/>
          <w:u w:val="none" w:color="auto"/>
          <w:lang w:val="en-US" w:eastAsia="zh-CN" w:bidi="ar-SA"/>
        </w:rPr>
      </w:pPr>
      <w:r>
        <w:rPr>
          <w:rFonts w:hint="eastAsia" w:ascii="Times New Roman" w:hAnsi="Times New Roman" w:eastAsia="宋体" w:cs="Times New Roman"/>
          <w:b/>
          <w:bCs w:val="0"/>
          <w:snapToGrid w:val="0"/>
          <w:color w:val="auto"/>
          <w:kern w:val="0"/>
          <w:sz w:val="30"/>
          <w:szCs w:val="30"/>
          <w:u w:val="none" w:color="auto"/>
          <w:lang w:val="en-US" w:eastAsia="zh-CN" w:bidi="ar-SA"/>
        </w:rPr>
        <w:br w:type="page"/>
      </w:r>
    </w:p>
    <w:p w14:paraId="178C1BCD">
      <w:pPr>
        <w:keepNext/>
        <w:widowControl w:val="0"/>
        <w:overflowPunct w:val="0"/>
        <w:snapToGrid w:val="0"/>
        <w:spacing w:before="120" w:after="160" w:line="259" w:lineRule="auto"/>
        <w:ind w:left="432" w:hanging="432"/>
        <w:jc w:val="both"/>
        <w:outlineLvl w:val="0"/>
        <w:rPr>
          <w:rFonts w:ascii="Times New Roman" w:hAnsi="Times New Roman" w:eastAsia="黑体" w:cs="Times New Roman"/>
          <w:b w:val="0"/>
          <w:bCs/>
          <w:snapToGrid w:val="0"/>
          <w:color w:val="auto"/>
          <w:kern w:val="44"/>
          <w:sz w:val="30"/>
          <w:szCs w:val="30"/>
          <w:u w:val="none" w:color="auto"/>
          <w:lang w:val="en-US" w:eastAsia="zh-CN" w:bidi="ar-SA"/>
        </w:rPr>
      </w:pPr>
      <w:bookmarkStart w:id="346" w:name="_Toc13367"/>
      <w:bookmarkStart w:id="347" w:name="_Toc25508"/>
      <w:bookmarkStart w:id="348" w:name="_Toc23830"/>
      <w:r>
        <w:rPr>
          <w:rFonts w:hint="eastAsia" w:ascii="Times New Roman" w:hAnsi="Times New Roman" w:eastAsia="宋体" w:cs="Times New Roman"/>
          <w:b/>
          <w:bCs w:val="0"/>
          <w:snapToGrid w:val="0"/>
          <w:color w:val="auto"/>
          <w:kern w:val="0"/>
          <w:sz w:val="30"/>
          <w:szCs w:val="30"/>
          <w:u w:val="none" w:color="auto"/>
          <w:lang w:val="en-US" w:eastAsia="zh-CN" w:bidi="ar-SA"/>
        </w:rPr>
        <w:t>4</w:t>
      </w:r>
      <w:r>
        <w:rPr>
          <w:rFonts w:ascii="Times New Roman" w:hAnsi="Times New Roman" w:eastAsia="宋体" w:cs="Times New Roman"/>
          <w:b/>
          <w:bCs w:val="0"/>
          <w:snapToGrid w:val="0"/>
          <w:color w:val="auto"/>
          <w:kern w:val="0"/>
          <w:sz w:val="30"/>
          <w:szCs w:val="30"/>
          <w:u w:val="none" w:color="auto"/>
          <w:lang w:val="en-US" w:eastAsia="zh-CN" w:bidi="ar-SA"/>
        </w:rPr>
        <w:t>生态环境</w:t>
      </w:r>
      <w:r>
        <w:rPr>
          <w:rFonts w:hint="eastAsia" w:ascii="Times New Roman" w:hAnsi="Times New Roman" w:eastAsia="宋体" w:cs="Times New Roman"/>
          <w:b/>
          <w:bCs w:val="0"/>
          <w:snapToGrid w:val="0"/>
          <w:color w:val="auto"/>
          <w:kern w:val="0"/>
          <w:sz w:val="30"/>
          <w:szCs w:val="30"/>
          <w:u w:val="none" w:color="auto"/>
          <w:lang w:val="en-US" w:eastAsia="zh-CN" w:bidi="ar-SA"/>
        </w:rPr>
        <w:t>影响</w:t>
      </w:r>
      <w:r>
        <w:rPr>
          <w:rFonts w:ascii="Times New Roman" w:hAnsi="Times New Roman" w:eastAsia="宋体" w:cs="Times New Roman"/>
          <w:b/>
          <w:bCs w:val="0"/>
          <w:snapToGrid w:val="0"/>
          <w:color w:val="auto"/>
          <w:kern w:val="0"/>
          <w:sz w:val="30"/>
          <w:szCs w:val="30"/>
          <w:u w:val="none" w:color="auto"/>
          <w:lang w:val="en-US" w:eastAsia="zh-CN" w:bidi="ar-SA"/>
        </w:rPr>
        <w:t>评价</w:t>
      </w:r>
      <w:bookmarkEnd w:id="343"/>
      <w:bookmarkEnd w:id="344"/>
      <w:bookmarkEnd w:id="345"/>
      <w:bookmarkEnd w:id="346"/>
      <w:bookmarkEnd w:id="347"/>
      <w:bookmarkEnd w:id="348"/>
    </w:p>
    <w:p w14:paraId="73281159">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u w:val="none" w:color="auto"/>
          <w:lang w:val="en-US" w:eastAsia="zh-CN" w:bidi="ar-SA"/>
        </w:rPr>
      </w:pPr>
      <w:bookmarkStart w:id="349" w:name="_Toc13498"/>
      <w:bookmarkStart w:id="350" w:name="_Toc30361"/>
      <w:bookmarkStart w:id="351" w:name="_Toc31053"/>
      <w:bookmarkStart w:id="352" w:name="_Toc32251"/>
      <w:bookmarkStart w:id="353" w:name="_Toc11496"/>
      <w:bookmarkStart w:id="354" w:name="_Toc1436"/>
      <w:bookmarkStart w:id="355" w:name="_Toc23237"/>
      <w:bookmarkStart w:id="356" w:name="_Toc280"/>
      <w:bookmarkStart w:id="357" w:name="_Toc20999"/>
      <w:r>
        <w:rPr>
          <w:rFonts w:ascii="Times New Roman" w:hAnsi="Times New Roman" w:eastAsia="宋体" w:cs="Times New Roman"/>
          <w:b/>
          <w:bCs/>
          <w:color w:val="auto"/>
          <w:kern w:val="2"/>
          <w:sz w:val="28"/>
          <w:szCs w:val="28"/>
          <w:u w:val="none" w:color="auto"/>
          <w:lang w:val="en-US" w:eastAsia="zh-CN" w:bidi="ar-SA"/>
        </w:rPr>
        <w:t xml:space="preserve">4.1 </w:t>
      </w:r>
      <w:r>
        <w:rPr>
          <w:rFonts w:hint="eastAsia" w:ascii="Times New Roman" w:hAnsi="Times New Roman" w:eastAsia="宋体" w:cs="Times New Roman"/>
          <w:b/>
          <w:bCs/>
          <w:color w:val="auto"/>
          <w:kern w:val="2"/>
          <w:sz w:val="28"/>
          <w:szCs w:val="28"/>
          <w:u w:val="none" w:color="auto"/>
          <w:lang w:val="en-US" w:eastAsia="zh-CN" w:bidi="ar-SA"/>
        </w:rPr>
        <w:t>施工期生态环境影响分析与评价</w:t>
      </w:r>
      <w:bookmarkEnd w:id="349"/>
      <w:bookmarkEnd w:id="350"/>
      <w:bookmarkEnd w:id="351"/>
      <w:bookmarkEnd w:id="352"/>
    </w:p>
    <w:p w14:paraId="6456D037">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w:t>
      </w:r>
      <w:r>
        <w:rPr>
          <w:rFonts w:hint="eastAsia" w:ascii="Times New Roman" w:hAnsi="Times New Roman" w:eastAsia="宋体" w:cs="Times New Roman"/>
          <w:color w:val="auto"/>
          <w:u w:val="none" w:color="auto"/>
          <w:lang w:val="en-US" w:eastAsia="zh-CN"/>
        </w:rPr>
        <w:t>位于华容县团洲乡</w:t>
      </w:r>
      <w:r>
        <w:rPr>
          <w:rFonts w:hint="default" w:ascii="Times New Roman" w:hAnsi="Times New Roman" w:eastAsia="宋体" w:cs="Times New Roman"/>
          <w:color w:val="auto"/>
          <w:u w:val="none" w:color="auto"/>
          <w:lang w:val="en-US" w:eastAsia="zh-CN"/>
        </w:rPr>
        <w:t>，项目占地及评价范围内不涉及自然保护区、风景名胜区等特殊生态敏感区。受开发建设和人类活动的影响，影响范围内植被主要为人工植被及次生植被毛竹、杉木及灌木、杂草</w:t>
      </w:r>
      <w:r>
        <w:rPr>
          <w:rFonts w:hint="eastAsia" w:ascii="Times New Roman" w:hAnsi="Times New Roman" w:eastAsia="宋体" w:cs="Times New Roman"/>
          <w:color w:val="auto"/>
          <w:u w:val="none" w:color="auto"/>
          <w:lang w:val="en-US" w:eastAsia="zh-CN"/>
        </w:rPr>
        <w:t>、农作物</w:t>
      </w:r>
      <w:r>
        <w:rPr>
          <w:rFonts w:hint="default" w:ascii="Times New Roman" w:hAnsi="Times New Roman" w:eastAsia="宋体" w:cs="Times New Roman"/>
          <w:color w:val="auto"/>
          <w:u w:val="none" w:color="auto"/>
          <w:lang w:val="en-US" w:eastAsia="zh-CN"/>
        </w:rPr>
        <w:t>等，主要动物为常见种类，如：鼠、麻雀等，无国家规定保护的珍稀动植物。项目</w:t>
      </w:r>
      <w:r>
        <w:rPr>
          <w:rFonts w:hint="eastAsia" w:ascii="Times New Roman" w:hAnsi="Times New Roman" w:eastAsia="宋体" w:cs="Times New Roman"/>
          <w:color w:val="auto"/>
          <w:u w:val="none" w:color="auto"/>
          <w:lang w:val="en-US" w:eastAsia="zh-CN"/>
        </w:rPr>
        <w:t>施工期对</w:t>
      </w:r>
      <w:r>
        <w:rPr>
          <w:rFonts w:hint="default" w:ascii="Times New Roman" w:hAnsi="Times New Roman" w:eastAsia="宋体" w:cs="Times New Roman"/>
          <w:color w:val="auto"/>
          <w:u w:val="none" w:color="auto"/>
          <w:lang w:val="en-US" w:eastAsia="zh-CN"/>
        </w:rPr>
        <w:t>生态环境</w:t>
      </w:r>
      <w:r>
        <w:rPr>
          <w:rFonts w:hint="eastAsia" w:ascii="Times New Roman" w:hAnsi="Times New Roman" w:eastAsia="宋体" w:cs="Times New Roman"/>
          <w:color w:val="auto"/>
          <w:u w:val="none" w:color="auto"/>
          <w:lang w:val="en-US" w:eastAsia="zh-CN"/>
        </w:rPr>
        <w:t>的</w:t>
      </w:r>
      <w:r>
        <w:rPr>
          <w:rFonts w:hint="default" w:ascii="Times New Roman" w:hAnsi="Times New Roman" w:eastAsia="宋体" w:cs="Times New Roman"/>
          <w:color w:val="auto"/>
          <w:u w:val="none" w:color="auto"/>
          <w:lang w:val="en-US" w:eastAsia="zh-CN"/>
        </w:rPr>
        <w:t>影响主要包括对土地利用、动植物、景观、加剧水土流失产生的影响。</w:t>
      </w:r>
    </w:p>
    <w:p w14:paraId="231688CA">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 xml:space="preserve">4.1.1 </w:t>
      </w:r>
      <w:bookmarkEnd w:id="353"/>
      <w:bookmarkEnd w:id="354"/>
      <w:bookmarkEnd w:id="355"/>
      <w:bookmarkEnd w:id="356"/>
      <w:bookmarkEnd w:id="357"/>
      <w:r>
        <w:rPr>
          <w:rFonts w:hint="eastAsia" w:ascii="Times New Roman" w:hAnsi="Times New Roman" w:eastAsia="宋体" w:cs="Times New Roman"/>
          <w:b/>
          <w:color w:val="auto"/>
          <w:kern w:val="2"/>
          <w:sz w:val="24"/>
          <w:szCs w:val="24"/>
          <w:u w:val="none" w:color="auto"/>
          <w:lang w:val="en-US" w:eastAsia="zh-CN" w:bidi="ar-SA"/>
        </w:rPr>
        <w:t>占地产生的影响</w:t>
      </w:r>
    </w:p>
    <w:p w14:paraId="33DEA495">
      <w:pPr>
        <w:pStyle w:val="68"/>
        <w:ind w:firstLine="480"/>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工程对土地利用形式变化的影响包括永久占地和临时占地两方面。</w:t>
      </w:r>
      <w:r>
        <w:rPr>
          <w:rFonts w:hint="eastAsia" w:ascii="Times New Roman" w:hAnsi="Times New Roman" w:eastAsia="宋体" w:cs="Times New Roman"/>
          <w:color w:val="auto"/>
          <w:highlight w:val="none"/>
          <w:u w:val="none" w:color="auto"/>
          <w:lang w:val="en-US" w:eastAsia="zh-CN"/>
        </w:rPr>
        <w:t>因项目临时占地位于永久占地范围内，本次主要分析永久占地产生的影响。</w:t>
      </w:r>
      <w:r>
        <w:rPr>
          <w:rFonts w:hint="default" w:ascii="Times New Roman" w:hAnsi="Times New Roman" w:eastAsia="宋体" w:cs="Times New Roman"/>
          <w:color w:val="auto"/>
          <w:highlight w:val="none"/>
          <w:u w:val="none" w:color="auto"/>
          <w:lang w:val="en-US" w:eastAsia="zh-CN"/>
        </w:rPr>
        <w:t>施工区占地将破坏土壤表层，从而使其变得疏松，受多风天气和降雨的影响，易发生风蚀、水蚀，造成水土流失，使土壤及其养分流失。</w:t>
      </w:r>
    </w:p>
    <w:p w14:paraId="5C3882E6">
      <w:pPr>
        <w:pStyle w:val="68"/>
        <w:ind w:firstLine="480"/>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本项目工程永久占地主要是工程占地，永久占地面积为</w:t>
      </w:r>
      <w:r>
        <w:rPr>
          <w:rFonts w:hint="eastAsia" w:cs="Times New Roman"/>
          <w:color w:val="auto"/>
          <w:highlight w:val="none"/>
          <w:u w:val="none" w:color="auto"/>
          <w:lang w:val="en-US" w:eastAsia="zh-CN"/>
        </w:rPr>
        <w:t>3600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eastAsia="宋体" w:cs="Times New Roman"/>
          <w:color w:val="auto"/>
          <w:highlight w:val="none"/>
          <w:u w:val="none" w:color="auto"/>
          <w:lang w:val="en-US" w:eastAsia="zh-CN"/>
        </w:rPr>
        <w:t>，占地类型主要为</w:t>
      </w:r>
      <w:r>
        <w:rPr>
          <w:rFonts w:hint="eastAsia" w:cs="Times New Roman"/>
          <w:color w:val="auto"/>
          <w:highlight w:val="none"/>
          <w:u w:val="none" w:color="auto"/>
          <w:lang w:val="en-US" w:eastAsia="zh-CN"/>
        </w:rPr>
        <w:t>耕地（非基本农田）</w:t>
      </w:r>
      <w:r>
        <w:rPr>
          <w:rFonts w:hint="default" w:ascii="Times New Roman" w:hAnsi="Times New Roman" w:eastAsia="宋体" w:cs="Times New Roman"/>
          <w:color w:val="auto"/>
          <w:highlight w:val="none"/>
          <w:u w:val="none" w:color="auto"/>
          <w:lang w:val="en-US" w:eastAsia="zh-CN"/>
        </w:rPr>
        <w:t>。</w:t>
      </w:r>
    </w:p>
    <w:p w14:paraId="05110C4D">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工程占地使土地利用价值发生了改变，对耕地来说，原有价值被</w:t>
      </w:r>
      <w:r>
        <w:rPr>
          <w:rFonts w:hint="eastAsia" w:ascii="Times New Roman" w:hAnsi="Times New Roman" w:eastAsia="宋体" w:cs="Times New Roman"/>
          <w:color w:val="auto"/>
          <w:u w:val="none" w:color="auto"/>
          <w:lang w:val="en-US" w:eastAsia="zh-CN"/>
        </w:rPr>
        <w:t>安置区工程</w:t>
      </w:r>
      <w:r>
        <w:rPr>
          <w:rFonts w:hint="default" w:ascii="Times New Roman" w:hAnsi="Times New Roman" w:eastAsia="宋体" w:cs="Times New Roman"/>
          <w:color w:val="auto"/>
          <w:u w:val="none" w:color="auto"/>
          <w:lang w:val="en-US" w:eastAsia="zh-CN"/>
        </w:rPr>
        <w:t>带来的</w:t>
      </w:r>
      <w:r>
        <w:rPr>
          <w:rFonts w:hint="eastAsia" w:ascii="Times New Roman" w:hAnsi="Times New Roman" w:eastAsia="宋体" w:cs="Times New Roman"/>
          <w:color w:val="auto"/>
          <w:u w:val="none" w:color="auto"/>
          <w:lang w:val="en-US" w:eastAsia="zh-CN"/>
        </w:rPr>
        <w:t>社会</w:t>
      </w:r>
      <w:r>
        <w:rPr>
          <w:rFonts w:hint="default" w:ascii="Times New Roman" w:hAnsi="Times New Roman" w:eastAsia="宋体" w:cs="Times New Roman"/>
          <w:color w:val="auto"/>
          <w:u w:val="none" w:color="auto"/>
          <w:lang w:val="en-US" w:eastAsia="zh-CN"/>
        </w:rPr>
        <w:t>价值所代替。工程占地将导致一定时期内耕地面积减少，农作物减产，</w:t>
      </w:r>
      <w:r>
        <w:rPr>
          <w:rFonts w:hint="eastAsia" w:ascii="Times New Roman" w:hAnsi="Times New Roman" w:eastAsia="宋体" w:cs="Times New Roman"/>
          <w:color w:val="auto"/>
          <w:u w:val="none" w:color="auto"/>
          <w:lang w:val="en-US" w:eastAsia="zh-CN"/>
        </w:rPr>
        <w:t>项目所在地</w:t>
      </w:r>
      <w:r>
        <w:rPr>
          <w:rFonts w:hint="default" w:ascii="Times New Roman" w:hAnsi="Times New Roman" w:eastAsia="宋体" w:cs="Times New Roman"/>
          <w:color w:val="auto"/>
          <w:u w:val="none" w:color="auto"/>
          <w:lang w:val="en-US" w:eastAsia="zh-CN"/>
        </w:rPr>
        <w:t>地区人多地少的矛盾，加剧对剩余耕地的压力，使农业生产受到影响。工程占地内的植被主要为杉木林、灌丛和草丛等，农作物主要有水稻、玉米等，可见，受工程建设影响的植被以人工植被和次生植被为主。</w:t>
      </w:r>
    </w:p>
    <w:p w14:paraId="2C04C2D6">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因此，尽管项目建设对当地耕地资源及植被资源有一定的影响，但由于</w:t>
      </w:r>
      <w:r>
        <w:rPr>
          <w:rFonts w:hint="eastAsia" w:ascii="Times New Roman" w:hAnsi="Times New Roman" w:eastAsia="宋体" w:cs="Times New Roman"/>
          <w:color w:val="auto"/>
          <w:u w:val="none" w:color="auto"/>
          <w:lang w:val="en-US" w:eastAsia="zh-CN"/>
        </w:rPr>
        <w:t>本项目</w:t>
      </w:r>
      <w:r>
        <w:rPr>
          <w:rFonts w:hint="default" w:ascii="Times New Roman" w:hAnsi="Times New Roman" w:eastAsia="宋体" w:cs="Times New Roman"/>
          <w:color w:val="auto"/>
          <w:u w:val="none" w:color="auto"/>
          <w:lang w:val="en-US" w:eastAsia="zh-CN"/>
        </w:rPr>
        <w:t>占地仅为很少的一部分，对于</w:t>
      </w:r>
      <w:r>
        <w:rPr>
          <w:rFonts w:hint="eastAsia" w:ascii="Times New Roman" w:hAnsi="Times New Roman" w:eastAsia="宋体" w:cs="Times New Roman"/>
          <w:color w:val="auto"/>
          <w:u w:val="none" w:color="auto"/>
          <w:lang w:val="en-US" w:eastAsia="zh-CN"/>
        </w:rPr>
        <w:t>华容</w:t>
      </w:r>
      <w:r>
        <w:rPr>
          <w:rFonts w:hint="default" w:ascii="Times New Roman" w:hAnsi="Times New Roman" w:eastAsia="宋体" w:cs="Times New Roman"/>
          <w:color w:val="auto"/>
          <w:u w:val="none" w:color="auto"/>
          <w:lang w:val="en-US" w:eastAsia="zh-CN"/>
        </w:rPr>
        <w:t>县的土地平衡影响很小；通过当地政府进行土地调整和规划，不会对当地土地利用总体格局产生大的影响，也不会对评价区植被稳定性造成较大影响。</w:t>
      </w:r>
    </w:p>
    <w:p w14:paraId="263B1992">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4.1.2对自然保护区的影响</w:t>
      </w:r>
    </w:p>
    <w:p w14:paraId="0245B87A">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本项目评价范围内主要为</w:t>
      </w:r>
      <w:r>
        <w:rPr>
          <w:rFonts w:hint="eastAsia" w:ascii="Times New Roman" w:hAnsi="Times New Roman" w:cs="Times New Roman"/>
          <w:bCs/>
          <w:color w:val="auto"/>
          <w:sz w:val="24"/>
          <w:szCs w:val="21"/>
          <w:highlight w:val="none"/>
          <w:u w:val="none" w:color="auto"/>
          <w:lang w:val="en-US" w:eastAsia="zh-CN"/>
        </w:rPr>
        <w:t>农村</w:t>
      </w:r>
      <w:r>
        <w:rPr>
          <w:rFonts w:hint="default" w:ascii="Times New Roman" w:hAnsi="Times New Roman" w:cs="Times New Roman"/>
          <w:bCs/>
          <w:color w:val="auto"/>
          <w:sz w:val="24"/>
          <w:szCs w:val="21"/>
          <w:highlight w:val="none"/>
          <w:u w:val="none" w:color="auto"/>
          <w:lang w:val="en-US" w:eastAsia="zh-CN"/>
        </w:rPr>
        <w:t>生态系统。</w:t>
      </w:r>
    </w:p>
    <w:p w14:paraId="02FEB50B">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东洞庭湖国家级自然保护区为湖泊类型湿地，主导功能是调蓄长江洪水径流，维系长江中下游地区的防洪安全，辅助功能主要是沉沙净污、湖泊湿地景观系统多样性以及在维系水陆复合系统中的生态前置库作用和功能，并具有保护渔业自然增值，繁衍生物多样性，特别是珍稀水禽栖息地的生态服务功能。</w:t>
      </w:r>
    </w:p>
    <w:p w14:paraId="55A6BA1E">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本项目建设不涉及东洞庭湖国家级自然保护区的核心区与缓冲区，项目位于</w:t>
      </w:r>
      <w:r>
        <w:rPr>
          <w:rFonts w:hint="eastAsia" w:ascii="Times New Roman" w:hAnsi="Times New Roman" w:cs="Times New Roman"/>
          <w:bCs/>
          <w:color w:val="auto"/>
          <w:sz w:val="24"/>
          <w:szCs w:val="21"/>
          <w:highlight w:val="none"/>
          <w:u w:val="none" w:color="auto"/>
          <w:lang w:val="en-US" w:eastAsia="zh-CN"/>
        </w:rPr>
        <w:t>团洲乡中心小学东侧，花园小区西侧</w:t>
      </w:r>
      <w:r>
        <w:rPr>
          <w:rFonts w:hint="default" w:ascii="Times New Roman" w:hAnsi="Times New Roman" w:cs="Times New Roman"/>
          <w:bCs/>
          <w:color w:val="auto"/>
          <w:sz w:val="24"/>
          <w:szCs w:val="21"/>
          <w:highlight w:val="none"/>
          <w:u w:val="none" w:color="auto"/>
          <w:lang w:val="en-US" w:eastAsia="zh-CN"/>
        </w:rPr>
        <w:t>，项目所在区为该保护区调条规前的实验区范围，实验区主要为分布于缓冲区以外的广大区域。且根据目前正在进行的保护区范围和功能区规划调整</w:t>
      </w:r>
      <w:r>
        <w:rPr>
          <w:rFonts w:hint="eastAsia" w:cs="Times New Roman"/>
          <w:bCs/>
          <w:color w:val="auto"/>
          <w:sz w:val="24"/>
          <w:szCs w:val="21"/>
          <w:highlight w:val="none"/>
          <w:u w:val="none" w:color="auto"/>
          <w:lang w:val="en-US" w:eastAsia="zh-CN"/>
        </w:rPr>
        <w:t>的</w:t>
      </w:r>
      <w:r>
        <w:rPr>
          <w:rFonts w:hint="default" w:ascii="Times New Roman" w:hAnsi="Times New Roman" w:cs="Times New Roman"/>
          <w:bCs/>
          <w:color w:val="auto"/>
          <w:sz w:val="24"/>
          <w:szCs w:val="21"/>
          <w:highlight w:val="none"/>
          <w:u w:val="none" w:color="auto"/>
          <w:lang w:val="en-US" w:eastAsia="zh-CN"/>
        </w:rPr>
        <w:t>材料来看，本项目在调规完成后，便不再属于自然保护区</w:t>
      </w:r>
      <w:r>
        <w:rPr>
          <w:rFonts w:hint="eastAsia" w:cs="Times New Roman"/>
          <w:bCs/>
          <w:color w:val="auto"/>
          <w:sz w:val="24"/>
          <w:szCs w:val="21"/>
          <w:highlight w:val="none"/>
          <w:u w:val="none" w:color="auto"/>
          <w:lang w:val="en-US" w:eastAsia="zh-CN"/>
        </w:rPr>
        <w:t>范围</w:t>
      </w:r>
      <w:r>
        <w:rPr>
          <w:rFonts w:hint="default" w:ascii="Times New Roman" w:hAnsi="Times New Roman" w:cs="Times New Roman"/>
          <w:bCs/>
          <w:color w:val="auto"/>
          <w:sz w:val="24"/>
          <w:szCs w:val="21"/>
          <w:highlight w:val="none"/>
          <w:u w:val="none" w:color="auto"/>
          <w:lang w:val="en-US" w:eastAsia="zh-CN"/>
        </w:rPr>
        <w:t>。</w:t>
      </w:r>
    </w:p>
    <w:p w14:paraId="4241B503">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eastAsia" w:ascii="Times New Roman" w:hAnsi="Times New Roman" w:cs="Times New Roman"/>
          <w:bCs/>
          <w:color w:val="auto"/>
          <w:sz w:val="24"/>
          <w:szCs w:val="21"/>
          <w:highlight w:val="none"/>
          <w:u w:val="none" w:color="auto"/>
          <w:lang w:val="en-US" w:eastAsia="zh-CN"/>
        </w:rPr>
        <w:t>本项目用地不涉及环保拆迁，拆迁由政府负责，建设方拿净地。项目属于</w:t>
      </w:r>
      <w:r>
        <w:rPr>
          <w:rFonts w:hint="default" w:ascii="Times New Roman" w:hAnsi="Times New Roman" w:cs="Times New Roman"/>
          <w:bCs/>
          <w:color w:val="auto"/>
          <w:sz w:val="24"/>
          <w:szCs w:val="21"/>
          <w:highlight w:val="none"/>
          <w:u w:val="none" w:color="auto"/>
          <w:lang w:val="en-US" w:eastAsia="zh-CN"/>
        </w:rPr>
        <w:t>团洲垸灾后重建安置房配套基础设施建设项目</w:t>
      </w:r>
      <w:r>
        <w:rPr>
          <w:rFonts w:hint="eastAsia" w:ascii="Times New Roman" w:hAnsi="Times New Roman" w:cs="Times New Roman"/>
          <w:bCs/>
          <w:color w:val="auto"/>
          <w:sz w:val="24"/>
          <w:szCs w:val="21"/>
          <w:highlight w:val="none"/>
          <w:u w:val="none" w:color="auto"/>
          <w:lang w:val="en-US" w:eastAsia="zh-CN"/>
        </w:rPr>
        <w:t>，不涉及具体生产内容。经现场踏勘，项目工程已完成，本次评价为补评。项目施工期没有明显的遗留环境污染问题，无周边单位投诉情况发生。本次拟不对施工期环境影响进行重点评价，仅对其进行简单的回顾性评价。</w:t>
      </w:r>
    </w:p>
    <w:p w14:paraId="69D9F662">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u w:val="none" w:color="auto"/>
          <w:lang w:val="en-US" w:eastAsia="zh-CN" w:bidi="ar-SA"/>
        </w:rPr>
      </w:pPr>
      <w:bookmarkStart w:id="358" w:name="_Toc28430"/>
      <w:bookmarkStart w:id="359" w:name="_Toc13318"/>
      <w:bookmarkStart w:id="360" w:name="_Toc4017"/>
      <w:bookmarkStart w:id="361" w:name="_Toc25718"/>
      <w:bookmarkStart w:id="362" w:name="_Toc16669"/>
      <w:r>
        <w:rPr>
          <w:rFonts w:hint="eastAsia" w:ascii="Times New Roman" w:hAnsi="Times New Roman" w:eastAsia="宋体" w:cs="Times New Roman"/>
          <w:b/>
          <w:color w:val="auto"/>
          <w:kern w:val="2"/>
          <w:sz w:val="24"/>
          <w:szCs w:val="24"/>
          <w:u w:val="none" w:color="auto"/>
          <w:lang w:val="en-US" w:eastAsia="zh-CN" w:bidi="ar-SA"/>
        </w:rPr>
        <w:t>4.1.</w:t>
      </w:r>
      <w:bookmarkEnd w:id="358"/>
      <w:bookmarkEnd w:id="359"/>
      <w:bookmarkEnd w:id="360"/>
      <w:bookmarkEnd w:id="361"/>
      <w:bookmarkEnd w:id="362"/>
      <w:r>
        <w:rPr>
          <w:rFonts w:hint="eastAsia" w:ascii="Times New Roman" w:hAnsi="Times New Roman" w:eastAsia="宋体" w:cs="Times New Roman"/>
          <w:b/>
          <w:color w:val="auto"/>
          <w:kern w:val="2"/>
          <w:sz w:val="24"/>
          <w:szCs w:val="24"/>
          <w:u w:val="none" w:color="auto"/>
          <w:lang w:val="en-US" w:eastAsia="zh-CN" w:bidi="ar-SA"/>
        </w:rPr>
        <w:t>3对动植物的影响</w:t>
      </w:r>
    </w:p>
    <w:p w14:paraId="0AACC748">
      <w:pPr>
        <w:pStyle w:val="68"/>
        <w:ind w:firstLine="480"/>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（1）</w:t>
      </w:r>
      <w:r>
        <w:rPr>
          <w:rFonts w:hint="default" w:ascii="Times New Roman" w:hAnsi="Times New Roman" w:eastAsia="宋体" w:cs="Times New Roman"/>
          <w:color w:val="auto"/>
          <w:u w:val="none" w:color="auto"/>
          <w:lang w:val="en-US" w:eastAsia="zh-CN"/>
        </w:rPr>
        <w:t>陆生植物影响</w:t>
      </w:r>
    </w:p>
    <w:p w14:paraId="4F42878D">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本项目施工过程将对现有植被破除或移植，会一定程度上减少区域范围内的植被面积，在短期内生态系统内绿地面积将会减少，植被覆盖率将总体下降，生态系统的调节作用有一定削弱。</w:t>
      </w:r>
    </w:p>
    <w:p w14:paraId="2613348A">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项目用地及评价范围内没有古树名木，没有国家级和省级重点保护的野生植物及生境，项目区不在生态保护红线、国家公园、自然保护区、森林公园、湿地公园、风景名胜区、其他自然公园等生态敏感区内。因此，项目施工及影响区域范围内植被主要为毛竹林、杉木林、灌丛和草丛等次生植被及人工植被，无珍稀保护植物。施工开挖和占地会造成部分植被的破坏，但由于损失的面积相对于区域来说是少量的，且受影响的植被均属一般常见类型，在区域生长范围广，不存在因项目建设而导致植物种群消失或灭绝。待施工结束后边坡及临时工程采取植被恢复措施，进行一定程度的可还将弥补部分损失的生物量。因而，本项目建设不会影响该区域生态系统的稳定性和完整性。</w:t>
      </w:r>
    </w:p>
    <w:p w14:paraId="38F9B443">
      <w:pPr>
        <w:pStyle w:val="68"/>
        <w:ind w:firstLine="480"/>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（2）</w:t>
      </w:r>
      <w:r>
        <w:rPr>
          <w:rFonts w:hint="default" w:ascii="Times New Roman" w:hAnsi="Times New Roman" w:eastAsia="宋体" w:cs="Times New Roman"/>
          <w:color w:val="auto"/>
          <w:u w:val="none" w:color="auto"/>
          <w:lang w:val="en-US" w:eastAsia="zh-CN"/>
        </w:rPr>
        <w:t>陆生</w:t>
      </w:r>
      <w:r>
        <w:rPr>
          <w:rFonts w:hint="eastAsia" w:ascii="Times New Roman" w:hAnsi="Times New Roman" w:eastAsia="宋体" w:cs="Times New Roman"/>
          <w:color w:val="auto"/>
          <w:u w:val="none" w:color="auto"/>
          <w:lang w:val="en-US" w:eastAsia="zh-CN"/>
        </w:rPr>
        <w:t>动</w:t>
      </w:r>
      <w:r>
        <w:rPr>
          <w:rFonts w:hint="default" w:ascii="Times New Roman" w:hAnsi="Times New Roman" w:eastAsia="宋体" w:cs="Times New Roman"/>
          <w:color w:val="auto"/>
          <w:u w:val="none" w:color="auto"/>
          <w:lang w:val="en-US" w:eastAsia="zh-CN"/>
        </w:rPr>
        <w:t>物影响</w:t>
      </w:r>
    </w:p>
    <w:p w14:paraId="334734AD">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项目施工对陆生动物的影响主要是植被破坏、施工噪声等。施工期工程占地缩小了陆生动物的栖息空间，</w:t>
      </w:r>
      <w:r>
        <w:rPr>
          <w:rFonts w:hint="eastAsia" w:ascii="Times New Roman" w:hAnsi="Times New Roman" w:eastAsia="宋体" w:cs="Times New Roman"/>
          <w:color w:val="auto"/>
          <w:u w:val="none" w:color="auto"/>
          <w:lang w:val="en-US" w:eastAsia="zh-CN"/>
        </w:rPr>
        <w:t>缩减了</w:t>
      </w:r>
      <w:r>
        <w:rPr>
          <w:rFonts w:hint="default" w:ascii="Times New Roman" w:hAnsi="Times New Roman" w:eastAsia="宋体" w:cs="Times New Roman"/>
          <w:color w:val="auto"/>
          <w:u w:val="none" w:color="auto"/>
          <w:lang w:val="en-US" w:eastAsia="zh-CN"/>
        </w:rPr>
        <w:t>部分动物的活动区域、觅食范围等，施工期作业机械发出的噪声、产生的振动以及施工人员的活动对陆生动物的生存产生了一定的影响。</w:t>
      </w:r>
    </w:p>
    <w:p w14:paraId="7F269702">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但由于工程区域主要是常见的鸟类、啮齿类动物，暂未发现珍稀濒危保护野生动物。故工程建设虽然对一定范围内的野生动物产生一定程度的不利影响，但由于其可以迁移到远离施工区域的地方栖息和活动，因此，工程建设不会对其种群数量产生明显影响，更不会改变其种群结构。不过，施工期应加强对施工人员的教育宣传，严禁施工人员有不利于保护各种野生动物的活动。项目施工建设对动物影响时间较短，同时，可随植被的恢复而缓解、消失。</w:t>
      </w:r>
    </w:p>
    <w:p w14:paraId="47A17B45">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1)对水生动物的影响</w:t>
      </w:r>
    </w:p>
    <w:p w14:paraId="13B30B83">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对东洞庭湖自然保护区有一级保护鱼类中华鲟、二级保护鱼类胭脂鱼、以及江豚。按照江豚、中华鲟、胭脂鱼的生活习性，根据本项目施工及运营特征，项目不涉及水域施工，不涉及上述动物的分布区及洄游通道，故对东洞庭湖国家级自然保护区的影响区域很小，项目施工</w:t>
      </w:r>
      <w:r>
        <w:rPr>
          <w:rFonts w:hint="eastAsia" w:ascii="Times New Roman" w:hAnsi="Times New Roman" w:cs="Times New Roman"/>
          <w:bCs/>
          <w:color w:val="auto"/>
          <w:sz w:val="24"/>
          <w:szCs w:val="21"/>
          <w:highlight w:val="none"/>
          <w:u w:val="none" w:color="auto"/>
          <w:lang w:val="en-US" w:eastAsia="zh-CN"/>
        </w:rPr>
        <w:t>过程未</w:t>
      </w:r>
      <w:r>
        <w:rPr>
          <w:rFonts w:hint="default" w:ascii="Times New Roman" w:hAnsi="Times New Roman" w:cs="Times New Roman"/>
          <w:bCs/>
          <w:color w:val="auto"/>
          <w:sz w:val="24"/>
          <w:szCs w:val="21"/>
          <w:highlight w:val="none"/>
          <w:u w:val="none" w:color="auto"/>
          <w:lang w:val="en-US" w:eastAsia="zh-CN"/>
        </w:rPr>
        <w:t>对东洞庭湖国家级自然保护区的水生动物产生明显负影响。</w:t>
      </w:r>
    </w:p>
    <w:p w14:paraId="24121A93">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2)对鸟类的影响</w:t>
      </w:r>
    </w:p>
    <w:p w14:paraId="19015CF4">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东洞庭湖自然保护区的鸟类包括三大类，既冬候鸟、夏候鸟、留鸟。最为重要的是冬水禽。这些水禽中有很多珍贵的、稀有的种类，如:颧类CiconiaSP.、鹤类Grus SP.、雁类AnserSP.、天鹅类GygnusSP.等。项目建设对水禽的影响主要表现在以下两个方面。第一，冬候鸟夏季生活在凉爽的北方，入冬后，北方食物短缺，它们就沿着固定的路线迁移到南方越冬，地面地形、地貌的改变，环境的变化，直接影响它们的迁入，对其生态生境产生一定影响。第二，施工期间，在施工区域的这些优势种鸟类由于环境的变化影响了它们的生活、取食环境将被迫离开它们原来的领域，邻近领域的优势种鸟类也由于受到施工噪声的惊吓，也将远离原来的栖息地，但是这种不利影响有时间限制，当临时征地区域的植被恢复后，它们仍可以回到原来的领域，继续生活，而且这些鸟类在非施工区内可以找到相同或相似生境，可迁移到合适生境中生活，对其</w:t>
      </w:r>
      <w:r>
        <w:rPr>
          <w:rFonts w:hint="eastAsia" w:ascii="Times New Roman" w:hAnsi="Times New Roman" w:cs="Times New Roman"/>
          <w:bCs/>
          <w:color w:val="auto"/>
          <w:sz w:val="24"/>
          <w:szCs w:val="21"/>
          <w:highlight w:val="none"/>
          <w:u w:val="none" w:color="auto"/>
          <w:lang w:val="en-US" w:eastAsia="zh-CN"/>
        </w:rPr>
        <w:t>生存不会造成长期的、不可逆的不利影响。</w:t>
      </w:r>
    </w:p>
    <w:p w14:paraId="6C45DCA8">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3)对两栖类动物的影响</w:t>
      </w:r>
    </w:p>
    <w:p w14:paraId="60AA274A">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两栖类动物最主要的生活习性就是在水域和陆地间交替生活，而且具有准确的迁徙路线。东洞庭湖自然保护区主要两栖类动物有鳖、龟类.、蛙类、蟹类、扬子鳄、麇鹿等。这些动物有国家重点保护的种类，有省级重点保护的种类。麇鹿、扬子鳄为国家一级保护种，科研价值、经济价值都很高。</w:t>
      </w:r>
    </w:p>
    <w:p w14:paraId="73BDA34D">
      <w:pPr>
        <w:pStyle w:val="68"/>
        <w:ind w:firstLine="480"/>
        <w:rPr>
          <w:rFonts w:hint="eastAsia" w:ascii="Times New Roman" w:hAnsi="Times New Roman" w:eastAsia="宋体" w:cs="Times New Roman"/>
          <w:color w:val="auto"/>
          <w:u w:val="none" w:color="auto"/>
          <w:lang w:val="en-US" w:eastAsia="zh-CN"/>
        </w:rPr>
      </w:pPr>
      <w:r>
        <w:rPr>
          <w:rFonts w:hint="default" w:ascii="Times New Roman" w:hAnsi="Times New Roman" w:cs="Times New Roman"/>
          <w:bCs/>
          <w:color w:val="auto"/>
          <w:sz w:val="24"/>
          <w:szCs w:val="21"/>
          <w:highlight w:val="none"/>
          <w:u w:val="none" w:color="auto"/>
          <w:lang w:val="en-US" w:eastAsia="zh-CN"/>
        </w:rPr>
        <w:t>陆生动物和两栖类动物一样，有各自固定的活动范围和路线。保护区内的白额雁、灰鹤、麇鹿具有迁移特性，本项目距离麋鹿活动的红旗湖甚远(在30km以外)，并且不会对其并往返于长江-洞庭湖之间的通道产生阻拦和任何破坏，因此，项目工程建设不会对其产生影响。</w:t>
      </w:r>
    </w:p>
    <w:p w14:paraId="12F63127">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u w:val="none" w:color="auto"/>
          <w:lang w:val="en-US" w:eastAsia="zh-CN" w:bidi="ar-SA"/>
        </w:rPr>
      </w:pPr>
      <w:bookmarkStart w:id="363" w:name="_Toc29006"/>
      <w:bookmarkStart w:id="364" w:name="_Toc9701"/>
      <w:bookmarkStart w:id="365" w:name="_Toc19684"/>
      <w:bookmarkStart w:id="366" w:name="_Toc16148"/>
      <w:bookmarkStart w:id="367" w:name="_Toc18522"/>
      <w:r>
        <w:rPr>
          <w:rFonts w:hint="eastAsia" w:ascii="Times New Roman" w:hAnsi="Times New Roman" w:eastAsia="宋体" w:cs="Times New Roman"/>
          <w:b/>
          <w:color w:val="auto"/>
          <w:kern w:val="2"/>
          <w:sz w:val="24"/>
          <w:szCs w:val="24"/>
          <w:u w:val="none" w:color="auto"/>
          <w:lang w:val="en-US" w:eastAsia="zh-CN" w:bidi="ar-SA"/>
        </w:rPr>
        <w:t>4.1.</w:t>
      </w:r>
      <w:bookmarkEnd w:id="363"/>
      <w:bookmarkEnd w:id="364"/>
      <w:bookmarkEnd w:id="365"/>
      <w:bookmarkEnd w:id="366"/>
      <w:bookmarkEnd w:id="367"/>
      <w:r>
        <w:rPr>
          <w:rFonts w:hint="eastAsia" w:ascii="Times New Roman" w:hAnsi="Times New Roman" w:eastAsia="宋体" w:cs="Times New Roman"/>
          <w:b/>
          <w:color w:val="auto"/>
          <w:kern w:val="2"/>
          <w:sz w:val="24"/>
          <w:szCs w:val="24"/>
          <w:u w:val="none" w:color="auto"/>
          <w:lang w:val="en-US" w:eastAsia="zh-CN" w:bidi="ar-SA"/>
        </w:rPr>
        <w:t>4水土流失影响</w:t>
      </w:r>
    </w:p>
    <w:p w14:paraId="5F070EFF">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在施工过程中由于开挖地面、机械碾压、排放废弃物等原因，施工破坏了原有的地貌，进一步扰动了表土结构，致使土壤抗蚀能力降低。已裸露的土壤极易被降雨径流冲刷而产生水土流失，特别是暴雨时冲刷更为严重。其中地表开挖、填方等不同地貌部位和不同时期可发生不同形式的水土流失。</w:t>
      </w:r>
      <w:r>
        <w:rPr>
          <w:rFonts w:hint="eastAsia" w:ascii="Times New Roman" w:hAnsi="Times New Roman" w:eastAsia="宋体" w:cs="Times New Roman"/>
          <w:color w:val="auto"/>
          <w:u w:val="none" w:color="auto"/>
          <w:lang w:val="en-US" w:eastAsia="zh-CN"/>
        </w:rPr>
        <w:t>项目目前已建成，根据现场走访、询问及勘查，施工期未出现大规模水土流失现象，现状场地已采取了合理的绿化及硬化措施，无裸露土壤存在，不存在水土流失隐患</w:t>
      </w:r>
      <w:r>
        <w:rPr>
          <w:rFonts w:hint="default" w:ascii="Times New Roman" w:hAnsi="Times New Roman" w:eastAsia="宋体" w:cs="Times New Roman"/>
          <w:color w:val="auto"/>
          <w:u w:val="none" w:color="auto"/>
          <w:lang w:val="en-US" w:eastAsia="zh-CN"/>
        </w:rPr>
        <w:t>。</w:t>
      </w:r>
    </w:p>
    <w:p w14:paraId="48DD5B26">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u w:val="none" w:color="auto"/>
          <w:lang w:val="en-US" w:eastAsia="zh-CN" w:bidi="ar-SA"/>
        </w:rPr>
      </w:pPr>
      <w:bookmarkStart w:id="368" w:name="_Toc20407"/>
      <w:bookmarkStart w:id="369" w:name="_Toc30984"/>
      <w:bookmarkStart w:id="370" w:name="_Toc18090"/>
      <w:bookmarkStart w:id="371" w:name="_Toc17075"/>
      <w:r>
        <w:rPr>
          <w:rFonts w:ascii="Times New Roman" w:hAnsi="Times New Roman" w:eastAsia="宋体" w:cs="Times New Roman"/>
          <w:b/>
          <w:bCs/>
          <w:color w:val="auto"/>
          <w:kern w:val="2"/>
          <w:sz w:val="28"/>
          <w:szCs w:val="28"/>
          <w:u w:val="none" w:color="auto"/>
          <w:lang w:val="en-US" w:eastAsia="zh-CN" w:bidi="ar-SA"/>
        </w:rPr>
        <w:t>4.</w:t>
      </w:r>
      <w:r>
        <w:rPr>
          <w:rFonts w:hint="eastAsia" w:ascii="Times New Roman" w:hAnsi="Times New Roman" w:eastAsia="宋体" w:cs="Times New Roman"/>
          <w:b/>
          <w:bCs/>
          <w:color w:val="auto"/>
          <w:kern w:val="2"/>
          <w:sz w:val="28"/>
          <w:szCs w:val="28"/>
          <w:u w:val="none" w:color="auto"/>
          <w:lang w:val="en-US" w:eastAsia="zh-CN" w:bidi="ar-SA"/>
        </w:rPr>
        <w:t>2</w:t>
      </w:r>
      <w:r>
        <w:rPr>
          <w:rFonts w:ascii="Times New Roman" w:hAnsi="Times New Roman" w:eastAsia="宋体" w:cs="Times New Roman"/>
          <w:b/>
          <w:bCs/>
          <w:color w:val="auto"/>
          <w:kern w:val="2"/>
          <w:sz w:val="28"/>
          <w:szCs w:val="28"/>
          <w:u w:val="none" w:color="auto"/>
          <w:lang w:val="en-US" w:eastAsia="zh-CN" w:bidi="ar-SA"/>
        </w:rPr>
        <w:t xml:space="preserve"> </w:t>
      </w:r>
      <w:r>
        <w:rPr>
          <w:rFonts w:hint="eastAsia" w:ascii="Times New Roman" w:hAnsi="Times New Roman" w:eastAsia="宋体" w:cs="Times New Roman"/>
          <w:b/>
          <w:bCs/>
          <w:color w:val="auto"/>
          <w:kern w:val="2"/>
          <w:sz w:val="28"/>
          <w:szCs w:val="28"/>
          <w:u w:val="none" w:color="auto"/>
          <w:lang w:val="en-US" w:eastAsia="zh-CN" w:bidi="ar-SA"/>
        </w:rPr>
        <w:t>运营期生态环境影响分析与评价</w:t>
      </w:r>
      <w:bookmarkEnd w:id="368"/>
      <w:bookmarkEnd w:id="369"/>
      <w:bookmarkEnd w:id="370"/>
      <w:bookmarkEnd w:id="371"/>
    </w:p>
    <w:p w14:paraId="7C8895DF">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4.2</w:t>
      </w:r>
      <w:r>
        <w:rPr>
          <w:rFonts w:hint="default" w:ascii="Times New Roman" w:hAnsi="Times New Roman" w:eastAsia="宋体" w:cs="Times New Roman"/>
          <w:b/>
          <w:color w:val="auto"/>
          <w:kern w:val="2"/>
          <w:sz w:val="24"/>
          <w:szCs w:val="24"/>
          <w:u w:val="none" w:color="auto"/>
          <w:lang w:val="en-US" w:eastAsia="zh-CN" w:bidi="ar-SA"/>
        </w:rPr>
        <w:t>.1占地类型环境影响分析</w:t>
      </w:r>
    </w:p>
    <w:p w14:paraId="3DD8210A">
      <w:pPr>
        <w:pStyle w:val="68"/>
        <w:ind w:firstLine="480"/>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本工程建设占用的土地为永久占地，具有不可逆性，将对土地资源造成一定程度的影响。但是由于</w:t>
      </w:r>
      <w:r>
        <w:rPr>
          <w:rFonts w:hint="eastAsia" w:ascii="Times New Roman" w:hAnsi="Times New Roman" w:eastAsia="宋体" w:cs="Times New Roman"/>
          <w:color w:val="auto"/>
          <w:highlight w:val="none"/>
          <w:u w:val="none" w:color="auto"/>
          <w:lang w:val="en-US" w:eastAsia="zh-CN"/>
        </w:rPr>
        <w:t>项目</w:t>
      </w:r>
      <w:r>
        <w:rPr>
          <w:rFonts w:hint="default" w:ascii="Times New Roman" w:hAnsi="Times New Roman" w:eastAsia="宋体" w:cs="Times New Roman"/>
          <w:color w:val="auto"/>
          <w:highlight w:val="none"/>
          <w:u w:val="none" w:color="auto"/>
          <w:lang w:val="en-US" w:eastAsia="zh-CN"/>
        </w:rPr>
        <w:t>占地仅为直接影响区很少的一部分，对于</w:t>
      </w:r>
      <w:r>
        <w:rPr>
          <w:rFonts w:hint="eastAsia" w:ascii="Times New Roman" w:hAnsi="Times New Roman" w:eastAsia="宋体" w:cs="Times New Roman"/>
          <w:color w:val="auto"/>
          <w:highlight w:val="none"/>
          <w:u w:val="none" w:color="auto"/>
          <w:lang w:val="en-US" w:eastAsia="zh-CN"/>
        </w:rPr>
        <w:t>华容</w:t>
      </w:r>
      <w:r>
        <w:rPr>
          <w:rFonts w:hint="default" w:ascii="Times New Roman" w:hAnsi="Times New Roman" w:eastAsia="宋体" w:cs="Times New Roman"/>
          <w:color w:val="auto"/>
          <w:highlight w:val="none"/>
          <w:u w:val="none" w:color="auto"/>
          <w:lang w:val="en-US" w:eastAsia="zh-CN"/>
        </w:rPr>
        <w:t>县的土地平衡影响很小；通过当地政府进行土地调整和规划，不会对当地土地利用总体格局产生大的影响。工程临时用地主要为旱地及林地，临时用地施工结束后覆土，恢复原有土地利用功能，对占地影响较小。</w:t>
      </w:r>
    </w:p>
    <w:p w14:paraId="1C8FEA8C">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4.2</w:t>
      </w:r>
      <w:r>
        <w:rPr>
          <w:rFonts w:hint="default" w:ascii="Times New Roman" w:hAnsi="Times New Roman" w:eastAsia="宋体" w:cs="Times New Roman"/>
          <w:b/>
          <w:color w:val="auto"/>
          <w:kern w:val="2"/>
          <w:sz w:val="24"/>
          <w:szCs w:val="24"/>
          <w:u w:val="none" w:color="auto"/>
          <w:lang w:val="en-US" w:eastAsia="zh-CN" w:bidi="ar-SA"/>
        </w:rPr>
        <w:t>.2对</w:t>
      </w:r>
      <w:r>
        <w:rPr>
          <w:rFonts w:hint="eastAsia" w:eastAsia="宋体" w:cs="Times New Roman"/>
          <w:b/>
          <w:color w:val="auto"/>
          <w:kern w:val="2"/>
          <w:sz w:val="24"/>
          <w:szCs w:val="24"/>
          <w:u w:val="none" w:color="auto"/>
          <w:lang w:val="en-US" w:eastAsia="zh-CN" w:bidi="ar-SA"/>
        </w:rPr>
        <w:t>项目周边</w:t>
      </w:r>
      <w:r>
        <w:rPr>
          <w:rFonts w:hint="default" w:ascii="Times New Roman" w:hAnsi="Times New Roman" w:eastAsia="宋体" w:cs="Times New Roman"/>
          <w:b/>
          <w:color w:val="auto"/>
          <w:kern w:val="2"/>
          <w:sz w:val="24"/>
          <w:szCs w:val="24"/>
          <w:u w:val="none" w:color="auto"/>
          <w:lang w:val="en-US" w:eastAsia="zh-CN" w:bidi="ar-SA"/>
        </w:rPr>
        <w:t>植被的影响分析</w:t>
      </w:r>
    </w:p>
    <w:p w14:paraId="7905650B">
      <w:pPr>
        <w:pStyle w:val="68"/>
        <w:ind w:firstLine="480"/>
        <w:rPr>
          <w:rFonts w:hint="default" w:ascii="Times New Roman" w:hAnsi="Times New Roman" w:eastAsia="宋体" w:cs="Times New Roman"/>
          <w:color w:val="auto"/>
          <w:highlight w:val="none"/>
          <w:u w:val="none" w:color="auto"/>
          <w:lang w:val="en-US" w:eastAsia="zh-CN"/>
        </w:rPr>
      </w:pPr>
      <w:r>
        <w:rPr>
          <w:rFonts w:hint="eastAsia"/>
          <w:color w:val="auto"/>
          <w:highlight w:val="none"/>
          <w:u w:val="none" w:color="auto"/>
        </w:rPr>
        <w:t>本项目影响评价区无原生乔木类植被，仅仅有以加杨、旱柳为主的次生林。项目建设对项目评价范围内植被没有太大影响，因此，项目建设对于整个自然保护区自然植被的影响较小，影响程度为中低度。</w:t>
      </w:r>
    </w:p>
    <w:p w14:paraId="34C98B5E">
      <w:pPr>
        <w:pStyle w:val="68"/>
        <w:ind w:firstLine="480"/>
        <w:rPr>
          <w:rFonts w:hint="eastAsia"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highlight w:val="none"/>
          <w:u w:val="none" w:color="auto"/>
          <w:lang w:val="en-US" w:eastAsia="zh-CN"/>
        </w:rPr>
        <w:t>项目建成后的永久占地会对区域内主要植被造成一定的破坏，</w:t>
      </w:r>
      <w:r>
        <w:rPr>
          <w:rFonts w:hint="eastAsia" w:ascii="Times New Roman" w:hAnsi="Times New Roman" w:eastAsia="宋体" w:cs="Times New Roman"/>
          <w:color w:val="auto"/>
          <w:highlight w:val="none"/>
          <w:u w:val="none" w:color="auto"/>
          <w:lang w:val="en-US" w:eastAsia="zh-CN"/>
        </w:rPr>
        <w:t>本项目为</w:t>
      </w:r>
      <w:r>
        <w:rPr>
          <w:rFonts w:hint="eastAsia" w:ascii="Times New Roman" w:hAnsi="Times New Roman" w:eastAsia="宋体" w:cs="宋体"/>
          <w:color w:val="auto"/>
          <w:sz w:val="24"/>
          <w:szCs w:val="21"/>
          <w:u w:val="none" w:color="auto"/>
          <w:lang w:val="en-US" w:eastAsia="zh-CN"/>
        </w:rPr>
        <w:t>团洲垸灾后重建安置房配套基础设施建设项目</w:t>
      </w:r>
      <w:r>
        <w:rPr>
          <w:rFonts w:hint="eastAsia" w:ascii="Times New Roman" w:hAnsi="Times New Roman" w:eastAsia="宋体" w:cs="Times New Roman"/>
          <w:color w:val="auto"/>
          <w:highlight w:val="none"/>
          <w:u w:val="none" w:color="auto"/>
          <w:lang w:val="en-US" w:eastAsia="zh-CN"/>
        </w:rPr>
        <w:t>，营运期的主要环境污染源为噪声</w:t>
      </w:r>
      <w:r>
        <w:rPr>
          <w:rFonts w:hint="eastAsia" w:cs="Times New Roman"/>
          <w:color w:val="auto"/>
          <w:highlight w:val="none"/>
          <w:u w:val="none" w:color="auto"/>
          <w:lang w:val="en-US" w:eastAsia="zh-CN"/>
        </w:rPr>
        <w:t>、汽车尾气</w:t>
      </w:r>
      <w:r>
        <w:rPr>
          <w:rFonts w:hint="eastAsia" w:ascii="Times New Roman" w:hAnsi="Times New Roman" w:eastAsia="宋体" w:cs="Times New Roman"/>
          <w:color w:val="auto"/>
          <w:highlight w:val="none"/>
          <w:u w:val="none" w:color="auto"/>
          <w:lang w:val="en-US" w:eastAsia="zh-CN"/>
        </w:rPr>
        <w:t>臭，</w:t>
      </w:r>
      <w:r>
        <w:rPr>
          <w:rFonts w:hint="eastAsia" w:ascii="Times New Roman" w:hAnsi="Times New Roman" w:eastAsia="宋体" w:cs="Times New Roman"/>
          <w:color w:val="auto"/>
          <w:u w:val="none" w:color="auto"/>
          <w:lang w:val="en-US" w:eastAsia="zh-CN"/>
        </w:rPr>
        <w:t>污染源对植被造成的影响很小，故营运期对植被的影响很小。</w:t>
      </w:r>
    </w:p>
    <w:p w14:paraId="01AF1143">
      <w:pPr>
        <w:pStyle w:val="68"/>
        <w:ind w:firstLine="48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工程竣工后通过对进行景观绿化恢复会带来一定的正面影响。项目建设不会导致植被群落分布和群落结构的明显变化，更不会导致植被物种的消失，因此，项目运营后对植被影响较小。</w:t>
      </w:r>
    </w:p>
    <w:p w14:paraId="4CCA61D1">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4.2</w:t>
      </w:r>
      <w:r>
        <w:rPr>
          <w:rFonts w:hint="default" w:ascii="Times New Roman" w:hAnsi="Times New Roman" w:eastAsia="宋体" w:cs="Times New Roman"/>
          <w:b/>
          <w:color w:val="auto"/>
          <w:kern w:val="2"/>
          <w:sz w:val="24"/>
          <w:szCs w:val="24"/>
          <w:u w:val="none" w:color="auto"/>
          <w:lang w:val="en-US" w:eastAsia="zh-CN" w:bidi="ar-SA"/>
        </w:rPr>
        <w:t>.3对</w:t>
      </w:r>
      <w:r>
        <w:rPr>
          <w:rFonts w:hint="eastAsia" w:eastAsia="宋体" w:cs="Times New Roman"/>
          <w:b/>
          <w:color w:val="auto"/>
          <w:kern w:val="2"/>
          <w:sz w:val="24"/>
          <w:szCs w:val="24"/>
          <w:u w:val="none" w:color="auto"/>
          <w:lang w:val="en-US" w:eastAsia="zh-CN" w:bidi="ar-SA"/>
        </w:rPr>
        <w:t>项目周边</w:t>
      </w:r>
      <w:r>
        <w:rPr>
          <w:rFonts w:hint="default" w:ascii="Times New Roman" w:hAnsi="Times New Roman" w:eastAsia="宋体" w:cs="Times New Roman"/>
          <w:b/>
          <w:color w:val="auto"/>
          <w:kern w:val="2"/>
          <w:sz w:val="24"/>
          <w:szCs w:val="24"/>
          <w:u w:val="none" w:color="auto"/>
          <w:lang w:val="en-US" w:eastAsia="zh-CN" w:bidi="ar-SA"/>
        </w:rPr>
        <w:t>动物的影响分析</w:t>
      </w:r>
    </w:p>
    <w:p w14:paraId="15BA8CB2">
      <w:pPr>
        <w:pStyle w:val="68"/>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项目所在区域动物主要为</w:t>
      </w:r>
      <w:r>
        <w:rPr>
          <w:rFonts w:hint="default" w:ascii="Times New Roman" w:hAnsi="Times New Roman" w:eastAsia="宋体" w:cs="Times New Roman"/>
          <w:color w:val="auto"/>
          <w:u w:val="none" w:color="auto"/>
          <w:lang w:val="en-US" w:eastAsia="zh-CN"/>
        </w:rPr>
        <w:t>常见的鸟类、啮齿类动物，</w:t>
      </w:r>
      <w:r>
        <w:rPr>
          <w:rFonts w:hint="eastAsia" w:ascii="Times New Roman" w:hAnsi="Times New Roman" w:eastAsia="宋体" w:cs="Times New Roman"/>
          <w:color w:val="auto"/>
          <w:u w:val="none" w:color="auto"/>
          <w:lang w:val="en-US" w:eastAsia="zh-CN"/>
        </w:rPr>
        <w:t>已基本适应了人类活动带来的影响。</w:t>
      </w:r>
    </w:p>
    <w:p w14:paraId="08B0C525">
      <w:pPr>
        <w:pStyle w:val="68"/>
        <w:ind w:firstLine="480"/>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本项目为</w:t>
      </w:r>
      <w:r>
        <w:rPr>
          <w:rFonts w:hint="eastAsia" w:ascii="Times New Roman" w:hAnsi="Times New Roman" w:eastAsia="宋体" w:cs="宋体"/>
          <w:bCs/>
          <w:color w:val="auto"/>
          <w:sz w:val="24"/>
          <w:szCs w:val="21"/>
          <w:u w:val="none" w:color="auto"/>
          <w:lang w:val="en-US" w:eastAsia="zh-CN"/>
        </w:rPr>
        <w:t>团洲垸灾后重建安置房基础设施配套建设项目</w:t>
      </w:r>
      <w:r>
        <w:rPr>
          <w:rFonts w:hint="eastAsia" w:ascii="Times New Roman" w:hAnsi="Times New Roman" w:eastAsia="宋体" w:cs="Times New Roman"/>
          <w:color w:val="auto"/>
          <w:u w:val="none" w:color="auto"/>
          <w:lang w:val="en-US" w:eastAsia="zh-CN"/>
        </w:rPr>
        <w:t>，营运期</w:t>
      </w:r>
      <w:r>
        <w:rPr>
          <w:rFonts w:hint="eastAsia" w:cs="Times New Roman"/>
          <w:color w:val="auto"/>
          <w:u w:val="none" w:color="auto"/>
          <w:lang w:val="en-US" w:eastAsia="zh-CN"/>
        </w:rPr>
        <w:t>无废水、固废产生，仅有车辆噪声和汽车尾气，</w:t>
      </w:r>
      <w:r>
        <w:rPr>
          <w:rFonts w:hint="eastAsia" w:ascii="Times New Roman" w:hAnsi="Times New Roman" w:eastAsia="宋体" w:cs="Times New Roman"/>
          <w:color w:val="auto"/>
          <w:u w:val="none" w:color="auto"/>
          <w:lang w:val="en-US" w:eastAsia="zh-CN"/>
        </w:rPr>
        <w:t>故营运期</w:t>
      </w:r>
      <w:r>
        <w:rPr>
          <w:rFonts w:hint="default" w:ascii="Times New Roman" w:hAnsi="Times New Roman" w:eastAsia="宋体" w:cs="Times New Roman"/>
          <w:color w:val="auto"/>
          <w:u w:val="none" w:color="auto"/>
          <w:lang w:val="en-US" w:eastAsia="zh-CN"/>
        </w:rPr>
        <w:t>对动物的种群大小和活动范围影响</w:t>
      </w:r>
      <w:r>
        <w:rPr>
          <w:rFonts w:hint="eastAsia" w:cs="Times New Roman"/>
          <w:color w:val="auto"/>
          <w:u w:val="none" w:color="auto"/>
          <w:lang w:val="en-US" w:eastAsia="zh-CN"/>
        </w:rPr>
        <w:t>不大</w:t>
      </w:r>
      <w:r>
        <w:rPr>
          <w:rFonts w:hint="default" w:ascii="Times New Roman" w:hAnsi="Times New Roman" w:eastAsia="宋体" w:cs="Times New Roman"/>
          <w:color w:val="auto"/>
          <w:u w:val="none" w:color="auto"/>
          <w:lang w:val="en-US" w:eastAsia="zh-CN"/>
        </w:rPr>
        <w:t>。</w:t>
      </w:r>
    </w:p>
    <w:p w14:paraId="5B01F17D">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4.2</w:t>
      </w:r>
      <w:r>
        <w:rPr>
          <w:rFonts w:hint="default" w:ascii="Times New Roman" w:hAnsi="Times New Roman" w:eastAsia="宋体" w:cs="Times New Roman"/>
          <w:b/>
          <w:color w:val="auto"/>
          <w:kern w:val="2"/>
          <w:sz w:val="24"/>
          <w:szCs w:val="24"/>
          <w:u w:val="none" w:color="auto"/>
          <w:lang w:val="en-US" w:eastAsia="zh-CN" w:bidi="ar-SA"/>
        </w:rPr>
        <w:t>.4对区域生态体系完整性及景观的影响分析</w:t>
      </w:r>
    </w:p>
    <w:p w14:paraId="3DA75386">
      <w:pPr>
        <w:adjustRightInd w:val="0"/>
        <w:snapToGrid w:val="0"/>
        <w:spacing w:line="360" w:lineRule="auto"/>
        <w:ind w:firstLine="480" w:firstLineChars="200"/>
        <w:jc w:val="left"/>
        <w:rPr>
          <w:rFonts w:hint="eastAsia" w:ascii="仿宋" w:hAnsi="仿宋" w:eastAsia="仿宋" w:cs="仿宋"/>
          <w:color w:val="auto"/>
          <w:spacing w:val="6"/>
          <w:sz w:val="27"/>
          <w:szCs w:val="27"/>
          <w:u w:val="none" w:color="auto"/>
        </w:rPr>
      </w:pPr>
      <w:bookmarkStart w:id="372" w:name="_Toc43457067"/>
      <w:r>
        <w:rPr>
          <w:bCs/>
          <w:color w:val="auto"/>
          <w:sz w:val="24"/>
          <w:szCs w:val="21"/>
          <w:u w:val="none" w:color="auto"/>
        </w:rPr>
        <w:t>项目建设对植被类型的影响主要表现在工程用地对植被资源的破坏。根据实地调查，工程</w:t>
      </w:r>
      <w:r>
        <w:rPr>
          <w:rFonts w:hint="eastAsia"/>
          <w:bCs/>
          <w:color w:val="auto"/>
          <w:sz w:val="24"/>
          <w:szCs w:val="21"/>
          <w:u w:val="none" w:color="auto"/>
        </w:rPr>
        <w:t>生态环评评价范围</w:t>
      </w:r>
      <w:r>
        <w:rPr>
          <w:bCs/>
          <w:color w:val="auto"/>
          <w:sz w:val="24"/>
          <w:szCs w:val="21"/>
          <w:u w:val="none" w:color="auto"/>
        </w:rPr>
        <w:t>的栽培植被除农田植被外，分布有较大面积的加杨群系和水杉群系，自然植被以沼泽化草甸为主，如灰化薹草群系、白茅群系、芒群系、芦苇群系、北美苍耳群系、狗牙根群系等；除草甸之外，评价区内水渠广布，因此广泛分布有黑藻群系、菹草群系等水生植被。项目建设中，配有绿化措施，有助于竣工后植物群落的重建和恢复，工程用地不会改变评价区的主要植被类型。评价区分布有大树蛙、北草蜥、灰胸竹鸡三个中国特有种保护动物，其中，北草蜥在我国广分种；灰胸竹鸡属无危物种，大树蛙为国家“三有”保护动物，两者均为湖南省地方重点保护野生动物，在湖南分布较广，项目建设涉及的保护区实验区是主要保护动物分布的边缘区域。因此，工程用地不会降低生物群落中的优势种，对群落的空间结构影响较小，影响程度为中低度</w:t>
      </w:r>
      <w:r>
        <w:rPr>
          <w:rFonts w:hint="eastAsia" w:ascii="仿宋" w:hAnsi="仿宋" w:eastAsia="仿宋" w:cs="仿宋"/>
          <w:color w:val="auto"/>
          <w:spacing w:val="6"/>
          <w:sz w:val="27"/>
          <w:szCs w:val="27"/>
          <w:u w:val="none" w:color="auto"/>
        </w:rPr>
        <w:t>。</w:t>
      </w:r>
    </w:p>
    <w:p w14:paraId="7592673E">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color="auto"/>
          <w:lang w:val="en-US" w:eastAsia="zh-CN"/>
        </w:rPr>
      </w:pPr>
      <w:r>
        <w:rPr>
          <w:rFonts w:hint="default" w:ascii="Times New Roman" w:hAnsi="Times New Roman" w:cs="Times New Roman"/>
          <w:bCs/>
          <w:color w:val="auto"/>
          <w:sz w:val="24"/>
          <w:szCs w:val="21"/>
          <w:highlight w:val="none"/>
          <w:u w:val="none" w:color="auto"/>
          <w:lang w:val="en-US" w:eastAsia="zh-CN"/>
        </w:rPr>
        <w:t>生态景观是社会、经济、自然复合生态系统的多维生态网络，包括自然生态景观和人文生态景观，强调格局、过程和功能的多维耦合，是由物理的、化学的、生物的、区域的、社会的、经济的及文化的组分在时、空、量、构、序范畴上相互作用形成的人与自然的复合生态网络。它不仅包括有形的地理和生物景观，还包括了无形的个体与整体、内部与外部、过去和未来以及主观与客观问的系统生态联系。它强调人类生态系统内部与外部环境之间的和谐，系统结构和功能的耦合，过去、现在和未来发展的关联及融洽性。所以，该项目尽管只占地</w:t>
      </w:r>
      <w:r>
        <w:rPr>
          <w:rFonts w:hint="eastAsia" w:cs="Times New Roman"/>
          <w:bCs/>
          <w:color w:val="auto"/>
          <w:sz w:val="24"/>
          <w:szCs w:val="21"/>
          <w:highlight w:val="none"/>
          <w:u w:val="none" w:color="auto"/>
          <w:lang w:val="en-US" w:eastAsia="zh-CN"/>
        </w:rPr>
        <w:t>3600</w:t>
      </w:r>
      <w:r>
        <w:rPr>
          <w:rFonts w:hint="default" w:ascii="Times New Roman" w:hAnsi="Times New Roman" w:cs="Times New Roman"/>
          <w:bCs/>
          <w:color w:val="auto"/>
          <w:sz w:val="24"/>
          <w:szCs w:val="21"/>
          <w:highlight w:val="none"/>
          <w:u w:val="none" w:color="auto"/>
          <w:lang w:val="en-US" w:eastAsia="zh-CN"/>
        </w:rPr>
        <w:t>m</w:t>
      </w:r>
      <w:r>
        <w:rPr>
          <w:rFonts w:hint="default" w:ascii="Times New Roman" w:hAnsi="Times New Roman" w:cs="Times New Roman"/>
          <w:bCs/>
          <w:color w:val="auto"/>
          <w:sz w:val="24"/>
          <w:szCs w:val="21"/>
          <w:highlight w:val="none"/>
          <w:u w:val="none" w:color="auto"/>
          <w:vertAlign w:val="superscript"/>
          <w:lang w:val="en-US" w:eastAsia="zh-CN"/>
        </w:rPr>
        <w:t>2</w:t>
      </w:r>
      <w:r>
        <w:rPr>
          <w:rFonts w:hint="default" w:ascii="Times New Roman" w:hAnsi="Times New Roman" w:cs="Times New Roman"/>
          <w:bCs/>
          <w:color w:val="auto"/>
          <w:sz w:val="24"/>
          <w:szCs w:val="21"/>
          <w:highlight w:val="none"/>
          <w:u w:val="none" w:color="auto"/>
          <w:lang w:val="en-US" w:eastAsia="zh-CN"/>
        </w:rPr>
        <w:t>，该地块景观生态风险体现在两个方面，一是对自然植被的移除，二是潜在的人工建筑的大小、体量、颜色、风格、式样需要进行精心设计及评估。</w:t>
      </w:r>
      <w:r>
        <w:rPr>
          <w:rFonts w:hint="eastAsia" w:ascii="Times New Roman" w:hAnsi="Times New Roman" w:cs="Times New Roman"/>
          <w:bCs/>
          <w:color w:val="auto"/>
          <w:sz w:val="24"/>
          <w:szCs w:val="21"/>
          <w:highlight w:val="none"/>
          <w:u w:val="none" w:color="auto"/>
          <w:lang w:val="en-US" w:eastAsia="zh-CN"/>
        </w:rPr>
        <w:t>本项目目前已建成，项目周边为团洲乡城镇建成区，项目的整体建筑风格为徽派建筑，与周边环境较为相融。</w:t>
      </w:r>
    </w:p>
    <w:p w14:paraId="2F3556E0">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4.2.5</w:t>
      </w:r>
      <w:r>
        <w:rPr>
          <w:rFonts w:hint="default" w:ascii="Times New Roman" w:hAnsi="Times New Roman" w:eastAsia="宋体" w:cs="Times New Roman"/>
          <w:b/>
          <w:color w:val="auto"/>
          <w:kern w:val="2"/>
          <w:sz w:val="24"/>
          <w:szCs w:val="24"/>
          <w:u w:val="none" w:color="auto"/>
          <w:lang w:val="en-US" w:eastAsia="zh-CN" w:bidi="ar-SA"/>
        </w:rPr>
        <w:t>保护区累积生态影响分析析</w:t>
      </w:r>
    </w:p>
    <w:p w14:paraId="61EBB76F">
      <w:pPr>
        <w:adjustRightInd w:val="0"/>
        <w:snapToGrid w:val="0"/>
        <w:spacing w:line="360" w:lineRule="auto"/>
        <w:ind w:firstLine="480" w:firstLineChars="200"/>
        <w:jc w:val="left"/>
        <w:rPr>
          <w:bCs/>
          <w:color w:val="auto"/>
          <w:sz w:val="24"/>
          <w:szCs w:val="21"/>
          <w:u w:val="none" w:color="auto"/>
        </w:rPr>
      </w:pPr>
      <w:r>
        <w:rPr>
          <w:bCs/>
          <w:color w:val="auto"/>
          <w:sz w:val="24"/>
          <w:szCs w:val="21"/>
          <w:highlight w:val="none"/>
          <w:u w:val="none" w:color="auto"/>
        </w:rPr>
        <w:t>评价范围内永久占地面积为</w:t>
      </w:r>
      <w:r>
        <w:rPr>
          <w:rFonts w:hint="eastAsia"/>
          <w:bCs/>
          <w:color w:val="auto"/>
          <w:sz w:val="24"/>
          <w:szCs w:val="21"/>
          <w:highlight w:val="none"/>
          <w:u w:val="none" w:color="auto"/>
          <w:lang w:val="en-US" w:eastAsia="zh-CN"/>
        </w:rPr>
        <w:t>3600</w:t>
      </w:r>
      <w:r>
        <w:rPr>
          <w:bCs/>
          <w:color w:val="auto"/>
          <w:sz w:val="24"/>
          <w:szCs w:val="21"/>
          <w:highlight w:val="none"/>
          <w:u w:val="none" w:color="auto"/>
        </w:rPr>
        <w:t>m²，均为自然保</w:t>
      </w:r>
      <w:r>
        <w:rPr>
          <w:bCs/>
          <w:color w:val="auto"/>
          <w:sz w:val="24"/>
          <w:szCs w:val="21"/>
          <w:u w:val="none" w:color="auto"/>
        </w:rPr>
        <w:t>护区</w:t>
      </w:r>
      <w:r>
        <w:rPr>
          <w:rFonts w:hint="eastAsia"/>
          <w:bCs/>
          <w:color w:val="auto"/>
          <w:sz w:val="24"/>
          <w:szCs w:val="21"/>
          <w:u w:val="none" w:color="auto"/>
        </w:rPr>
        <w:t>优化整合前的</w:t>
      </w:r>
      <w:r>
        <w:rPr>
          <w:bCs/>
          <w:color w:val="auto"/>
          <w:sz w:val="24"/>
          <w:szCs w:val="21"/>
          <w:u w:val="none" w:color="auto"/>
        </w:rPr>
        <w:t>实验区，实验区永久占地面积占自然保护区总面积(</w:t>
      </w:r>
      <w:r>
        <w:rPr>
          <w:rFonts w:hint="eastAsia"/>
          <w:bCs/>
          <w:color w:val="auto"/>
          <w:sz w:val="24"/>
          <w:szCs w:val="21"/>
          <w:u w:val="none" w:color="auto"/>
        </w:rPr>
        <w:t>15.7627</w:t>
      </w:r>
      <w:r>
        <w:rPr>
          <w:rFonts w:hint="default" w:ascii="Arial" w:hAnsi="Arial" w:cs="Arial"/>
          <w:bCs/>
          <w:color w:val="auto"/>
          <w:sz w:val="24"/>
          <w:szCs w:val="21"/>
          <w:u w:val="none" w:color="auto"/>
        </w:rPr>
        <w:t>×</w:t>
      </w:r>
      <w:r>
        <w:rPr>
          <w:bCs/>
          <w:color w:val="auto"/>
          <w:sz w:val="24"/>
          <w:szCs w:val="21"/>
          <w:u w:val="none" w:color="auto"/>
        </w:rPr>
        <w:t>10</w:t>
      </w:r>
      <w:r>
        <w:rPr>
          <w:rFonts w:hint="eastAsia"/>
          <w:bCs/>
          <w:color w:val="auto"/>
          <w:sz w:val="24"/>
          <w:szCs w:val="21"/>
          <w:u w:val="none" w:color="auto"/>
        </w:rPr>
        <w:t>4</w:t>
      </w:r>
      <w:r>
        <w:rPr>
          <w:bCs/>
          <w:color w:val="auto"/>
          <w:sz w:val="24"/>
          <w:szCs w:val="21"/>
          <w:u w:val="none" w:color="auto"/>
        </w:rPr>
        <w:t>hm</w:t>
      </w:r>
      <w:r>
        <w:rPr>
          <w:bCs/>
          <w:color w:val="auto"/>
          <w:sz w:val="24"/>
          <w:szCs w:val="21"/>
          <w:u w:val="none" w:color="auto"/>
          <w:vertAlign w:val="superscript"/>
        </w:rPr>
        <w:t>2</w:t>
      </w:r>
      <w:r>
        <w:rPr>
          <w:bCs/>
          <w:color w:val="auto"/>
          <w:sz w:val="24"/>
          <w:szCs w:val="21"/>
          <w:u w:val="none" w:color="auto"/>
        </w:rPr>
        <w:t>)的0.0</w:t>
      </w:r>
      <w:r>
        <w:rPr>
          <w:rFonts w:hint="eastAsia"/>
          <w:bCs/>
          <w:color w:val="auto"/>
          <w:sz w:val="24"/>
          <w:szCs w:val="21"/>
          <w:u w:val="none" w:color="auto"/>
        </w:rPr>
        <w:t>0</w:t>
      </w:r>
      <w:r>
        <w:rPr>
          <w:rFonts w:hint="eastAsia"/>
          <w:bCs/>
          <w:color w:val="auto"/>
          <w:sz w:val="24"/>
          <w:szCs w:val="21"/>
          <w:u w:val="none" w:color="auto"/>
          <w:lang w:val="en-US" w:eastAsia="zh-CN"/>
        </w:rPr>
        <w:t>02</w:t>
      </w:r>
      <w:r>
        <w:rPr>
          <w:bCs/>
          <w:color w:val="auto"/>
          <w:sz w:val="24"/>
          <w:szCs w:val="21"/>
          <w:u w:val="none" w:color="auto"/>
        </w:rPr>
        <w:t>%，所占比重极小，且区域均为已有</w:t>
      </w:r>
      <w:r>
        <w:rPr>
          <w:rFonts w:hint="eastAsia"/>
          <w:bCs/>
          <w:color w:val="auto"/>
          <w:sz w:val="24"/>
          <w:szCs w:val="21"/>
          <w:u w:val="none" w:color="auto"/>
        </w:rPr>
        <w:t>城镇</w:t>
      </w:r>
      <w:r>
        <w:rPr>
          <w:bCs/>
          <w:color w:val="auto"/>
          <w:sz w:val="24"/>
          <w:szCs w:val="21"/>
          <w:u w:val="none" w:color="auto"/>
        </w:rPr>
        <w:t>建成区，不会使保护区生态环境破碎化。</w:t>
      </w:r>
    </w:p>
    <w:p w14:paraId="71EA06C0">
      <w:pPr>
        <w:adjustRightInd w:val="0"/>
        <w:snapToGrid w:val="0"/>
        <w:spacing w:line="360" w:lineRule="auto"/>
        <w:ind w:firstLine="480" w:firstLineChars="200"/>
        <w:jc w:val="left"/>
        <w:rPr>
          <w:bCs/>
          <w:color w:val="auto"/>
          <w:sz w:val="24"/>
          <w:szCs w:val="21"/>
          <w:u w:val="none" w:color="auto"/>
        </w:rPr>
      </w:pPr>
      <w:r>
        <w:rPr>
          <w:bCs/>
          <w:color w:val="auto"/>
          <w:sz w:val="24"/>
          <w:szCs w:val="21"/>
          <w:u w:val="none" w:color="auto"/>
        </w:rPr>
        <w:t>项目植被类型涉及的物种均为常见种，易于栽植和恢复</w:t>
      </w:r>
      <w:r>
        <w:rPr>
          <w:rFonts w:hint="eastAsia"/>
          <w:bCs/>
          <w:color w:val="auto"/>
          <w:sz w:val="24"/>
          <w:szCs w:val="21"/>
          <w:u w:val="none" w:color="auto"/>
        </w:rPr>
        <w:t>；</w:t>
      </w:r>
      <w:r>
        <w:rPr>
          <w:bCs/>
          <w:color w:val="auto"/>
          <w:sz w:val="24"/>
          <w:szCs w:val="21"/>
          <w:u w:val="none" w:color="auto"/>
        </w:rPr>
        <w:t>周边无珍稀濒危的野生植物种类:周边没有国家级珍稀野生动物分布，其影响数量有限。项目施工和运营不会使保护区某一生境或物种消失，且影响的种类在保护区范围内分布较多，不会对保护区原有生态系统结构和功能产生较大影响。项目因营运期污染主要为设备噪声、</w:t>
      </w:r>
      <w:r>
        <w:rPr>
          <w:rFonts w:hint="eastAsia"/>
          <w:bCs/>
          <w:color w:val="auto"/>
          <w:sz w:val="24"/>
          <w:szCs w:val="21"/>
          <w:u w:val="none" w:color="auto"/>
        </w:rPr>
        <w:t>厨房</w:t>
      </w:r>
      <w:r>
        <w:rPr>
          <w:bCs/>
          <w:color w:val="auto"/>
          <w:sz w:val="24"/>
          <w:szCs w:val="21"/>
          <w:u w:val="none" w:color="auto"/>
        </w:rPr>
        <w:t>油烟及住户产生的固废垃圾、生活污水，采取生态专题报告提出措施后，不会对保护区造成明显的不利影响。</w:t>
      </w:r>
    </w:p>
    <w:p w14:paraId="5285C781">
      <w:pPr>
        <w:adjustRightInd w:val="0"/>
        <w:snapToGrid w:val="0"/>
        <w:spacing w:line="360" w:lineRule="auto"/>
        <w:ind w:firstLine="480" w:firstLineChars="200"/>
        <w:jc w:val="left"/>
        <w:rPr>
          <w:bCs/>
          <w:color w:val="auto"/>
          <w:sz w:val="24"/>
          <w:szCs w:val="21"/>
          <w:u w:val="none" w:color="auto"/>
        </w:rPr>
      </w:pPr>
      <w:r>
        <w:rPr>
          <w:rFonts w:hint="eastAsia"/>
          <w:bCs/>
          <w:color w:val="auto"/>
          <w:sz w:val="24"/>
          <w:szCs w:val="21"/>
          <w:highlight w:val="none"/>
          <w:u w:val="none" w:color="auto"/>
        </w:rPr>
        <w:t>综上，</w:t>
      </w:r>
      <w:r>
        <w:rPr>
          <w:bCs/>
          <w:color w:val="auto"/>
          <w:sz w:val="24"/>
          <w:szCs w:val="21"/>
          <w:highlight w:val="none"/>
          <w:u w:val="none" w:color="auto"/>
        </w:rPr>
        <w:t>评价区生态系统类型以农田生态系统、湿地生态系统和城市生态系统为主。项目建设区面积</w:t>
      </w:r>
      <w:r>
        <w:rPr>
          <w:rFonts w:hint="eastAsia"/>
          <w:bCs/>
          <w:color w:val="auto"/>
          <w:sz w:val="24"/>
          <w:szCs w:val="21"/>
          <w:highlight w:val="none"/>
          <w:u w:val="none" w:color="auto"/>
          <w:lang w:val="en-US" w:eastAsia="zh-CN"/>
        </w:rPr>
        <w:t>3600</w:t>
      </w:r>
      <w:r>
        <w:rPr>
          <w:bCs/>
          <w:color w:val="auto"/>
          <w:sz w:val="24"/>
          <w:szCs w:val="21"/>
          <w:highlight w:val="none"/>
          <w:u w:val="none" w:color="auto"/>
        </w:rPr>
        <w:t>m</w:t>
      </w:r>
      <w:r>
        <w:rPr>
          <w:bCs/>
          <w:color w:val="auto"/>
          <w:sz w:val="24"/>
          <w:szCs w:val="21"/>
          <w:highlight w:val="none"/>
          <w:u w:val="none" w:color="auto"/>
          <w:vertAlign w:val="superscript"/>
        </w:rPr>
        <w:t>2</w:t>
      </w:r>
      <w:r>
        <w:rPr>
          <w:bCs/>
          <w:color w:val="auto"/>
          <w:sz w:val="24"/>
          <w:szCs w:val="21"/>
          <w:highlight w:val="none"/>
          <w:u w:val="none" w:color="auto"/>
        </w:rPr>
        <w:t>，建设内容主要为市政基础设施配套。用地区域在景观尺度上为块状，影响范围相对较小。项目建设主要占用农田、城镇和次生林景观，由于项目建设区紧挨城市开发区、且主要占用农田景观（不涉及永久</w:t>
      </w:r>
      <w:r>
        <w:rPr>
          <w:rFonts w:hint="eastAsia"/>
          <w:bCs/>
          <w:color w:val="auto"/>
          <w:sz w:val="24"/>
          <w:szCs w:val="21"/>
          <w:highlight w:val="none"/>
          <w:u w:val="none" w:color="auto"/>
        </w:rPr>
        <w:t>基本</w:t>
      </w:r>
      <w:r>
        <w:rPr>
          <w:bCs/>
          <w:color w:val="auto"/>
          <w:sz w:val="24"/>
          <w:szCs w:val="21"/>
          <w:highlight w:val="none"/>
          <w:u w:val="none" w:color="auto"/>
        </w:rPr>
        <w:t>农田），对景观斑块的分割和破碎化的作用较小，对自然景观美学价值和景观类型的连续性影响较小，不会导致某种天然生</w:t>
      </w:r>
      <w:r>
        <w:rPr>
          <w:bCs/>
          <w:color w:val="auto"/>
          <w:sz w:val="24"/>
          <w:szCs w:val="21"/>
          <w:u w:val="none" w:color="auto"/>
        </w:rPr>
        <w:t>物群落和个体物种从影响评价区及保护区消失，对生物群落和关键种类的影响较小</w:t>
      </w:r>
      <w:r>
        <w:rPr>
          <w:rFonts w:hint="eastAsia"/>
          <w:bCs/>
          <w:color w:val="auto"/>
          <w:sz w:val="24"/>
          <w:szCs w:val="21"/>
          <w:u w:val="none" w:color="auto"/>
        </w:rPr>
        <w:t>。</w:t>
      </w:r>
    </w:p>
    <w:p w14:paraId="339FB824">
      <w:pPr>
        <w:adjustRightInd w:val="0"/>
        <w:snapToGrid w:val="0"/>
        <w:spacing w:line="360" w:lineRule="auto"/>
        <w:ind w:firstLine="480" w:firstLineChars="200"/>
        <w:jc w:val="left"/>
        <w:rPr>
          <w:rFonts w:ascii="Times New Roman" w:hAnsi="Times New Roman"/>
          <w:bCs w:val="0"/>
          <w:snapToGrid w:val="0"/>
          <w:color w:val="auto"/>
          <w:kern w:val="0"/>
          <w:sz w:val="30"/>
          <w:szCs w:val="30"/>
          <w:u w:val="none" w:color="auto"/>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bCs/>
          <w:color w:val="auto"/>
          <w:sz w:val="24"/>
          <w:szCs w:val="21"/>
          <w:u w:val="none" w:color="auto"/>
        </w:rPr>
        <w:t>评价区的植被类型主要以加杨、旱柳、水杉、芦苇、南荻、芒、狗牙根群系等人工或天然次生植被为主，非特有植被类型，分布广泛，项目建设造成损失后容易恢复。拟建项目所占为保护区实验区外边缘，受交通、农业生产等人为活动干扰较大，为野生动物分布的边缘区域，因此项目建设施工和投入使用期间不会对动物种群和群落结构产生大的扰动，对保护区主要保护对象的影响较小</w:t>
      </w:r>
      <w:r>
        <w:rPr>
          <w:rFonts w:hint="eastAsia"/>
          <w:bCs/>
          <w:color w:val="auto"/>
          <w:sz w:val="24"/>
          <w:szCs w:val="21"/>
          <w:u w:val="none" w:color="auto"/>
        </w:rPr>
        <w:t>。</w:t>
      </w:r>
      <w:r>
        <w:rPr>
          <w:rFonts w:hint="default" w:ascii="Times New Roman" w:hAnsi="Times New Roman" w:cs="Times New Roman"/>
          <w:b/>
          <w:bCs/>
          <w:color w:val="auto"/>
          <w:spacing w:val="20"/>
          <w:sz w:val="32"/>
          <w:szCs w:val="32"/>
          <w:u w:val="none" w:color="auto"/>
          <w:lang w:val="en-GB"/>
        </w:rPr>
        <w:br w:type="page"/>
      </w:r>
    </w:p>
    <w:p w14:paraId="657D93D7">
      <w:pPr>
        <w:keepNext/>
        <w:widowControl w:val="0"/>
        <w:overflowPunct w:val="0"/>
        <w:snapToGrid w:val="0"/>
        <w:spacing w:before="120" w:after="160" w:line="259" w:lineRule="auto"/>
        <w:ind w:left="432" w:hanging="432"/>
        <w:jc w:val="both"/>
        <w:outlineLvl w:val="0"/>
        <w:rPr>
          <w:rFonts w:ascii="Times New Roman" w:hAnsi="Times New Roman" w:eastAsia="宋体" w:cs="Times New Roman"/>
          <w:b/>
          <w:bCs w:val="0"/>
          <w:snapToGrid w:val="0"/>
          <w:color w:val="auto"/>
          <w:kern w:val="0"/>
          <w:sz w:val="30"/>
          <w:szCs w:val="30"/>
          <w:u w:val="none" w:color="auto"/>
          <w:lang w:val="en-US" w:eastAsia="zh-CN" w:bidi="ar-SA"/>
        </w:rPr>
      </w:pPr>
      <w:bookmarkStart w:id="373" w:name="_Toc8490"/>
      <w:bookmarkStart w:id="374" w:name="_Toc18160"/>
      <w:bookmarkStart w:id="375" w:name="_Toc17890"/>
      <w:bookmarkStart w:id="376" w:name="_Toc10029"/>
      <w:bookmarkStart w:id="377" w:name="_Toc9956"/>
      <w:bookmarkStart w:id="378" w:name="_Toc13121"/>
      <w:r>
        <w:rPr>
          <w:rFonts w:ascii="Times New Roman" w:hAnsi="Times New Roman" w:eastAsia="宋体" w:cs="Times New Roman"/>
          <w:b/>
          <w:bCs w:val="0"/>
          <w:snapToGrid w:val="0"/>
          <w:color w:val="auto"/>
          <w:kern w:val="0"/>
          <w:sz w:val="30"/>
          <w:szCs w:val="30"/>
          <w:u w:val="none" w:color="auto"/>
          <w:lang w:val="en-US" w:eastAsia="zh-CN" w:bidi="ar-SA"/>
        </w:rPr>
        <w:t>5生态</w:t>
      </w:r>
      <w:bookmarkEnd w:id="372"/>
      <w:r>
        <w:rPr>
          <w:rFonts w:ascii="Times New Roman" w:hAnsi="Times New Roman" w:eastAsia="宋体" w:cs="Times New Roman"/>
          <w:b/>
          <w:bCs w:val="0"/>
          <w:snapToGrid w:val="0"/>
          <w:color w:val="auto"/>
          <w:kern w:val="0"/>
          <w:sz w:val="30"/>
          <w:szCs w:val="30"/>
          <w:u w:val="none" w:color="auto"/>
          <w:lang w:val="en-US" w:eastAsia="zh-CN" w:bidi="ar-SA"/>
        </w:rPr>
        <w:t>保护对策措施</w:t>
      </w:r>
      <w:bookmarkEnd w:id="373"/>
      <w:bookmarkEnd w:id="374"/>
      <w:bookmarkEnd w:id="375"/>
      <w:bookmarkEnd w:id="376"/>
      <w:bookmarkEnd w:id="377"/>
      <w:bookmarkEnd w:id="378"/>
    </w:p>
    <w:p w14:paraId="630D7D0D">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379" w:name="_Toc6967"/>
      <w:bookmarkStart w:id="380" w:name="_Toc8205"/>
      <w:bookmarkStart w:id="381" w:name="_Toc28369"/>
      <w:bookmarkStart w:id="382" w:name="_Toc13797"/>
      <w:bookmarkStart w:id="383" w:name="_Toc18084"/>
      <w:bookmarkStart w:id="384" w:name="_Toc1734"/>
      <w:bookmarkStart w:id="385" w:name="_Toc15182"/>
      <w:bookmarkStart w:id="386" w:name="_Toc28647"/>
      <w:bookmarkStart w:id="387" w:name="_Toc5278"/>
      <w:r>
        <w:rPr>
          <w:rFonts w:ascii="Times New Roman" w:hAnsi="Times New Roman" w:eastAsia="宋体" w:cs="Times New Roman"/>
          <w:b/>
          <w:bCs/>
          <w:color w:val="auto"/>
          <w:kern w:val="2"/>
          <w:sz w:val="28"/>
          <w:szCs w:val="28"/>
          <w:u w:val="none" w:color="auto"/>
          <w:lang w:val="en-US" w:eastAsia="zh-CN" w:bidi="ar-SA"/>
        </w:rPr>
        <w:t>5.1施工期生态保护措施</w:t>
      </w:r>
      <w:bookmarkEnd w:id="379"/>
      <w:bookmarkEnd w:id="380"/>
      <w:bookmarkEnd w:id="381"/>
      <w:bookmarkEnd w:id="382"/>
      <w:bookmarkEnd w:id="383"/>
      <w:bookmarkEnd w:id="384"/>
      <w:bookmarkEnd w:id="385"/>
      <w:bookmarkEnd w:id="386"/>
      <w:bookmarkEnd w:id="387"/>
    </w:p>
    <w:p w14:paraId="693928AA">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5.1.1</w:t>
      </w:r>
      <w:r>
        <w:rPr>
          <w:rFonts w:hint="default" w:ascii="Times New Roman" w:hAnsi="Times New Roman" w:eastAsia="宋体" w:cs="Times New Roman"/>
          <w:b/>
          <w:color w:val="auto"/>
          <w:kern w:val="2"/>
          <w:sz w:val="24"/>
          <w:szCs w:val="24"/>
          <w:u w:val="none" w:color="auto"/>
          <w:lang w:val="en-US" w:eastAsia="zh-CN" w:bidi="ar-SA"/>
        </w:rPr>
        <w:t>施工管理</w:t>
      </w:r>
      <w:r>
        <w:rPr>
          <w:rFonts w:hint="eastAsia" w:ascii="Times New Roman" w:hAnsi="Times New Roman" w:eastAsia="宋体" w:cs="Times New Roman"/>
          <w:b/>
          <w:color w:val="auto"/>
          <w:kern w:val="2"/>
          <w:sz w:val="24"/>
          <w:szCs w:val="24"/>
          <w:u w:val="none" w:color="auto"/>
          <w:lang w:val="en-US" w:eastAsia="zh-CN" w:bidi="ar-SA"/>
        </w:rPr>
        <w:t>措施</w:t>
      </w:r>
    </w:p>
    <w:p w14:paraId="2765F804">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项目施工期</w:t>
      </w:r>
      <w:r>
        <w:rPr>
          <w:rFonts w:hint="eastAsia" w:cs="Times New Roman"/>
          <w:bCs/>
          <w:color w:val="auto"/>
          <w:sz w:val="24"/>
          <w:szCs w:val="21"/>
          <w:highlight w:val="none"/>
          <w:u w:val="none" w:color="auto"/>
          <w:lang w:val="en-US" w:eastAsia="zh-CN"/>
        </w:rPr>
        <w:t>应</w:t>
      </w:r>
      <w:r>
        <w:rPr>
          <w:rFonts w:hint="default" w:ascii="Times New Roman" w:hAnsi="Times New Roman" w:eastAsia="宋体" w:cs="Times New Roman"/>
          <w:bCs/>
          <w:color w:val="auto"/>
          <w:sz w:val="24"/>
          <w:szCs w:val="21"/>
          <w:highlight w:val="none"/>
          <w:u w:val="none" w:color="auto"/>
          <w:lang w:val="en-US" w:eastAsia="zh-CN"/>
        </w:rPr>
        <w:t>合理组织施工，严格施工作业，在建设过程中，做好防护，加强施工区污废水、泥浆的管控</w:t>
      </w:r>
      <w:r>
        <w:rPr>
          <w:rFonts w:hint="eastAsia" w:ascii="Times New Roman" w:hAnsi="Times New Roman" w:eastAsia="宋体" w:cs="Times New Roman"/>
          <w:bCs/>
          <w:color w:val="auto"/>
          <w:sz w:val="24"/>
          <w:szCs w:val="21"/>
          <w:highlight w:val="none"/>
          <w:u w:val="none" w:color="auto"/>
          <w:lang w:val="en-US" w:eastAsia="zh-CN"/>
        </w:rPr>
        <w:t>，</w:t>
      </w:r>
      <w:r>
        <w:rPr>
          <w:rFonts w:hint="eastAsia" w:cs="Times New Roman"/>
          <w:bCs/>
          <w:color w:val="auto"/>
          <w:sz w:val="24"/>
          <w:szCs w:val="21"/>
          <w:highlight w:val="none"/>
          <w:u w:val="none" w:color="auto"/>
          <w:lang w:val="en-US" w:eastAsia="zh-CN"/>
        </w:rPr>
        <w:t>防止</w:t>
      </w:r>
      <w:r>
        <w:rPr>
          <w:rFonts w:hint="eastAsia" w:ascii="Times New Roman" w:hAnsi="Times New Roman" w:eastAsia="宋体" w:cs="Times New Roman"/>
          <w:bCs/>
          <w:color w:val="auto"/>
          <w:sz w:val="24"/>
          <w:szCs w:val="21"/>
          <w:highlight w:val="none"/>
          <w:u w:val="none" w:color="auto"/>
          <w:lang w:val="en-US" w:eastAsia="zh-CN"/>
        </w:rPr>
        <w:t>出现施工废水、泥浆外排现象；</w:t>
      </w:r>
      <w:r>
        <w:rPr>
          <w:rFonts w:hint="default" w:ascii="Times New Roman" w:hAnsi="Times New Roman" w:eastAsia="宋体" w:cs="Times New Roman"/>
          <w:bCs/>
          <w:color w:val="auto"/>
          <w:sz w:val="24"/>
          <w:szCs w:val="21"/>
          <w:highlight w:val="none"/>
          <w:u w:val="none" w:color="auto"/>
          <w:lang w:val="en-US" w:eastAsia="zh-CN"/>
        </w:rPr>
        <w:t>加强施工期材料的管理，妥善放置，及时清理，</w:t>
      </w:r>
      <w:r>
        <w:rPr>
          <w:rFonts w:hint="eastAsia" w:cs="Times New Roman"/>
          <w:bCs/>
          <w:color w:val="auto"/>
          <w:sz w:val="24"/>
          <w:szCs w:val="21"/>
          <w:highlight w:val="none"/>
          <w:u w:val="none" w:color="auto"/>
          <w:lang w:val="en-US" w:eastAsia="zh-CN"/>
        </w:rPr>
        <w:t>减少</w:t>
      </w:r>
      <w:r>
        <w:rPr>
          <w:rFonts w:hint="default" w:ascii="Times New Roman" w:hAnsi="Times New Roman" w:eastAsia="宋体" w:cs="Times New Roman"/>
          <w:bCs/>
          <w:color w:val="auto"/>
          <w:sz w:val="24"/>
          <w:szCs w:val="21"/>
          <w:highlight w:val="none"/>
          <w:u w:val="none" w:color="auto"/>
          <w:lang w:val="en-US" w:eastAsia="zh-CN"/>
        </w:rPr>
        <w:t>对</w:t>
      </w:r>
      <w:r>
        <w:rPr>
          <w:rFonts w:hint="eastAsia" w:ascii="Times New Roman" w:hAnsi="Times New Roman" w:eastAsia="宋体" w:cs="Times New Roman"/>
          <w:bCs/>
          <w:color w:val="auto"/>
          <w:sz w:val="24"/>
          <w:szCs w:val="21"/>
          <w:highlight w:val="none"/>
          <w:u w:val="none" w:color="auto"/>
          <w:lang w:val="en-US" w:eastAsia="zh-CN"/>
        </w:rPr>
        <w:t>周边</w:t>
      </w:r>
      <w:r>
        <w:rPr>
          <w:rFonts w:hint="default" w:ascii="Times New Roman" w:hAnsi="Times New Roman" w:eastAsia="宋体" w:cs="Times New Roman"/>
          <w:bCs/>
          <w:color w:val="auto"/>
          <w:sz w:val="24"/>
          <w:szCs w:val="21"/>
          <w:highlight w:val="none"/>
          <w:u w:val="none" w:color="auto"/>
          <w:lang w:val="en-US" w:eastAsia="zh-CN"/>
        </w:rPr>
        <w:t>水质</w:t>
      </w:r>
      <w:r>
        <w:rPr>
          <w:rFonts w:hint="eastAsia" w:ascii="Times New Roman" w:hAnsi="Times New Roman" w:eastAsia="宋体" w:cs="Times New Roman"/>
          <w:bCs/>
          <w:color w:val="auto"/>
          <w:sz w:val="24"/>
          <w:szCs w:val="21"/>
          <w:highlight w:val="none"/>
          <w:u w:val="none" w:color="auto"/>
          <w:lang w:val="en-US" w:eastAsia="zh-CN"/>
        </w:rPr>
        <w:t>以及周边大气环境</w:t>
      </w:r>
      <w:r>
        <w:rPr>
          <w:rFonts w:hint="default" w:ascii="Times New Roman" w:hAnsi="Times New Roman" w:eastAsia="宋体" w:cs="Times New Roman"/>
          <w:bCs/>
          <w:color w:val="auto"/>
          <w:sz w:val="24"/>
          <w:szCs w:val="21"/>
          <w:highlight w:val="none"/>
          <w:u w:val="none" w:color="auto"/>
          <w:lang w:val="en-US" w:eastAsia="zh-CN"/>
        </w:rPr>
        <w:t>造成污染。</w:t>
      </w:r>
    </w:p>
    <w:p w14:paraId="063EBD18">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5.1.2</w:t>
      </w:r>
      <w:r>
        <w:rPr>
          <w:rFonts w:hint="default" w:ascii="Times New Roman" w:hAnsi="Times New Roman" w:eastAsia="宋体" w:cs="Times New Roman"/>
          <w:b/>
          <w:color w:val="auto"/>
          <w:kern w:val="2"/>
          <w:sz w:val="24"/>
          <w:szCs w:val="24"/>
          <w:u w:val="none" w:color="auto"/>
          <w:lang w:val="en-US" w:eastAsia="zh-CN" w:bidi="ar-SA"/>
        </w:rPr>
        <w:t>占地</w:t>
      </w:r>
      <w:r>
        <w:rPr>
          <w:rFonts w:hint="eastAsia" w:ascii="Times New Roman" w:hAnsi="Times New Roman" w:eastAsia="宋体" w:cs="Times New Roman"/>
          <w:b/>
          <w:color w:val="auto"/>
          <w:kern w:val="2"/>
          <w:sz w:val="24"/>
          <w:szCs w:val="24"/>
          <w:u w:val="none" w:color="auto"/>
          <w:lang w:val="en-US" w:eastAsia="zh-CN" w:bidi="ar-SA"/>
        </w:rPr>
        <w:t>恢复措施</w:t>
      </w:r>
    </w:p>
    <w:p w14:paraId="5883C2F1">
      <w:pPr>
        <w:adjustRightInd w:val="0"/>
        <w:snapToGrid w:val="0"/>
        <w:spacing w:line="360" w:lineRule="auto"/>
        <w:ind w:firstLine="480" w:firstLineChars="200"/>
        <w:jc w:val="left"/>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本项目占地类型主要为</w:t>
      </w:r>
      <w:r>
        <w:rPr>
          <w:rFonts w:hint="eastAsia" w:cs="Times New Roman"/>
          <w:bCs/>
          <w:color w:val="auto"/>
          <w:sz w:val="24"/>
          <w:szCs w:val="21"/>
          <w:highlight w:val="none"/>
          <w:u w:val="none" w:color="auto"/>
          <w:lang w:val="en-US" w:eastAsia="zh-CN"/>
        </w:rPr>
        <w:t>耕地</w:t>
      </w:r>
      <w:r>
        <w:rPr>
          <w:rFonts w:hint="default" w:ascii="Times New Roman" w:hAnsi="Times New Roman" w:eastAsia="宋体" w:cs="Times New Roman"/>
          <w:bCs/>
          <w:color w:val="auto"/>
          <w:sz w:val="24"/>
          <w:szCs w:val="21"/>
          <w:highlight w:val="none"/>
          <w:u w:val="none" w:color="auto"/>
          <w:lang w:val="en-US" w:eastAsia="zh-CN"/>
        </w:rPr>
        <w:t>，占地内现有地表植被将受到破坏，使区域生物量受到损失，对区域生态环境造成一定的影响。施工结束后对</w:t>
      </w:r>
      <w:r>
        <w:rPr>
          <w:rFonts w:hint="eastAsia" w:cs="Times New Roman"/>
          <w:bCs/>
          <w:color w:val="auto"/>
          <w:sz w:val="24"/>
          <w:szCs w:val="21"/>
          <w:highlight w:val="none"/>
          <w:u w:val="none" w:color="auto"/>
          <w:lang w:val="en-US" w:eastAsia="zh-CN"/>
        </w:rPr>
        <w:t>施工范围</w:t>
      </w:r>
      <w:r>
        <w:rPr>
          <w:rFonts w:hint="eastAsia" w:ascii="Times New Roman" w:hAnsi="Times New Roman" w:eastAsia="宋体" w:cs="Times New Roman"/>
          <w:bCs/>
          <w:color w:val="auto"/>
          <w:sz w:val="24"/>
          <w:szCs w:val="21"/>
          <w:highlight w:val="none"/>
          <w:u w:val="none" w:color="auto"/>
          <w:lang w:val="en-US" w:eastAsia="zh-CN"/>
        </w:rPr>
        <w:t>内绿化用地进行</w:t>
      </w:r>
      <w:r>
        <w:rPr>
          <w:rFonts w:hint="default" w:ascii="Times New Roman" w:hAnsi="Times New Roman" w:eastAsia="宋体" w:cs="Times New Roman"/>
          <w:bCs/>
          <w:color w:val="auto"/>
          <w:sz w:val="24"/>
          <w:szCs w:val="21"/>
          <w:highlight w:val="none"/>
          <w:u w:val="none" w:color="auto"/>
          <w:lang w:val="en-US" w:eastAsia="zh-CN"/>
        </w:rPr>
        <w:t>回覆表土，</w:t>
      </w:r>
      <w:r>
        <w:rPr>
          <w:rFonts w:hint="eastAsia" w:ascii="Times New Roman" w:hAnsi="Times New Roman" w:eastAsia="宋体" w:cs="Times New Roman"/>
          <w:bCs/>
          <w:color w:val="auto"/>
          <w:sz w:val="24"/>
          <w:szCs w:val="21"/>
          <w:highlight w:val="none"/>
          <w:u w:val="none" w:color="auto"/>
          <w:lang w:val="en-US" w:eastAsia="zh-CN"/>
        </w:rPr>
        <w:t>绿化恢复，</w:t>
      </w:r>
      <w:r>
        <w:rPr>
          <w:rFonts w:hint="default" w:ascii="Times New Roman" w:hAnsi="Times New Roman" w:eastAsia="宋体" w:cs="Times New Roman"/>
          <w:bCs/>
          <w:color w:val="auto"/>
          <w:sz w:val="24"/>
          <w:szCs w:val="21"/>
          <w:highlight w:val="none"/>
          <w:u w:val="none" w:color="auto"/>
          <w:lang w:val="en-US" w:eastAsia="zh-CN"/>
        </w:rPr>
        <w:t>做好</w:t>
      </w:r>
      <w:r>
        <w:rPr>
          <w:rFonts w:hint="eastAsia" w:ascii="Times New Roman" w:hAnsi="Times New Roman" w:eastAsia="宋体" w:cs="Times New Roman"/>
          <w:bCs/>
          <w:color w:val="auto"/>
          <w:sz w:val="24"/>
          <w:szCs w:val="21"/>
          <w:highlight w:val="none"/>
          <w:u w:val="none" w:color="auto"/>
          <w:lang w:val="en-US" w:eastAsia="zh-CN"/>
        </w:rPr>
        <w:t>了</w:t>
      </w:r>
      <w:r>
        <w:rPr>
          <w:rFonts w:hint="default" w:ascii="Times New Roman" w:hAnsi="Times New Roman" w:eastAsia="宋体" w:cs="Times New Roman"/>
          <w:bCs/>
          <w:color w:val="auto"/>
          <w:sz w:val="24"/>
          <w:szCs w:val="21"/>
          <w:highlight w:val="none"/>
          <w:u w:val="none" w:color="auto"/>
          <w:lang w:val="en-US" w:eastAsia="zh-CN"/>
        </w:rPr>
        <w:t>绿化补偿工作</w:t>
      </w:r>
      <w:r>
        <w:rPr>
          <w:rFonts w:hint="default" w:ascii="Times New Roman" w:hAnsi="Times New Roman" w:eastAsia="宋体" w:cs="Times New Roman"/>
          <w:color w:val="auto"/>
          <w:highlight w:val="none"/>
          <w:u w:val="none" w:color="auto"/>
          <w:lang w:val="en-US" w:eastAsia="zh-CN"/>
        </w:rPr>
        <w:t>。</w:t>
      </w:r>
    </w:p>
    <w:p w14:paraId="03D60B8B">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5.1.3对项目周边</w:t>
      </w:r>
      <w:r>
        <w:rPr>
          <w:rFonts w:hint="default" w:ascii="Times New Roman" w:hAnsi="Times New Roman" w:eastAsia="宋体" w:cs="Times New Roman"/>
          <w:b/>
          <w:color w:val="auto"/>
          <w:kern w:val="2"/>
          <w:sz w:val="24"/>
          <w:szCs w:val="24"/>
          <w:u w:val="none" w:color="auto"/>
          <w:lang w:val="en-US" w:eastAsia="zh-CN" w:bidi="ar-SA"/>
        </w:rPr>
        <w:t>动植物保护措施</w:t>
      </w:r>
    </w:p>
    <w:p w14:paraId="1BD72067">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1、</w:t>
      </w:r>
      <w:r>
        <w:rPr>
          <w:rFonts w:hint="default" w:ascii="Times New Roman" w:hAnsi="Times New Roman" w:eastAsia="宋体" w:cs="Times New Roman"/>
          <w:bCs/>
          <w:color w:val="auto"/>
          <w:sz w:val="24"/>
          <w:szCs w:val="21"/>
          <w:highlight w:val="none"/>
          <w:u w:val="none" w:color="auto"/>
          <w:lang w:val="en-US" w:eastAsia="zh-CN"/>
        </w:rPr>
        <w:t>对施工</w:t>
      </w:r>
      <w:r>
        <w:rPr>
          <w:rFonts w:hint="eastAsia" w:ascii="Times New Roman" w:hAnsi="Times New Roman" w:eastAsia="宋体" w:cs="Times New Roman"/>
          <w:bCs/>
          <w:color w:val="auto"/>
          <w:sz w:val="24"/>
          <w:szCs w:val="21"/>
          <w:highlight w:val="none"/>
          <w:u w:val="none" w:color="auto"/>
          <w:lang w:val="en-US" w:eastAsia="zh-CN"/>
        </w:rPr>
        <w:t>周边区域</w:t>
      </w:r>
      <w:r>
        <w:rPr>
          <w:rFonts w:hint="default" w:ascii="Times New Roman" w:hAnsi="Times New Roman" w:eastAsia="宋体" w:cs="Times New Roman"/>
          <w:bCs/>
          <w:color w:val="auto"/>
          <w:sz w:val="24"/>
          <w:szCs w:val="21"/>
          <w:highlight w:val="none"/>
          <w:u w:val="none" w:color="auto"/>
          <w:lang w:val="en-US" w:eastAsia="zh-CN"/>
        </w:rPr>
        <w:t>植被的保护措施</w:t>
      </w:r>
    </w:p>
    <w:p w14:paraId="27B0067F">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①施工期标明施工活动区，施工人员和车辆在进行各类活动、运送建筑材料和土方时，按照现有道路进行，避免大面积的破坏植被。</w:t>
      </w:r>
    </w:p>
    <w:p w14:paraId="3F1A441A">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②合理规划设计临时设施，不得随意修建；运输易产生扬尘的沙土时，</w:t>
      </w:r>
      <w:r>
        <w:rPr>
          <w:rFonts w:hint="eastAsia" w:ascii="Times New Roman" w:hAnsi="Times New Roman" w:eastAsia="宋体" w:cs="Times New Roman"/>
          <w:bCs/>
          <w:color w:val="auto"/>
          <w:sz w:val="24"/>
          <w:szCs w:val="21"/>
          <w:highlight w:val="none"/>
          <w:u w:val="none" w:color="auto"/>
          <w:lang w:val="en-US" w:eastAsia="zh-CN"/>
        </w:rPr>
        <w:t>采取</w:t>
      </w:r>
      <w:r>
        <w:rPr>
          <w:rFonts w:hint="default" w:ascii="Times New Roman" w:hAnsi="Times New Roman" w:eastAsia="宋体" w:cs="Times New Roman"/>
          <w:bCs/>
          <w:color w:val="auto"/>
          <w:sz w:val="24"/>
          <w:szCs w:val="21"/>
          <w:highlight w:val="none"/>
          <w:u w:val="none" w:color="auto"/>
          <w:lang w:val="en-US" w:eastAsia="zh-CN"/>
        </w:rPr>
        <w:t>洒水或覆盖遮挡物</w:t>
      </w:r>
      <w:r>
        <w:rPr>
          <w:rFonts w:hint="eastAsia" w:cs="Times New Roman"/>
          <w:bCs/>
          <w:color w:val="auto"/>
          <w:sz w:val="24"/>
          <w:szCs w:val="21"/>
          <w:highlight w:val="none"/>
          <w:u w:val="none" w:color="auto"/>
          <w:lang w:val="en-US" w:eastAsia="zh-CN"/>
        </w:rPr>
        <w:t>等措施</w:t>
      </w:r>
      <w:r>
        <w:rPr>
          <w:rFonts w:hint="default" w:ascii="Times New Roman" w:hAnsi="Times New Roman" w:eastAsia="宋体" w:cs="Times New Roman"/>
          <w:bCs/>
          <w:color w:val="auto"/>
          <w:sz w:val="24"/>
          <w:szCs w:val="21"/>
          <w:highlight w:val="none"/>
          <w:u w:val="none" w:color="auto"/>
          <w:lang w:val="en-US" w:eastAsia="zh-CN"/>
        </w:rPr>
        <w:t>。</w:t>
      </w:r>
    </w:p>
    <w:p w14:paraId="070D7EAF">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③</w:t>
      </w:r>
      <w:r>
        <w:rPr>
          <w:rFonts w:hint="eastAsia" w:ascii="Times New Roman" w:hAnsi="Times New Roman" w:eastAsia="宋体" w:cs="Times New Roman"/>
          <w:bCs/>
          <w:color w:val="auto"/>
          <w:sz w:val="24"/>
          <w:szCs w:val="21"/>
          <w:highlight w:val="none"/>
          <w:u w:val="none" w:color="auto"/>
          <w:lang w:val="en-US" w:eastAsia="zh-CN"/>
        </w:rPr>
        <w:t>在进行场地三通一平</w:t>
      </w:r>
      <w:r>
        <w:rPr>
          <w:rFonts w:hint="default" w:ascii="Times New Roman" w:hAnsi="Times New Roman" w:eastAsia="宋体" w:cs="Times New Roman"/>
          <w:bCs/>
          <w:color w:val="auto"/>
          <w:sz w:val="24"/>
          <w:szCs w:val="21"/>
          <w:highlight w:val="none"/>
          <w:u w:val="none" w:color="auto"/>
          <w:lang w:val="en-US" w:eastAsia="zh-CN"/>
        </w:rPr>
        <w:t>及临时工程的设置</w:t>
      </w:r>
      <w:r>
        <w:rPr>
          <w:rFonts w:hint="eastAsia" w:ascii="Times New Roman" w:hAnsi="Times New Roman" w:eastAsia="宋体" w:cs="Times New Roman"/>
          <w:bCs/>
          <w:color w:val="auto"/>
          <w:sz w:val="24"/>
          <w:szCs w:val="21"/>
          <w:highlight w:val="none"/>
          <w:u w:val="none" w:color="auto"/>
          <w:lang w:val="en-US" w:eastAsia="zh-CN"/>
        </w:rPr>
        <w:t>时</w:t>
      </w:r>
      <w:r>
        <w:rPr>
          <w:rFonts w:hint="eastAsia" w:cs="Times New Roman"/>
          <w:bCs/>
          <w:color w:val="auto"/>
          <w:sz w:val="24"/>
          <w:szCs w:val="21"/>
          <w:highlight w:val="none"/>
          <w:u w:val="none" w:color="auto"/>
          <w:lang w:val="en-US" w:eastAsia="zh-CN"/>
        </w:rPr>
        <w:t>需</w:t>
      </w:r>
      <w:r>
        <w:rPr>
          <w:rFonts w:hint="default" w:ascii="Times New Roman" w:hAnsi="Times New Roman" w:eastAsia="宋体" w:cs="Times New Roman"/>
          <w:bCs/>
          <w:color w:val="auto"/>
          <w:sz w:val="24"/>
          <w:szCs w:val="21"/>
          <w:highlight w:val="none"/>
          <w:u w:val="none" w:color="auto"/>
          <w:lang w:val="en-US" w:eastAsia="zh-CN"/>
        </w:rPr>
        <w:t>采取措施加以恢复；施工前应剥离表层土，在</w:t>
      </w:r>
      <w:r>
        <w:rPr>
          <w:rFonts w:hint="eastAsia" w:ascii="Times New Roman" w:hAnsi="Times New Roman" w:eastAsia="宋体" w:cs="Times New Roman"/>
          <w:bCs/>
          <w:color w:val="auto"/>
          <w:sz w:val="24"/>
          <w:szCs w:val="21"/>
          <w:highlight w:val="none"/>
          <w:u w:val="none" w:color="auto"/>
          <w:lang w:val="en-US" w:eastAsia="zh-CN"/>
        </w:rPr>
        <w:t>工程永久占地</w:t>
      </w:r>
      <w:r>
        <w:rPr>
          <w:rFonts w:hint="default" w:ascii="Times New Roman" w:hAnsi="Times New Roman" w:eastAsia="宋体" w:cs="Times New Roman"/>
          <w:bCs/>
          <w:color w:val="auto"/>
          <w:sz w:val="24"/>
          <w:szCs w:val="21"/>
          <w:highlight w:val="none"/>
          <w:u w:val="none" w:color="auto"/>
          <w:lang w:val="en-US" w:eastAsia="zh-CN"/>
        </w:rPr>
        <w:t>区域作为临时堆土区进行堆放，施工完毕后，在采取水土保持措施的同时将剥离的表土层进行回填覆土，并种植当地乔、灌、草，进行迹地恢复。</w:t>
      </w:r>
    </w:p>
    <w:p w14:paraId="084FF9B0">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④施工结束后，应严格按照水保方案对工程区域进行复耕和植被恢复。</w:t>
      </w:r>
    </w:p>
    <w:p w14:paraId="24A280EA">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2、</w:t>
      </w:r>
      <w:r>
        <w:rPr>
          <w:rFonts w:hint="default" w:ascii="Times New Roman" w:hAnsi="Times New Roman" w:eastAsia="宋体" w:cs="Times New Roman"/>
          <w:bCs/>
          <w:color w:val="auto"/>
          <w:sz w:val="24"/>
          <w:szCs w:val="21"/>
          <w:highlight w:val="none"/>
          <w:u w:val="none" w:color="auto"/>
          <w:lang w:val="en-US" w:eastAsia="zh-CN"/>
        </w:rPr>
        <w:t>对施工</w:t>
      </w:r>
      <w:r>
        <w:rPr>
          <w:rFonts w:hint="eastAsia" w:ascii="Times New Roman" w:hAnsi="Times New Roman" w:eastAsia="宋体" w:cs="Times New Roman"/>
          <w:bCs/>
          <w:color w:val="auto"/>
          <w:sz w:val="24"/>
          <w:szCs w:val="21"/>
          <w:highlight w:val="none"/>
          <w:u w:val="none" w:color="auto"/>
          <w:lang w:val="en-US" w:eastAsia="zh-CN"/>
        </w:rPr>
        <w:t>周边区域</w:t>
      </w:r>
      <w:r>
        <w:rPr>
          <w:rFonts w:hint="default" w:ascii="Times New Roman" w:hAnsi="Times New Roman" w:eastAsia="宋体" w:cs="Times New Roman"/>
          <w:bCs/>
          <w:color w:val="auto"/>
          <w:sz w:val="24"/>
          <w:szCs w:val="21"/>
          <w:highlight w:val="none"/>
          <w:u w:val="none" w:color="auto"/>
          <w:lang w:val="en-US" w:eastAsia="zh-CN"/>
        </w:rPr>
        <w:t>动物的保护措施</w:t>
      </w:r>
    </w:p>
    <w:p w14:paraId="2F5E7656">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本工程施工</w:t>
      </w:r>
      <w:r>
        <w:rPr>
          <w:rFonts w:hint="eastAsia" w:ascii="Times New Roman" w:hAnsi="Times New Roman" w:eastAsia="宋体" w:cs="Times New Roman"/>
          <w:bCs/>
          <w:color w:val="auto"/>
          <w:sz w:val="24"/>
          <w:szCs w:val="21"/>
          <w:highlight w:val="none"/>
          <w:u w:val="none" w:color="auto"/>
          <w:lang w:val="en-US" w:eastAsia="zh-CN"/>
        </w:rPr>
        <w:t>范围及周边</w:t>
      </w:r>
      <w:r>
        <w:rPr>
          <w:rFonts w:hint="default" w:ascii="Times New Roman" w:hAnsi="Times New Roman" w:eastAsia="宋体" w:cs="Times New Roman"/>
          <w:bCs/>
          <w:color w:val="auto"/>
          <w:sz w:val="24"/>
          <w:szCs w:val="21"/>
          <w:highlight w:val="none"/>
          <w:u w:val="none" w:color="auto"/>
          <w:lang w:val="en-US" w:eastAsia="zh-CN"/>
        </w:rPr>
        <w:t>仅有一些常见鸟类、啮齿类动物少量存在，施工过程中由于开挖建设会对</w:t>
      </w:r>
      <w:r>
        <w:rPr>
          <w:rFonts w:hint="eastAsia" w:ascii="Times New Roman" w:hAnsi="Times New Roman" w:eastAsia="宋体" w:cs="Times New Roman"/>
          <w:bCs/>
          <w:color w:val="auto"/>
          <w:sz w:val="24"/>
          <w:szCs w:val="21"/>
          <w:highlight w:val="none"/>
          <w:u w:val="none" w:color="auto"/>
          <w:lang w:val="en-US" w:eastAsia="zh-CN"/>
        </w:rPr>
        <w:t>区域及周边</w:t>
      </w:r>
      <w:r>
        <w:rPr>
          <w:rFonts w:hint="default" w:ascii="Times New Roman" w:hAnsi="Times New Roman" w:eastAsia="宋体" w:cs="Times New Roman"/>
          <w:bCs/>
          <w:color w:val="auto"/>
          <w:sz w:val="24"/>
          <w:szCs w:val="21"/>
          <w:highlight w:val="none"/>
          <w:u w:val="none" w:color="auto"/>
          <w:lang w:val="en-US" w:eastAsia="zh-CN"/>
        </w:rPr>
        <w:t>的啮齿类动物产生影响。</w:t>
      </w:r>
    </w:p>
    <w:p w14:paraId="0E6A32A9">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①提高施工人员的环境保护意识，严禁捕狩野生动物。</w:t>
      </w:r>
    </w:p>
    <w:p w14:paraId="07F2350D">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②大力宣传两栖、爬行动物对农林卫生的有益作用，如蛙类、蛇类等要摄食大量害虫、害鼠，呼吁当地居民和施工人员自觉保护野生动物。由于鸟类有较强扩散能力，工程施工将使它们迁移到别处，随着施工结束，工程区的鸟类数量将逐渐恢复。</w:t>
      </w:r>
    </w:p>
    <w:p w14:paraId="07F12AEE">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③严禁随意砍伐森林和破坏植被，避免影响动物的栖息环境。</w:t>
      </w:r>
    </w:p>
    <w:p w14:paraId="405F02CD">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④施工后期加强</w:t>
      </w:r>
      <w:r>
        <w:rPr>
          <w:rFonts w:hint="eastAsia" w:cs="Times New Roman"/>
          <w:bCs/>
          <w:color w:val="auto"/>
          <w:sz w:val="24"/>
          <w:szCs w:val="21"/>
          <w:highlight w:val="none"/>
          <w:u w:val="none" w:color="auto"/>
          <w:lang w:val="en-US" w:eastAsia="zh-CN"/>
        </w:rPr>
        <w:t>施工范围</w:t>
      </w:r>
      <w:r>
        <w:rPr>
          <w:rFonts w:hint="eastAsia" w:ascii="Times New Roman" w:hAnsi="Times New Roman" w:eastAsia="宋体" w:cs="Times New Roman"/>
          <w:bCs/>
          <w:color w:val="auto"/>
          <w:sz w:val="24"/>
          <w:szCs w:val="21"/>
          <w:highlight w:val="none"/>
          <w:u w:val="none" w:color="auto"/>
          <w:lang w:val="en-US" w:eastAsia="zh-CN"/>
        </w:rPr>
        <w:t>内</w:t>
      </w:r>
      <w:r>
        <w:rPr>
          <w:rFonts w:hint="default" w:ascii="Times New Roman" w:hAnsi="Times New Roman" w:eastAsia="宋体" w:cs="Times New Roman"/>
          <w:bCs/>
          <w:color w:val="auto"/>
          <w:sz w:val="24"/>
          <w:szCs w:val="21"/>
          <w:highlight w:val="none"/>
          <w:u w:val="none" w:color="auto"/>
          <w:lang w:val="en-US" w:eastAsia="zh-CN"/>
        </w:rPr>
        <w:t>的绿化，尽量采用当地植物种类，以乔-灌-草结合、常绿与落叶相结合、针叶与阔叶相结合、观赏与经济植物相结合的方式，多物种、多层次和多样化的进行植物配置。</w:t>
      </w:r>
    </w:p>
    <w:p w14:paraId="39AEC79D">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u w:val="none" w:color="auto"/>
          <w:lang w:val="en-US" w:eastAsia="zh-CN" w:bidi="ar-SA"/>
        </w:rPr>
      </w:pPr>
      <w:r>
        <w:rPr>
          <w:rFonts w:hint="eastAsia" w:ascii="Times New Roman" w:hAnsi="Times New Roman" w:eastAsia="宋体" w:cs="Times New Roman"/>
          <w:b/>
          <w:color w:val="auto"/>
          <w:kern w:val="2"/>
          <w:sz w:val="24"/>
          <w:szCs w:val="24"/>
          <w:u w:val="none" w:color="auto"/>
          <w:lang w:val="en-US" w:eastAsia="zh-CN" w:bidi="ar-SA"/>
        </w:rPr>
        <w:t>5.1.4</w:t>
      </w:r>
      <w:r>
        <w:rPr>
          <w:rFonts w:hint="default" w:ascii="Times New Roman" w:hAnsi="Times New Roman" w:eastAsia="宋体" w:cs="Times New Roman"/>
          <w:b/>
          <w:color w:val="auto"/>
          <w:kern w:val="2"/>
          <w:sz w:val="24"/>
          <w:szCs w:val="24"/>
          <w:u w:val="none" w:color="auto"/>
          <w:lang w:val="en-US" w:eastAsia="zh-CN" w:bidi="ar-SA"/>
        </w:rPr>
        <w:t>水土保持措施</w:t>
      </w:r>
    </w:p>
    <w:p w14:paraId="6D8BC387">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为防治水土流失，施工中应采取如下措施：</w:t>
      </w:r>
    </w:p>
    <w:p w14:paraId="3AF103A9">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cs="Times New Roman"/>
          <w:bCs/>
          <w:color w:val="auto"/>
          <w:sz w:val="24"/>
          <w:szCs w:val="21"/>
          <w:highlight w:val="none"/>
          <w:u w:val="none" w:color="auto"/>
          <w:lang w:val="en-US" w:eastAsia="zh-CN"/>
        </w:rPr>
        <w:t>（1）</w:t>
      </w:r>
      <w:r>
        <w:rPr>
          <w:rFonts w:hint="default" w:ascii="Times New Roman" w:hAnsi="Times New Roman" w:eastAsia="宋体" w:cs="Times New Roman"/>
          <w:bCs/>
          <w:color w:val="auto"/>
          <w:sz w:val="24"/>
          <w:szCs w:val="21"/>
          <w:highlight w:val="none"/>
          <w:u w:val="none" w:color="auto"/>
          <w:lang w:val="en-US" w:eastAsia="zh-CN"/>
        </w:rPr>
        <w:t>对工程区主要是做好预防保护措施及土石方平衡的合理调运利用，及时运输挖方，及时填压土方，并做好施工过程中的临时拦挡、截排水、沉沙、覆盖等防护措施，从根本上防止大雨径流对开挖面和填方区的冲刷，减少水土流失量。对建设中永久占地的表层土予以收集保存，施工结束后对边坡进行植被绿化，改善和恢复生态景观。</w:t>
      </w:r>
    </w:p>
    <w:p w14:paraId="0AEBA0A8">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w:t>
      </w:r>
      <w:r>
        <w:rPr>
          <w:rFonts w:hint="eastAsia" w:cs="Times New Roman"/>
          <w:bCs/>
          <w:color w:val="auto"/>
          <w:sz w:val="24"/>
          <w:szCs w:val="21"/>
          <w:highlight w:val="none"/>
          <w:u w:val="none" w:color="auto"/>
          <w:lang w:val="en-US" w:eastAsia="zh-CN"/>
        </w:rPr>
        <w:t>2</w:t>
      </w:r>
      <w:r>
        <w:rPr>
          <w:rFonts w:hint="default" w:ascii="Times New Roman" w:hAnsi="Times New Roman" w:eastAsia="宋体" w:cs="Times New Roman"/>
          <w:bCs/>
          <w:color w:val="auto"/>
          <w:sz w:val="24"/>
          <w:szCs w:val="21"/>
          <w:highlight w:val="none"/>
          <w:u w:val="none" w:color="auto"/>
          <w:lang w:val="en-US" w:eastAsia="zh-CN"/>
        </w:rPr>
        <w:t>)对施工临时施工生产生活区和表土临时堆置区主要是采取临时排水、拦挡及覆盖等措施，对场地进行场地清理和平整，将清理的表土覆盖堆存用于后期恢复耕作或种植林草。</w:t>
      </w:r>
    </w:p>
    <w:p w14:paraId="521718F6">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388" w:name="_Toc13675"/>
      <w:bookmarkStart w:id="389" w:name="_Toc15693"/>
      <w:bookmarkStart w:id="390" w:name="_Toc15877"/>
      <w:bookmarkStart w:id="391" w:name="_Toc30574"/>
      <w:bookmarkStart w:id="392" w:name="_Toc21393"/>
      <w:bookmarkStart w:id="393" w:name="_Toc21379"/>
      <w:bookmarkStart w:id="394" w:name="_Toc14790"/>
      <w:bookmarkStart w:id="395" w:name="_Toc28772"/>
      <w:bookmarkStart w:id="396" w:name="_Toc5060"/>
      <w:r>
        <w:rPr>
          <w:rFonts w:ascii="Times New Roman" w:hAnsi="Times New Roman" w:eastAsia="宋体" w:cs="Times New Roman"/>
          <w:b/>
          <w:bCs/>
          <w:color w:val="auto"/>
          <w:kern w:val="2"/>
          <w:sz w:val="28"/>
          <w:szCs w:val="28"/>
          <w:u w:val="none" w:color="auto"/>
          <w:lang w:val="en-US" w:eastAsia="zh-CN" w:bidi="ar-SA"/>
        </w:rPr>
        <w:t>5.2营运期生态保护措施</w:t>
      </w:r>
      <w:bookmarkEnd w:id="388"/>
      <w:bookmarkEnd w:id="389"/>
      <w:bookmarkEnd w:id="390"/>
      <w:bookmarkEnd w:id="391"/>
      <w:bookmarkEnd w:id="392"/>
      <w:bookmarkEnd w:id="393"/>
      <w:bookmarkEnd w:id="394"/>
      <w:bookmarkEnd w:id="395"/>
      <w:bookmarkEnd w:id="396"/>
    </w:p>
    <w:p w14:paraId="207C7EAC">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项目运营期主要采取的生态保护措施如下：</w:t>
      </w:r>
    </w:p>
    <w:p w14:paraId="73F16254">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（1）施工后期应加强对绿化植物的管理与养护，以达到恢复植被的目的。</w:t>
      </w:r>
    </w:p>
    <w:p w14:paraId="4E3154F5">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（2）加强营运期管理，保证各项工程设施完好和确保安全生产是生态保护最基本的措施。</w:t>
      </w:r>
    </w:p>
    <w:p w14:paraId="4E057C0B">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（3）主体工程完后，应对工程裸地进行植被恢复，优先采用乡土植物品种</w:t>
      </w:r>
      <w:r>
        <w:rPr>
          <w:rFonts w:hint="eastAsia" w:ascii="Times New Roman" w:hAnsi="Times New Roman" w:eastAsia="宋体" w:cs="Times New Roman"/>
          <w:bCs/>
          <w:color w:val="auto"/>
          <w:sz w:val="24"/>
          <w:szCs w:val="21"/>
          <w:highlight w:val="none"/>
          <w:u w:val="none" w:color="auto"/>
          <w:lang w:val="en-US" w:eastAsia="zh-CN"/>
        </w:rPr>
        <w:t>。</w:t>
      </w:r>
      <w:r>
        <w:rPr>
          <w:rFonts w:hint="default" w:ascii="Times New Roman" w:hAnsi="Times New Roman" w:eastAsia="宋体" w:cs="Times New Roman"/>
          <w:bCs/>
          <w:color w:val="auto"/>
          <w:sz w:val="24"/>
          <w:szCs w:val="21"/>
          <w:highlight w:val="none"/>
          <w:u w:val="none" w:color="auto"/>
          <w:lang w:val="en-US" w:eastAsia="zh-CN"/>
        </w:rPr>
        <w:t>在植被恢复中，植物选择应考虑抗逆性、速生性、景观价值及经济成本等因素，以乔木、灌木为主，草本为辅进行植被配置或自然更新。植物物种的选择应考虑当地生态适应强的植物，如马尾松、毛竹、盐肤木、芒、丝茅等，应注意在施工时予以移栽保护，便于在植被恢复时利用。</w:t>
      </w:r>
    </w:p>
    <w:p w14:paraId="43266C23">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6C152420">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u w:val="none" w:color="auto"/>
          <w:lang w:val="en-US" w:eastAsia="zh-CN" w:bidi="ar-SA"/>
        </w:rPr>
      </w:pPr>
      <w:bookmarkStart w:id="397" w:name="_Toc11667"/>
      <w:bookmarkStart w:id="398" w:name="_Toc15047"/>
      <w:bookmarkStart w:id="399" w:name="_Toc816"/>
      <w:bookmarkStart w:id="400" w:name="_Toc7132"/>
      <w:bookmarkStart w:id="401" w:name="_Toc18850"/>
      <w:bookmarkStart w:id="402" w:name="_Toc21525"/>
      <w:r>
        <w:rPr>
          <w:rFonts w:ascii="Times New Roman" w:hAnsi="Times New Roman" w:eastAsia="宋体" w:cs="Times New Roman"/>
          <w:b/>
          <w:snapToGrid w:val="0"/>
          <w:color w:val="auto"/>
          <w:kern w:val="0"/>
          <w:sz w:val="30"/>
          <w:szCs w:val="30"/>
          <w:u w:val="none" w:color="auto"/>
          <w:lang w:val="en-US" w:eastAsia="zh-CN" w:bidi="ar-SA"/>
        </w:rPr>
        <w:t>6评价结论和建议</w:t>
      </w:r>
      <w:bookmarkEnd w:id="397"/>
      <w:bookmarkEnd w:id="398"/>
      <w:bookmarkEnd w:id="399"/>
      <w:bookmarkEnd w:id="400"/>
      <w:bookmarkEnd w:id="401"/>
      <w:bookmarkEnd w:id="402"/>
    </w:p>
    <w:p w14:paraId="4AE3414A">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403" w:name="_Toc5635"/>
      <w:bookmarkStart w:id="404" w:name="_Toc32371"/>
      <w:bookmarkStart w:id="405" w:name="_Toc7947"/>
      <w:bookmarkStart w:id="406" w:name="_Toc28287"/>
      <w:r>
        <w:rPr>
          <w:rFonts w:ascii="Times New Roman" w:hAnsi="Times New Roman" w:eastAsia="宋体" w:cs="Times New Roman"/>
          <w:b/>
          <w:bCs/>
          <w:color w:val="auto"/>
          <w:kern w:val="2"/>
          <w:sz w:val="28"/>
          <w:szCs w:val="28"/>
          <w:u w:val="none" w:color="auto"/>
          <w:lang w:val="en-US" w:eastAsia="zh-CN" w:bidi="ar-SA"/>
        </w:rPr>
        <w:t>6.1评价结论</w:t>
      </w:r>
      <w:bookmarkEnd w:id="403"/>
      <w:bookmarkEnd w:id="404"/>
      <w:bookmarkEnd w:id="405"/>
      <w:bookmarkEnd w:id="406"/>
    </w:p>
    <w:p w14:paraId="535479A7">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default" w:ascii="Times New Roman" w:hAnsi="Times New Roman" w:eastAsia="宋体" w:cs="Times New Roman"/>
          <w:bCs/>
          <w:color w:val="auto"/>
          <w:sz w:val="24"/>
          <w:szCs w:val="21"/>
          <w:highlight w:val="none"/>
          <w:u w:val="none" w:color="auto"/>
          <w:lang w:val="en-US" w:eastAsia="zh-CN"/>
        </w:rPr>
        <w:t>本工程对生态环境的影响主要表现为：工程占地、人为干扰、施工活动及施工活动产生的弃渣、废水、扬尘等，总体而言，项目建设将对生态环境造成一定的不利影响，本工程在设计、施工</w:t>
      </w:r>
      <w:r>
        <w:rPr>
          <w:rFonts w:hint="eastAsia" w:ascii="Times New Roman" w:hAnsi="Times New Roman" w:eastAsia="宋体" w:cs="Times New Roman"/>
          <w:bCs/>
          <w:color w:val="auto"/>
          <w:sz w:val="24"/>
          <w:szCs w:val="21"/>
          <w:highlight w:val="none"/>
          <w:u w:val="none" w:color="auto"/>
          <w:lang w:val="en-US" w:eastAsia="zh-CN"/>
        </w:rPr>
        <w:t>已经采取了较为完善的措施防止造成较大的生态环境影响，在后续的</w:t>
      </w:r>
      <w:r>
        <w:rPr>
          <w:rFonts w:hint="default" w:ascii="Times New Roman" w:hAnsi="Times New Roman" w:eastAsia="宋体" w:cs="Times New Roman"/>
          <w:bCs/>
          <w:color w:val="auto"/>
          <w:sz w:val="24"/>
          <w:szCs w:val="21"/>
          <w:highlight w:val="none"/>
          <w:u w:val="none" w:color="auto"/>
          <w:lang w:val="en-US" w:eastAsia="zh-CN"/>
        </w:rPr>
        <w:t>运营</w:t>
      </w:r>
      <w:r>
        <w:rPr>
          <w:rFonts w:hint="eastAsia" w:ascii="Times New Roman" w:hAnsi="Times New Roman" w:eastAsia="宋体" w:cs="Times New Roman"/>
          <w:bCs/>
          <w:color w:val="auto"/>
          <w:sz w:val="24"/>
          <w:szCs w:val="21"/>
          <w:highlight w:val="none"/>
          <w:u w:val="none" w:color="auto"/>
          <w:lang w:val="en-US" w:eastAsia="zh-CN"/>
        </w:rPr>
        <w:t>过程</w:t>
      </w:r>
      <w:r>
        <w:rPr>
          <w:rFonts w:hint="default" w:ascii="Times New Roman" w:hAnsi="Times New Roman" w:eastAsia="宋体" w:cs="Times New Roman"/>
          <w:bCs/>
          <w:color w:val="auto"/>
          <w:sz w:val="24"/>
          <w:szCs w:val="21"/>
          <w:highlight w:val="none"/>
          <w:u w:val="none" w:color="auto"/>
          <w:lang w:val="en-US" w:eastAsia="zh-CN"/>
        </w:rPr>
        <w:t>中，</w:t>
      </w:r>
      <w:r>
        <w:rPr>
          <w:rFonts w:hint="eastAsia" w:ascii="Times New Roman" w:hAnsi="Times New Roman" w:eastAsia="宋体" w:cs="Times New Roman"/>
          <w:bCs/>
          <w:color w:val="auto"/>
          <w:sz w:val="24"/>
          <w:szCs w:val="21"/>
          <w:highlight w:val="none"/>
          <w:u w:val="none" w:color="auto"/>
          <w:lang w:val="en-US" w:eastAsia="zh-CN"/>
        </w:rPr>
        <w:t>应严格</w:t>
      </w:r>
      <w:r>
        <w:rPr>
          <w:rFonts w:hint="default" w:ascii="Times New Roman" w:hAnsi="Times New Roman" w:eastAsia="宋体" w:cs="Times New Roman"/>
          <w:bCs/>
          <w:color w:val="auto"/>
          <w:sz w:val="24"/>
          <w:szCs w:val="21"/>
          <w:highlight w:val="none"/>
          <w:u w:val="none" w:color="auto"/>
          <w:lang w:val="en-US" w:eastAsia="zh-CN"/>
        </w:rPr>
        <w:t>采取本报告提出的保护和加强管理等积极有效的保护措施，可将工程</w:t>
      </w:r>
      <w:r>
        <w:rPr>
          <w:rFonts w:hint="eastAsia" w:ascii="Times New Roman" w:hAnsi="Times New Roman" w:eastAsia="宋体" w:cs="Times New Roman"/>
          <w:bCs/>
          <w:color w:val="auto"/>
          <w:sz w:val="24"/>
          <w:szCs w:val="21"/>
          <w:highlight w:val="none"/>
          <w:u w:val="none" w:color="auto"/>
          <w:lang w:val="en-US" w:eastAsia="zh-CN"/>
        </w:rPr>
        <w:t>建设</w:t>
      </w:r>
      <w:r>
        <w:rPr>
          <w:rFonts w:hint="default" w:ascii="Times New Roman" w:hAnsi="Times New Roman" w:eastAsia="宋体" w:cs="Times New Roman"/>
          <w:bCs/>
          <w:color w:val="auto"/>
          <w:sz w:val="24"/>
          <w:szCs w:val="21"/>
          <w:highlight w:val="none"/>
          <w:u w:val="none" w:color="auto"/>
          <w:lang w:val="en-US" w:eastAsia="zh-CN"/>
        </w:rPr>
        <w:t>带来的负面影响减轻到生物、生态能够承载的程度。因此，从生态影响的角度分析，本项目是可行的。</w:t>
      </w:r>
    </w:p>
    <w:p w14:paraId="61B82C2F">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u w:val="none" w:color="auto"/>
          <w:lang w:val="en-US" w:eastAsia="zh-CN" w:bidi="ar-SA"/>
        </w:rPr>
      </w:pPr>
      <w:bookmarkStart w:id="407" w:name="_Toc2309"/>
      <w:bookmarkStart w:id="408" w:name="_Toc25872"/>
      <w:bookmarkStart w:id="409" w:name="_Toc4518"/>
      <w:bookmarkStart w:id="410" w:name="_Toc1620"/>
      <w:r>
        <w:rPr>
          <w:rFonts w:ascii="Times New Roman" w:hAnsi="Times New Roman" w:eastAsia="宋体" w:cs="Times New Roman"/>
          <w:b/>
          <w:bCs/>
          <w:color w:val="auto"/>
          <w:kern w:val="2"/>
          <w:sz w:val="28"/>
          <w:szCs w:val="28"/>
          <w:u w:val="none" w:color="auto"/>
          <w:lang w:val="en-US" w:eastAsia="zh-CN" w:bidi="ar-SA"/>
        </w:rPr>
        <w:t>6.2评价建议</w:t>
      </w:r>
      <w:bookmarkEnd w:id="407"/>
      <w:bookmarkEnd w:id="408"/>
      <w:bookmarkEnd w:id="409"/>
      <w:bookmarkEnd w:id="410"/>
    </w:p>
    <w:p w14:paraId="24EBE8BF">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1、进一步完善</w:t>
      </w:r>
      <w:r>
        <w:rPr>
          <w:rFonts w:hint="eastAsia" w:cs="Times New Roman"/>
          <w:bCs/>
          <w:color w:val="auto"/>
          <w:sz w:val="24"/>
          <w:szCs w:val="21"/>
          <w:highlight w:val="none"/>
          <w:u w:val="none" w:color="auto"/>
          <w:lang w:val="en-US" w:eastAsia="zh-CN"/>
        </w:rPr>
        <w:t>施工范围</w:t>
      </w:r>
      <w:r>
        <w:rPr>
          <w:rFonts w:hint="eastAsia" w:ascii="Times New Roman" w:hAnsi="Times New Roman" w:eastAsia="宋体" w:cs="Times New Roman"/>
          <w:bCs/>
          <w:color w:val="auto"/>
          <w:sz w:val="24"/>
          <w:szCs w:val="21"/>
          <w:highlight w:val="none"/>
          <w:u w:val="none" w:color="auto"/>
          <w:lang w:val="en-US" w:eastAsia="zh-CN"/>
        </w:rPr>
        <w:t>内绿化工作</w:t>
      </w:r>
      <w:r>
        <w:rPr>
          <w:rFonts w:hint="default" w:ascii="Times New Roman" w:hAnsi="Times New Roman" w:eastAsia="宋体" w:cs="Times New Roman"/>
          <w:bCs/>
          <w:color w:val="auto"/>
          <w:sz w:val="24"/>
          <w:szCs w:val="21"/>
          <w:highlight w:val="none"/>
          <w:u w:val="none" w:color="auto"/>
          <w:lang w:val="en-US" w:eastAsia="zh-CN"/>
        </w:rPr>
        <w:t>，</w:t>
      </w:r>
      <w:r>
        <w:rPr>
          <w:rFonts w:hint="eastAsia" w:ascii="Times New Roman" w:hAnsi="Times New Roman" w:eastAsia="宋体" w:cs="Times New Roman"/>
          <w:bCs/>
          <w:color w:val="auto"/>
          <w:sz w:val="24"/>
          <w:szCs w:val="21"/>
          <w:highlight w:val="none"/>
          <w:u w:val="none" w:color="auto"/>
          <w:lang w:val="en-US" w:eastAsia="zh-CN"/>
        </w:rPr>
        <w:t>在现有绿地基础上进一步丰富区内绿化层次，</w:t>
      </w:r>
      <w:r>
        <w:rPr>
          <w:rFonts w:hint="default" w:ascii="Times New Roman" w:hAnsi="Times New Roman" w:eastAsia="宋体" w:cs="Times New Roman"/>
          <w:bCs/>
          <w:color w:val="auto"/>
          <w:sz w:val="24"/>
          <w:szCs w:val="21"/>
          <w:highlight w:val="none"/>
          <w:u w:val="none" w:color="auto"/>
          <w:lang w:val="en-US" w:eastAsia="zh-CN"/>
        </w:rPr>
        <w:t>减少由于生境破坏对动植物的不利影响。</w:t>
      </w:r>
    </w:p>
    <w:p w14:paraId="7D6D2639">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pPr>
      <w:r>
        <w:rPr>
          <w:rFonts w:hint="eastAsia" w:ascii="Times New Roman" w:hAnsi="Times New Roman" w:eastAsia="宋体" w:cs="Times New Roman"/>
          <w:bCs/>
          <w:color w:val="auto"/>
          <w:sz w:val="24"/>
          <w:szCs w:val="21"/>
          <w:highlight w:val="none"/>
          <w:u w:val="none" w:color="auto"/>
          <w:lang w:val="en-US" w:eastAsia="zh-CN"/>
        </w:rPr>
        <w:t>2、</w:t>
      </w:r>
      <w:r>
        <w:rPr>
          <w:rFonts w:hint="default" w:ascii="Times New Roman" w:hAnsi="Times New Roman" w:eastAsia="宋体" w:cs="Times New Roman"/>
          <w:bCs/>
          <w:color w:val="auto"/>
          <w:sz w:val="24"/>
          <w:szCs w:val="21"/>
          <w:highlight w:val="none"/>
          <w:u w:val="none" w:color="auto"/>
          <w:lang w:val="en-US" w:eastAsia="zh-CN"/>
        </w:rPr>
        <w:t>严格落实本报告提出的环保措施，建立常规管理和监测机制。</w:t>
      </w:r>
    </w:p>
    <w:p w14:paraId="0C0CFDED">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color="auto"/>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Cs/>
          <w:color w:val="auto"/>
          <w:sz w:val="24"/>
          <w:szCs w:val="21"/>
          <w:highlight w:val="none"/>
          <w:u w:val="none" w:color="auto"/>
          <w:lang w:val="en-US" w:eastAsia="zh-CN"/>
        </w:rPr>
        <w:t>3、</w:t>
      </w:r>
      <w:r>
        <w:rPr>
          <w:rFonts w:hint="default" w:ascii="Times New Roman" w:hAnsi="Times New Roman" w:eastAsia="宋体" w:cs="Times New Roman"/>
          <w:bCs/>
          <w:color w:val="auto"/>
          <w:sz w:val="24"/>
          <w:szCs w:val="21"/>
          <w:highlight w:val="none"/>
          <w:u w:val="none" w:color="auto"/>
          <w:lang w:val="en-US" w:eastAsia="zh-CN"/>
        </w:rPr>
        <w:t>落实环保措施投资费用，切实落实各项污染防治及生态减缓措施。</w:t>
      </w:r>
    </w:p>
    <w:p w14:paraId="56591B1E">
      <w:pPr>
        <w:adjustRightInd/>
        <w:snapToGrid/>
        <w:spacing w:line="240" w:lineRule="auto"/>
        <w:ind w:firstLine="0" w:firstLineChars="0"/>
        <w:jc w:val="center"/>
        <w:outlineLvl w:val="1"/>
        <w:rPr>
          <w:rFonts w:hint="default" w:ascii="Times New Roman" w:hAnsi="Times New Roman" w:eastAsia="宋体" w:cs="Times New Roman"/>
          <w:b/>
          <w:bCs/>
          <w:color w:val="auto"/>
          <w:sz w:val="24"/>
          <w:szCs w:val="24"/>
          <w:u w:val="none" w:color="auto"/>
          <w:lang w:val="en-US" w:eastAsia="zh-CN"/>
        </w:rPr>
      </w:pPr>
      <w:bookmarkStart w:id="411" w:name="_Toc24246"/>
      <w:bookmarkStart w:id="412" w:name="_Toc12572"/>
      <w:bookmarkStart w:id="413" w:name="_Toc3490"/>
      <w:bookmarkStart w:id="414" w:name="_Toc18593"/>
      <w:bookmarkStart w:id="415" w:name="_Toc16678"/>
      <w:bookmarkStart w:id="416" w:name="_Toc8910"/>
      <w:r>
        <w:rPr>
          <w:rFonts w:hint="default" w:ascii="Times New Roman" w:hAnsi="Times New Roman" w:eastAsia="宋体" w:cs="Times New Roman"/>
          <w:b/>
          <w:bCs/>
          <w:color w:val="auto"/>
          <w:sz w:val="24"/>
          <w:szCs w:val="24"/>
          <w:u w:val="none" w:color="auto"/>
          <w:lang w:val="en-US" w:eastAsia="zh-CN"/>
        </w:rPr>
        <w:t>生态影响评价自查表</w:t>
      </w:r>
      <w:bookmarkEnd w:id="411"/>
      <w:bookmarkEnd w:id="412"/>
      <w:bookmarkEnd w:id="413"/>
      <w:bookmarkEnd w:id="414"/>
      <w:bookmarkEnd w:id="415"/>
      <w:bookmarkEnd w:id="416"/>
    </w:p>
    <w:tbl>
      <w:tblPr>
        <w:tblStyle w:val="25"/>
        <w:tblW w:w="899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091"/>
        <w:gridCol w:w="1491"/>
        <w:gridCol w:w="6410"/>
      </w:tblGrid>
      <w:tr w14:paraId="364E7E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14:paraId="0797A969">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工作内容</w:t>
            </w:r>
          </w:p>
        </w:tc>
        <w:tc>
          <w:tcPr>
            <w:tcW w:w="6410" w:type="dxa"/>
            <w:noWrap w:val="0"/>
            <w:vAlign w:val="center"/>
          </w:tcPr>
          <w:p w14:paraId="5B449BCC">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自查项目</w:t>
            </w:r>
          </w:p>
        </w:tc>
      </w:tr>
      <w:tr w14:paraId="18A23CB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tcBorders>
              <w:right w:val="single" w:color="auto" w:sz="4" w:space="0"/>
            </w:tcBorders>
            <w:noWrap w:val="0"/>
            <w:vAlign w:val="center"/>
          </w:tcPr>
          <w:p w14:paraId="51CC12E1">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生态影响识别</w:t>
            </w:r>
          </w:p>
        </w:tc>
        <w:tc>
          <w:tcPr>
            <w:tcW w:w="1491" w:type="dxa"/>
            <w:tcBorders>
              <w:left w:val="single" w:color="auto" w:sz="4" w:space="0"/>
            </w:tcBorders>
            <w:noWrap w:val="0"/>
            <w:vAlign w:val="center"/>
          </w:tcPr>
          <w:p w14:paraId="4C1506FF">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生态保护目标</w:t>
            </w:r>
          </w:p>
        </w:tc>
        <w:tc>
          <w:tcPr>
            <w:tcW w:w="6410" w:type="dxa"/>
            <w:noWrap w:val="0"/>
            <w:vAlign w:val="center"/>
          </w:tcPr>
          <w:p w14:paraId="6DE29948">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lang w:eastAsia="zh-CN"/>
              </w:rPr>
            </w:pPr>
            <w:r>
              <w:rPr>
                <w:rFonts w:ascii="Times New Roman" w:hAnsi="Times New Roman" w:eastAsia="宋体" w:cs="Times New Roman"/>
                <w:color w:val="auto"/>
                <w:sz w:val="21"/>
                <w:szCs w:val="21"/>
                <w:u w:val="none" w:color="auto"/>
              </w:rPr>
              <w:t>重要物种□；国家公园□；自然保护区</w:t>
            </w:r>
            <w:r>
              <w:rPr>
                <w:rFonts w:hint="eastAsia" w:eastAsia="宋体" w:cs="Times New Roman"/>
                <w:color w:val="auto"/>
                <w:sz w:val="21"/>
                <w:szCs w:val="21"/>
                <w:u w:val="none" w:color="auto"/>
                <w:lang w:eastAsia="zh-CN"/>
              </w:rPr>
              <w:t>☑</w:t>
            </w:r>
            <w:r>
              <w:rPr>
                <w:rFonts w:ascii="Times New Roman" w:hAnsi="Times New Roman" w:eastAsia="宋体" w:cs="Times New Roman"/>
                <w:color w:val="auto"/>
                <w:sz w:val="21"/>
                <w:szCs w:val="21"/>
                <w:u w:val="none" w:color="auto"/>
              </w:rPr>
              <w:t>；自然公园</w:t>
            </w:r>
            <w:r>
              <w:rPr>
                <w:rFonts w:ascii="Times New Roman" w:hAnsi="Times New Roman" w:eastAsia="宋体" w:cs="Times New Roman"/>
                <w:color w:val="auto"/>
                <w:sz w:val="21"/>
                <w:szCs w:val="21"/>
                <w:u w:val="none" w:color="auto"/>
              </w:rPr>
              <w:sym w:font="Wingdings 2" w:char="00A3"/>
            </w:r>
            <w:r>
              <w:rPr>
                <w:rFonts w:ascii="Times New Roman" w:hAnsi="Times New Roman" w:eastAsia="宋体" w:cs="Times New Roman"/>
                <w:color w:val="auto"/>
                <w:sz w:val="21"/>
                <w:szCs w:val="21"/>
                <w:u w:val="none" w:color="auto"/>
              </w:rPr>
              <w:t>；世界自然遗产□；生态保护红线□；重要生境□；其他具有重要生态功能、对保护生物多样性具有重要意义的区域□；其他</w:t>
            </w:r>
            <w:r>
              <w:rPr>
                <w:rFonts w:hint="eastAsia" w:eastAsia="宋体" w:cs="Times New Roman"/>
                <w:color w:val="auto"/>
                <w:sz w:val="21"/>
                <w:szCs w:val="21"/>
                <w:u w:val="none" w:color="auto"/>
                <w:lang w:eastAsia="zh-CN"/>
              </w:rPr>
              <w:t>□</w:t>
            </w:r>
          </w:p>
        </w:tc>
      </w:tr>
      <w:tr w14:paraId="3B58A9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14:paraId="71617E91">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p>
        </w:tc>
        <w:tc>
          <w:tcPr>
            <w:tcW w:w="1491" w:type="dxa"/>
            <w:tcBorders>
              <w:left w:val="single" w:color="auto" w:sz="4" w:space="0"/>
            </w:tcBorders>
            <w:noWrap w:val="0"/>
            <w:vAlign w:val="center"/>
          </w:tcPr>
          <w:p w14:paraId="46000DA6">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影响方式</w:t>
            </w:r>
          </w:p>
        </w:tc>
        <w:tc>
          <w:tcPr>
            <w:tcW w:w="6410" w:type="dxa"/>
            <w:noWrap w:val="0"/>
            <w:vAlign w:val="center"/>
          </w:tcPr>
          <w:p w14:paraId="3787CB10">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工程占用</w:t>
            </w:r>
            <w:r>
              <w:rPr>
                <w:rFonts w:ascii="Times New Roman" w:hAnsi="Times New Roman" w:eastAsia="宋体" w:cs="Times New Roman"/>
                <w:color w:val="auto"/>
                <w:sz w:val="21"/>
                <w:szCs w:val="21"/>
                <w:u w:val="none" w:color="auto"/>
              </w:rPr>
              <w:sym w:font="Wingdings 2" w:char="0052"/>
            </w:r>
            <w:r>
              <w:rPr>
                <w:rFonts w:ascii="Times New Roman" w:hAnsi="Times New Roman" w:eastAsia="宋体" w:cs="Times New Roman"/>
                <w:color w:val="auto"/>
                <w:sz w:val="21"/>
                <w:szCs w:val="21"/>
                <w:u w:val="none" w:color="auto"/>
              </w:rPr>
              <w:t>；施工活动干扰</w:t>
            </w:r>
            <w:r>
              <w:rPr>
                <w:rFonts w:ascii="Times New Roman" w:hAnsi="Times New Roman" w:eastAsia="宋体" w:cs="Times New Roman"/>
                <w:color w:val="auto"/>
                <w:sz w:val="21"/>
                <w:szCs w:val="21"/>
                <w:u w:val="none" w:color="auto"/>
              </w:rPr>
              <w:sym w:font="Wingdings 2" w:char="0052"/>
            </w:r>
            <w:r>
              <w:rPr>
                <w:rFonts w:ascii="Times New Roman" w:hAnsi="Times New Roman" w:eastAsia="宋体" w:cs="Times New Roman"/>
                <w:color w:val="auto"/>
                <w:sz w:val="21"/>
                <w:szCs w:val="21"/>
                <w:u w:val="none" w:color="auto"/>
              </w:rPr>
              <w:t>；改变环境条件□；其他□</w:t>
            </w:r>
          </w:p>
        </w:tc>
      </w:tr>
      <w:tr w14:paraId="4593C2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14:paraId="4F9B43A9">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p>
        </w:tc>
        <w:tc>
          <w:tcPr>
            <w:tcW w:w="1491" w:type="dxa"/>
            <w:tcBorders>
              <w:left w:val="single" w:color="auto" w:sz="4" w:space="0"/>
            </w:tcBorders>
            <w:noWrap w:val="0"/>
            <w:vAlign w:val="center"/>
          </w:tcPr>
          <w:p w14:paraId="48CCA965">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评价因子</w:t>
            </w:r>
          </w:p>
        </w:tc>
        <w:tc>
          <w:tcPr>
            <w:tcW w:w="6410" w:type="dxa"/>
            <w:noWrap w:val="0"/>
            <w:vAlign w:val="center"/>
          </w:tcPr>
          <w:p w14:paraId="79C4519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物种</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14:paraId="378E6F9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生境</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14:paraId="15C86F2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生物群落</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color="auto"/>
                <w:lang w:val="en-US" w:eastAsia="zh-CN" w:bidi="ar"/>
              </w:rPr>
              <w:t>物种组成、群落结构等</w:t>
            </w:r>
            <w:r>
              <w:rPr>
                <w:rFonts w:hint="default" w:ascii="Times New Roman" w:hAnsi="Times New Roman" w:eastAsia="宋体" w:cs="Times New Roman"/>
                <w:color w:val="auto"/>
                <w:kern w:val="0"/>
                <w:sz w:val="21"/>
                <w:szCs w:val="21"/>
                <w:u w:val="none" w:color="auto"/>
                <w:lang w:eastAsia="zh-CN"/>
              </w:rPr>
              <w:t>）</w:t>
            </w:r>
          </w:p>
          <w:p w14:paraId="4C60616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生态系统</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color="auto"/>
                <w:lang w:val="en-US" w:eastAsia="zh-CN" w:bidi="ar"/>
              </w:rPr>
              <w:t>植被覆盖度、生态系统功能、完整性</w:t>
            </w:r>
            <w:r>
              <w:rPr>
                <w:rFonts w:hint="eastAsia" w:ascii="Times New Roman" w:hAnsi="Times New Roman" w:eastAsia="宋体" w:cs="Times New Roman"/>
                <w:i w:val="0"/>
                <w:iCs w:val="0"/>
                <w:color w:val="auto"/>
                <w:kern w:val="0"/>
                <w:sz w:val="21"/>
                <w:szCs w:val="21"/>
                <w:u w:val="none" w:color="auto"/>
                <w:lang w:val="en-US" w:eastAsia="zh-CN" w:bidi="ar"/>
              </w:rPr>
              <w:t>等</w:t>
            </w:r>
            <w:r>
              <w:rPr>
                <w:rFonts w:hint="default" w:ascii="Times New Roman" w:hAnsi="Times New Roman" w:eastAsia="宋体" w:cs="Times New Roman"/>
                <w:color w:val="auto"/>
                <w:kern w:val="0"/>
                <w:sz w:val="21"/>
                <w:szCs w:val="21"/>
                <w:u w:val="none" w:color="auto"/>
                <w:lang w:eastAsia="zh-CN"/>
              </w:rPr>
              <w:t>）</w:t>
            </w:r>
          </w:p>
          <w:p w14:paraId="5075C9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生物多样性</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color="auto"/>
                <w:lang w:val="en-US" w:eastAsia="zh-CN" w:bidi="ar"/>
              </w:rPr>
              <w:t>物种丰富度、均匀度、优势度</w:t>
            </w:r>
            <w:r>
              <w:rPr>
                <w:rFonts w:hint="eastAsia" w:ascii="Times New Roman" w:hAnsi="Times New Roman" w:eastAsia="宋体" w:cs="Times New Roman"/>
                <w:i w:val="0"/>
                <w:iCs w:val="0"/>
                <w:color w:val="auto"/>
                <w:kern w:val="0"/>
                <w:sz w:val="21"/>
                <w:szCs w:val="21"/>
                <w:u w:val="none" w:color="auto"/>
                <w:lang w:val="en-US" w:eastAsia="zh-CN" w:bidi="ar"/>
              </w:rPr>
              <w:t>等</w:t>
            </w:r>
            <w:r>
              <w:rPr>
                <w:rFonts w:hint="default" w:ascii="Times New Roman" w:hAnsi="Times New Roman" w:eastAsia="宋体" w:cs="Times New Roman"/>
                <w:color w:val="auto"/>
                <w:kern w:val="0"/>
                <w:sz w:val="21"/>
                <w:szCs w:val="21"/>
                <w:u w:val="none" w:color="auto"/>
                <w:lang w:eastAsia="zh-CN"/>
              </w:rPr>
              <w:t>）</w:t>
            </w:r>
          </w:p>
          <w:p w14:paraId="5337ADB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生态敏感区</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14:paraId="45A8744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自然景观</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14:paraId="7A642DA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自然遗迹</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14:paraId="3CD58C34">
            <w:pPr>
              <w:adjustRightInd/>
              <w:snapToGrid/>
              <w:spacing w:line="240" w:lineRule="auto"/>
              <w:ind w:firstLine="0" w:firstLineChars="0"/>
              <w:jc w:val="both"/>
              <w:rPr>
                <w:rFonts w:ascii="Times New Roman" w:hAnsi="Times New Roman" w:eastAsia="宋体" w:cs="Times New Roman"/>
                <w:color w:val="auto"/>
                <w:sz w:val="21"/>
                <w:szCs w:val="21"/>
                <w:u w:val="none" w:color="auto"/>
              </w:rPr>
            </w:pPr>
            <w:r>
              <w:rPr>
                <w:rFonts w:hint="default" w:ascii="Times New Roman" w:hAnsi="Times New Roman" w:eastAsia="宋体" w:cs="Times New Roman"/>
                <w:color w:val="auto"/>
                <w:kern w:val="0"/>
                <w:sz w:val="21"/>
                <w:szCs w:val="21"/>
                <w:u w:val="none" w:color="auto"/>
                <w:lang w:eastAsia="zh-CN"/>
              </w:rPr>
              <w:t>其他</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tc>
      </w:tr>
      <w:tr w14:paraId="5AEE6C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14:paraId="41A776A3">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评价等级</w:t>
            </w:r>
          </w:p>
        </w:tc>
        <w:tc>
          <w:tcPr>
            <w:tcW w:w="6410" w:type="dxa"/>
            <w:noWrap w:val="0"/>
            <w:vAlign w:val="center"/>
          </w:tcPr>
          <w:p w14:paraId="7D65DDB9">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一级</w:t>
            </w:r>
            <w:r>
              <w:rPr>
                <w:rFonts w:hint="eastAsia"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 xml:space="preserve">   </w:t>
            </w:r>
            <w:r>
              <w:rPr>
                <w:rFonts w:ascii="Times New Roman" w:hAnsi="Times New Roman" w:eastAsia="宋体" w:cs="Times New Roman"/>
                <w:color w:val="auto"/>
                <w:sz w:val="21"/>
                <w:szCs w:val="21"/>
                <w:u w:val="none" w:color="auto"/>
              </w:rPr>
              <w:t>二级</w:t>
            </w:r>
            <w:r>
              <w:rPr>
                <w:rFonts w:ascii="Times New Roman" w:hAnsi="Times New Roman" w:eastAsia="宋体" w:cs="Times New Roman"/>
                <w:color w:val="auto"/>
                <w:sz w:val="21"/>
                <w:szCs w:val="21"/>
                <w:u w:val="none" w:color="auto"/>
              </w:rPr>
              <w:sym w:font="Wingdings 2" w:char="00A3"/>
            </w:r>
            <w:r>
              <w:rPr>
                <w:rFonts w:ascii="Times New Roman" w:hAnsi="Times New Roman" w:eastAsia="宋体" w:cs="Times New Roman"/>
                <w:color w:val="auto"/>
                <w:sz w:val="21"/>
                <w:szCs w:val="21"/>
                <w:u w:val="none" w:color="auto"/>
              </w:rPr>
              <w:t></w:t>
            </w:r>
            <w:r>
              <w:rPr>
                <w:rFonts w:hint="eastAsia" w:ascii="Times New Roman" w:hAnsi="Times New Roman" w:eastAsia="宋体" w:cs="Times New Roman"/>
                <w:color w:val="auto"/>
                <w:sz w:val="21"/>
                <w:szCs w:val="21"/>
                <w:u w:val="none" w:color="auto"/>
              </w:rPr>
              <w:t xml:space="preserve"> </w:t>
            </w:r>
            <w:r>
              <w:rPr>
                <w:rFonts w:ascii="Times New Roman" w:hAnsi="Times New Roman" w:eastAsia="宋体" w:cs="Times New Roman"/>
                <w:color w:val="auto"/>
                <w:sz w:val="21"/>
                <w:szCs w:val="21"/>
                <w:u w:val="none" w:color="auto"/>
              </w:rPr>
              <w:t>三级</w:t>
            </w:r>
            <w:r>
              <w:rPr>
                <w:rFonts w:hint="eastAsia"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 xml:space="preserve">  </w:t>
            </w:r>
            <w:r>
              <w:rPr>
                <w:rFonts w:ascii="Times New Roman" w:hAnsi="Times New Roman" w:eastAsia="宋体" w:cs="Times New Roman"/>
                <w:color w:val="auto"/>
                <w:sz w:val="21"/>
                <w:szCs w:val="21"/>
                <w:u w:val="none" w:color="auto"/>
              </w:rPr>
              <w:t>生态影响简单分析</w:t>
            </w:r>
            <w:r>
              <w:rPr>
                <w:rFonts w:ascii="Times New Roman" w:hAnsi="Times New Roman" w:eastAsia="宋体" w:cs="Times New Roman"/>
                <w:color w:val="auto"/>
                <w:sz w:val="21"/>
                <w:szCs w:val="21"/>
                <w:u w:val="none" w:color="auto"/>
              </w:rPr>
              <w:sym w:font="Wingdings 2" w:char="00A3"/>
            </w:r>
          </w:p>
        </w:tc>
      </w:tr>
      <w:tr w14:paraId="7F5B61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14:paraId="49BBA1BA">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评价范围</w:t>
            </w:r>
          </w:p>
        </w:tc>
        <w:tc>
          <w:tcPr>
            <w:tcW w:w="6410" w:type="dxa"/>
            <w:noWrap w:val="0"/>
            <w:vAlign w:val="center"/>
          </w:tcPr>
          <w:p w14:paraId="78FBB6D7">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陆域面积：（</w:t>
            </w:r>
            <w:r>
              <w:rPr>
                <w:rFonts w:hint="eastAsia"/>
                <w:bCs/>
                <w:color w:val="auto"/>
                <w:sz w:val="24"/>
                <w:szCs w:val="21"/>
                <w:u w:val="none" w:color="auto"/>
                <w:lang w:val="en-US" w:eastAsia="zh-CN"/>
              </w:rPr>
              <w:t>5.767298</w:t>
            </w:r>
            <w:r>
              <w:rPr>
                <w:rFonts w:ascii="Times New Roman" w:hAnsi="Times New Roman" w:eastAsia="宋体" w:cs="Times New Roman"/>
                <w:color w:val="auto"/>
                <w:sz w:val="21"/>
                <w:szCs w:val="21"/>
                <w:u w:val="none" w:color="auto"/>
              </w:rPr>
              <w:t>）km</w:t>
            </w:r>
            <w:r>
              <w:rPr>
                <w:rFonts w:ascii="Times New Roman" w:hAnsi="Times New Roman" w:eastAsia="宋体" w:cs="Times New Roman"/>
                <w:color w:val="auto"/>
                <w:sz w:val="21"/>
                <w:szCs w:val="21"/>
                <w:u w:val="none" w:color="auto"/>
                <w:vertAlign w:val="superscript"/>
              </w:rPr>
              <w:t>2</w:t>
            </w:r>
            <w:r>
              <w:rPr>
                <w:rFonts w:ascii="Times New Roman" w:hAnsi="Times New Roman" w:eastAsia="宋体" w:cs="Times New Roman"/>
                <w:color w:val="auto"/>
                <w:sz w:val="21"/>
                <w:szCs w:val="21"/>
                <w:u w:val="none" w:color="auto"/>
              </w:rPr>
              <w:t>；水域面积：（）km</w:t>
            </w:r>
            <w:r>
              <w:rPr>
                <w:rFonts w:ascii="Times New Roman" w:hAnsi="Times New Roman" w:eastAsia="宋体" w:cs="Times New Roman"/>
                <w:color w:val="auto"/>
                <w:sz w:val="21"/>
                <w:szCs w:val="21"/>
                <w:u w:val="none" w:color="auto"/>
                <w:vertAlign w:val="superscript"/>
              </w:rPr>
              <w:t>2</w:t>
            </w:r>
          </w:p>
        </w:tc>
      </w:tr>
      <w:tr w14:paraId="696E7D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14:paraId="23B3031B">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w:t>
            </w:r>
            <w:r>
              <w:rPr>
                <w:rFonts w:ascii="Times New Roman" w:hAnsi="Times New Roman" w:eastAsia="宋体" w:cs="Times New Roman"/>
                <w:color w:val="auto"/>
                <w:sz w:val="21"/>
                <w:szCs w:val="21"/>
                <w:u w:val="none" w:color="auto"/>
              </w:rPr>
              <w:t>现状</w:t>
            </w:r>
            <w:r>
              <w:rPr>
                <w:rFonts w:hint="eastAsia" w:ascii="Times New Roman" w:hAnsi="Times New Roman" w:eastAsia="宋体" w:cs="Times New Roman"/>
                <w:color w:val="auto"/>
                <w:sz w:val="21"/>
                <w:szCs w:val="21"/>
                <w:u w:val="none" w:color="auto"/>
              </w:rPr>
              <w:t>调查与</w:t>
            </w:r>
            <w:r>
              <w:rPr>
                <w:rFonts w:ascii="Times New Roman" w:hAnsi="Times New Roman" w:eastAsia="宋体" w:cs="Times New Roman"/>
                <w:color w:val="auto"/>
                <w:sz w:val="21"/>
                <w:szCs w:val="21"/>
                <w:u w:val="none" w:color="auto"/>
              </w:rPr>
              <w:t>评价</w:t>
            </w:r>
          </w:p>
        </w:tc>
        <w:tc>
          <w:tcPr>
            <w:tcW w:w="1491" w:type="dxa"/>
            <w:noWrap w:val="0"/>
            <w:vAlign w:val="center"/>
          </w:tcPr>
          <w:p w14:paraId="5B00460B">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调查方法</w:t>
            </w:r>
          </w:p>
        </w:tc>
        <w:tc>
          <w:tcPr>
            <w:tcW w:w="6410" w:type="dxa"/>
            <w:noWrap w:val="0"/>
            <w:vAlign w:val="center"/>
          </w:tcPr>
          <w:p w14:paraId="3E3065B8">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lang w:eastAsia="zh-CN"/>
              </w:rPr>
            </w:pPr>
            <w:r>
              <w:rPr>
                <w:rFonts w:ascii="Times New Roman" w:hAnsi="Times New Roman" w:eastAsia="宋体" w:cs="Times New Roman"/>
                <w:color w:val="auto"/>
                <w:sz w:val="21"/>
                <w:szCs w:val="21"/>
                <w:u w:val="none" w:color="auto"/>
              </w:rPr>
              <w:t>资料收集</w:t>
            </w:r>
            <w:r>
              <w:rPr>
                <w:rFonts w:hint="eastAsia" w:ascii="Times New Roman" w:hAnsi="Times New Roman" w:eastAsia="宋体" w:cs="Times New Roman"/>
                <w:color w:val="auto"/>
                <w:sz w:val="21"/>
                <w:szCs w:val="21"/>
                <w:u w:val="none" w:color="auto"/>
              </w:rPr>
              <w:sym w:font="Wingdings 2" w:char="0052"/>
            </w:r>
            <w:r>
              <w:rPr>
                <w:rFonts w:ascii="Times New Roman" w:hAnsi="Times New Roman" w:eastAsia="宋体" w:cs="Times New Roman"/>
                <w:color w:val="auto"/>
                <w:sz w:val="21"/>
                <w:szCs w:val="21"/>
                <w:u w:val="none" w:color="auto"/>
              </w:rPr>
              <w:t>；遥感调查</w:t>
            </w:r>
            <w:r>
              <w:rPr>
                <w:rFonts w:ascii="Times New Roman" w:hAnsi="Times New Roman" w:eastAsia="宋体" w:cs="Times New Roman"/>
                <w:color w:val="auto"/>
                <w:sz w:val="21"/>
                <w:szCs w:val="21"/>
                <w:u w:val="none" w:color="auto"/>
              </w:rPr>
              <w:sym w:font="Wingdings 2" w:char="00A3"/>
            </w:r>
            <w:r>
              <w:rPr>
                <w:rFonts w:ascii="Times New Roman" w:hAnsi="Times New Roman" w:eastAsia="宋体" w:cs="Times New Roman"/>
                <w:color w:val="auto"/>
                <w:sz w:val="21"/>
                <w:szCs w:val="21"/>
                <w:u w:val="none" w:color="auto"/>
              </w:rPr>
              <w:t>；调查样方、样线</w:t>
            </w:r>
            <w:r>
              <w:rPr>
                <w:rFonts w:ascii="Times New Roman" w:hAnsi="Times New Roman" w:eastAsia="宋体" w:cs="Times New Roman"/>
                <w:color w:val="auto"/>
                <w:sz w:val="21"/>
                <w:szCs w:val="21"/>
                <w:u w:val="none" w:color="auto"/>
              </w:rPr>
              <w:sym w:font="Wingdings 2" w:char="0052"/>
            </w:r>
            <w:r>
              <w:rPr>
                <w:rFonts w:ascii="Times New Roman" w:hAnsi="Times New Roman" w:eastAsia="宋体" w:cs="Times New Roman"/>
                <w:color w:val="auto"/>
                <w:sz w:val="21"/>
                <w:szCs w:val="21"/>
                <w:u w:val="none" w:color="auto"/>
              </w:rPr>
              <w:t>；调查点位、断面□；专家和公众咨询法</w:t>
            </w:r>
            <w:r>
              <w:rPr>
                <w:rFonts w:hint="eastAsia" w:ascii="Times New Roman" w:hAnsi="Times New Roman" w:eastAsia="宋体" w:cs="Times New Roman"/>
                <w:color w:val="auto"/>
                <w:sz w:val="21"/>
                <w:szCs w:val="21"/>
                <w:u w:val="none" w:color="auto"/>
              </w:rPr>
              <w:t>☑</w:t>
            </w:r>
            <w:r>
              <w:rPr>
                <w:rFonts w:ascii="Times New Roman" w:hAnsi="Times New Roman" w:eastAsia="宋体" w:cs="Times New Roman"/>
                <w:color w:val="auto"/>
                <w:sz w:val="21"/>
                <w:szCs w:val="21"/>
                <w:u w:val="none" w:color="auto"/>
              </w:rPr>
              <w:t>；其他</w:t>
            </w:r>
            <w:r>
              <w:rPr>
                <w:rFonts w:hint="eastAsia" w:ascii="Times New Roman" w:hAnsi="Times New Roman" w:eastAsia="宋体" w:cs="Times New Roman"/>
                <w:color w:val="auto"/>
                <w:sz w:val="21"/>
                <w:szCs w:val="21"/>
                <w:u w:val="none" w:color="auto"/>
                <w:lang w:eastAsia="zh-CN"/>
              </w:rPr>
              <w:t>□</w:t>
            </w:r>
          </w:p>
        </w:tc>
      </w:tr>
      <w:tr w14:paraId="7A466D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14:paraId="03771223">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p>
        </w:tc>
        <w:tc>
          <w:tcPr>
            <w:tcW w:w="1491" w:type="dxa"/>
            <w:noWrap w:val="0"/>
            <w:vAlign w:val="center"/>
          </w:tcPr>
          <w:p w14:paraId="3116D74B">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调查时间</w:t>
            </w:r>
          </w:p>
        </w:tc>
        <w:tc>
          <w:tcPr>
            <w:tcW w:w="6410" w:type="dxa"/>
            <w:noWrap w:val="0"/>
            <w:vAlign w:val="center"/>
          </w:tcPr>
          <w:p w14:paraId="65AC7AD4">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lang w:eastAsia="zh-CN"/>
              </w:rPr>
            </w:pPr>
            <w:r>
              <w:rPr>
                <w:rFonts w:ascii="Times New Roman" w:hAnsi="Times New Roman" w:eastAsia="宋体" w:cs="Times New Roman"/>
                <w:color w:val="auto"/>
                <w:sz w:val="21"/>
                <w:szCs w:val="21"/>
                <w:u w:val="none" w:color="auto"/>
              </w:rPr>
              <w:t>春季</w:t>
            </w:r>
            <w:r>
              <w:rPr>
                <w:rFonts w:hint="eastAsia" w:eastAsia="宋体" w:cs="Times New Roman"/>
                <w:color w:val="auto"/>
                <w:sz w:val="21"/>
                <w:szCs w:val="21"/>
                <w:u w:val="none" w:color="auto"/>
                <w:lang w:eastAsia="zh-CN"/>
              </w:rPr>
              <w:t>☑</w:t>
            </w:r>
            <w:r>
              <w:rPr>
                <w:rFonts w:ascii="Times New Roman" w:hAnsi="Times New Roman" w:eastAsia="宋体" w:cs="Times New Roman"/>
                <w:color w:val="auto"/>
                <w:sz w:val="21"/>
                <w:szCs w:val="21"/>
                <w:u w:val="none" w:color="auto"/>
              </w:rPr>
              <w:t>；夏季</w:t>
            </w:r>
            <w:r>
              <w:rPr>
                <w:rFonts w:ascii="Times New Roman" w:hAnsi="Times New Roman" w:eastAsia="宋体" w:cs="Times New Roman"/>
                <w:color w:val="auto"/>
                <w:sz w:val="21"/>
                <w:szCs w:val="21"/>
                <w:u w:val="none" w:color="auto"/>
              </w:rPr>
              <w:sym w:font="Wingdings 2" w:char="00A3"/>
            </w:r>
            <w:r>
              <w:rPr>
                <w:rFonts w:ascii="Times New Roman" w:hAnsi="Times New Roman" w:eastAsia="宋体" w:cs="Times New Roman"/>
                <w:color w:val="auto"/>
                <w:sz w:val="21"/>
                <w:szCs w:val="21"/>
                <w:u w:val="none" w:color="auto"/>
              </w:rPr>
              <w:t>；秋季</w:t>
            </w:r>
            <w:r>
              <w:rPr>
                <w:rFonts w:hint="eastAsia" w:eastAsia="宋体" w:cs="Times New Roman"/>
                <w:color w:val="auto"/>
                <w:sz w:val="21"/>
                <w:szCs w:val="21"/>
                <w:u w:val="none" w:color="auto"/>
                <w:lang w:eastAsia="zh-CN"/>
              </w:rPr>
              <w:t>□</w:t>
            </w:r>
            <w:r>
              <w:rPr>
                <w:rFonts w:ascii="Times New Roman" w:hAnsi="Times New Roman" w:eastAsia="宋体" w:cs="Times New Roman"/>
                <w:color w:val="auto"/>
                <w:sz w:val="21"/>
                <w:szCs w:val="21"/>
                <w:u w:val="none" w:color="auto"/>
              </w:rPr>
              <w:t>；冬季</w:t>
            </w:r>
            <w:r>
              <w:rPr>
                <w:rFonts w:hint="eastAsia" w:ascii="Times New Roman" w:hAnsi="Times New Roman" w:eastAsia="宋体" w:cs="Times New Roman"/>
                <w:color w:val="auto"/>
                <w:sz w:val="21"/>
                <w:szCs w:val="21"/>
                <w:u w:val="none" w:color="auto"/>
                <w:lang w:eastAsia="zh-CN"/>
              </w:rPr>
              <w:t>□</w:t>
            </w:r>
          </w:p>
          <w:p w14:paraId="2814D749">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丰水期</w:t>
            </w:r>
            <w:r>
              <w:rPr>
                <w:rFonts w:ascii="Times New Roman" w:hAnsi="Times New Roman" w:eastAsia="宋体" w:cs="Times New Roman"/>
                <w:color w:val="auto"/>
                <w:sz w:val="21"/>
                <w:szCs w:val="21"/>
                <w:u w:val="none" w:color="auto"/>
              </w:rPr>
              <w:sym w:font="Wingdings 2" w:char="0052"/>
            </w:r>
            <w:r>
              <w:rPr>
                <w:rFonts w:ascii="Times New Roman" w:hAnsi="Times New Roman" w:eastAsia="宋体" w:cs="Times New Roman"/>
                <w:color w:val="auto"/>
                <w:sz w:val="21"/>
                <w:szCs w:val="21"/>
                <w:u w:val="none" w:color="auto"/>
              </w:rPr>
              <w:t>；枯水期□；平水期□</w:t>
            </w:r>
          </w:p>
        </w:tc>
      </w:tr>
      <w:tr w14:paraId="552CAD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14:paraId="1545BFA2">
            <w:pPr>
              <w:adjustRightInd/>
              <w:snapToGrid/>
              <w:spacing w:line="240" w:lineRule="auto"/>
              <w:ind w:firstLine="0" w:firstLineChars="0"/>
              <w:jc w:val="center"/>
              <w:rPr>
                <w:rFonts w:ascii="Times New Roman" w:hAnsi="Times New Roman" w:eastAsia="宋体" w:cs="Times New Roman"/>
                <w:color w:val="auto"/>
                <w:sz w:val="21"/>
                <w:szCs w:val="21"/>
                <w:u w:val="none" w:color="auto"/>
              </w:rPr>
            </w:pPr>
          </w:p>
        </w:tc>
        <w:tc>
          <w:tcPr>
            <w:tcW w:w="1491" w:type="dxa"/>
            <w:noWrap w:val="0"/>
            <w:vAlign w:val="center"/>
          </w:tcPr>
          <w:p w14:paraId="146F80F2">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所在区域的生态问题</w:t>
            </w:r>
          </w:p>
        </w:tc>
        <w:tc>
          <w:tcPr>
            <w:tcW w:w="6410" w:type="dxa"/>
            <w:noWrap w:val="0"/>
            <w:vAlign w:val="center"/>
          </w:tcPr>
          <w:p w14:paraId="12C6FF53">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ascii="Times New Roman" w:hAnsi="Times New Roman" w:eastAsia="宋体" w:cs="Times New Roman"/>
                <w:color w:val="auto"/>
                <w:sz w:val="21"/>
                <w:szCs w:val="21"/>
                <w:u w:val="none" w:color="auto"/>
              </w:rPr>
              <w:t>水土流失</w:t>
            </w:r>
            <w:r>
              <w:rPr>
                <w:rFonts w:ascii="Times New Roman" w:hAnsi="Times New Roman" w:eastAsia="宋体" w:cs="Times New Roman"/>
                <w:color w:val="auto"/>
                <w:sz w:val="21"/>
                <w:szCs w:val="21"/>
                <w:u w:val="none" w:color="auto"/>
              </w:rPr>
              <w:sym w:font="Wingdings 2" w:char="00A3"/>
            </w:r>
            <w:r>
              <w:rPr>
                <w:rFonts w:ascii="Times New Roman" w:hAnsi="Times New Roman" w:eastAsia="宋体" w:cs="Times New Roman"/>
                <w:color w:val="auto"/>
                <w:sz w:val="21"/>
                <w:szCs w:val="21"/>
                <w:u w:val="none" w:color="auto"/>
              </w:rPr>
              <w:t>；沙漠化□；石漠化□；盐渍化□；生物入侵</w:t>
            </w:r>
            <w:r>
              <w:rPr>
                <w:rFonts w:hint="eastAsia" w:eastAsia="宋体" w:cs="Times New Roman"/>
                <w:color w:val="auto"/>
                <w:sz w:val="21"/>
                <w:szCs w:val="21"/>
                <w:u w:val="none" w:color="auto"/>
                <w:lang w:eastAsia="zh-CN"/>
              </w:rPr>
              <w:t>□</w:t>
            </w:r>
            <w:r>
              <w:rPr>
                <w:rFonts w:ascii="Times New Roman" w:hAnsi="Times New Roman" w:eastAsia="宋体" w:cs="Times New Roman"/>
                <w:color w:val="auto"/>
                <w:sz w:val="21"/>
                <w:szCs w:val="21"/>
                <w:u w:val="none" w:color="auto"/>
              </w:rPr>
              <w:t>；污染危害□；其他</w:t>
            </w:r>
            <w:r>
              <w:rPr>
                <w:rFonts w:ascii="Times New Roman" w:hAnsi="Times New Roman" w:eastAsia="宋体" w:cs="Times New Roman"/>
                <w:color w:val="auto"/>
                <w:sz w:val="21"/>
                <w:szCs w:val="21"/>
                <w:u w:val="none" w:color="auto"/>
              </w:rPr>
              <w:sym w:font="Wingdings 2" w:char="0052"/>
            </w:r>
          </w:p>
        </w:tc>
      </w:tr>
      <w:tr w14:paraId="35E0BB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14:paraId="53F11235">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p>
        </w:tc>
        <w:tc>
          <w:tcPr>
            <w:tcW w:w="1491" w:type="dxa"/>
            <w:noWrap w:val="0"/>
            <w:vAlign w:val="center"/>
          </w:tcPr>
          <w:p w14:paraId="2765FE85">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评价内容</w:t>
            </w:r>
          </w:p>
        </w:tc>
        <w:tc>
          <w:tcPr>
            <w:tcW w:w="6410" w:type="dxa"/>
            <w:noWrap w:val="0"/>
            <w:vAlign w:val="center"/>
          </w:tcPr>
          <w:p w14:paraId="2AF312D9">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植被/植物群落</w:t>
            </w:r>
            <w:r>
              <w:rPr>
                <w:rFonts w:hint="eastAsia" w:ascii="Times New Roman" w:hAnsi="Times New Roman" w:eastAsia="宋体"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；土地利用</w:t>
            </w:r>
            <w:r>
              <w:rPr>
                <w:rFonts w:hint="eastAsia" w:ascii="Times New Roman" w:hAnsi="Times New Roman" w:eastAsia="宋体"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；生态系统</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；生物多样性</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；重要物种□；生态敏感区□；其他</w:t>
            </w:r>
            <w:r>
              <w:rPr>
                <w:rFonts w:hint="eastAsia" w:ascii="Times New Roman" w:hAnsi="Times New Roman" w:eastAsia="宋体" w:cs="Times New Roman"/>
                <w:color w:val="auto"/>
                <w:sz w:val="21"/>
                <w:szCs w:val="21"/>
                <w:u w:val="none" w:color="auto"/>
              </w:rPr>
              <w:sym w:font="Wingdings 2" w:char="0052"/>
            </w:r>
          </w:p>
        </w:tc>
      </w:tr>
      <w:tr w14:paraId="057B01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14:paraId="1D0B8551">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生态影响预测与评价</w:t>
            </w:r>
          </w:p>
        </w:tc>
        <w:tc>
          <w:tcPr>
            <w:tcW w:w="1491" w:type="dxa"/>
            <w:noWrap w:val="0"/>
            <w:vAlign w:val="center"/>
          </w:tcPr>
          <w:p w14:paraId="7F0EBC4A">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评价方法</w:t>
            </w:r>
          </w:p>
        </w:tc>
        <w:tc>
          <w:tcPr>
            <w:tcW w:w="6410" w:type="dxa"/>
            <w:noWrap w:val="0"/>
            <w:vAlign w:val="center"/>
          </w:tcPr>
          <w:p w14:paraId="3378EA6C">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定性</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；定性和定量</w:t>
            </w:r>
            <w:r>
              <w:rPr>
                <w:rFonts w:hint="eastAsia" w:ascii="Times New Roman" w:hAnsi="Times New Roman" w:eastAsia="宋体" w:cs="Times New Roman"/>
                <w:color w:val="auto"/>
                <w:sz w:val="21"/>
                <w:szCs w:val="21"/>
                <w:u w:val="none" w:color="auto"/>
              </w:rPr>
              <w:sym w:font="Wingdings 2" w:char="00A3"/>
            </w:r>
          </w:p>
        </w:tc>
      </w:tr>
      <w:tr w14:paraId="4F89C6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ign w:val="bottom"/>
          </w:tcPr>
          <w:p w14:paraId="16F41353">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p>
        </w:tc>
        <w:tc>
          <w:tcPr>
            <w:tcW w:w="1491" w:type="dxa"/>
            <w:noWrap w:val="0"/>
            <w:vAlign w:val="center"/>
          </w:tcPr>
          <w:p w14:paraId="6009BA5E">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评价内容</w:t>
            </w:r>
          </w:p>
        </w:tc>
        <w:tc>
          <w:tcPr>
            <w:tcW w:w="6410" w:type="dxa"/>
            <w:noWrap w:val="0"/>
            <w:vAlign w:val="center"/>
          </w:tcPr>
          <w:p w14:paraId="3CFB2189">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植被/植物群落</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；土地利用</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；生态系统</w:t>
            </w:r>
            <w:r>
              <w:rPr>
                <w:rFonts w:hint="eastAsia" w:ascii="Times New Roman" w:hAnsi="Times New Roman" w:eastAsia="宋体" w:cs="Times New Roman"/>
                <w:color w:val="auto"/>
                <w:sz w:val="21"/>
                <w:szCs w:val="21"/>
                <w:u w:val="none" w:color="auto"/>
              </w:rPr>
              <w:sym w:font="Wingdings 2" w:char="00A3"/>
            </w:r>
            <w:r>
              <w:rPr>
                <w:rFonts w:hint="eastAsia" w:ascii="Times New Roman" w:hAnsi="Times New Roman" w:eastAsia="宋体" w:cs="Times New Roman"/>
                <w:color w:val="auto"/>
                <w:sz w:val="21"/>
                <w:szCs w:val="21"/>
                <w:u w:val="none" w:color="auto"/>
              </w:rPr>
              <w:t>；生物多样性</w:t>
            </w:r>
            <w:r>
              <w:rPr>
                <w:rFonts w:hint="eastAsia" w:ascii="Times New Roman" w:hAnsi="Times New Roman" w:eastAsia="宋体" w:cs="Times New Roman"/>
                <w:color w:val="auto"/>
                <w:sz w:val="21"/>
                <w:szCs w:val="21"/>
                <w:u w:val="none" w:color="auto"/>
              </w:rPr>
              <w:sym w:font="Wingdings 2" w:char="00A3"/>
            </w:r>
            <w:r>
              <w:rPr>
                <w:rFonts w:hint="eastAsia" w:ascii="Times New Roman" w:hAnsi="Times New Roman" w:eastAsia="宋体" w:cs="Times New Roman"/>
                <w:color w:val="auto"/>
                <w:sz w:val="21"/>
                <w:szCs w:val="21"/>
                <w:u w:val="none" w:color="auto"/>
              </w:rPr>
              <w:t>；重要物种</w:t>
            </w:r>
            <w:r>
              <w:rPr>
                <w:rFonts w:hint="eastAsia" w:ascii="Times New Roman" w:hAnsi="Times New Roman" w:eastAsia="宋体"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；生态敏感区</w:t>
            </w:r>
            <w:r>
              <w:rPr>
                <w:rFonts w:hint="eastAsia" w:ascii="Times New Roman" w:hAnsi="Times New Roman" w:eastAsia="宋体"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rPr>
              <w:t>；生物入侵风险□；其他</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w:t>
            </w:r>
          </w:p>
        </w:tc>
      </w:tr>
      <w:tr w14:paraId="740AB0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14:paraId="5E163F84">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生态保护对策措施</w:t>
            </w:r>
          </w:p>
        </w:tc>
        <w:tc>
          <w:tcPr>
            <w:tcW w:w="1491" w:type="dxa"/>
            <w:noWrap w:val="0"/>
            <w:vAlign w:val="center"/>
          </w:tcPr>
          <w:p w14:paraId="3EC721AD">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对策措施</w:t>
            </w:r>
          </w:p>
        </w:tc>
        <w:tc>
          <w:tcPr>
            <w:tcW w:w="6410" w:type="dxa"/>
            <w:noWrap w:val="0"/>
            <w:vAlign w:val="center"/>
          </w:tcPr>
          <w:p w14:paraId="01B577A2">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避让□；减缓</w:t>
            </w:r>
            <w:r>
              <w:rPr>
                <w:rFonts w:hint="eastAsia" w:ascii="Times New Roman" w:hAnsi="Times New Roman" w:eastAsia="宋体" w:cs="Times New Roman"/>
                <w:color w:val="auto"/>
                <w:sz w:val="21"/>
                <w:szCs w:val="21"/>
                <w:u w:val="none" w:color="auto"/>
              </w:rPr>
              <w:sym w:font="Wingdings 2" w:char="00A3"/>
            </w:r>
            <w:r>
              <w:rPr>
                <w:rFonts w:hint="eastAsia" w:ascii="Times New Roman" w:hAnsi="Times New Roman" w:eastAsia="宋体" w:cs="Times New Roman"/>
                <w:color w:val="auto"/>
                <w:sz w:val="21"/>
                <w:szCs w:val="21"/>
                <w:u w:val="none" w:color="auto"/>
              </w:rPr>
              <w:t>；生态修复</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；生态补偿☑；科研□；其他</w:t>
            </w:r>
            <w:r>
              <w:rPr>
                <w:rFonts w:hint="eastAsia" w:ascii="Times New Roman" w:hAnsi="Times New Roman" w:eastAsia="宋体" w:cs="Times New Roman"/>
                <w:color w:val="auto"/>
                <w:sz w:val="21"/>
                <w:szCs w:val="21"/>
                <w:u w:val="none" w:color="auto"/>
              </w:rPr>
              <w:sym w:font="Wingdings 2" w:char="0052"/>
            </w:r>
          </w:p>
        </w:tc>
      </w:tr>
      <w:tr w14:paraId="6056A4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14:paraId="26D4A941">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p>
        </w:tc>
        <w:tc>
          <w:tcPr>
            <w:tcW w:w="1491" w:type="dxa"/>
            <w:noWrap w:val="0"/>
            <w:vAlign w:val="center"/>
          </w:tcPr>
          <w:p w14:paraId="186BDAE2">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生态监测计划</w:t>
            </w:r>
          </w:p>
        </w:tc>
        <w:tc>
          <w:tcPr>
            <w:tcW w:w="6410" w:type="dxa"/>
            <w:noWrap w:val="0"/>
            <w:vAlign w:val="center"/>
          </w:tcPr>
          <w:p w14:paraId="5B16149F">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全生命周期□；长期跟踪□；常规□；无</w:t>
            </w:r>
            <w:r>
              <w:rPr>
                <w:rFonts w:hint="eastAsia" w:ascii="Times New Roman" w:hAnsi="Times New Roman" w:eastAsia="宋体" w:cs="Times New Roman"/>
                <w:color w:val="auto"/>
                <w:sz w:val="21"/>
                <w:szCs w:val="21"/>
                <w:u w:val="none" w:color="auto"/>
              </w:rPr>
              <w:sym w:font="Wingdings 2" w:char="0052"/>
            </w:r>
          </w:p>
        </w:tc>
      </w:tr>
      <w:tr w14:paraId="657915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14:paraId="6A50A9E3">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p>
        </w:tc>
        <w:tc>
          <w:tcPr>
            <w:tcW w:w="1491" w:type="dxa"/>
            <w:noWrap w:val="0"/>
            <w:vAlign w:val="center"/>
          </w:tcPr>
          <w:p w14:paraId="6C886090">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环境管理</w:t>
            </w:r>
          </w:p>
        </w:tc>
        <w:tc>
          <w:tcPr>
            <w:tcW w:w="6410" w:type="dxa"/>
            <w:noWrap w:val="0"/>
            <w:vAlign w:val="center"/>
          </w:tcPr>
          <w:p w14:paraId="5F8C8B80">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环境监理</w:t>
            </w:r>
            <w:r>
              <w:rPr>
                <w:rFonts w:hint="eastAsia" w:ascii="Times New Roman" w:hAnsi="Times New Roman" w:eastAsia="宋体" w:cs="Times New Roman"/>
                <w:color w:val="auto"/>
                <w:sz w:val="21"/>
                <w:szCs w:val="21"/>
                <w:u w:val="none" w:color="auto"/>
              </w:rPr>
              <w:sym w:font="Wingdings 2" w:char="00A3"/>
            </w:r>
            <w:r>
              <w:rPr>
                <w:rFonts w:hint="eastAsia" w:ascii="Times New Roman" w:hAnsi="Times New Roman" w:eastAsia="宋体" w:cs="Times New Roman"/>
                <w:color w:val="auto"/>
                <w:sz w:val="21"/>
                <w:szCs w:val="21"/>
                <w:u w:val="none" w:color="auto"/>
              </w:rPr>
              <w:t>；环境影响后评价□；其他</w:t>
            </w:r>
            <w:r>
              <w:rPr>
                <w:rFonts w:hint="eastAsia" w:ascii="Times New Roman" w:hAnsi="Times New Roman" w:eastAsia="宋体" w:cs="Times New Roman"/>
                <w:color w:val="auto"/>
                <w:sz w:val="21"/>
                <w:szCs w:val="21"/>
                <w:u w:val="none" w:color="auto"/>
              </w:rPr>
              <w:sym w:font="Wingdings 2" w:char="0052"/>
            </w:r>
          </w:p>
        </w:tc>
      </w:tr>
      <w:tr w14:paraId="73A47DF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noWrap w:val="0"/>
            <w:vAlign w:val="center"/>
          </w:tcPr>
          <w:p w14:paraId="057EC14F">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评价结论</w:t>
            </w:r>
          </w:p>
        </w:tc>
        <w:tc>
          <w:tcPr>
            <w:tcW w:w="1491" w:type="dxa"/>
            <w:noWrap w:val="0"/>
            <w:vAlign w:val="center"/>
          </w:tcPr>
          <w:p w14:paraId="74B4586F">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生态影响</w:t>
            </w:r>
          </w:p>
        </w:tc>
        <w:tc>
          <w:tcPr>
            <w:tcW w:w="6410" w:type="dxa"/>
            <w:noWrap w:val="0"/>
            <w:vAlign w:val="center"/>
          </w:tcPr>
          <w:p w14:paraId="0023AFCC">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 xml:space="preserve">可行 </w:t>
            </w:r>
            <w:r>
              <w:rPr>
                <w:rFonts w:hint="eastAsia" w:ascii="Times New Roman" w:hAnsi="Times New Roman" w:eastAsia="宋体" w:cs="Times New Roman"/>
                <w:color w:val="auto"/>
                <w:sz w:val="21"/>
                <w:szCs w:val="21"/>
                <w:u w:val="none" w:color="auto"/>
              </w:rPr>
              <w:sym w:font="Wingdings 2" w:char="0052"/>
            </w:r>
            <w:r>
              <w:rPr>
                <w:rFonts w:hint="eastAsia" w:ascii="Times New Roman" w:hAnsi="Times New Roman" w:eastAsia="宋体" w:cs="Times New Roman"/>
                <w:color w:val="auto"/>
                <w:sz w:val="21"/>
                <w:szCs w:val="21"/>
                <w:u w:val="none" w:color="auto"/>
              </w:rPr>
              <w:t>             不可行□</w:t>
            </w:r>
          </w:p>
        </w:tc>
      </w:tr>
      <w:tr w14:paraId="111A67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992" w:type="dxa"/>
            <w:gridSpan w:val="3"/>
            <w:noWrap w:val="0"/>
            <w:vAlign w:val="center"/>
          </w:tcPr>
          <w:p w14:paraId="415649D9">
            <w:pPr>
              <w:adjustRightInd/>
              <w:snapToGrid/>
              <w:spacing w:line="240" w:lineRule="auto"/>
              <w:ind w:firstLine="0" w:firstLineChars="0"/>
              <w:jc w:val="center"/>
              <w:rPr>
                <w:rFonts w:hint="eastAsia" w:ascii="Times New Roman" w:hAnsi="Times New Roman" w:eastAsia="宋体" w:cs="Times New Roman"/>
                <w:color w:val="auto"/>
                <w:sz w:val="21"/>
                <w:szCs w:val="21"/>
                <w:u w:val="none" w:color="auto"/>
              </w:rPr>
            </w:pPr>
            <w:r>
              <w:rPr>
                <w:rFonts w:hint="eastAsia" w:ascii="Times New Roman" w:hAnsi="Times New Roman" w:eastAsia="宋体" w:cs="Times New Roman"/>
                <w:color w:val="auto"/>
                <w:sz w:val="21"/>
                <w:szCs w:val="21"/>
                <w:u w:val="none" w:color="auto"/>
              </w:rPr>
              <w:t>注：“□”，填“√”；“（  ）”为内容填写项</w:t>
            </w:r>
          </w:p>
        </w:tc>
      </w:tr>
    </w:tbl>
    <w:p w14:paraId="1380032F">
      <w:pPr>
        <w:rPr>
          <w:color w:val="auto"/>
          <w:u w:val="none" w:color="auto"/>
        </w:rPr>
      </w:pPr>
    </w:p>
    <w:p w14:paraId="0280F11B">
      <w:pPr>
        <w:rPr>
          <w:color w:val="auto"/>
          <w:u w:val="none" w:color="auto"/>
        </w:rPr>
      </w:pPr>
    </w:p>
    <w:p w14:paraId="1C08AFEC">
      <w:pPr>
        <w:rPr>
          <w:color w:val="auto"/>
          <w:u w:val="none" w:color="auto"/>
        </w:rPr>
      </w:pPr>
    </w:p>
    <w:p w14:paraId="314C6ACA">
      <w:pPr>
        <w:rPr>
          <w:color w:val="auto"/>
          <w:u w:val="none" w:color="auto"/>
        </w:rPr>
      </w:pPr>
    </w:p>
    <w:p w14:paraId="2C461171">
      <w:pPr>
        <w:rPr>
          <w:color w:val="auto"/>
          <w:u w:val="none" w:color="auto"/>
        </w:rPr>
      </w:pPr>
    </w:p>
    <w:p w14:paraId="394E903C">
      <w:pPr>
        <w:rPr>
          <w:color w:val="auto"/>
          <w:u w:val="none" w:color="auto"/>
        </w:rPr>
      </w:pPr>
    </w:p>
    <w:p w14:paraId="5ECBC39B">
      <w:pPr>
        <w:rPr>
          <w:color w:val="auto"/>
          <w:u w:val="none" w:color="auto"/>
        </w:rPr>
      </w:pPr>
    </w:p>
    <w:p w14:paraId="63B60E28">
      <w:pPr>
        <w:rPr>
          <w:color w:val="auto"/>
          <w:u w:val="none" w:color="auto"/>
        </w:rPr>
      </w:pPr>
    </w:p>
    <w:p w14:paraId="09E0503A">
      <w:pPr>
        <w:rPr>
          <w:color w:val="auto"/>
          <w:u w:val="none" w:color="auto"/>
        </w:rPr>
      </w:pPr>
    </w:p>
    <w:p w14:paraId="00732E6D">
      <w:pPr>
        <w:rPr>
          <w:color w:val="auto"/>
          <w:u w:val="none" w:color="auto"/>
        </w:rPr>
      </w:pPr>
    </w:p>
    <w:p w14:paraId="0FD48929">
      <w:pPr>
        <w:rPr>
          <w:color w:val="auto"/>
          <w:u w:val="none" w:color="auto"/>
        </w:rPr>
      </w:pPr>
    </w:p>
    <w:p w14:paraId="3FF4846E">
      <w:pPr>
        <w:rPr>
          <w:color w:val="auto"/>
          <w:u w:val="none" w:color="auto"/>
        </w:rPr>
      </w:pPr>
    </w:p>
    <w:p w14:paraId="2E89A81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宋体" w:hAnsi="宋体" w:eastAsia="宋体" w:cs="宋体"/>
          <w:color w:val="auto"/>
          <w:spacing w:val="-3"/>
          <w:sz w:val="24"/>
          <w:szCs w:val="24"/>
          <w:u w:val="none" w:color="auto"/>
        </w:rPr>
      </w:pPr>
    </w:p>
    <w:sectPr>
      <w:headerReference r:id="rId11" w:type="default"/>
      <w:footerReference r:id="rId12"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75DB99-6487-44DA-B408-55B3EF63D226}"/>
  </w:font>
  <w:font w:name="黑体">
    <w:panose1 w:val="02010609060101010101"/>
    <w:charset w:val="86"/>
    <w:family w:val="auto"/>
    <w:pitch w:val="default"/>
    <w:sig w:usb0="800002BF" w:usb1="38CF7CFA" w:usb2="00000016" w:usb3="00000000" w:csb0="00040001" w:csb1="00000000"/>
    <w:embedRegular r:id="rId2" w:fontKey="{428751D4-CF93-4E80-B1B2-8431ECCB66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3" w:fontKey="{4C7C8340-15BB-4332-9F93-6A04CF999D09}"/>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B38B7EBA-90CF-4C96-94CA-CBB381E20623}"/>
  </w:font>
  <w:font w:name="Wingdings 2">
    <w:panose1 w:val="05020102010507070707"/>
    <w:charset w:val="02"/>
    <w:family w:val="roman"/>
    <w:pitch w:val="default"/>
    <w:sig w:usb0="00000000" w:usb1="00000000" w:usb2="00000000" w:usb3="00000000" w:csb0="80000000" w:csb1="00000000"/>
    <w:embedRegular r:id="rId5" w:fontKey="{99377F95-E259-492D-92CD-A5D56D1E9901}"/>
  </w:font>
  <w:font w:name="新宋体">
    <w:panose1 w:val="02010609030101010101"/>
    <w:charset w:val="86"/>
    <w:family w:val="auto"/>
    <w:pitch w:val="default"/>
    <w:sig w:usb0="00000203" w:usb1="288F0000" w:usb2="00000006" w:usb3="00000000" w:csb0="00040001" w:csb1="00000000"/>
    <w:embedRegular r:id="rId6" w:fontKey="{19E8D0CF-BE32-41CE-9381-2D519EB6694C}"/>
  </w:font>
  <w:font w:name="仿宋">
    <w:panose1 w:val="02010609060101010101"/>
    <w:charset w:val="86"/>
    <w:family w:val="auto"/>
    <w:pitch w:val="default"/>
    <w:sig w:usb0="800002BF" w:usb1="38CF7CFA" w:usb2="00000016" w:usb3="00000000" w:csb0="00040001" w:csb1="00000000"/>
    <w:embedRegular r:id="rId7" w:fontKey="{C2973534-AC1F-495F-9FBB-D2385ECFB1E1}"/>
  </w:font>
  <w:font w:name="微软雅黑">
    <w:panose1 w:val="020B0503020204020204"/>
    <w:charset w:val="86"/>
    <w:family w:val="auto"/>
    <w:pitch w:val="default"/>
    <w:sig w:usb0="80000287" w:usb1="2ACF3C50" w:usb2="00000016" w:usb3="00000000" w:csb0="0004001F" w:csb1="00000000"/>
    <w:embedRegular r:id="rId8" w:fontKey="{628C697B-A326-4130-9E20-67B2B62BA5A7}"/>
  </w:font>
  <w:font w:name="Segoe UI">
    <w:panose1 w:val="020B0502040204020203"/>
    <w:charset w:val="00"/>
    <w:family w:val="auto"/>
    <w:pitch w:val="default"/>
    <w:sig w:usb0="E4002EFF" w:usb1="C000E47F" w:usb2="00000009" w:usb3="00000000" w:csb0="200001FF" w:csb1="00000000"/>
    <w:embedRegular r:id="rId9" w:fontKey="{8512D312-7B94-431E-8DC1-F18B8FC98B3A}"/>
  </w:font>
  <w:font w:name="WPSEMBED24">
    <w:panose1 w:val="02010609030101010101"/>
    <w:charset w:val="86"/>
    <w:family w:val="auto"/>
    <w:pitch w:val="default"/>
    <w:sig w:usb0="00000001" w:usb1="080E0000" w:usb2="00000000" w:usb3="00000000" w:csb0="00040000" w:csb1="00000000"/>
  </w:font>
  <w:font w:name="WPSEMBED23">
    <w:panose1 w:val="02000000000000000000"/>
    <w:charset w:val="86"/>
    <w:family w:val="auto"/>
    <w:pitch w:val="default"/>
    <w:sig w:usb0="A00002BF" w:usb1="38CF7CFA" w:usb2="00082016" w:usb3="00000000" w:csb0="00040001" w:csb1="00000000"/>
  </w:font>
  <w:font w:name="WPSEMBED25">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10D92">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0976">
    <w:pPr>
      <w:pStyle w:val="16"/>
      <w:framePr w:wrap="around" w:vAnchor="text" w:hAnchor="margin" w:xAlign="center" w:y="1"/>
      <w:rPr>
        <w:rStyle w:val="29"/>
      </w:rPr>
    </w:pPr>
    <w:r>
      <w:fldChar w:fldCharType="begin"/>
    </w:r>
    <w:r>
      <w:rPr>
        <w:rStyle w:val="29"/>
      </w:rPr>
      <w:instrText xml:space="preserve">PAGE  </w:instrText>
    </w:r>
    <w:r>
      <w:fldChar w:fldCharType="end"/>
    </w:r>
  </w:p>
  <w:p w14:paraId="0DD5B987">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9864">
    <w:pPr>
      <w:pStyle w:val="1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95BB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BJ5c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EnlzUCAABlBAAADgAAAAAAAAABACAAAAAfAQAAZHJzL2Uyb0RvYy54bWxQ&#10;SwUGAAAAAAYABgBZAQAAxgUAAAAA&#10;">
              <v:fill on="f" focussize="0,0"/>
              <v:stroke on="f" weight="0.5pt"/>
              <v:imagedata o:title=""/>
              <o:lock v:ext="edit" aspectratio="f"/>
              <v:textbox inset="0mm,0mm,0mm,0mm" style="mso-fit-shape-to-text:t;">
                <w:txbxContent>
                  <w:p w14:paraId="34595BB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ADB7">
    <w:pPr>
      <w:pStyle w:val="16"/>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3B1B8">
                          <w:pPr>
                            <w:pStyle w:val="1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4D63B1B8">
                    <w:pPr>
                      <w:pStyle w:val="1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EF519">
    <w:pPr>
      <w:pStyle w:val="16"/>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55EE5">
                          <w:pPr>
                            <w:pStyle w:val="1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1AD55EE5">
                    <w:pPr>
                      <w:pStyle w:val="1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6D57C">
    <w:pPr>
      <w:spacing w:before="60" w:after="60"/>
      <w:rPr>
        <w:rFonts w:hint="eastAsia"/>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8E9CF">
                          <w:pPr>
                            <w:pStyle w:val="16"/>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7E08E9CF">
                    <w:pPr>
                      <w:pStyle w:val="16"/>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5417B">
    <w:pPr>
      <w:widowControl w:val="0"/>
      <w:snapToGrid w:val="0"/>
      <w:ind w:right="360" w:firstLine="360"/>
      <w:jc w:val="righ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01B50">
                          <w:pPr>
                            <w:pStyle w:val="16"/>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2A501B50">
                    <w:pPr>
                      <w:pStyle w:val="16"/>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09B1">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CDE85">
                          <w:pPr>
                            <w:pStyle w:val="16"/>
                          </w:pPr>
                          <w:r>
                            <w:fldChar w:fldCharType="begin"/>
                          </w:r>
                          <w:r>
                            <w:instrText xml:space="preserve"> PAGE  \* MERGEFORMAT </w:instrText>
                          </w:r>
                          <w:r>
                            <w:fldChar w:fldCharType="separate"/>
                          </w:r>
                          <w:r>
                            <w:t>173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nh0Uy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SeHRTICAABlBAAADgAAAAAAAAABACAAAAAfAQAAZHJzL2Uyb0RvYy54bWxQSwUG&#10;AAAAAAYABgBZAQAAwwUAAAAA&#10;">
              <v:fill on="f" focussize="0,0"/>
              <v:stroke on="f" weight="0.5pt"/>
              <v:imagedata o:title=""/>
              <o:lock v:ext="edit" aspectratio="f"/>
              <v:textbox inset="0mm,0mm,0mm,0mm" style="mso-fit-shape-to-text:t;">
                <w:txbxContent>
                  <w:p w14:paraId="470CDE85">
                    <w:pPr>
                      <w:pStyle w:val="16"/>
                    </w:pPr>
                    <w:r>
                      <w:fldChar w:fldCharType="begin"/>
                    </w:r>
                    <w:r>
                      <w:instrText xml:space="preserve"> PAGE  \* MERGEFORMAT </w:instrText>
                    </w:r>
                    <w:r>
                      <w:fldChar w:fldCharType="separate"/>
                    </w:r>
                    <w:r>
                      <w:t>173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F3862">
    <w:pPr>
      <w:pStyle w:val="9"/>
      <w:numPr>
        <w:ilvl w:val="0"/>
        <w:numId w:val="0"/>
      </w:numPr>
      <w:spacing w:before="0" w:beforeLines="0" w:after="0" w:afterLines="0" w:line="240" w:lineRule="auto"/>
      <w:jc w:val="cente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E4E2">
    <w:pPr>
      <w:pStyle w:val="9"/>
      <w:numPr>
        <w:ilvl w:val="0"/>
        <w:numId w:val="0"/>
      </w:numPr>
      <w:spacing w:before="0" w:beforeLines="0" w:after="0" w:afterLines="0" w:line="240" w:lineRule="auto"/>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52F1D"/>
    <w:multiLevelType w:val="singleLevel"/>
    <w:tmpl w:val="80B52F1D"/>
    <w:lvl w:ilvl="0" w:tentative="0">
      <w:start w:val="1"/>
      <w:numFmt w:val="decimal"/>
      <w:pStyle w:val="8"/>
      <w:lvlText w:val="%1."/>
      <w:lvlJc w:val="left"/>
      <w:pPr>
        <w:tabs>
          <w:tab w:val="left" w:pos="2040"/>
        </w:tabs>
        <w:ind w:left="2040" w:hanging="360"/>
      </w:pPr>
    </w:lvl>
  </w:abstractNum>
  <w:abstractNum w:abstractNumId="1">
    <w:nsid w:val="D0EA5422"/>
    <w:multiLevelType w:val="singleLevel"/>
    <w:tmpl w:val="D0EA5422"/>
    <w:lvl w:ilvl="0" w:tentative="0">
      <w:start w:val="2"/>
      <w:numFmt w:val="decimal"/>
      <w:suff w:val="nothing"/>
      <w:lvlText w:val="%1、"/>
      <w:lvlJc w:val="left"/>
    </w:lvl>
  </w:abstractNum>
  <w:abstractNum w:abstractNumId="2">
    <w:nsid w:val="EF9188FF"/>
    <w:multiLevelType w:val="singleLevel"/>
    <w:tmpl w:val="EF9188FF"/>
    <w:lvl w:ilvl="0" w:tentative="0">
      <w:start w:val="2"/>
      <w:numFmt w:val="decimal"/>
      <w:suff w:val="nothing"/>
      <w:lvlText w:val="%1、"/>
      <w:lvlJc w:val="left"/>
    </w:lvl>
  </w:abstractNum>
  <w:abstractNum w:abstractNumId="3">
    <w:nsid w:val="1C8B6C75"/>
    <w:multiLevelType w:val="singleLevel"/>
    <w:tmpl w:val="1C8B6C75"/>
    <w:lvl w:ilvl="0" w:tentative="0">
      <w:start w:val="6"/>
      <w:numFmt w:val="chineseCounting"/>
      <w:suff w:val="nothing"/>
      <w:lvlText w:val="%1、"/>
      <w:lvlJc w:val="left"/>
      <w:rPr>
        <w:rFonts w:hint="eastAsia"/>
      </w:rPr>
    </w:lvl>
  </w:abstractNum>
  <w:abstractNum w:abstractNumId="4">
    <w:nsid w:val="2709B6AB"/>
    <w:multiLevelType w:val="singleLevel"/>
    <w:tmpl w:val="2709B6AB"/>
    <w:lvl w:ilvl="0" w:tentative="0">
      <w:start w:val="2"/>
      <w:numFmt w:val="decimal"/>
      <w:suff w:val="nothing"/>
      <w:lvlText w:val="%1、"/>
      <w:lvlJc w:val="left"/>
    </w:lvl>
  </w:abstractNum>
  <w:abstractNum w:abstractNumId="5">
    <w:nsid w:val="435141F0"/>
    <w:multiLevelType w:val="multilevel"/>
    <w:tmpl w:val="435141F0"/>
    <w:lvl w:ilvl="0" w:tentative="0">
      <w:start w:val="1"/>
      <w:numFmt w:val="decimal"/>
      <w:isLgl/>
      <w:suff w:val="space"/>
      <w:lvlText w:val="%1"/>
      <w:lvlJc w:val="left"/>
      <w:pPr>
        <w:ind w:left="200" w:firstLine="0"/>
      </w:pPr>
      <w:rPr>
        <w:rFonts w:hint="eastAsia" w:ascii="Times New Roman" w:hAnsi="Times New Roman" w:eastAsia="宋体" w:cs="Times New Roman"/>
        <w:b/>
        <w:i w:val="0"/>
        <w:sz w:val="36"/>
        <w:szCs w:val="36"/>
      </w:rPr>
    </w:lvl>
    <w:lvl w:ilvl="1" w:tentative="0">
      <w:start w:val="1"/>
      <w:numFmt w:val="decimal"/>
      <w:isLgl/>
      <w:suff w:val="space"/>
      <w:lvlText w:val="%1.%2"/>
      <w:lvlJc w:val="left"/>
      <w:pPr>
        <w:ind w:left="1800" w:firstLine="0"/>
      </w:pPr>
      <w:rPr>
        <w:rFonts w:hint="default" w:ascii="Times New Roman" w:hAnsi="Times New Roman" w:eastAsia="宋体"/>
        <w:b/>
        <w:i w:val="0"/>
        <w:sz w:val="30"/>
      </w:rPr>
    </w:lvl>
    <w:lvl w:ilvl="2" w:tentative="0">
      <w:start w:val="1"/>
      <w:numFmt w:val="decimal"/>
      <w:isLgl/>
      <w:suff w:val="space"/>
      <w:lvlText w:val="%1.%2.%3"/>
      <w:lvlJc w:val="left"/>
      <w:pPr>
        <w:ind w:left="180" w:firstLine="0"/>
      </w:pPr>
      <w:rPr>
        <w:rFonts w:hint="eastAsia"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3" w:tentative="0">
      <w:start w:val="1"/>
      <w:numFmt w:val="decimal"/>
      <w:isLgl/>
      <w:suff w:val="space"/>
      <w:lvlText w:val="%1.%2.%3.%4"/>
      <w:lvlJc w:val="left"/>
      <w:pPr>
        <w:ind w:left="360" w:firstLine="0"/>
      </w:pPr>
      <w:rPr>
        <w:rFonts w:hint="default" w:ascii="Times New Roman" w:hAnsi="Times New Roman" w:eastAsia="宋体"/>
        <w:b/>
        <w:i w:val="0"/>
        <w:sz w:val="24"/>
      </w:rPr>
    </w:lvl>
    <w:lvl w:ilvl="4" w:tentative="0">
      <w:start w:val="1"/>
      <w:numFmt w:val="decimal"/>
      <w:pStyle w:val="9"/>
      <w:suff w:val="space"/>
      <w:lvlText w:val="( %5 )"/>
      <w:lvlJc w:val="left"/>
      <w:pPr>
        <w:ind w:left="540" w:firstLine="0"/>
      </w:pPr>
      <w:rPr>
        <w:rFonts w:hint="eastAsia"/>
        <w:b w:val="0"/>
        <w:i w:val="0"/>
        <w:sz w:val="24"/>
      </w:rPr>
    </w:lvl>
    <w:lvl w:ilvl="5" w:tentative="0">
      <w:start w:val="1"/>
      <w:numFmt w:val="decimalEnclosedCircle"/>
      <w:suff w:val="space"/>
      <w:lvlText w:val="%6"/>
      <w:lvlJc w:val="left"/>
      <w:pPr>
        <w:ind w:left="760" w:firstLine="0"/>
      </w:pPr>
      <w:rPr>
        <w:rFonts w:hint="eastAsia"/>
      </w:rPr>
    </w:lvl>
    <w:lvl w:ilvl="6" w:tentative="0">
      <w:start w:val="1"/>
      <w:numFmt w:val="decimal"/>
      <w:lvlText w:val="%1.%2.%3.%4.%5.%6.%7"/>
      <w:lvlJc w:val="left"/>
      <w:pPr>
        <w:tabs>
          <w:tab w:val="left" w:pos="4715"/>
        </w:tabs>
        <w:ind w:left="4715" w:hanging="1276"/>
      </w:pPr>
      <w:rPr>
        <w:rFonts w:hint="eastAsia"/>
      </w:rPr>
    </w:lvl>
    <w:lvl w:ilvl="7" w:tentative="0">
      <w:start w:val="1"/>
      <w:numFmt w:val="decimal"/>
      <w:lvlText w:val="%1.%2.%3.%4.%5.%6.%7.%8"/>
      <w:lvlJc w:val="left"/>
      <w:pPr>
        <w:tabs>
          <w:tab w:val="left" w:pos="5282"/>
        </w:tabs>
        <w:ind w:left="5282" w:hanging="1418"/>
      </w:pPr>
      <w:rPr>
        <w:rFonts w:hint="eastAsia"/>
      </w:rPr>
    </w:lvl>
    <w:lvl w:ilvl="8" w:tentative="0">
      <w:start w:val="1"/>
      <w:numFmt w:val="decimal"/>
      <w:lvlText w:val="%1.%2.%3.%4.%5.%6.%7.%8.%9"/>
      <w:lvlJc w:val="left"/>
      <w:pPr>
        <w:tabs>
          <w:tab w:val="left" w:pos="5990"/>
        </w:tabs>
        <w:ind w:left="5990" w:hanging="1700"/>
      </w:pPr>
      <w:rPr>
        <w:rFonts w:hint="eastAsia"/>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yMTY1ODE3Y2FkYWQ1M2Q0ODk4NzBmZDU4NjE3MzgifQ=="/>
  </w:docVars>
  <w:rsids>
    <w:rsidRoot w:val="00172A27"/>
    <w:rsid w:val="000060B3"/>
    <w:rsid w:val="00041CF6"/>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1ED"/>
    <w:rsid w:val="000C09AC"/>
    <w:rsid w:val="000C767F"/>
    <w:rsid w:val="000D5A44"/>
    <w:rsid w:val="000E3ED2"/>
    <w:rsid w:val="00107807"/>
    <w:rsid w:val="001251DD"/>
    <w:rsid w:val="00131F42"/>
    <w:rsid w:val="001357F1"/>
    <w:rsid w:val="00140FA8"/>
    <w:rsid w:val="00142FEB"/>
    <w:rsid w:val="00143A2D"/>
    <w:rsid w:val="00145A41"/>
    <w:rsid w:val="00151675"/>
    <w:rsid w:val="00157435"/>
    <w:rsid w:val="00172A27"/>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340F"/>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AD6"/>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1804"/>
    <w:rsid w:val="00452738"/>
    <w:rsid w:val="00456091"/>
    <w:rsid w:val="00466321"/>
    <w:rsid w:val="00484B9B"/>
    <w:rsid w:val="004855F6"/>
    <w:rsid w:val="0048661E"/>
    <w:rsid w:val="00494670"/>
    <w:rsid w:val="004A3823"/>
    <w:rsid w:val="004B44C7"/>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857D7"/>
    <w:rsid w:val="0069290A"/>
    <w:rsid w:val="00696058"/>
    <w:rsid w:val="0069775A"/>
    <w:rsid w:val="00697813"/>
    <w:rsid w:val="006A3EE8"/>
    <w:rsid w:val="006A72BF"/>
    <w:rsid w:val="006B03F2"/>
    <w:rsid w:val="006B37DC"/>
    <w:rsid w:val="006B4F68"/>
    <w:rsid w:val="006C0592"/>
    <w:rsid w:val="006C272E"/>
    <w:rsid w:val="006C5479"/>
    <w:rsid w:val="006D13B5"/>
    <w:rsid w:val="006E12FF"/>
    <w:rsid w:val="006E607E"/>
    <w:rsid w:val="007007DA"/>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07B"/>
    <w:rsid w:val="007A2170"/>
    <w:rsid w:val="007A22BF"/>
    <w:rsid w:val="007A3323"/>
    <w:rsid w:val="007B72B8"/>
    <w:rsid w:val="007B7A58"/>
    <w:rsid w:val="007C21B5"/>
    <w:rsid w:val="007E4BD2"/>
    <w:rsid w:val="007F57D2"/>
    <w:rsid w:val="00801393"/>
    <w:rsid w:val="00802F88"/>
    <w:rsid w:val="0081293E"/>
    <w:rsid w:val="00815465"/>
    <w:rsid w:val="00817E9A"/>
    <w:rsid w:val="00820479"/>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52C8"/>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1BAD"/>
    <w:rsid w:val="00C2596A"/>
    <w:rsid w:val="00C27537"/>
    <w:rsid w:val="00C328FE"/>
    <w:rsid w:val="00C33507"/>
    <w:rsid w:val="00C4409D"/>
    <w:rsid w:val="00C44E72"/>
    <w:rsid w:val="00C45A06"/>
    <w:rsid w:val="00C47E5B"/>
    <w:rsid w:val="00C61E4B"/>
    <w:rsid w:val="00C64BFF"/>
    <w:rsid w:val="00C651E9"/>
    <w:rsid w:val="00C704E9"/>
    <w:rsid w:val="00C73CD4"/>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58FB"/>
    <w:rsid w:val="00DF6690"/>
    <w:rsid w:val="00DF6804"/>
    <w:rsid w:val="00E0358D"/>
    <w:rsid w:val="00E04323"/>
    <w:rsid w:val="00E070A2"/>
    <w:rsid w:val="00E2656A"/>
    <w:rsid w:val="00E36788"/>
    <w:rsid w:val="00E412D0"/>
    <w:rsid w:val="00E551FD"/>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1A70"/>
    <w:rsid w:val="00F82B19"/>
    <w:rsid w:val="00F9212D"/>
    <w:rsid w:val="00F965DA"/>
    <w:rsid w:val="00FA406A"/>
    <w:rsid w:val="00FB503A"/>
    <w:rsid w:val="00FB516C"/>
    <w:rsid w:val="00FD0236"/>
    <w:rsid w:val="00FD18F4"/>
    <w:rsid w:val="00FD54DB"/>
    <w:rsid w:val="00FD619F"/>
    <w:rsid w:val="01290F7E"/>
    <w:rsid w:val="014E248E"/>
    <w:rsid w:val="015D1E09"/>
    <w:rsid w:val="01771768"/>
    <w:rsid w:val="01B16E86"/>
    <w:rsid w:val="02191ADD"/>
    <w:rsid w:val="023115C8"/>
    <w:rsid w:val="02697903"/>
    <w:rsid w:val="02F96569"/>
    <w:rsid w:val="03171C14"/>
    <w:rsid w:val="0333239A"/>
    <w:rsid w:val="03D251BA"/>
    <w:rsid w:val="03EA7B21"/>
    <w:rsid w:val="04827A43"/>
    <w:rsid w:val="05BD2181"/>
    <w:rsid w:val="05F83EAE"/>
    <w:rsid w:val="062D344D"/>
    <w:rsid w:val="063E7D85"/>
    <w:rsid w:val="06635626"/>
    <w:rsid w:val="06AA5670"/>
    <w:rsid w:val="06F21F49"/>
    <w:rsid w:val="06F6508D"/>
    <w:rsid w:val="07293586"/>
    <w:rsid w:val="07295285"/>
    <w:rsid w:val="07636392"/>
    <w:rsid w:val="076E3F95"/>
    <w:rsid w:val="07770C56"/>
    <w:rsid w:val="07AF14F0"/>
    <w:rsid w:val="07E14955"/>
    <w:rsid w:val="08391830"/>
    <w:rsid w:val="08A62237"/>
    <w:rsid w:val="08BF219E"/>
    <w:rsid w:val="092217DD"/>
    <w:rsid w:val="093A7294"/>
    <w:rsid w:val="09DC25AA"/>
    <w:rsid w:val="0A263993"/>
    <w:rsid w:val="0A2D3AC2"/>
    <w:rsid w:val="0AA755DF"/>
    <w:rsid w:val="0AA9344B"/>
    <w:rsid w:val="0ACB61C2"/>
    <w:rsid w:val="0AE407A3"/>
    <w:rsid w:val="0B120D44"/>
    <w:rsid w:val="0B511A6F"/>
    <w:rsid w:val="0BD27BF6"/>
    <w:rsid w:val="0BEF0663"/>
    <w:rsid w:val="0C19185D"/>
    <w:rsid w:val="0C396DB4"/>
    <w:rsid w:val="0C3B3C7D"/>
    <w:rsid w:val="0C741481"/>
    <w:rsid w:val="0CAB2EAE"/>
    <w:rsid w:val="0CED7A6B"/>
    <w:rsid w:val="0D621C7D"/>
    <w:rsid w:val="0E2B2415"/>
    <w:rsid w:val="0E4D0323"/>
    <w:rsid w:val="0E574500"/>
    <w:rsid w:val="0E72510F"/>
    <w:rsid w:val="0E73034D"/>
    <w:rsid w:val="0ECD5D4E"/>
    <w:rsid w:val="0EE15651"/>
    <w:rsid w:val="0F136D29"/>
    <w:rsid w:val="0F13775A"/>
    <w:rsid w:val="0F2D79A9"/>
    <w:rsid w:val="0F5C3DEC"/>
    <w:rsid w:val="0F5F45FE"/>
    <w:rsid w:val="0F973CE2"/>
    <w:rsid w:val="0F9A112B"/>
    <w:rsid w:val="0FAD23A1"/>
    <w:rsid w:val="103A6880"/>
    <w:rsid w:val="106D2F64"/>
    <w:rsid w:val="107320C2"/>
    <w:rsid w:val="108C6CFF"/>
    <w:rsid w:val="10A357D7"/>
    <w:rsid w:val="10B63710"/>
    <w:rsid w:val="10DC519A"/>
    <w:rsid w:val="10F10820"/>
    <w:rsid w:val="111C2F7A"/>
    <w:rsid w:val="11665CA1"/>
    <w:rsid w:val="117E773A"/>
    <w:rsid w:val="11E60541"/>
    <w:rsid w:val="127A6C16"/>
    <w:rsid w:val="1290624C"/>
    <w:rsid w:val="12FE7E10"/>
    <w:rsid w:val="13167208"/>
    <w:rsid w:val="13511E18"/>
    <w:rsid w:val="13951726"/>
    <w:rsid w:val="14396509"/>
    <w:rsid w:val="146934F1"/>
    <w:rsid w:val="14DD2C3C"/>
    <w:rsid w:val="151A3F0B"/>
    <w:rsid w:val="151B6B0E"/>
    <w:rsid w:val="16087E1D"/>
    <w:rsid w:val="16A5423C"/>
    <w:rsid w:val="16B93854"/>
    <w:rsid w:val="16BC5986"/>
    <w:rsid w:val="17076346"/>
    <w:rsid w:val="17701D14"/>
    <w:rsid w:val="17735226"/>
    <w:rsid w:val="178D1A71"/>
    <w:rsid w:val="17B374D3"/>
    <w:rsid w:val="17CE07E7"/>
    <w:rsid w:val="17F33CCB"/>
    <w:rsid w:val="183724E4"/>
    <w:rsid w:val="189F624C"/>
    <w:rsid w:val="18EC1394"/>
    <w:rsid w:val="19427323"/>
    <w:rsid w:val="1A083276"/>
    <w:rsid w:val="1A1C66C0"/>
    <w:rsid w:val="1A2C2022"/>
    <w:rsid w:val="1A42393B"/>
    <w:rsid w:val="1A976739"/>
    <w:rsid w:val="1AAD45DE"/>
    <w:rsid w:val="1B046F80"/>
    <w:rsid w:val="1B1623CA"/>
    <w:rsid w:val="1B1F6C2C"/>
    <w:rsid w:val="1B3267B5"/>
    <w:rsid w:val="1B40161D"/>
    <w:rsid w:val="1B441859"/>
    <w:rsid w:val="1B6606B1"/>
    <w:rsid w:val="1BF27175"/>
    <w:rsid w:val="1C5E7925"/>
    <w:rsid w:val="1C7D5E6D"/>
    <w:rsid w:val="1CA547E5"/>
    <w:rsid w:val="1CA934AA"/>
    <w:rsid w:val="1CE811EA"/>
    <w:rsid w:val="1CFD070F"/>
    <w:rsid w:val="1D5F6196"/>
    <w:rsid w:val="1D6132A5"/>
    <w:rsid w:val="1D8E56D5"/>
    <w:rsid w:val="1DA40F58"/>
    <w:rsid w:val="1E144B81"/>
    <w:rsid w:val="1E52239A"/>
    <w:rsid w:val="1E7A43DA"/>
    <w:rsid w:val="1E7E7B6B"/>
    <w:rsid w:val="1ECF5A4C"/>
    <w:rsid w:val="1F966239"/>
    <w:rsid w:val="1FC06990"/>
    <w:rsid w:val="1FE7539E"/>
    <w:rsid w:val="1FFE7BD7"/>
    <w:rsid w:val="2059498F"/>
    <w:rsid w:val="20671BE0"/>
    <w:rsid w:val="20963CB8"/>
    <w:rsid w:val="20A81A1B"/>
    <w:rsid w:val="20B07FB6"/>
    <w:rsid w:val="20B646FB"/>
    <w:rsid w:val="20C1069E"/>
    <w:rsid w:val="21384FBF"/>
    <w:rsid w:val="213B74B1"/>
    <w:rsid w:val="215A2310"/>
    <w:rsid w:val="21DE318A"/>
    <w:rsid w:val="21EB6B19"/>
    <w:rsid w:val="21EF5B80"/>
    <w:rsid w:val="21F13438"/>
    <w:rsid w:val="224C0D56"/>
    <w:rsid w:val="22576990"/>
    <w:rsid w:val="22A44098"/>
    <w:rsid w:val="22B40DF6"/>
    <w:rsid w:val="22D7585F"/>
    <w:rsid w:val="22F34C27"/>
    <w:rsid w:val="22F47480"/>
    <w:rsid w:val="23386ADD"/>
    <w:rsid w:val="23D55D98"/>
    <w:rsid w:val="23DE1C48"/>
    <w:rsid w:val="240210CD"/>
    <w:rsid w:val="24BF09F7"/>
    <w:rsid w:val="252D53FE"/>
    <w:rsid w:val="25381017"/>
    <w:rsid w:val="258264EF"/>
    <w:rsid w:val="25DE037F"/>
    <w:rsid w:val="25EC2D81"/>
    <w:rsid w:val="26D772B2"/>
    <w:rsid w:val="26EC1E02"/>
    <w:rsid w:val="276415E7"/>
    <w:rsid w:val="277057A2"/>
    <w:rsid w:val="27AC2F9F"/>
    <w:rsid w:val="27F41D6C"/>
    <w:rsid w:val="280478D6"/>
    <w:rsid w:val="289C5A2D"/>
    <w:rsid w:val="28E026ED"/>
    <w:rsid w:val="28EC5192"/>
    <w:rsid w:val="29206EB8"/>
    <w:rsid w:val="29595666"/>
    <w:rsid w:val="29874881"/>
    <w:rsid w:val="29E325E0"/>
    <w:rsid w:val="2A033D45"/>
    <w:rsid w:val="2A452503"/>
    <w:rsid w:val="2A4B6555"/>
    <w:rsid w:val="2A614B6C"/>
    <w:rsid w:val="2AC670C5"/>
    <w:rsid w:val="2B0F07A7"/>
    <w:rsid w:val="2B8A1CFE"/>
    <w:rsid w:val="2BA936A8"/>
    <w:rsid w:val="2BAB6B17"/>
    <w:rsid w:val="2C315A5A"/>
    <w:rsid w:val="2C4B1C25"/>
    <w:rsid w:val="2D2D342B"/>
    <w:rsid w:val="2D842E1B"/>
    <w:rsid w:val="2D9E56F5"/>
    <w:rsid w:val="2DB3256D"/>
    <w:rsid w:val="2E027B47"/>
    <w:rsid w:val="2E667F96"/>
    <w:rsid w:val="2E775838"/>
    <w:rsid w:val="2E8226AB"/>
    <w:rsid w:val="2F04602B"/>
    <w:rsid w:val="2F82362D"/>
    <w:rsid w:val="2FA572A9"/>
    <w:rsid w:val="2FD065E6"/>
    <w:rsid w:val="2FD96870"/>
    <w:rsid w:val="2FE138F9"/>
    <w:rsid w:val="305772D8"/>
    <w:rsid w:val="30580BC9"/>
    <w:rsid w:val="311E2ED7"/>
    <w:rsid w:val="31421EB7"/>
    <w:rsid w:val="315619EE"/>
    <w:rsid w:val="315C449C"/>
    <w:rsid w:val="31B60FAE"/>
    <w:rsid w:val="31B82709"/>
    <w:rsid w:val="31D05482"/>
    <w:rsid w:val="31DC4A81"/>
    <w:rsid w:val="31FB11C3"/>
    <w:rsid w:val="323B3B69"/>
    <w:rsid w:val="32400B34"/>
    <w:rsid w:val="3276723B"/>
    <w:rsid w:val="328001FF"/>
    <w:rsid w:val="329C47A2"/>
    <w:rsid w:val="329E6876"/>
    <w:rsid w:val="33242316"/>
    <w:rsid w:val="333015F2"/>
    <w:rsid w:val="333170A5"/>
    <w:rsid w:val="334B6320"/>
    <w:rsid w:val="33523991"/>
    <w:rsid w:val="3371024C"/>
    <w:rsid w:val="33BE0FB6"/>
    <w:rsid w:val="33D934D4"/>
    <w:rsid w:val="33FE2F6A"/>
    <w:rsid w:val="340E07E5"/>
    <w:rsid w:val="34235BF7"/>
    <w:rsid w:val="344F6495"/>
    <w:rsid w:val="34997527"/>
    <w:rsid w:val="34D4418C"/>
    <w:rsid w:val="34EE16F2"/>
    <w:rsid w:val="358C5FA8"/>
    <w:rsid w:val="35C15DF1"/>
    <w:rsid w:val="36074A7F"/>
    <w:rsid w:val="36923549"/>
    <w:rsid w:val="369368B5"/>
    <w:rsid w:val="36B75FBF"/>
    <w:rsid w:val="36BC1878"/>
    <w:rsid w:val="36BD0C45"/>
    <w:rsid w:val="37E00298"/>
    <w:rsid w:val="38176844"/>
    <w:rsid w:val="388008B3"/>
    <w:rsid w:val="38B302F9"/>
    <w:rsid w:val="38B44023"/>
    <w:rsid w:val="38F12CD3"/>
    <w:rsid w:val="38F94775"/>
    <w:rsid w:val="392971ED"/>
    <w:rsid w:val="39325651"/>
    <w:rsid w:val="398D4A17"/>
    <w:rsid w:val="3A4126E7"/>
    <w:rsid w:val="3A872856"/>
    <w:rsid w:val="3B3763D1"/>
    <w:rsid w:val="3BCB4B07"/>
    <w:rsid w:val="3C2F6E1E"/>
    <w:rsid w:val="3C4F64BA"/>
    <w:rsid w:val="3CDA245A"/>
    <w:rsid w:val="3CE108FB"/>
    <w:rsid w:val="3D1E06B7"/>
    <w:rsid w:val="3D734F2A"/>
    <w:rsid w:val="3E0553E5"/>
    <w:rsid w:val="3E2972F7"/>
    <w:rsid w:val="3E854E75"/>
    <w:rsid w:val="3EDA0523"/>
    <w:rsid w:val="3F116709"/>
    <w:rsid w:val="3FEA596B"/>
    <w:rsid w:val="3FF74218"/>
    <w:rsid w:val="404F786D"/>
    <w:rsid w:val="407A6407"/>
    <w:rsid w:val="40A74862"/>
    <w:rsid w:val="416D7B13"/>
    <w:rsid w:val="4200449D"/>
    <w:rsid w:val="423A3BCC"/>
    <w:rsid w:val="424E57D2"/>
    <w:rsid w:val="4286740D"/>
    <w:rsid w:val="42B26C49"/>
    <w:rsid w:val="42D27F5D"/>
    <w:rsid w:val="431E60BA"/>
    <w:rsid w:val="433A6FE6"/>
    <w:rsid w:val="43480868"/>
    <w:rsid w:val="4350713C"/>
    <w:rsid w:val="436653E0"/>
    <w:rsid w:val="43815E6D"/>
    <w:rsid w:val="43C4431A"/>
    <w:rsid w:val="44322A62"/>
    <w:rsid w:val="44801F8A"/>
    <w:rsid w:val="448501E6"/>
    <w:rsid w:val="44AE5FE3"/>
    <w:rsid w:val="44B951CC"/>
    <w:rsid w:val="44CD14E0"/>
    <w:rsid w:val="44F20B0B"/>
    <w:rsid w:val="452E5F4C"/>
    <w:rsid w:val="45576E3F"/>
    <w:rsid w:val="45612018"/>
    <w:rsid w:val="458946E9"/>
    <w:rsid w:val="45A47C0E"/>
    <w:rsid w:val="46577FD6"/>
    <w:rsid w:val="46785933"/>
    <w:rsid w:val="46D955A7"/>
    <w:rsid w:val="47133957"/>
    <w:rsid w:val="4741549B"/>
    <w:rsid w:val="474E4864"/>
    <w:rsid w:val="47A07E0C"/>
    <w:rsid w:val="47DE3010"/>
    <w:rsid w:val="482214BC"/>
    <w:rsid w:val="4870272E"/>
    <w:rsid w:val="48E44088"/>
    <w:rsid w:val="49DC7715"/>
    <w:rsid w:val="4A023139"/>
    <w:rsid w:val="4A2A1B94"/>
    <w:rsid w:val="4A537552"/>
    <w:rsid w:val="4A695228"/>
    <w:rsid w:val="4A7B576F"/>
    <w:rsid w:val="4A9106FD"/>
    <w:rsid w:val="4AE87F04"/>
    <w:rsid w:val="4AF561A9"/>
    <w:rsid w:val="4B291186"/>
    <w:rsid w:val="4C4A0649"/>
    <w:rsid w:val="4C795F65"/>
    <w:rsid w:val="4C7E5ECA"/>
    <w:rsid w:val="4C876AA5"/>
    <w:rsid w:val="4D0C2D98"/>
    <w:rsid w:val="4D0E00FB"/>
    <w:rsid w:val="4D176606"/>
    <w:rsid w:val="4D3245B5"/>
    <w:rsid w:val="4D484C6C"/>
    <w:rsid w:val="4DC7587F"/>
    <w:rsid w:val="4DEC4FB0"/>
    <w:rsid w:val="4E075D8A"/>
    <w:rsid w:val="4E0A0EF3"/>
    <w:rsid w:val="4EC00FAD"/>
    <w:rsid w:val="4EFB658E"/>
    <w:rsid w:val="4EFF2FF9"/>
    <w:rsid w:val="4F446A48"/>
    <w:rsid w:val="4F695BD0"/>
    <w:rsid w:val="4F9843DC"/>
    <w:rsid w:val="4F9A7A6D"/>
    <w:rsid w:val="4FC62A8C"/>
    <w:rsid w:val="4FE20F0D"/>
    <w:rsid w:val="4FE51552"/>
    <w:rsid w:val="5033553D"/>
    <w:rsid w:val="50504C4B"/>
    <w:rsid w:val="509C6E7C"/>
    <w:rsid w:val="51381F70"/>
    <w:rsid w:val="5162104E"/>
    <w:rsid w:val="51D27F79"/>
    <w:rsid w:val="51F93889"/>
    <w:rsid w:val="520C009A"/>
    <w:rsid w:val="522A54E1"/>
    <w:rsid w:val="523C457E"/>
    <w:rsid w:val="52A46842"/>
    <w:rsid w:val="52D546CD"/>
    <w:rsid w:val="530C1261"/>
    <w:rsid w:val="53A039CC"/>
    <w:rsid w:val="53A1505A"/>
    <w:rsid w:val="54035863"/>
    <w:rsid w:val="54063E08"/>
    <w:rsid w:val="543437E8"/>
    <w:rsid w:val="54A13C33"/>
    <w:rsid w:val="54F73313"/>
    <w:rsid w:val="54F80955"/>
    <w:rsid w:val="555170A7"/>
    <w:rsid w:val="55624986"/>
    <w:rsid w:val="5587536D"/>
    <w:rsid w:val="559B174B"/>
    <w:rsid w:val="55CE0CF4"/>
    <w:rsid w:val="55E56A3A"/>
    <w:rsid w:val="55E6427C"/>
    <w:rsid w:val="56160BFE"/>
    <w:rsid w:val="56B22A9C"/>
    <w:rsid w:val="56E45CB2"/>
    <w:rsid w:val="5705745D"/>
    <w:rsid w:val="57212723"/>
    <w:rsid w:val="57B72A76"/>
    <w:rsid w:val="57C3426C"/>
    <w:rsid w:val="57CE1F93"/>
    <w:rsid w:val="58130367"/>
    <w:rsid w:val="58141661"/>
    <w:rsid w:val="588743D1"/>
    <w:rsid w:val="5887701A"/>
    <w:rsid w:val="589D2634"/>
    <w:rsid w:val="59775A81"/>
    <w:rsid w:val="597920CE"/>
    <w:rsid w:val="59C0439F"/>
    <w:rsid w:val="59F02BEC"/>
    <w:rsid w:val="59FF10FA"/>
    <w:rsid w:val="5ABE2233"/>
    <w:rsid w:val="5AC34AD8"/>
    <w:rsid w:val="5AEF28A1"/>
    <w:rsid w:val="5AFC1BC3"/>
    <w:rsid w:val="5B904113"/>
    <w:rsid w:val="5BDF5D95"/>
    <w:rsid w:val="5BFE7528"/>
    <w:rsid w:val="5C1C2E4C"/>
    <w:rsid w:val="5C292E8C"/>
    <w:rsid w:val="5C6E1E78"/>
    <w:rsid w:val="5D1F0198"/>
    <w:rsid w:val="5D790E8F"/>
    <w:rsid w:val="5DD90524"/>
    <w:rsid w:val="5E2467F1"/>
    <w:rsid w:val="5E396FAC"/>
    <w:rsid w:val="5E705B43"/>
    <w:rsid w:val="5F1A2B43"/>
    <w:rsid w:val="5F2631E5"/>
    <w:rsid w:val="5F5C5FB8"/>
    <w:rsid w:val="5F664B94"/>
    <w:rsid w:val="5FB837BB"/>
    <w:rsid w:val="608619F7"/>
    <w:rsid w:val="60CC405A"/>
    <w:rsid w:val="612D0300"/>
    <w:rsid w:val="61E215D8"/>
    <w:rsid w:val="620121B5"/>
    <w:rsid w:val="621B3775"/>
    <w:rsid w:val="622A5268"/>
    <w:rsid w:val="62364782"/>
    <w:rsid w:val="62565C03"/>
    <w:rsid w:val="63181413"/>
    <w:rsid w:val="636F33A3"/>
    <w:rsid w:val="6394356A"/>
    <w:rsid w:val="63C61B2C"/>
    <w:rsid w:val="63D40BE9"/>
    <w:rsid w:val="64102431"/>
    <w:rsid w:val="645F29D0"/>
    <w:rsid w:val="64A5243A"/>
    <w:rsid w:val="64D45ABA"/>
    <w:rsid w:val="64F531DE"/>
    <w:rsid w:val="65373578"/>
    <w:rsid w:val="656A3DF5"/>
    <w:rsid w:val="65FC1F26"/>
    <w:rsid w:val="6659507B"/>
    <w:rsid w:val="6688644D"/>
    <w:rsid w:val="671F124A"/>
    <w:rsid w:val="67330773"/>
    <w:rsid w:val="677A33C6"/>
    <w:rsid w:val="681F6961"/>
    <w:rsid w:val="68610A2F"/>
    <w:rsid w:val="686B6448"/>
    <w:rsid w:val="68805514"/>
    <w:rsid w:val="6891732E"/>
    <w:rsid w:val="689C380B"/>
    <w:rsid w:val="69316E2F"/>
    <w:rsid w:val="694E2071"/>
    <w:rsid w:val="694E61D4"/>
    <w:rsid w:val="69766163"/>
    <w:rsid w:val="697A3B33"/>
    <w:rsid w:val="697E7479"/>
    <w:rsid w:val="698A24D9"/>
    <w:rsid w:val="69901C30"/>
    <w:rsid w:val="69D44760"/>
    <w:rsid w:val="69F30C7F"/>
    <w:rsid w:val="6A520EC7"/>
    <w:rsid w:val="6A6555DC"/>
    <w:rsid w:val="6A9A4F55"/>
    <w:rsid w:val="6AF87E20"/>
    <w:rsid w:val="6B322639"/>
    <w:rsid w:val="6B5D3B9E"/>
    <w:rsid w:val="6C636C38"/>
    <w:rsid w:val="6D036DE1"/>
    <w:rsid w:val="6D2B14AA"/>
    <w:rsid w:val="6DB34098"/>
    <w:rsid w:val="6DB545B6"/>
    <w:rsid w:val="6DE02FB4"/>
    <w:rsid w:val="6E2D20FE"/>
    <w:rsid w:val="6E415F04"/>
    <w:rsid w:val="6E4E6782"/>
    <w:rsid w:val="6E514CED"/>
    <w:rsid w:val="6EB563D5"/>
    <w:rsid w:val="6EC436AC"/>
    <w:rsid w:val="6ED92677"/>
    <w:rsid w:val="6F2179F2"/>
    <w:rsid w:val="6F225983"/>
    <w:rsid w:val="6FB36CAD"/>
    <w:rsid w:val="6FCF4E85"/>
    <w:rsid w:val="6FD07881"/>
    <w:rsid w:val="6FFC5590"/>
    <w:rsid w:val="703F5918"/>
    <w:rsid w:val="70632542"/>
    <w:rsid w:val="706D1DD0"/>
    <w:rsid w:val="70856B87"/>
    <w:rsid w:val="70D527EE"/>
    <w:rsid w:val="711E638B"/>
    <w:rsid w:val="715B5300"/>
    <w:rsid w:val="71A4788D"/>
    <w:rsid w:val="71D27F8A"/>
    <w:rsid w:val="722652B6"/>
    <w:rsid w:val="72553024"/>
    <w:rsid w:val="72565330"/>
    <w:rsid w:val="72646C38"/>
    <w:rsid w:val="73122968"/>
    <w:rsid w:val="731F5D5E"/>
    <w:rsid w:val="732E7097"/>
    <w:rsid w:val="73BF1FC1"/>
    <w:rsid w:val="73C51AD5"/>
    <w:rsid w:val="73FB6A64"/>
    <w:rsid w:val="741E793C"/>
    <w:rsid w:val="745E3944"/>
    <w:rsid w:val="74864F95"/>
    <w:rsid w:val="755C1784"/>
    <w:rsid w:val="75AD72CB"/>
    <w:rsid w:val="75B74CA2"/>
    <w:rsid w:val="7635099D"/>
    <w:rsid w:val="765860B4"/>
    <w:rsid w:val="765E0DFA"/>
    <w:rsid w:val="76E47109"/>
    <w:rsid w:val="770B03D5"/>
    <w:rsid w:val="77762421"/>
    <w:rsid w:val="77B50D12"/>
    <w:rsid w:val="77B56B1F"/>
    <w:rsid w:val="780F09F4"/>
    <w:rsid w:val="788F5170"/>
    <w:rsid w:val="78A90480"/>
    <w:rsid w:val="79D66388"/>
    <w:rsid w:val="7A027A19"/>
    <w:rsid w:val="7A194C28"/>
    <w:rsid w:val="7A364017"/>
    <w:rsid w:val="7A653177"/>
    <w:rsid w:val="7A8265E1"/>
    <w:rsid w:val="7A9B4AFD"/>
    <w:rsid w:val="7B686D42"/>
    <w:rsid w:val="7B841746"/>
    <w:rsid w:val="7BA805CF"/>
    <w:rsid w:val="7BB6113D"/>
    <w:rsid w:val="7C0B11B3"/>
    <w:rsid w:val="7C5A67D5"/>
    <w:rsid w:val="7C5C70AB"/>
    <w:rsid w:val="7C6C5AC7"/>
    <w:rsid w:val="7CC6544B"/>
    <w:rsid w:val="7D0239FF"/>
    <w:rsid w:val="7D087552"/>
    <w:rsid w:val="7D351A82"/>
    <w:rsid w:val="7D5E40CD"/>
    <w:rsid w:val="7DCD56F2"/>
    <w:rsid w:val="7E6C008D"/>
    <w:rsid w:val="7E72202C"/>
    <w:rsid w:val="7EA95C2F"/>
    <w:rsid w:val="7F001CE7"/>
    <w:rsid w:val="7F221134"/>
    <w:rsid w:val="7F975393"/>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1"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11"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tabs>
        <w:tab w:val="left" w:pos="360"/>
        <w:tab w:val="left" w:pos="432"/>
        <w:tab w:val="left" w:pos="576"/>
      </w:tabs>
      <w:spacing w:before="260" w:after="240" w:afterLines="100"/>
      <w:outlineLvl w:val="1"/>
    </w:pPr>
    <w:rPr>
      <w:rFonts w:ascii="Arial" w:hAnsi="Arial" w:eastAsia="黑体"/>
      <w:bCs/>
      <w:sz w:val="28"/>
      <w:szCs w:val="32"/>
      <w:lang w:val="en-US" w:eastAsia="zh-CN" w:bidi="ar-SA"/>
    </w:rPr>
  </w:style>
  <w:style w:type="paragraph" w:styleId="4">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6"/>
    <w:unhideWhenUsed/>
    <w:qFormat/>
    <w:locked/>
    <w:uiPriority w:val="1"/>
    <w:pPr>
      <w:ind w:left="217"/>
      <w:outlineLvl w:val="3"/>
    </w:pPr>
    <w:rPr>
      <w:rFonts w:hint="eastAsia"/>
      <w:b/>
      <w:sz w:val="24"/>
      <w:szCs w:val="24"/>
    </w:rPr>
  </w:style>
  <w:style w:type="paragraph" w:styleId="9">
    <w:name w:val="heading 5"/>
    <w:basedOn w:val="1"/>
    <w:next w:val="1"/>
    <w:qFormat/>
    <w:locked/>
    <w:uiPriority w:val="0"/>
    <w:pPr>
      <w:widowControl w:val="0"/>
      <w:numPr>
        <w:ilvl w:val="4"/>
        <w:numId w:val="1"/>
      </w:numPr>
      <w:tabs>
        <w:tab w:val="left" w:pos="289"/>
      </w:tabs>
      <w:adjustRightInd/>
      <w:snapToGrid/>
      <w:spacing w:before="25" w:after="25"/>
      <w:ind w:left="0" w:firstLine="200"/>
      <w:outlineLvl w:val="4"/>
    </w:pPr>
    <w:rPr>
      <w:rFonts w:ascii="Times New Roman" w:hAnsi="Times New Roman" w:eastAsia="宋体" w:cs="Times New Roman"/>
      <w:bCs/>
      <w:color w:val="000000"/>
      <w:kern w:val="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Body Text First Indent"/>
    <w:basedOn w:val="1"/>
    <w:next w:val="7"/>
    <w:link w:val="61"/>
    <w:qFormat/>
    <w:locked/>
    <w:uiPriority w:val="0"/>
    <w:pPr>
      <w:ind w:firstLine="420" w:firstLineChars="100"/>
    </w:pPr>
    <w:rPr>
      <w:szCs w:val="24"/>
    </w:rPr>
  </w:style>
  <w:style w:type="paragraph" w:styleId="7">
    <w:name w:val="Plain Text"/>
    <w:basedOn w:val="1"/>
    <w:next w:val="8"/>
    <w:qFormat/>
    <w:locked/>
    <w:uiPriority w:val="0"/>
    <w:pPr>
      <w:spacing w:line="240" w:lineRule="auto"/>
      <w:ind w:firstLine="200" w:firstLineChars="200"/>
    </w:pPr>
    <w:rPr>
      <w:rFonts w:ascii="宋体" w:hAnsi="Courier New" w:cs="Courier New"/>
      <w:sz w:val="21"/>
      <w:szCs w:val="21"/>
    </w:rPr>
  </w:style>
  <w:style w:type="paragraph" w:styleId="8">
    <w:name w:val="List Number 5"/>
    <w:basedOn w:val="1"/>
    <w:qFormat/>
    <w:locked/>
    <w:uiPriority w:val="0"/>
    <w:pPr>
      <w:numPr>
        <w:ilvl w:val="0"/>
        <w:numId w:val="2"/>
      </w:numPr>
    </w:pPr>
  </w:style>
  <w:style w:type="paragraph" w:styleId="10">
    <w:name w:val="Normal Indent"/>
    <w:basedOn w:val="1"/>
    <w:qFormat/>
    <w:locked/>
    <w:uiPriority w:val="0"/>
    <w:pPr>
      <w:adjustRightInd w:val="0"/>
      <w:snapToGrid w:val="0"/>
      <w:spacing w:line="360" w:lineRule="auto"/>
      <w:ind w:firstLine="200" w:firstLineChars="200"/>
      <w:jc w:val="left"/>
    </w:pPr>
    <w:rPr>
      <w:szCs w:val="20"/>
    </w:rPr>
  </w:style>
  <w:style w:type="paragraph" w:styleId="11">
    <w:name w:val="annotation text"/>
    <w:basedOn w:val="1"/>
    <w:link w:val="35"/>
    <w:semiHidden/>
    <w:qFormat/>
    <w:uiPriority w:val="0"/>
    <w:pPr>
      <w:jc w:val="left"/>
    </w:pPr>
    <w:rPr>
      <w:kern w:val="0"/>
      <w:sz w:val="24"/>
      <w:szCs w:val="20"/>
    </w:rPr>
  </w:style>
  <w:style w:type="paragraph" w:styleId="12">
    <w:name w:val="Body Text"/>
    <w:basedOn w:val="1"/>
    <w:link w:val="36"/>
    <w:qFormat/>
    <w:uiPriority w:val="0"/>
    <w:pPr>
      <w:widowControl/>
      <w:snapToGrid w:val="0"/>
      <w:spacing w:before="60" w:after="160" w:line="259" w:lineRule="auto"/>
      <w:ind w:right="113"/>
    </w:pPr>
    <w:rPr>
      <w:kern w:val="0"/>
      <w:sz w:val="18"/>
      <w:szCs w:val="20"/>
    </w:rPr>
  </w:style>
  <w:style w:type="paragraph" w:styleId="13">
    <w:name w:val="Body Text Indent"/>
    <w:basedOn w:val="1"/>
    <w:link w:val="37"/>
    <w:qFormat/>
    <w:uiPriority w:val="0"/>
    <w:pPr>
      <w:spacing w:after="120"/>
      <w:ind w:left="420" w:leftChars="200"/>
    </w:pPr>
    <w:rPr>
      <w:kern w:val="0"/>
      <w:sz w:val="24"/>
      <w:szCs w:val="20"/>
    </w:rPr>
  </w:style>
  <w:style w:type="paragraph" w:styleId="14">
    <w:name w:val="Date"/>
    <w:basedOn w:val="1"/>
    <w:next w:val="1"/>
    <w:link w:val="38"/>
    <w:qFormat/>
    <w:uiPriority w:val="0"/>
    <w:pPr>
      <w:ind w:left="100" w:leftChars="2500"/>
    </w:pPr>
    <w:rPr>
      <w:kern w:val="0"/>
      <w:sz w:val="24"/>
      <w:szCs w:val="20"/>
    </w:rPr>
  </w:style>
  <w:style w:type="paragraph" w:styleId="15">
    <w:name w:val="Balloon Text"/>
    <w:basedOn w:val="1"/>
    <w:link w:val="39"/>
    <w:semiHidden/>
    <w:qFormat/>
    <w:uiPriority w:val="0"/>
    <w:rPr>
      <w:kern w:val="0"/>
      <w:sz w:val="18"/>
      <w:szCs w:val="20"/>
    </w:rPr>
  </w:style>
  <w:style w:type="paragraph" w:styleId="16">
    <w:name w:val="footer"/>
    <w:basedOn w:val="1"/>
    <w:link w:val="40"/>
    <w:qFormat/>
    <w:uiPriority w:val="99"/>
    <w:pPr>
      <w:tabs>
        <w:tab w:val="center" w:pos="4153"/>
        <w:tab w:val="right" w:pos="8306"/>
      </w:tabs>
      <w:snapToGrid w:val="0"/>
      <w:jc w:val="left"/>
    </w:pPr>
    <w:rPr>
      <w:kern w:val="0"/>
      <w:sz w:val="18"/>
      <w:szCs w:val="20"/>
    </w:rPr>
  </w:style>
  <w:style w:type="paragraph" w:styleId="17">
    <w:name w:val="header"/>
    <w:basedOn w:val="1"/>
    <w:link w:val="41"/>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toc 1"/>
    <w:basedOn w:val="1"/>
    <w:next w:val="1"/>
    <w:qFormat/>
    <w:locked/>
    <w:uiPriority w:val="0"/>
  </w:style>
  <w:style w:type="paragraph" w:styleId="19">
    <w:name w:val="Subtitle"/>
    <w:basedOn w:val="1"/>
    <w:next w:val="1"/>
    <w:qFormat/>
    <w:locked/>
    <w:uiPriority w:val="11"/>
    <w:pPr>
      <w:widowControl/>
      <w:jc w:val="center"/>
    </w:pPr>
    <w:rPr>
      <w:bCs/>
      <w:kern w:val="28"/>
      <w:szCs w:val="32"/>
    </w:rPr>
  </w:style>
  <w:style w:type="paragraph" w:styleId="20">
    <w:name w:val="toc 2"/>
    <w:basedOn w:val="1"/>
    <w:next w:val="1"/>
    <w:qFormat/>
    <w:locked/>
    <w:uiPriority w:val="0"/>
    <w:pPr>
      <w:ind w:left="420" w:leftChars="200"/>
    </w:pPr>
  </w:style>
  <w:style w:type="paragraph" w:styleId="21">
    <w:name w:val="Normal (Web)"/>
    <w:basedOn w:val="1"/>
    <w:link w:val="42"/>
    <w:qFormat/>
    <w:uiPriority w:val="0"/>
    <w:pPr>
      <w:widowControl/>
      <w:spacing w:before="100" w:beforeAutospacing="1" w:after="100" w:afterAutospacing="1"/>
      <w:jc w:val="left"/>
    </w:pPr>
    <w:rPr>
      <w:rFonts w:ascii="宋体" w:hAnsi="宋体"/>
      <w:kern w:val="0"/>
      <w:sz w:val="24"/>
      <w:szCs w:val="20"/>
    </w:rPr>
  </w:style>
  <w:style w:type="paragraph" w:styleId="22">
    <w:name w:val="Title"/>
    <w:basedOn w:val="1"/>
    <w:next w:val="1"/>
    <w:qFormat/>
    <w:locked/>
    <w:uiPriority w:val="0"/>
    <w:pPr>
      <w:spacing w:line="360" w:lineRule="auto"/>
      <w:ind w:firstLine="200" w:firstLineChars="200"/>
    </w:pPr>
    <w:rPr>
      <w:rFonts w:ascii="Calibri Light" w:hAnsi="Calibri Light"/>
      <w:bCs/>
      <w:sz w:val="24"/>
      <w:szCs w:val="32"/>
    </w:rPr>
  </w:style>
  <w:style w:type="paragraph" w:styleId="23">
    <w:name w:val="annotation subject"/>
    <w:basedOn w:val="11"/>
    <w:next w:val="11"/>
    <w:link w:val="43"/>
    <w:semiHidden/>
    <w:qFormat/>
    <w:uiPriority w:val="0"/>
    <w:rPr>
      <w:b/>
    </w:rPr>
  </w:style>
  <w:style w:type="paragraph" w:styleId="24">
    <w:name w:val="Body Text First Indent 2"/>
    <w:basedOn w:val="13"/>
    <w:qFormat/>
    <w:locked/>
    <w:uiPriority w:val="0"/>
    <w:pPr>
      <w:ind w:firstLine="420"/>
    </w:pPr>
    <w:rPr>
      <w:rFonts w:ascii="Calibri"/>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locked/>
    <w:uiPriority w:val="0"/>
  </w:style>
  <w:style w:type="character" w:styleId="30">
    <w:name w:val="Hyperlink"/>
    <w:basedOn w:val="27"/>
    <w:qFormat/>
    <w:locked/>
    <w:uiPriority w:val="0"/>
    <w:rPr>
      <w:color w:val="0000FF"/>
      <w:u w:val="single"/>
    </w:rPr>
  </w:style>
  <w:style w:type="character" w:styleId="31">
    <w:name w:val="annotation reference"/>
    <w:semiHidden/>
    <w:qFormat/>
    <w:uiPriority w:val="0"/>
    <w:rPr>
      <w:sz w:val="21"/>
    </w:rPr>
  </w:style>
  <w:style w:type="paragraph" w:customStyle="1" w:styleId="32">
    <w:name w:val="Default"/>
    <w:basedOn w:val="33"/>
    <w:qFormat/>
    <w:uiPriority w:val="0"/>
    <w:pPr>
      <w:widowControl w:val="0"/>
      <w:autoSpaceDE w:val="0"/>
      <w:autoSpaceDN w:val="0"/>
      <w:adjustRightInd w:val="0"/>
    </w:pPr>
    <w:rPr>
      <w:rFonts w:ascii="方正小标宋_GBK" w:hAnsi="Times New Roman" w:eastAsia="方正小标宋_GBK" w:cs="方正小标宋_GBK"/>
      <w:color w:val="000000"/>
      <w:sz w:val="24"/>
      <w:szCs w:val="24"/>
      <w:lang w:val="en-US" w:eastAsia="zh-CN" w:bidi="ar-SA"/>
    </w:rPr>
  </w:style>
  <w:style w:type="paragraph" w:customStyle="1" w:styleId="33">
    <w:name w:val="纯文本1"/>
    <w:qFormat/>
    <w:uiPriority w:val="0"/>
    <w:pPr>
      <w:widowControl w:val="0"/>
      <w:adjustRightInd w:val="0"/>
      <w:jc w:val="both"/>
    </w:pPr>
    <w:rPr>
      <w:rFonts w:ascii="宋体" w:hAnsi="Courier New" w:eastAsia="宋体" w:cs="Times New Roman"/>
      <w:kern w:val="2"/>
      <w:sz w:val="21"/>
      <w:lang w:val="en-US" w:eastAsia="zh-CN" w:bidi="ar-SA"/>
    </w:rPr>
  </w:style>
  <w:style w:type="paragraph" w:customStyle="1" w:styleId="34">
    <w:name w:val="xl27"/>
    <w:basedOn w:val="1"/>
    <w:qFormat/>
    <w:uiPriority w:val="0"/>
    <w:pPr>
      <w:widowControl/>
      <w:pBdr>
        <w:top w:val="single" w:color="auto" w:sz="12" w:space="0"/>
        <w:left w:val="single" w:color="auto" w:sz="4" w:space="0"/>
        <w:bottom w:val="single" w:color="auto" w:sz="4" w:space="0"/>
        <w:right w:val="single" w:color="auto" w:sz="4" w:space="0"/>
      </w:pBdr>
      <w:shd w:val="clear" w:color="auto" w:fill="CCCCFF"/>
      <w:spacing w:before="100" w:beforeAutospacing="1" w:after="100" w:afterAutospacing="1"/>
      <w:jc w:val="center"/>
    </w:pPr>
    <w:rPr>
      <w:rFonts w:ascii="宋体" w:hAnsi="宋体"/>
      <w:kern w:val="0"/>
      <w:sz w:val="24"/>
    </w:rPr>
  </w:style>
  <w:style w:type="character" w:customStyle="1" w:styleId="35">
    <w:name w:val="批注文字 字符"/>
    <w:link w:val="11"/>
    <w:qFormat/>
    <w:locked/>
    <w:uiPriority w:val="0"/>
    <w:rPr>
      <w:rFonts w:ascii="Times New Roman" w:hAnsi="Times New Roman" w:eastAsia="宋体"/>
      <w:sz w:val="24"/>
    </w:rPr>
  </w:style>
  <w:style w:type="character" w:customStyle="1" w:styleId="36">
    <w:name w:val="正文文本 字符"/>
    <w:link w:val="12"/>
    <w:qFormat/>
    <w:locked/>
    <w:uiPriority w:val="0"/>
    <w:rPr>
      <w:sz w:val="18"/>
    </w:rPr>
  </w:style>
  <w:style w:type="character" w:customStyle="1" w:styleId="37">
    <w:name w:val="正文文本缩进 字符"/>
    <w:link w:val="13"/>
    <w:semiHidden/>
    <w:qFormat/>
    <w:locked/>
    <w:uiPriority w:val="0"/>
    <w:rPr>
      <w:rFonts w:ascii="Times New Roman" w:hAnsi="Times New Roman" w:eastAsia="宋体"/>
      <w:sz w:val="24"/>
    </w:rPr>
  </w:style>
  <w:style w:type="character" w:customStyle="1" w:styleId="38">
    <w:name w:val="日期 字符1"/>
    <w:link w:val="14"/>
    <w:qFormat/>
    <w:locked/>
    <w:uiPriority w:val="0"/>
    <w:rPr>
      <w:rFonts w:ascii="Times New Roman" w:hAnsi="Times New Roman" w:eastAsia="宋体"/>
      <w:sz w:val="24"/>
    </w:rPr>
  </w:style>
  <w:style w:type="character" w:customStyle="1" w:styleId="39">
    <w:name w:val="批注框文本 字符"/>
    <w:link w:val="15"/>
    <w:semiHidden/>
    <w:qFormat/>
    <w:locked/>
    <w:uiPriority w:val="0"/>
    <w:rPr>
      <w:rFonts w:ascii="Times New Roman" w:hAnsi="Times New Roman" w:eastAsia="宋体"/>
      <w:sz w:val="18"/>
    </w:rPr>
  </w:style>
  <w:style w:type="character" w:customStyle="1" w:styleId="40">
    <w:name w:val="页脚 字符1"/>
    <w:link w:val="16"/>
    <w:qFormat/>
    <w:locked/>
    <w:uiPriority w:val="99"/>
    <w:rPr>
      <w:sz w:val="18"/>
    </w:rPr>
  </w:style>
  <w:style w:type="character" w:customStyle="1" w:styleId="41">
    <w:name w:val="页眉 字符"/>
    <w:link w:val="17"/>
    <w:qFormat/>
    <w:locked/>
    <w:uiPriority w:val="0"/>
    <w:rPr>
      <w:sz w:val="18"/>
    </w:rPr>
  </w:style>
  <w:style w:type="character" w:customStyle="1" w:styleId="42">
    <w:name w:val="普通(网站) 字符"/>
    <w:link w:val="21"/>
    <w:qFormat/>
    <w:locked/>
    <w:uiPriority w:val="0"/>
    <w:rPr>
      <w:rFonts w:ascii="宋体" w:hAnsi="宋体" w:eastAsia="宋体"/>
      <w:sz w:val="24"/>
    </w:rPr>
  </w:style>
  <w:style w:type="character" w:customStyle="1" w:styleId="43">
    <w:name w:val="批注主题 字符"/>
    <w:link w:val="23"/>
    <w:semiHidden/>
    <w:qFormat/>
    <w:locked/>
    <w:uiPriority w:val="0"/>
    <w:rPr>
      <w:rFonts w:ascii="Times New Roman" w:hAnsi="Times New Roman" w:eastAsia="宋体"/>
      <w:b/>
      <w:kern w:val="2"/>
      <w:sz w:val="24"/>
    </w:rPr>
  </w:style>
  <w:style w:type="character" w:customStyle="1" w:styleId="44">
    <w:name w:val="页脚 字符"/>
    <w:basedOn w:val="27"/>
    <w:qFormat/>
    <w:uiPriority w:val="99"/>
  </w:style>
  <w:style w:type="character" w:customStyle="1" w:styleId="45">
    <w:name w:val="正文文本 字符1"/>
    <w:semiHidden/>
    <w:qFormat/>
    <w:uiPriority w:val="0"/>
    <w:rPr>
      <w:rFonts w:ascii="Times New Roman" w:hAnsi="Times New Roman" w:eastAsia="宋体"/>
      <w:sz w:val="24"/>
    </w:rPr>
  </w:style>
  <w:style w:type="character" w:customStyle="1" w:styleId="46">
    <w:name w:val="表格 Char"/>
    <w:link w:val="47"/>
    <w:qFormat/>
    <w:locked/>
    <w:uiPriority w:val="0"/>
    <w:rPr>
      <w:rFonts w:ascii="宋体"/>
      <w:sz w:val="21"/>
    </w:rPr>
  </w:style>
  <w:style w:type="paragraph" w:customStyle="1" w:styleId="47">
    <w:name w:val="表格"/>
    <w:basedOn w:val="1"/>
    <w:next w:val="1"/>
    <w:link w:val="46"/>
    <w:qFormat/>
    <w:uiPriority w:val="0"/>
    <w:pPr>
      <w:adjustRightInd w:val="0"/>
      <w:snapToGrid w:val="0"/>
      <w:spacing w:beforeLines="10" w:afterLines="10" w:line="259" w:lineRule="auto"/>
      <w:jc w:val="center"/>
    </w:pPr>
    <w:rPr>
      <w:rFonts w:ascii="宋体"/>
      <w:kern w:val="0"/>
      <w:szCs w:val="20"/>
    </w:rPr>
  </w:style>
  <w:style w:type="character" w:customStyle="1" w:styleId="48">
    <w:name w:val="日期 字符"/>
    <w:semiHidden/>
    <w:qFormat/>
    <w:uiPriority w:val="0"/>
    <w:rPr>
      <w:rFonts w:ascii="Times New Roman" w:hAnsi="Times New Roman" w:eastAsia="宋体"/>
      <w:sz w:val="24"/>
    </w:rPr>
  </w:style>
  <w:style w:type="character" w:customStyle="1" w:styleId="49">
    <w:name w:val="批注文字 字符1"/>
    <w:semiHidden/>
    <w:qFormat/>
    <w:uiPriority w:val="0"/>
    <w:rPr>
      <w:rFonts w:ascii="Times New Roman" w:hAnsi="Times New Roman" w:eastAsia="宋体"/>
      <w:sz w:val="24"/>
    </w:rPr>
  </w:style>
  <w:style w:type="paragraph" w:customStyle="1" w:styleId="5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2">
    <w:name w:val="Table Paragraph"/>
    <w:basedOn w:val="1"/>
    <w:qFormat/>
    <w:uiPriority w:val="1"/>
  </w:style>
  <w:style w:type="paragraph" w:customStyle="1" w:styleId="53">
    <w:name w:val="表格正文"/>
    <w:basedOn w:val="54"/>
    <w:next w:val="1"/>
    <w:qFormat/>
    <w:uiPriority w:val="0"/>
    <w:pPr>
      <w:spacing w:before="20" w:beforeLines="20" w:after="20" w:afterLines="20"/>
    </w:pPr>
    <w:rPr>
      <w:kern w:val="2"/>
    </w:rPr>
  </w:style>
  <w:style w:type="paragraph" w:customStyle="1" w:styleId="54">
    <w:name w:val="表格格式"/>
    <w:basedOn w:val="1"/>
    <w:qFormat/>
    <w:uiPriority w:val="0"/>
    <w:pPr>
      <w:jc w:val="center"/>
    </w:pPr>
    <w:rPr>
      <w:b/>
      <w:kern w:val="0"/>
      <w:szCs w:val="21"/>
    </w:rPr>
  </w:style>
  <w:style w:type="paragraph" w:customStyle="1" w:styleId="55">
    <w:name w:val="报告正文"/>
    <w:basedOn w:val="1"/>
    <w:qFormat/>
    <w:uiPriority w:val="0"/>
    <w:pPr>
      <w:adjustRightInd w:val="0"/>
      <w:spacing w:after="120" w:line="360" w:lineRule="auto"/>
      <w:ind w:firstLine="510"/>
    </w:pPr>
    <w:rPr>
      <w:rFonts w:ascii="宋体" w:hAnsi="Courier New"/>
      <w:kern w:val="0"/>
      <w:sz w:val="24"/>
      <w:szCs w:val="20"/>
    </w:rPr>
  </w:style>
  <w:style w:type="paragraph" w:customStyle="1" w:styleId="56">
    <w:name w:val="A正文1"/>
    <w:basedOn w:val="1"/>
    <w:qFormat/>
    <w:uiPriority w:val="0"/>
    <w:pPr>
      <w:ind w:firstLine="480" w:firstLineChars="200"/>
    </w:pPr>
  </w:style>
  <w:style w:type="paragraph" w:customStyle="1" w:styleId="57">
    <w:name w:val="表格文字"/>
    <w:basedOn w:val="6"/>
    <w:next w:val="1"/>
    <w:qFormat/>
    <w:uiPriority w:val="0"/>
    <w:pPr>
      <w:adjustRightInd w:val="0"/>
      <w:spacing w:before="20" w:beforeLines="20" w:after="20" w:afterLines="20" w:line="240" w:lineRule="auto"/>
      <w:ind w:firstLine="0" w:firstLineChars="0"/>
      <w:jc w:val="center"/>
    </w:pPr>
    <w:rPr>
      <w:sz w:val="21"/>
    </w:rPr>
  </w:style>
  <w:style w:type="paragraph" w:customStyle="1" w:styleId="58">
    <w:name w:val="表格内容居中"/>
    <w:qFormat/>
    <w:uiPriority w:val="0"/>
    <w:pPr>
      <w:adjustRightInd w:val="0"/>
      <w:snapToGrid w:val="0"/>
      <w:jc w:val="center"/>
    </w:pPr>
    <w:rPr>
      <w:rFonts w:ascii="Times New Roman" w:hAnsi="Times New Roman" w:eastAsia="宋体" w:cs="Times New Roman"/>
      <w:snapToGrid w:val="0"/>
      <w:sz w:val="21"/>
      <w:lang w:val="en-US" w:eastAsia="zh-CN" w:bidi="ar-SA"/>
    </w:rPr>
  </w:style>
  <w:style w:type="paragraph" w:customStyle="1" w:styleId="59">
    <w:name w:val="样式 报告 + 首行缩进:  2 字符"/>
    <w:basedOn w:val="1"/>
    <w:unhideWhenUsed/>
    <w:qFormat/>
    <w:uiPriority w:val="0"/>
    <w:pPr>
      <w:widowControl/>
      <w:overflowPunct w:val="0"/>
      <w:autoSpaceDE w:val="0"/>
      <w:autoSpaceDN w:val="0"/>
      <w:adjustRightInd w:val="0"/>
      <w:spacing w:before="120" w:after="120" w:line="400" w:lineRule="atLeast"/>
      <w:ind w:firstLine="480"/>
      <w:textAlignment w:val="baseline"/>
    </w:pPr>
    <w:rPr>
      <w:kern w:val="0"/>
      <w:sz w:val="24"/>
    </w:rPr>
  </w:style>
  <w:style w:type="paragraph" w:customStyle="1" w:styleId="60">
    <w:name w:val="卓龙正文"/>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61">
    <w:name w:val="正文文本首行缩进 字符"/>
    <w:link w:val="6"/>
    <w:qFormat/>
    <w:uiPriority w:val="0"/>
    <w:rPr>
      <w:kern w:val="2"/>
      <w:sz w:val="24"/>
      <w:szCs w:val="24"/>
    </w:rPr>
  </w:style>
  <w:style w:type="paragraph" w:styleId="62">
    <w:name w:val="List Paragraph"/>
    <w:basedOn w:val="1"/>
    <w:qFormat/>
    <w:uiPriority w:val="99"/>
    <w:pPr>
      <w:ind w:firstLine="420" w:firstLineChars="200"/>
    </w:pPr>
  </w:style>
  <w:style w:type="paragraph" w:customStyle="1" w:styleId="63">
    <w:name w:val="报告表格"/>
    <w:qFormat/>
    <w:uiPriority w:val="0"/>
    <w:pPr>
      <w:widowControl w:val="0"/>
      <w:autoSpaceDE w:val="0"/>
      <w:autoSpaceDN w:val="0"/>
      <w:adjustRightInd w:val="0"/>
      <w:spacing w:before="40" w:after="40" w:line="360" w:lineRule="auto"/>
      <w:ind w:firstLine="640" w:firstLineChars="200"/>
      <w:jc w:val="center"/>
    </w:pPr>
    <w:rPr>
      <w:rFonts w:ascii="Times New Roman" w:hAnsi="Times New Roman" w:eastAsia="宋体" w:cs="Times New Roman"/>
      <w:sz w:val="21"/>
      <w:szCs w:val="24"/>
      <w:lang w:val="en-US" w:eastAsia="zh-CN" w:bidi="ar-SA"/>
    </w:rPr>
  </w:style>
  <w:style w:type="paragraph" w:customStyle="1" w:styleId="64">
    <w:name w:val="1正文"/>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5">
    <w:name w:val="1表格内容"/>
    <w:basedOn w:val="1"/>
    <w:qFormat/>
    <w:uiPriority w:val="0"/>
    <w:pPr>
      <w:widowControl/>
      <w:spacing w:line="240" w:lineRule="exact"/>
      <w:jc w:val="center"/>
    </w:pPr>
    <w:rPr>
      <w:color w:val="000000"/>
      <w:sz w:val="18"/>
      <w:szCs w:val="22"/>
    </w:rPr>
  </w:style>
  <w:style w:type="paragraph" w:customStyle="1" w:styleId="66">
    <w:name w:val="M-表头"/>
    <w:basedOn w:val="1"/>
    <w:qFormat/>
    <w:uiPriority w:val="0"/>
    <w:pPr>
      <w:widowControl/>
      <w:spacing w:line="240" w:lineRule="auto"/>
      <w:ind w:firstLine="200" w:firstLineChars="200"/>
      <w:jc w:val="center"/>
    </w:pPr>
    <w:rPr>
      <w:szCs w:val="21"/>
    </w:rPr>
  </w:style>
  <w:style w:type="paragraph" w:customStyle="1" w:styleId="67">
    <w:name w:val="表标题"/>
    <w:basedOn w:val="1"/>
    <w:qFormat/>
    <w:uiPriority w:val="0"/>
    <w:pPr>
      <w:adjustRightInd w:val="0"/>
      <w:snapToGrid w:val="0"/>
      <w:jc w:val="center"/>
    </w:pPr>
    <w:rPr>
      <w:b/>
    </w:rPr>
  </w:style>
  <w:style w:type="paragraph" w:customStyle="1" w:styleId="68">
    <w:name w:val="正文-易恒"/>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69">
    <w:name w:val="表头-易恒"/>
    <w:basedOn w:val="68"/>
    <w:next w:val="68"/>
    <w:qFormat/>
    <w:uiPriority w:val="0"/>
    <w:pPr>
      <w:spacing w:beforeLines="50" w:line="240" w:lineRule="auto"/>
      <w:ind w:firstLine="0" w:firstLineChars="0"/>
      <w:jc w:val="center"/>
    </w:pPr>
    <w:rPr>
      <w:b/>
    </w:rPr>
  </w:style>
  <w:style w:type="paragraph" w:customStyle="1" w:styleId="70">
    <w:name w:val="表格-易恒"/>
    <w:basedOn w:val="68"/>
    <w:qFormat/>
    <w:uiPriority w:val="0"/>
    <w:pPr>
      <w:spacing w:line="240" w:lineRule="auto"/>
      <w:ind w:firstLine="0" w:firstLineChars="0"/>
      <w:jc w:val="center"/>
    </w:pPr>
    <w:rPr>
      <w:sz w:val="21"/>
    </w:rPr>
  </w:style>
  <w:style w:type="paragraph" w:customStyle="1" w:styleId="71">
    <w:name w:val="正文内容"/>
    <w:basedOn w:val="1"/>
    <w:qFormat/>
    <w:uiPriority w:val="0"/>
    <w:pPr>
      <w:spacing w:line="360" w:lineRule="auto"/>
      <w:ind w:firstLine="200" w:firstLineChars="200"/>
    </w:pPr>
    <w:rPr>
      <w:kern w:val="0"/>
      <w:sz w:val="24"/>
      <w:szCs w:val="21"/>
    </w:rPr>
  </w:style>
  <w:style w:type="table" w:customStyle="1" w:styleId="72">
    <w:name w:val="Table Normal"/>
    <w:basedOn w:val="25"/>
    <w:qFormat/>
    <w:uiPriority w:val="0"/>
    <w:rPr>
      <w:rFonts w:eastAsia="Times New Roman"/>
    </w:rPr>
    <w:tblPr>
      <w:tblCellMar>
        <w:top w:w="0" w:type="dxa"/>
        <w:left w:w="0" w:type="dxa"/>
        <w:bottom w:w="0" w:type="dxa"/>
        <w:right w:w="0" w:type="dxa"/>
      </w:tblCellMar>
    </w:tblPr>
  </w:style>
  <w:style w:type="paragraph" w:customStyle="1" w:styleId="73">
    <w:name w:val="Normal"/>
    <w:qFormat/>
    <w:uiPriority w:val="0"/>
    <w:pPr>
      <w:jc w:val="both"/>
    </w:pPr>
    <w:rPr>
      <w:rFonts w:ascii="宋体" w:hAnsi="宋体" w:eastAsia="等线" w:cs="宋体"/>
      <w:kern w:val="2"/>
      <w:sz w:val="21"/>
      <w:szCs w:val="21"/>
      <w:lang w:val="en-US" w:eastAsia="zh-CN" w:bidi="ar-SA"/>
    </w:rPr>
  </w:style>
  <w:style w:type="paragraph" w:customStyle="1" w:styleId="74">
    <w:name w:val="5、正文"/>
    <w:basedOn w:val="7"/>
    <w:qFormat/>
    <w:uiPriority w:val="0"/>
    <w:rPr>
      <w:szCs w:val="21"/>
    </w:rPr>
  </w:style>
  <w:style w:type="paragraph" w:customStyle="1" w:styleId="75">
    <w:name w:val="正文2"/>
    <w:basedOn w:val="1"/>
    <w:qFormat/>
    <w:uiPriority w:val="0"/>
    <w:pPr>
      <w:spacing w:line="240" w:lineRule="auto"/>
      <w:ind w:firstLine="0" w:firstLineChars="0"/>
      <w:jc w:val="center"/>
    </w:pPr>
  </w:style>
  <w:style w:type="paragraph" w:customStyle="1" w:styleId="76">
    <w:name w:val="表文字"/>
    <w:basedOn w:val="1"/>
    <w:qFormat/>
    <w:uiPriority w:val="0"/>
    <w:pPr>
      <w:spacing w:line="240" w:lineRule="auto"/>
      <w:ind w:firstLine="0" w:firstLineChars="0"/>
      <w:jc w:val="center"/>
    </w:pPr>
    <w:rPr>
      <w:b/>
      <w:bCs/>
      <w:kern w:val="10"/>
    </w:rPr>
  </w:style>
  <w:style w:type="paragraph" w:customStyle="1" w:styleId="77">
    <w:name w:val="表格内文字"/>
    <w:next w:val="1"/>
    <w:qFormat/>
    <w:uiPriority w:val="0"/>
    <w:pPr>
      <w:jc w:val="center"/>
    </w:pPr>
    <w:rPr>
      <w:rFonts w:ascii="Times New Roman" w:hAnsi="Times New Roman" w:eastAsia="宋体" w:cs="宋体"/>
      <w:kern w:val="2"/>
      <w:sz w:val="21"/>
      <w:szCs w:val="21"/>
      <w:lang w:val="en-US" w:eastAsia="zh-CN" w:bidi="ar-SA"/>
    </w:rPr>
  </w:style>
  <w:style w:type="paragraph" w:customStyle="1" w:styleId="78">
    <w:name w:val="列出段落1"/>
    <w:basedOn w:val="1"/>
    <w:qFormat/>
    <w:uiPriority w:val="34"/>
    <w:pPr>
      <w:ind w:firstLine="420"/>
    </w:pPr>
  </w:style>
  <w:style w:type="paragraph" w:customStyle="1" w:styleId="79">
    <w:name w:val="环评正文"/>
    <w:basedOn w:val="1"/>
    <w:autoRedefine/>
    <w:qFormat/>
    <w:uiPriority w:val="0"/>
    <w:pPr>
      <w:spacing w:before="93" w:beforeLines="30"/>
      <w:ind w:firstLine="480" w:firstLineChars="200"/>
    </w:pPr>
    <w:rPr>
      <w:kern w:val="0"/>
      <w:sz w:val="24"/>
      <w:szCs w:val="20"/>
    </w:rPr>
  </w:style>
  <w:style w:type="paragraph" w:customStyle="1" w:styleId="80">
    <w:name w:val="正文01"/>
    <w:basedOn w:val="1"/>
    <w:qFormat/>
    <w:uiPriority w:val="0"/>
    <w:pPr>
      <w:spacing w:before="60" w:beforeLines="0" w:line="460" w:lineRule="exact"/>
      <w:ind w:firstLine="200" w:firstLineChars="200"/>
    </w:pPr>
    <w:rPr>
      <w:rFonts w:ascii="宋体" w:hAnsi="宋体"/>
      <w:sz w:val="24"/>
      <w:szCs w:val="24"/>
    </w:rPr>
  </w:style>
  <w:style w:type="paragraph" w:customStyle="1" w:styleId="81">
    <w:name w:val="Table Text"/>
    <w:basedOn w:val="1"/>
    <w:semiHidden/>
    <w:qFormat/>
    <w:uiPriority w:val="0"/>
    <w:rPr>
      <w:rFonts w:ascii="宋体" w:hAnsi="宋体" w:eastAsia="宋体" w:cs="宋体"/>
      <w:sz w:val="24"/>
      <w:szCs w:val="24"/>
      <w:lang w:val="en-US" w:eastAsia="en-US" w:bidi="ar-SA"/>
    </w:rPr>
  </w:style>
  <w:style w:type="paragraph" w:customStyle="1" w:styleId="82">
    <w:name w:val="样式 行距: 1.5 倍行距 首行缩进:  0 字符"/>
    <w:basedOn w:val="1"/>
    <w:qFormat/>
    <w:uiPriority w:val="0"/>
    <w:pPr>
      <w:adjustRightInd w:val="0"/>
      <w:snapToGrid w:val="0"/>
      <w:spacing w:line="360" w:lineRule="auto"/>
    </w:pPr>
    <w:rPr>
      <w:rFonts w:cs="宋体"/>
    </w:rPr>
  </w:style>
</w:styles>
</file>

<file path=word/_rels/document.xml.rels><?xml version="1.0" encoding="UTF-8" standalone="yes"?>
<Relationships xmlns="http://schemas.openxmlformats.org/package/2006/relationships"><Relationship Id="rId99" Type="http://schemas.openxmlformats.org/officeDocument/2006/relationships/image" Target="media/image84.png"/><Relationship Id="rId98" Type="http://schemas.openxmlformats.org/officeDocument/2006/relationships/image" Target="media/image83.png"/><Relationship Id="rId97" Type="http://schemas.openxmlformats.org/officeDocument/2006/relationships/image" Target="media/image82.png"/><Relationship Id="rId96" Type="http://schemas.openxmlformats.org/officeDocument/2006/relationships/image" Target="media/image81.png"/><Relationship Id="rId95" Type="http://schemas.openxmlformats.org/officeDocument/2006/relationships/image" Target="media/image80.png"/><Relationship Id="rId94" Type="http://schemas.openxmlformats.org/officeDocument/2006/relationships/image" Target="media/image79.png"/><Relationship Id="rId93" Type="http://schemas.openxmlformats.org/officeDocument/2006/relationships/image" Target="media/image78.png"/><Relationship Id="rId92" Type="http://schemas.openxmlformats.org/officeDocument/2006/relationships/image" Target="media/image77.png"/><Relationship Id="rId91" Type="http://schemas.openxmlformats.org/officeDocument/2006/relationships/image" Target="media/image76.png"/><Relationship Id="rId90" Type="http://schemas.openxmlformats.org/officeDocument/2006/relationships/image" Target="media/image75.png"/><Relationship Id="rId9" Type="http://schemas.openxmlformats.org/officeDocument/2006/relationships/header" Target="header1.xml"/><Relationship Id="rId89" Type="http://schemas.openxmlformats.org/officeDocument/2006/relationships/image" Target="media/image74.png"/><Relationship Id="rId88" Type="http://schemas.openxmlformats.org/officeDocument/2006/relationships/image" Target="media/image73.png"/><Relationship Id="rId87" Type="http://schemas.openxmlformats.org/officeDocument/2006/relationships/image" Target="media/image72.png"/><Relationship Id="rId86" Type="http://schemas.openxmlformats.org/officeDocument/2006/relationships/image" Target="media/image71.png"/><Relationship Id="rId85" Type="http://schemas.openxmlformats.org/officeDocument/2006/relationships/image" Target="media/image70.png"/><Relationship Id="rId84" Type="http://schemas.openxmlformats.org/officeDocument/2006/relationships/image" Target="media/image69.png"/><Relationship Id="rId83" Type="http://schemas.openxmlformats.org/officeDocument/2006/relationships/image" Target="media/image68.png"/><Relationship Id="rId82" Type="http://schemas.openxmlformats.org/officeDocument/2006/relationships/image" Target="media/image67.png"/><Relationship Id="rId81" Type="http://schemas.openxmlformats.org/officeDocument/2006/relationships/image" Target="media/image66.png"/><Relationship Id="rId80" Type="http://schemas.openxmlformats.org/officeDocument/2006/relationships/image" Target="media/image65.png"/><Relationship Id="rId8" Type="http://schemas.openxmlformats.org/officeDocument/2006/relationships/footer" Target="footer6.xml"/><Relationship Id="rId79" Type="http://schemas.openxmlformats.org/officeDocument/2006/relationships/image" Target="media/image64.png"/><Relationship Id="rId78" Type="http://schemas.openxmlformats.org/officeDocument/2006/relationships/image" Target="media/image63.png"/><Relationship Id="rId77" Type="http://schemas.openxmlformats.org/officeDocument/2006/relationships/image" Target="media/image62.png"/><Relationship Id="rId76" Type="http://schemas.openxmlformats.org/officeDocument/2006/relationships/image" Target="media/image61.png"/><Relationship Id="rId75" Type="http://schemas.openxmlformats.org/officeDocument/2006/relationships/image" Target="media/image60.png"/><Relationship Id="rId74" Type="http://schemas.openxmlformats.org/officeDocument/2006/relationships/image" Target="media/image59.png"/><Relationship Id="rId73" Type="http://schemas.openxmlformats.org/officeDocument/2006/relationships/image" Target="media/image58.png"/><Relationship Id="rId72" Type="http://schemas.openxmlformats.org/officeDocument/2006/relationships/image" Target="media/image57.png"/><Relationship Id="rId71" Type="http://schemas.openxmlformats.org/officeDocument/2006/relationships/image" Target="media/image56.png"/><Relationship Id="rId70" Type="http://schemas.openxmlformats.org/officeDocument/2006/relationships/image" Target="media/image55.png"/><Relationship Id="rId7" Type="http://schemas.openxmlformats.org/officeDocument/2006/relationships/footer" Target="footer5.xml"/><Relationship Id="rId69" Type="http://schemas.openxmlformats.org/officeDocument/2006/relationships/image" Target="media/image54.png"/><Relationship Id="rId68" Type="http://schemas.openxmlformats.org/officeDocument/2006/relationships/image" Target="media/image53.png"/><Relationship Id="rId67" Type="http://schemas.openxmlformats.org/officeDocument/2006/relationships/image" Target="media/image52.png"/><Relationship Id="rId66" Type="http://schemas.openxmlformats.org/officeDocument/2006/relationships/image" Target="media/image51.png"/><Relationship Id="rId65" Type="http://schemas.openxmlformats.org/officeDocument/2006/relationships/image" Target="media/image50.png"/><Relationship Id="rId64" Type="http://schemas.openxmlformats.org/officeDocument/2006/relationships/image" Target="media/image49.png"/><Relationship Id="rId63" Type="http://schemas.openxmlformats.org/officeDocument/2006/relationships/image" Target="media/image48.png"/><Relationship Id="rId62" Type="http://schemas.openxmlformats.org/officeDocument/2006/relationships/image" Target="media/image47.png"/><Relationship Id="rId61" Type="http://schemas.openxmlformats.org/officeDocument/2006/relationships/image" Target="media/image46.png"/><Relationship Id="rId60" Type="http://schemas.openxmlformats.org/officeDocument/2006/relationships/image" Target="media/image45.png"/><Relationship Id="rId6" Type="http://schemas.openxmlformats.org/officeDocument/2006/relationships/footer" Target="footer4.xml"/><Relationship Id="rId59" Type="http://schemas.openxmlformats.org/officeDocument/2006/relationships/image" Target="media/image44.png"/><Relationship Id="rId58" Type="http://schemas.openxmlformats.org/officeDocument/2006/relationships/image" Target="media/image43.png"/><Relationship Id="rId57" Type="http://schemas.openxmlformats.org/officeDocument/2006/relationships/image" Target="media/image42.png"/><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png"/><Relationship Id="rId52" Type="http://schemas.openxmlformats.org/officeDocument/2006/relationships/image" Target="media/image37.png"/><Relationship Id="rId51" Type="http://schemas.openxmlformats.org/officeDocument/2006/relationships/image" Target="media/image36.png"/><Relationship Id="rId50" Type="http://schemas.openxmlformats.org/officeDocument/2006/relationships/image" Target="media/image35.png"/><Relationship Id="rId5" Type="http://schemas.openxmlformats.org/officeDocument/2006/relationships/footer" Target="footer3.xml"/><Relationship Id="rId49" Type="http://schemas.openxmlformats.org/officeDocument/2006/relationships/image" Target="media/image34.png"/><Relationship Id="rId48" Type="http://schemas.openxmlformats.org/officeDocument/2006/relationships/image" Target="media/image33.jpeg"/><Relationship Id="rId47" Type="http://schemas.openxmlformats.org/officeDocument/2006/relationships/image" Target="media/image32.jpeg"/><Relationship Id="rId46" Type="http://schemas.openxmlformats.org/officeDocument/2006/relationships/image" Target="media/image31.jpeg"/><Relationship Id="rId45" Type="http://schemas.openxmlformats.org/officeDocument/2006/relationships/image" Target="media/image30.jpeg"/><Relationship Id="rId44" Type="http://schemas.openxmlformats.org/officeDocument/2006/relationships/image" Target="media/image29.jpeg"/><Relationship Id="rId43" Type="http://schemas.openxmlformats.org/officeDocument/2006/relationships/image" Target="media/image28.jpeg"/><Relationship Id="rId42" Type="http://schemas.openxmlformats.org/officeDocument/2006/relationships/image" Target="media/image27.jpeg"/><Relationship Id="rId41" Type="http://schemas.openxmlformats.org/officeDocument/2006/relationships/image" Target="media/image26.jpeg"/><Relationship Id="rId40" Type="http://schemas.openxmlformats.org/officeDocument/2006/relationships/image" Target="media/image25.jpeg"/><Relationship Id="rId4" Type="http://schemas.openxmlformats.org/officeDocument/2006/relationships/footer" Target="footer2.xml"/><Relationship Id="rId39" Type="http://schemas.openxmlformats.org/officeDocument/2006/relationships/image" Target="media/image24.jpeg"/><Relationship Id="rId38" Type="http://schemas.openxmlformats.org/officeDocument/2006/relationships/image" Target="media/image23.jpeg"/><Relationship Id="rId37" Type="http://schemas.openxmlformats.org/officeDocument/2006/relationships/image" Target="media/image22.jpeg"/><Relationship Id="rId36" Type="http://schemas.openxmlformats.org/officeDocument/2006/relationships/image" Target="media/image21.jpeg"/><Relationship Id="rId35" Type="http://schemas.openxmlformats.org/officeDocument/2006/relationships/image" Target="media/image20.jpeg"/><Relationship Id="rId34" Type="http://schemas.openxmlformats.org/officeDocument/2006/relationships/image" Target="media/image19.wmf"/><Relationship Id="rId33" Type="http://schemas.openxmlformats.org/officeDocument/2006/relationships/oleObject" Target="embeddings/oleObject2.bin"/><Relationship Id="rId32" Type="http://schemas.openxmlformats.org/officeDocument/2006/relationships/image" Target="media/image18.wmf"/><Relationship Id="rId31" Type="http://schemas.openxmlformats.org/officeDocument/2006/relationships/oleObject" Target="embeddings/oleObject1.bin"/><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1" Type="http://schemas.openxmlformats.org/officeDocument/2006/relationships/fontTable" Target="fontTable.xml"/><Relationship Id="rId120" Type="http://schemas.openxmlformats.org/officeDocument/2006/relationships/numbering" Target="numbering.xml"/><Relationship Id="rId12" Type="http://schemas.openxmlformats.org/officeDocument/2006/relationships/footer" Target="footer8.xml"/><Relationship Id="rId119" Type="http://schemas.openxmlformats.org/officeDocument/2006/relationships/customXml" Target="../customXml/item1.xml"/><Relationship Id="rId118" Type="http://schemas.openxmlformats.org/officeDocument/2006/relationships/image" Target="media/image103.png"/><Relationship Id="rId117" Type="http://schemas.openxmlformats.org/officeDocument/2006/relationships/image" Target="media/image102.png"/><Relationship Id="rId116" Type="http://schemas.openxmlformats.org/officeDocument/2006/relationships/image" Target="media/image101.png"/><Relationship Id="rId115" Type="http://schemas.openxmlformats.org/officeDocument/2006/relationships/image" Target="media/image100.png"/><Relationship Id="rId114" Type="http://schemas.openxmlformats.org/officeDocument/2006/relationships/image" Target="media/image99.png"/><Relationship Id="rId113" Type="http://schemas.openxmlformats.org/officeDocument/2006/relationships/image" Target="media/image98.png"/><Relationship Id="rId112" Type="http://schemas.openxmlformats.org/officeDocument/2006/relationships/image" Target="media/image97.png"/><Relationship Id="rId111" Type="http://schemas.openxmlformats.org/officeDocument/2006/relationships/image" Target="media/image96.png"/><Relationship Id="rId110" Type="http://schemas.openxmlformats.org/officeDocument/2006/relationships/image" Target="media/image95.png"/><Relationship Id="rId11" Type="http://schemas.openxmlformats.org/officeDocument/2006/relationships/header" Target="header2.xml"/><Relationship Id="rId109" Type="http://schemas.openxmlformats.org/officeDocument/2006/relationships/image" Target="media/image94.png"/><Relationship Id="rId108" Type="http://schemas.openxmlformats.org/officeDocument/2006/relationships/image" Target="media/image93.png"/><Relationship Id="rId107" Type="http://schemas.openxmlformats.org/officeDocument/2006/relationships/image" Target="media/image92.png"/><Relationship Id="rId106" Type="http://schemas.openxmlformats.org/officeDocument/2006/relationships/image" Target="media/image91.png"/><Relationship Id="rId105" Type="http://schemas.openxmlformats.org/officeDocument/2006/relationships/image" Target="media/image90.png"/><Relationship Id="rId104" Type="http://schemas.openxmlformats.org/officeDocument/2006/relationships/image" Target="media/image89.png"/><Relationship Id="rId103" Type="http://schemas.openxmlformats.org/officeDocument/2006/relationships/image" Target="media/image88.png"/><Relationship Id="rId102" Type="http://schemas.openxmlformats.org/officeDocument/2006/relationships/image" Target="media/image87.png"/><Relationship Id="rId101" Type="http://schemas.openxmlformats.org/officeDocument/2006/relationships/image" Target="media/image86.png"/><Relationship Id="rId100" Type="http://schemas.openxmlformats.org/officeDocument/2006/relationships/image" Target="media/image85.png"/><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180</Pages>
  <Words>13830</Words>
  <Characters>15167</Characters>
  <Lines>271</Lines>
  <Paragraphs>76</Paragraphs>
  <TotalTime>20</TotalTime>
  <ScaleCrop>false</ScaleCrop>
  <LinksUpToDate>false</LinksUpToDate>
  <CharactersWithSpaces>15416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2022-02-25T06:39:00Z</dcterms:created>
  <dc:creator>lhj</dc:creator>
  <cp:lastModifiedBy>trouble</cp:lastModifiedBy>
  <cp:lastPrinted>2022-03-07T13:07:00Z</cp:lastPrinted>
  <dcterms:modified xsi:type="dcterms:W3CDTF">2026-02-05T13:15:07Z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C115789D6B63421A99A2425A1B25E3BA</vt:lpwstr>
  </property>
  <property fmtid="{D5CDD505-2E9C-101B-9397-08002B2CF9AE}" pid="4" name="KSOTemplateDocerSaveRecord">
    <vt:lpwstr>eyJoZGlkIjoiOWI2NDlkZTI2YjNkM2RhMGEwNzM5NDNlMWI1ZWZlZTUiLCJ1c2VySWQiOiIxMTI0OTE0MTc2In0=</vt:lpwstr>
  </property>
</Properties>
</file>