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CBE51">
      <w:pPr>
        <w:pStyle w:val="18"/>
        <w:jc w:val="center"/>
        <w:rPr>
          <w:sz w:val="56"/>
          <w:szCs w:val="56"/>
        </w:rPr>
      </w:pPr>
    </w:p>
    <w:p w14:paraId="369270A1">
      <w:pPr>
        <w:pStyle w:val="18"/>
        <w:jc w:val="center"/>
        <w:rPr>
          <w:sz w:val="56"/>
          <w:szCs w:val="56"/>
        </w:rPr>
      </w:pPr>
    </w:p>
    <w:p w14:paraId="63A81290">
      <w:pPr>
        <w:pStyle w:val="18"/>
        <w:jc w:val="center"/>
        <w:rPr>
          <w:sz w:val="84"/>
          <w:szCs w:val="84"/>
        </w:rPr>
      </w:pPr>
    </w:p>
    <w:p w14:paraId="1C987749">
      <w:pPr>
        <w:pStyle w:val="18"/>
        <w:jc w:val="center"/>
        <w:rPr>
          <w:sz w:val="84"/>
          <w:szCs w:val="84"/>
        </w:rPr>
      </w:pPr>
    </w:p>
    <w:p w14:paraId="752A34ED">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467CA0F5">
      <w:pPr>
        <w:pStyle w:val="18"/>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华容县退役军人事务局</w:t>
      </w:r>
    </w:p>
    <w:p w14:paraId="4FB148E6">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34D93BDA">
      <w:pPr>
        <w:pStyle w:val="18"/>
        <w:jc w:val="center"/>
        <w:rPr>
          <w:rFonts w:ascii="方正小标宋_GBK" w:hAnsi="方正小标宋_GBK" w:eastAsia="方正小标宋_GBK" w:cs="方正小标宋_GBK"/>
          <w:sz w:val="56"/>
          <w:szCs w:val="56"/>
        </w:rPr>
      </w:pPr>
    </w:p>
    <w:p w14:paraId="78B38E6E">
      <w:pPr>
        <w:pStyle w:val="18"/>
        <w:jc w:val="center"/>
        <w:rPr>
          <w:sz w:val="56"/>
          <w:szCs w:val="56"/>
        </w:rPr>
      </w:pPr>
    </w:p>
    <w:p w14:paraId="01210413">
      <w:pPr>
        <w:pStyle w:val="18"/>
        <w:jc w:val="center"/>
        <w:rPr>
          <w:sz w:val="56"/>
          <w:szCs w:val="56"/>
        </w:rPr>
      </w:pPr>
    </w:p>
    <w:p w14:paraId="237033C4">
      <w:pPr>
        <w:pStyle w:val="18"/>
        <w:jc w:val="center"/>
        <w:rPr>
          <w:sz w:val="56"/>
          <w:szCs w:val="56"/>
        </w:rPr>
      </w:pPr>
    </w:p>
    <w:p w14:paraId="3C22D9EE">
      <w:pPr>
        <w:pStyle w:val="18"/>
        <w:jc w:val="center"/>
        <w:rPr>
          <w:sz w:val="32"/>
          <w:szCs w:val="32"/>
        </w:rPr>
      </w:pPr>
    </w:p>
    <w:p w14:paraId="7332B756">
      <w:pPr>
        <w:pStyle w:val="18"/>
        <w:jc w:val="center"/>
        <w:rPr>
          <w:sz w:val="32"/>
          <w:szCs w:val="32"/>
        </w:rPr>
      </w:pPr>
    </w:p>
    <w:p w14:paraId="74D81453">
      <w:pPr>
        <w:pStyle w:val="18"/>
        <w:jc w:val="center"/>
        <w:rPr>
          <w:sz w:val="32"/>
          <w:szCs w:val="32"/>
        </w:rPr>
      </w:pPr>
    </w:p>
    <w:p w14:paraId="41B950CA">
      <w:pPr>
        <w:pStyle w:val="18"/>
        <w:jc w:val="center"/>
        <w:rPr>
          <w:sz w:val="32"/>
          <w:szCs w:val="32"/>
        </w:rPr>
      </w:pPr>
    </w:p>
    <w:p w14:paraId="56B58686">
      <w:pPr>
        <w:pStyle w:val="18"/>
        <w:jc w:val="center"/>
        <w:rPr>
          <w:sz w:val="32"/>
          <w:szCs w:val="32"/>
        </w:rPr>
      </w:pPr>
    </w:p>
    <w:p w14:paraId="4D28B766">
      <w:pPr>
        <w:pStyle w:val="18"/>
        <w:spacing w:line="540" w:lineRule="exact"/>
        <w:jc w:val="center"/>
        <w:rPr>
          <w:sz w:val="56"/>
          <w:szCs w:val="56"/>
        </w:rPr>
      </w:pPr>
    </w:p>
    <w:p w14:paraId="550DE658">
      <w:pPr>
        <w:pStyle w:val="18"/>
        <w:spacing w:line="500" w:lineRule="exact"/>
        <w:jc w:val="both"/>
        <w:rPr>
          <w:b/>
          <w:sz w:val="36"/>
          <w:szCs w:val="28"/>
        </w:rPr>
      </w:pPr>
    </w:p>
    <w:p w14:paraId="32544802">
      <w:pPr>
        <w:pStyle w:val="18"/>
        <w:spacing w:line="500" w:lineRule="exact"/>
        <w:jc w:val="center"/>
        <w:rPr>
          <w:b/>
          <w:sz w:val="36"/>
          <w:szCs w:val="28"/>
        </w:rPr>
      </w:pPr>
      <w:r>
        <w:rPr>
          <w:rFonts w:hint="eastAsia"/>
          <w:b/>
          <w:sz w:val="36"/>
          <w:szCs w:val="28"/>
        </w:rPr>
        <w:t>目录</w:t>
      </w:r>
    </w:p>
    <w:p w14:paraId="05A19D54">
      <w:pPr>
        <w:pStyle w:val="18"/>
        <w:spacing w:line="500" w:lineRule="exact"/>
        <w:rPr>
          <w:rFonts w:hAnsi="黑体"/>
          <w:bCs/>
          <w:sz w:val="28"/>
          <w:szCs w:val="28"/>
        </w:rPr>
      </w:pPr>
      <w:r>
        <w:rPr>
          <w:rFonts w:hint="eastAsia" w:hAnsi="黑体"/>
          <w:bCs/>
          <w:sz w:val="28"/>
          <w:szCs w:val="28"/>
        </w:rPr>
        <w:t>第一部分XX部门（单位）概况</w:t>
      </w:r>
    </w:p>
    <w:p w14:paraId="5AA1F962">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DD17934">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49958E3">
      <w:pPr>
        <w:pStyle w:val="18"/>
        <w:spacing w:line="500" w:lineRule="exact"/>
        <w:rPr>
          <w:rFonts w:hAnsi="黑体"/>
          <w:bCs/>
          <w:sz w:val="28"/>
          <w:szCs w:val="28"/>
        </w:rPr>
      </w:pPr>
      <w:r>
        <w:rPr>
          <w:rFonts w:hint="eastAsia" w:hAnsi="黑体"/>
          <w:bCs/>
          <w:sz w:val="28"/>
          <w:szCs w:val="28"/>
        </w:rPr>
        <w:t>第二部分部门决算表</w:t>
      </w:r>
    </w:p>
    <w:p w14:paraId="5A77F387">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FB02C43">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F8765DD">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1A85456">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收入支出决算总表</w:t>
      </w:r>
    </w:p>
    <w:p w14:paraId="30841272">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支出决算表</w:t>
      </w:r>
    </w:p>
    <w:p w14:paraId="1323E1B1">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基本支出决算明细表</w:t>
      </w:r>
    </w:p>
    <w:p w14:paraId="695CA7D9">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收入支出决算表</w:t>
      </w:r>
    </w:p>
    <w:p w14:paraId="415F39C7">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支出决算表</w:t>
      </w:r>
    </w:p>
    <w:p w14:paraId="69078CEE">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w:t>
      </w:r>
      <w:r>
        <w:rPr>
          <w:rFonts w:hint="eastAsia" w:ascii="仿宋_GB2312" w:hAnsi="仿宋_GB2312" w:eastAsia="仿宋_GB2312" w:cs="仿宋_GB2312"/>
          <w:sz w:val="28"/>
          <w:szCs w:val="28"/>
          <w:lang w:eastAsia="zh-CN"/>
        </w:rPr>
        <w:t>（款）</w:t>
      </w:r>
      <w:r>
        <w:rPr>
          <w:rFonts w:hint="eastAsia" w:ascii="仿宋_GB2312" w:hAnsi="仿宋_GB2312" w:eastAsia="仿宋_GB2312" w:cs="仿宋_GB2312"/>
          <w:sz w:val="28"/>
          <w:szCs w:val="28"/>
        </w:rPr>
        <w:t>“三公”经费支出决算表</w:t>
      </w:r>
    </w:p>
    <w:p w14:paraId="3B121D0F">
      <w:pPr>
        <w:pStyle w:val="18"/>
        <w:spacing w:line="500" w:lineRule="exact"/>
        <w:rPr>
          <w:rFonts w:hAnsi="黑体"/>
          <w:bCs/>
          <w:sz w:val="28"/>
          <w:szCs w:val="28"/>
        </w:rPr>
      </w:pPr>
      <w:r>
        <w:rPr>
          <w:rFonts w:hint="eastAsia" w:hAnsi="黑体"/>
          <w:bCs/>
          <w:sz w:val="28"/>
          <w:szCs w:val="28"/>
        </w:rPr>
        <w:t>第三部分部门决算情况说明</w:t>
      </w:r>
    </w:p>
    <w:p w14:paraId="14CC6C57">
      <w:pPr>
        <w:pStyle w:val="18"/>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2B6B637">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7D766F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225142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收入支出决算总体情况说明</w:t>
      </w:r>
    </w:p>
    <w:p w14:paraId="0CA66BD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支出决算情况说明</w:t>
      </w:r>
    </w:p>
    <w:p w14:paraId="173695C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基本支出决算情况说明</w:t>
      </w:r>
    </w:p>
    <w:p w14:paraId="4A96677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w:t>
      </w:r>
      <w:r>
        <w:rPr>
          <w:rFonts w:hint="eastAsia" w:ascii="仿宋_GB2312" w:hAnsi="仿宋_GB2312" w:eastAsia="仿宋_GB2312" w:cs="仿宋_GB2312"/>
          <w:color w:val="000000"/>
          <w:kern w:val="0"/>
          <w:sz w:val="28"/>
          <w:szCs w:val="28"/>
          <w:lang w:eastAsia="zh-CN"/>
        </w:rPr>
        <w:t>（款）</w:t>
      </w:r>
      <w:r>
        <w:rPr>
          <w:rFonts w:hint="eastAsia" w:ascii="仿宋_GB2312" w:hAnsi="仿宋_GB2312" w:eastAsia="仿宋_GB2312" w:cs="仿宋_GB2312"/>
          <w:color w:val="000000"/>
          <w:kern w:val="0"/>
          <w:sz w:val="28"/>
          <w:szCs w:val="28"/>
        </w:rPr>
        <w:t>三公经费支出决算情况说明</w:t>
      </w:r>
    </w:p>
    <w:p w14:paraId="6EDAB5C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942578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783777A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64EC8A3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41027F8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1DCCC61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十三、关于国有资产占用情况说明</w:t>
      </w:r>
    </w:p>
    <w:p w14:paraId="5523218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十四、关于2023年度预算绩效情况的说明</w:t>
      </w:r>
    </w:p>
    <w:p w14:paraId="26176275">
      <w:pPr>
        <w:pStyle w:val="18"/>
        <w:spacing w:line="500" w:lineRule="exact"/>
        <w:rPr>
          <w:rFonts w:hAnsi="黑体"/>
          <w:bCs/>
          <w:sz w:val="28"/>
          <w:szCs w:val="28"/>
        </w:rPr>
      </w:pPr>
      <w:r>
        <w:rPr>
          <w:rFonts w:hint="eastAsia" w:hAnsi="黑体"/>
          <w:bCs/>
          <w:sz w:val="28"/>
          <w:szCs w:val="28"/>
        </w:rPr>
        <w:t>第四部分名词解释</w:t>
      </w:r>
    </w:p>
    <w:p w14:paraId="2BEBBA1A">
      <w:pPr>
        <w:pStyle w:val="18"/>
        <w:spacing w:line="500" w:lineRule="exact"/>
        <w:rPr>
          <w:rFonts w:hAnsi="黑体"/>
          <w:bCs/>
          <w:sz w:val="28"/>
          <w:szCs w:val="28"/>
        </w:rPr>
      </w:pPr>
      <w:r>
        <w:rPr>
          <w:rFonts w:hint="eastAsia" w:hAnsi="黑体"/>
          <w:bCs/>
          <w:sz w:val="28"/>
          <w:szCs w:val="28"/>
        </w:rPr>
        <w:t>第五部分附件</w:t>
      </w:r>
    </w:p>
    <w:p w14:paraId="5444CFD9">
      <w:pPr>
        <w:pStyle w:val="18"/>
        <w:spacing w:line="500" w:lineRule="exact"/>
        <w:rPr>
          <w:rFonts w:hAnsi="黑体"/>
          <w:bCs/>
          <w:sz w:val="28"/>
          <w:szCs w:val="28"/>
        </w:rPr>
      </w:pPr>
    </w:p>
    <w:p w14:paraId="0EDA8641">
      <w:pPr>
        <w:jc w:val="center"/>
        <w:rPr>
          <w:sz w:val="72"/>
          <w:szCs w:val="72"/>
        </w:rPr>
      </w:pPr>
    </w:p>
    <w:p w14:paraId="38BFE9DB">
      <w:pPr>
        <w:jc w:val="center"/>
        <w:rPr>
          <w:sz w:val="72"/>
          <w:szCs w:val="72"/>
        </w:rPr>
      </w:pPr>
    </w:p>
    <w:p w14:paraId="29247C05">
      <w:pPr>
        <w:jc w:val="center"/>
        <w:rPr>
          <w:sz w:val="72"/>
          <w:szCs w:val="72"/>
        </w:rPr>
      </w:pPr>
    </w:p>
    <w:p w14:paraId="3D68D925">
      <w:pPr>
        <w:jc w:val="center"/>
        <w:rPr>
          <w:sz w:val="72"/>
          <w:szCs w:val="72"/>
        </w:rPr>
      </w:pPr>
    </w:p>
    <w:p w14:paraId="1C63720B">
      <w:pPr>
        <w:rPr>
          <w:rFonts w:ascii="方正小标宋_GBK" w:hAnsi="方正小标宋_GBK" w:eastAsia="方正小标宋_GBK" w:cs="方正小标宋_GBK"/>
          <w:sz w:val="72"/>
          <w:szCs w:val="72"/>
        </w:rPr>
      </w:pPr>
    </w:p>
    <w:p w14:paraId="755726A1">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0C32FB4">
      <w:pPr>
        <w:pStyle w:val="18"/>
        <w:jc w:val="center"/>
        <w:rPr>
          <w:rFonts w:ascii="方正小标宋_GBK" w:hAnsi="方正小标宋_GBK" w:eastAsia="方正小标宋_GBK" w:cs="方正小标宋_GBK"/>
          <w:sz w:val="84"/>
          <w:szCs w:val="84"/>
        </w:rPr>
      </w:pPr>
    </w:p>
    <w:p w14:paraId="5A4DFD26">
      <w:pPr>
        <w:pStyle w:val="18"/>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rPr>
        <w:t>华容县退役军人</w:t>
      </w:r>
      <w:r>
        <w:rPr>
          <w:rFonts w:hint="eastAsia" w:ascii="方正小标宋_GBK" w:hAnsi="方正小标宋_GBK" w:eastAsia="方正小标宋_GBK" w:cs="方正小标宋_GBK"/>
          <w:sz w:val="84"/>
          <w:szCs w:val="84"/>
          <w:lang w:eastAsia="zh-CN"/>
        </w:rPr>
        <w:t>事务局</w:t>
      </w:r>
    </w:p>
    <w:p w14:paraId="5F1C54B8">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w:t>
      </w:r>
      <w:r>
        <w:rPr>
          <w:rFonts w:hint="eastAsia" w:ascii="方正小标宋_GBK" w:hAnsi="方正小标宋_GBK" w:eastAsia="方正小标宋_GBK" w:cs="方正小标宋_GBK"/>
          <w:sz w:val="84"/>
          <w:szCs w:val="84"/>
          <w:lang w:val="en-US" w:eastAsia="zh-CN"/>
        </w:rPr>
        <w:t xml:space="preserve"> </w:t>
      </w:r>
      <w:r>
        <w:rPr>
          <w:rFonts w:hint="eastAsia" w:ascii="方正小标宋_GBK" w:hAnsi="方正小标宋_GBK" w:eastAsia="方正小标宋_GBK" w:cs="方正小标宋_GBK"/>
          <w:sz w:val="84"/>
          <w:szCs w:val="84"/>
        </w:rPr>
        <w:t>况</w:t>
      </w:r>
    </w:p>
    <w:p w14:paraId="4A731FD3">
      <w:pPr>
        <w:jc w:val="center"/>
        <w:rPr>
          <w:rFonts w:ascii="方正小标宋_GBK" w:hAnsi="方正小标宋_GBK" w:eastAsia="方正小标宋_GBK" w:cs="方正小标宋_GBK"/>
          <w:sz w:val="72"/>
          <w:szCs w:val="72"/>
        </w:rPr>
      </w:pPr>
    </w:p>
    <w:p w14:paraId="7DF41D4E">
      <w:pPr>
        <w:jc w:val="center"/>
        <w:rPr>
          <w:sz w:val="72"/>
          <w:szCs w:val="72"/>
        </w:rPr>
      </w:pPr>
    </w:p>
    <w:p w14:paraId="5D7BD52B">
      <w:pPr>
        <w:pStyle w:val="19"/>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608CA427">
      <w:pPr>
        <w:pStyle w:val="9"/>
        <w:spacing w:before="300" w:beforeAutospacing="0" w:after="0" w:afterAutospacing="0" w:line="33" w:lineRule="atLeast"/>
        <w:ind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（一）负责退役军人思想政治、管理保障和安置优抚等工作政策法规的组织实施，褒扬彰显退役军人为党、国家和人民牺牲奉献的精神风范和价值导向。</w:t>
      </w:r>
    </w:p>
    <w:p w14:paraId="457E0183">
      <w:pPr>
        <w:pStyle w:val="9"/>
        <w:spacing w:before="300" w:beforeAutospacing="0" w:after="0" w:afterAutospacing="0" w:line="33" w:lineRule="atLeast"/>
        <w:ind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（二）负责军人转业干部、复员干部、离退休干部、退役士兵和无军籍退休退职职工的移交安置工作。</w:t>
      </w:r>
    </w:p>
    <w:p w14:paraId="11B04EF2">
      <w:pPr>
        <w:pStyle w:val="9"/>
        <w:spacing w:before="300" w:beforeAutospacing="0" w:after="0" w:afterAutospacing="0" w:line="33" w:lineRule="atLeast"/>
        <w:ind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（三）贯彻落实全区军队转业干部、退役士兵、随军家属及随调家属安置办法及安置计划并组织实施。</w:t>
      </w:r>
    </w:p>
    <w:p w14:paraId="6869F782">
      <w:pPr>
        <w:pStyle w:val="9"/>
        <w:spacing w:before="300" w:beforeAutospacing="0" w:after="0" w:afterAutospacing="0" w:line="33" w:lineRule="atLeast"/>
        <w:ind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（四）负责退役军人教育培训、优待抚恤等工作。</w:t>
      </w:r>
    </w:p>
    <w:p w14:paraId="2E869DCD">
      <w:pPr>
        <w:pStyle w:val="9"/>
        <w:spacing w:before="300" w:beforeAutospacing="0" w:after="0" w:afterAutospacing="0" w:line="33" w:lineRule="atLeast"/>
        <w:ind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（五）负责自主择业军队转业干部服务管理、待遇保障等工作，承担军队转业干部安置工作小组办公室日常工作。</w:t>
      </w:r>
    </w:p>
    <w:p w14:paraId="3BB55B06">
      <w:pPr>
        <w:pStyle w:val="9"/>
        <w:spacing w:before="300" w:beforeAutospacing="0" w:after="0" w:afterAutospacing="0" w:line="33" w:lineRule="atLeast"/>
        <w:ind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（六）组织指导拥军优属活动，承担审核、报批、褒扬革命烈士工作，负责优抚对象的抚恤，指导优抚事业单位的管理，承担双拥工作领导小组办公室的日常工作。</w:t>
      </w:r>
    </w:p>
    <w:p w14:paraId="08DA07DE">
      <w:pPr>
        <w:pStyle w:val="9"/>
        <w:spacing w:before="300" w:beforeAutospacing="0" w:after="0" w:afterAutospacing="0" w:line="33" w:lineRule="atLeast"/>
        <w:ind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（七）承办县委、县政府和上级主管部门交办的其他事项。</w:t>
      </w:r>
    </w:p>
    <w:p w14:paraId="55FD4920">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468AFC86">
      <w:pPr>
        <w:spacing w:line="360" w:lineRule="auto"/>
        <w:ind w:firstLine="640" w:firstLineChars="20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bidi="ar-SA"/>
        </w:rPr>
        <w:t>。华容县退役军人事务局内设机构包括：办公室、规划财务股、拥军优抚股、移交安置股、思想政治与权益维护股5个股室。</w:t>
      </w:r>
    </w:p>
    <w:p w14:paraId="1DC6E13E">
      <w:pPr>
        <w:spacing w:line="360" w:lineRule="auto"/>
        <w:ind w:firstLine="640" w:firstLineChars="20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（二）决算单位构成。退役军人事务局本级和华容县退役军人服务中心2个单位。</w:t>
      </w:r>
    </w:p>
    <w:p w14:paraId="5B95E9EC">
      <w:pPr>
        <w:spacing w:line="360" w:lineRule="auto"/>
        <w:ind w:firstLine="640" w:firstLineChars="200"/>
        <w:rPr>
          <w:rFonts w:hint="eastAsia" w:ascii="Times New Roman" w:hAnsi="Times New Roman" w:eastAsia="仿宋_GB2312" w:cs="仿宋_GB2312"/>
          <w:bCs/>
          <w:kern w:val="0"/>
          <w:sz w:val="32"/>
          <w:szCs w:val="32"/>
          <w:lang w:eastAsia="zh-CN"/>
        </w:rPr>
      </w:pPr>
    </w:p>
    <w:p w14:paraId="7066785C">
      <w:pPr>
        <w:pStyle w:val="18"/>
        <w:jc w:val="center"/>
        <w:rPr>
          <w:rFonts w:ascii="方正小标宋_GBK" w:hAnsi="方正小标宋_GBK" w:eastAsia="方正小标宋_GBK" w:cs="方正小标宋_GBK"/>
          <w:sz w:val="84"/>
          <w:szCs w:val="84"/>
        </w:rPr>
      </w:pPr>
    </w:p>
    <w:p w14:paraId="634E17B3">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9C530A9">
      <w:pPr>
        <w:pStyle w:val="18"/>
        <w:jc w:val="center"/>
        <w:rPr>
          <w:rFonts w:ascii="方正小标宋_GBK" w:hAnsi="方正小标宋_GBK" w:eastAsia="方正小标宋_GBK" w:cs="方正小标宋_GBK"/>
          <w:sz w:val="84"/>
          <w:szCs w:val="84"/>
        </w:rPr>
      </w:pPr>
    </w:p>
    <w:p w14:paraId="0DF942C4">
      <w:pPr>
        <w:pStyle w:val="18"/>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6D0019F">
      <w:pPr>
        <w:jc w:val="center"/>
        <w:rPr>
          <w:sz w:val="72"/>
          <w:szCs w:val="72"/>
        </w:rPr>
      </w:pPr>
    </w:p>
    <w:p w14:paraId="68E26735">
      <w:pPr>
        <w:jc w:val="center"/>
        <w:rPr>
          <w:sz w:val="72"/>
          <w:szCs w:val="72"/>
        </w:rPr>
      </w:pPr>
    </w:p>
    <w:p w14:paraId="0AA248C9">
      <w:pPr>
        <w:jc w:val="center"/>
        <w:rPr>
          <w:sz w:val="72"/>
          <w:szCs w:val="72"/>
        </w:rPr>
      </w:pPr>
    </w:p>
    <w:p w14:paraId="6EE05B50">
      <w:pPr>
        <w:jc w:val="center"/>
        <w:rPr>
          <w:sz w:val="72"/>
          <w:szCs w:val="72"/>
        </w:rPr>
      </w:pPr>
    </w:p>
    <w:p w14:paraId="7A29748E">
      <w:pPr>
        <w:jc w:val="center"/>
        <w:rPr>
          <w:sz w:val="72"/>
          <w:szCs w:val="72"/>
        </w:rPr>
      </w:pPr>
    </w:p>
    <w:p w14:paraId="56C0B2C5">
      <w:pPr>
        <w:jc w:val="center"/>
        <w:rPr>
          <w:sz w:val="72"/>
          <w:szCs w:val="72"/>
        </w:rPr>
      </w:pPr>
    </w:p>
    <w:p w14:paraId="3FD6303E">
      <w:pPr>
        <w:jc w:val="left"/>
        <w:rPr>
          <w:sz w:val="32"/>
          <w:szCs w:val="32"/>
        </w:rPr>
      </w:pPr>
    </w:p>
    <w:p w14:paraId="671C39A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37469C81">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0FC77AB">
      <w:pPr>
        <w:pStyle w:val="18"/>
        <w:jc w:val="center"/>
        <w:rPr>
          <w:rFonts w:ascii="方正小标宋_GBK" w:hAnsi="方正小标宋_GBK" w:eastAsia="方正小标宋_GBK" w:cs="方正小标宋_GBK"/>
          <w:sz w:val="70"/>
          <w:szCs w:val="70"/>
        </w:rPr>
      </w:pPr>
    </w:p>
    <w:p w14:paraId="6EE05268">
      <w:pPr>
        <w:pStyle w:val="18"/>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640D8314">
      <w:pPr>
        <w:widowControl/>
        <w:jc w:val="left"/>
        <w:rPr>
          <w:rFonts w:asciiTheme="minorEastAsia" w:hAnsiTheme="minorEastAsia"/>
          <w:sz w:val="32"/>
          <w:szCs w:val="32"/>
        </w:rPr>
      </w:pPr>
      <w:r>
        <w:br w:type="page"/>
      </w:r>
    </w:p>
    <w:p w14:paraId="6FE08E59">
      <w:pPr>
        <w:pStyle w:val="18"/>
        <w:spacing w:line="600" w:lineRule="exact"/>
        <w:ind w:firstLine="640" w:firstLineChars="200"/>
        <w:rPr>
          <w:rFonts w:hAnsi="黑体"/>
          <w:bCs/>
          <w:sz w:val="32"/>
          <w:szCs w:val="32"/>
        </w:rPr>
      </w:pPr>
      <w:r>
        <w:rPr>
          <w:rFonts w:hint="eastAsia" w:hAnsi="黑体"/>
          <w:bCs/>
          <w:sz w:val="32"/>
          <w:szCs w:val="32"/>
        </w:rPr>
        <w:t>一、收入支出决算总体情况说明</w:t>
      </w:r>
    </w:p>
    <w:p w14:paraId="32C880A9">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2023年度收、支总计8567.59万元。与上年相比，减少241.65万元，减少2.74%，主要是业务量减少，根据业务需求调减预算。</w:t>
      </w:r>
    </w:p>
    <w:p w14:paraId="52A24EF0">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二、收入决算情况说明</w:t>
      </w:r>
    </w:p>
    <w:p w14:paraId="3984DAA0">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2023年度收入合计8567.59万元，其中：财政拨（款）收入8460.77万元，占98.75%；上级补助收入0万元，占0%；事业收入0万元，占0%；经营收入0万元，占0%；附属单位上缴收入0万元，占0%；其他收入106.82万元，占1.35%。</w:t>
      </w:r>
    </w:p>
    <w:p w14:paraId="1AFDEA36">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三、支出决算情况说明</w:t>
      </w:r>
    </w:p>
    <w:p w14:paraId="686278DE">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2023年度支出合计8567.59万元，其中：基本支出860.74万元，占10.05%；（项）目支出7706.85万元，占89.95%；上缴上级支出0万元，占0%；经营支出0万元，占0%；对附属单位补助支出0万元，占0%。</w:t>
      </w:r>
    </w:p>
    <w:p w14:paraId="509CF1A1">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四、财政拨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收入支出决算总体情况说明</w:t>
      </w:r>
    </w:p>
    <w:p w14:paraId="7DED19DA">
      <w:pPr>
        <w:pStyle w:val="18"/>
        <w:spacing w:line="600" w:lineRule="exact"/>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olor w:val="FF0000"/>
          <w:sz w:val="32"/>
          <w:szCs w:val="32"/>
        </w:rPr>
        <w:t xml:space="preserve">   </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 xml:space="preserve"> 2023年度财政拨（款）收、支总计8460.77万元，与上年相比，减少348.4万元,减少3.96%，主要原因是业务量减少，根据业务需求调减预算。</w:t>
      </w:r>
    </w:p>
    <w:p w14:paraId="760ACE61">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五、一般公共预算财政拨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支出决算情况说明</w:t>
      </w:r>
    </w:p>
    <w:p w14:paraId="491E1DD1">
      <w:pPr>
        <w:pStyle w:val="18"/>
        <w:spacing w:line="600" w:lineRule="exact"/>
        <w:ind w:firstLine="320" w:firstLineChars="1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（一）一般公共预算财政拨（款）支出决算总体情况</w:t>
      </w:r>
    </w:p>
    <w:p w14:paraId="1BDC5CC8">
      <w:pPr>
        <w:pStyle w:val="18"/>
        <w:spacing w:line="600" w:lineRule="exact"/>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2023年度财政拨（款）支出8460.77万元，占本年支出合计的98.75%，与上年相比，财政拨（款）支出减少348.4万元，减少3.96%，主要是因为业务量减少，根据业务需求调减预算。</w:t>
      </w:r>
    </w:p>
    <w:p w14:paraId="39F67EFD">
      <w:pPr>
        <w:pStyle w:val="18"/>
        <w:spacing w:line="600" w:lineRule="exact"/>
        <w:ind w:firstLine="320" w:firstLineChars="1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（二）一般公共预算财政拨（款）支出决算结构情况</w:t>
      </w:r>
    </w:p>
    <w:p w14:paraId="4E232488">
      <w:pPr>
        <w:pStyle w:val="18"/>
        <w:spacing w:line="600" w:lineRule="exact"/>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财政拨（款）支出8460.77万元，主要用于以下方面：一般公共服务（（类））支出4.2万元，占0.05%；文化旅游体育与传媒支出（（类））支出2万元，占0.02%;社会保障和就业支出（（类））支出8082.61万元，占95.53%;卫生健康支出（（类））支出339.84万元，占4.02%;住房保障支出（类））支出32.12万元，占0.38%。</w:t>
      </w:r>
    </w:p>
    <w:p w14:paraId="75EA5026">
      <w:pPr>
        <w:pStyle w:val="18"/>
        <w:spacing w:line="600" w:lineRule="exact"/>
        <w:ind w:firstLine="320" w:firstLineChars="1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（三）一般公共预算财政拨（款）支出决算具体情况。</w:t>
      </w:r>
    </w:p>
    <w:p w14:paraId="3ADEA736">
      <w:pPr>
        <w:pStyle w:val="18"/>
        <w:spacing w:line="600" w:lineRule="exact"/>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2023年度财政拨（款）支出年初预算数为8828.79万元，支出决算数为8460.77万元，完成年初预算的95.83%，其中：</w:t>
      </w:r>
    </w:p>
    <w:p w14:paraId="17CF23A2">
      <w:pPr>
        <w:numPr>
          <w:ilvl w:val="0"/>
          <w:numId w:val="2"/>
        </w:numPr>
        <w:snapToGrid w:val="0"/>
        <w:spacing w:line="520" w:lineRule="exact"/>
        <w:ind w:left="-10" w:leftChars="0" w:firstLine="640" w:firstLineChars="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一般公共服务支出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商贸事务</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下招商引资</w:t>
      </w:r>
      <w:r>
        <w:rPr>
          <w:rFonts w:hint="eastAsia" w:ascii="仿宋_GB2312" w:hAnsi="仿宋"/>
          <w:color w:val="000000" w:themeColor="text1"/>
          <w:sz w:val="32"/>
          <w:szCs w:val="32"/>
          <w:lang w:eastAsia="zh-CN"/>
          <w14:textFill>
            <w14:solidFill>
              <w14:schemeClr w14:val="tx1"/>
            </w14:solidFill>
          </w14:textFill>
        </w:rPr>
        <w:t>（项）</w:t>
      </w:r>
    </w:p>
    <w:p w14:paraId="7CBA7EC0">
      <w:pPr>
        <w:numPr>
          <w:ilvl w:val="0"/>
          <w:numId w:val="0"/>
        </w:numPr>
        <w:snapToGrid w:val="0"/>
        <w:spacing w:line="520" w:lineRule="exact"/>
        <w:ind w:firstLine="960" w:firstLineChars="300"/>
        <w:rPr>
          <w:rFonts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w:t>
      </w:r>
      <w:r>
        <w:rPr>
          <w:rFonts w:hint="eastAsia" w:ascii="仿宋_GB2312" w:hAnsi="仿宋"/>
          <w:color w:val="000000" w:themeColor="text1"/>
          <w:sz w:val="32"/>
          <w:szCs w:val="32"/>
          <w:lang w:val="en-US" w:eastAsia="zh-CN"/>
          <w14:textFill>
            <w14:solidFill>
              <w14:schemeClr w14:val="tx1"/>
            </w14:solidFill>
          </w14:textFill>
        </w:rPr>
        <w:t>3.9</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3.9</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决算数等于预算数</w:t>
      </w:r>
      <w:r>
        <w:rPr>
          <w:rFonts w:hint="eastAsia" w:ascii="仿宋_GB2312" w:hAnsi="仿宋"/>
          <w:color w:val="000000" w:themeColor="text1"/>
          <w:sz w:val="32"/>
          <w:szCs w:val="32"/>
          <w14:textFill>
            <w14:solidFill>
              <w14:schemeClr w14:val="tx1"/>
            </w14:solidFill>
          </w14:textFill>
        </w:rPr>
        <w:t>，主要是严格按预算执行。</w:t>
      </w:r>
    </w:p>
    <w:p w14:paraId="19D31719">
      <w:pPr>
        <w:numPr>
          <w:ilvl w:val="0"/>
          <w:numId w:val="2"/>
        </w:numPr>
        <w:snapToGrid w:val="0"/>
        <w:spacing w:line="520" w:lineRule="exact"/>
        <w:ind w:left="-10" w:leftChars="0" w:firstLine="640" w:firstLineChars="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一般公共服务支出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其他一般公共服务支出</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下其他一般公共服务支出</w:t>
      </w:r>
      <w:r>
        <w:rPr>
          <w:rFonts w:hint="eastAsia" w:ascii="仿宋_GB2312" w:hAnsi="仿宋"/>
          <w:color w:val="000000" w:themeColor="text1"/>
          <w:sz w:val="32"/>
          <w:szCs w:val="32"/>
          <w:lang w:eastAsia="zh-CN"/>
          <w14:textFill>
            <w14:solidFill>
              <w14:schemeClr w14:val="tx1"/>
            </w14:solidFill>
          </w14:textFill>
        </w:rPr>
        <w:t>（项）</w:t>
      </w:r>
    </w:p>
    <w:p w14:paraId="5383D273">
      <w:pPr>
        <w:numPr>
          <w:ilvl w:val="0"/>
          <w:numId w:val="0"/>
        </w:numPr>
        <w:snapToGrid w:val="0"/>
        <w:spacing w:line="520" w:lineRule="exact"/>
        <w:ind w:leftChars="200" w:firstLine="640" w:firstLineChars="200"/>
        <w:rPr>
          <w:rFonts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0.3</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0.3</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决算数等于预算数</w:t>
      </w:r>
      <w:r>
        <w:rPr>
          <w:rFonts w:hint="eastAsia" w:ascii="仿宋_GB2312" w:hAnsi="仿宋"/>
          <w:color w:val="000000" w:themeColor="text1"/>
          <w:sz w:val="32"/>
          <w:szCs w:val="32"/>
          <w14:textFill>
            <w14:solidFill>
              <w14:schemeClr w14:val="tx1"/>
            </w14:solidFill>
          </w14:textFill>
        </w:rPr>
        <w:t>，主要是严格按预算执行。</w:t>
      </w:r>
    </w:p>
    <w:p w14:paraId="412E0B8A">
      <w:pPr>
        <w:numPr>
          <w:ilvl w:val="0"/>
          <w:numId w:val="0"/>
        </w:numPr>
        <w:snapToGrid w:val="0"/>
        <w:spacing w:line="520" w:lineRule="exact"/>
        <w:ind w:leftChars="200" w:firstLine="640" w:firstLineChars="200"/>
        <w:rPr>
          <w:rFonts w:hint="eastAsia" w:ascii="仿宋_GB2312" w:hAnsi="仿宋"/>
          <w:color w:val="000000" w:themeColor="text1"/>
          <w:sz w:val="32"/>
          <w:szCs w:val="32"/>
          <w:lang w:val="en-US"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文化旅游体育与传媒支出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文化和旅游</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下其他文化和旅游支出</w:t>
      </w:r>
      <w:r>
        <w:rPr>
          <w:rFonts w:hint="eastAsia" w:ascii="仿宋_GB2312" w:hAnsi="仿宋"/>
          <w:color w:val="000000" w:themeColor="text1"/>
          <w:sz w:val="32"/>
          <w:szCs w:val="32"/>
          <w:lang w:eastAsia="zh-CN"/>
          <w14:textFill>
            <w14:solidFill>
              <w14:schemeClr w14:val="tx1"/>
            </w14:solidFill>
          </w14:textFill>
        </w:rPr>
        <w:t>（项）</w:t>
      </w:r>
    </w:p>
    <w:p w14:paraId="3243AA0B">
      <w:pPr>
        <w:numPr>
          <w:ilvl w:val="0"/>
          <w:numId w:val="0"/>
        </w:numPr>
        <w:snapToGrid w:val="0"/>
        <w:spacing w:line="520" w:lineRule="exact"/>
        <w:ind w:leftChars="200" w:firstLine="640" w:firstLineChars="200"/>
        <w:rPr>
          <w:rFonts w:hint="eastAsia" w:ascii="仿宋_GB2312" w:hAnsi="仿宋"/>
          <w:color w:val="000000" w:themeColor="text1"/>
          <w:sz w:val="32"/>
          <w:szCs w:val="32"/>
          <w:lang w:val="en-US" w:eastAsia="zh-CN"/>
          <w14:textFill>
            <w14:solidFill>
              <w14:schemeClr w14:val="tx1"/>
            </w14:solidFill>
          </w14:textFill>
        </w:rPr>
      </w:pPr>
      <w:r>
        <w:rPr>
          <w:rFonts w:hint="eastAsia" w:ascii="仿宋_GB2312" w:hAnsi="仿宋"/>
          <w:color w:val="000000" w:themeColor="text1"/>
          <w:sz w:val="32"/>
          <w:szCs w:val="32"/>
          <w:lang w:val="en-US" w:eastAsia="zh-CN"/>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0万元，决算数</w:t>
      </w:r>
      <w:r>
        <w:rPr>
          <w:rFonts w:hint="eastAsia" w:ascii="仿宋_GB2312" w:hAnsi="仿宋"/>
          <w:color w:val="000000" w:themeColor="text1"/>
          <w:sz w:val="32"/>
          <w:szCs w:val="32"/>
          <w:lang w:val="en-US" w:eastAsia="zh-CN"/>
          <w14:textFill>
            <w14:solidFill>
              <w14:schemeClr w14:val="tx1"/>
            </w14:solidFill>
          </w14:textFill>
        </w:rPr>
        <w:t>2万元，由于年初预算为0，无法计算百分比。决算数大于预算数，主要是项目支出未纳入年初预算。</w:t>
      </w:r>
    </w:p>
    <w:p w14:paraId="3E322E37">
      <w:pPr>
        <w:numPr>
          <w:ilvl w:val="0"/>
          <w:numId w:val="0"/>
        </w:numPr>
        <w:snapToGrid w:val="0"/>
        <w:spacing w:line="520" w:lineRule="exact"/>
        <w:ind w:leftChars="200"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lang w:val="en-US" w:eastAsia="zh-CN"/>
          <w14:textFill>
            <w14:solidFill>
              <w14:schemeClr w14:val="tx1"/>
            </w14:solidFill>
          </w14:textFill>
        </w:rPr>
        <w:t>社会保障和就业支出（类）行政事业单位养老支出（款）下机关</w:t>
      </w:r>
      <w:r>
        <w:rPr>
          <w:rFonts w:hint="eastAsia" w:ascii="仿宋_GB2312" w:hAnsi="仿宋"/>
          <w:color w:val="000000" w:themeColor="text1"/>
          <w:sz w:val="32"/>
          <w:szCs w:val="32"/>
          <w14:textFill>
            <w14:solidFill>
              <w14:schemeClr w14:val="tx1"/>
            </w14:solidFill>
          </w14:textFill>
        </w:rPr>
        <w:t>事业单位基本养老保险缴费支出</w:t>
      </w:r>
      <w:r>
        <w:rPr>
          <w:rFonts w:hint="eastAsia" w:ascii="仿宋_GB2312" w:hAnsi="仿宋"/>
          <w:color w:val="000000" w:themeColor="text1"/>
          <w:sz w:val="32"/>
          <w:szCs w:val="32"/>
          <w:lang w:eastAsia="zh-CN"/>
          <w14:textFill>
            <w14:solidFill>
              <w14:schemeClr w14:val="tx1"/>
            </w14:solidFill>
          </w14:textFill>
        </w:rPr>
        <w:t>（项）</w:t>
      </w:r>
    </w:p>
    <w:p w14:paraId="36D764D3">
      <w:pPr>
        <w:numPr>
          <w:ilvl w:val="0"/>
          <w:numId w:val="0"/>
        </w:numPr>
        <w:snapToGrid w:val="0"/>
        <w:spacing w:line="520" w:lineRule="exact"/>
        <w:ind w:leftChars="200" w:firstLine="640" w:firstLineChars="200"/>
        <w:rPr>
          <w:rFonts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45</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41.41</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完成年初预算的</w:t>
      </w:r>
      <w:r>
        <w:rPr>
          <w:rFonts w:hint="eastAsia" w:ascii="仿宋_GB2312" w:hAnsi="仿宋"/>
          <w:color w:val="000000" w:themeColor="text1"/>
          <w:sz w:val="32"/>
          <w:szCs w:val="32"/>
          <w:lang w:val="en-US" w:eastAsia="zh-CN"/>
          <w14:textFill>
            <w14:solidFill>
              <w14:schemeClr w14:val="tx1"/>
            </w14:solidFill>
          </w14:textFill>
        </w:rPr>
        <w:t>92.02%。</w:t>
      </w:r>
      <w:r>
        <w:rPr>
          <w:rFonts w:hint="eastAsia" w:ascii="仿宋_GB2312" w:hAnsi="仿宋"/>
          <w:color w:val="000000" w:themeColor="text1"/>
          <w:sz w:val="32"/>
          <w:szCs w:val="32"/>
          <w:lang w:eastAsia="zh-CN"/>
          <w14:textFill>
            <w14:solidFill>
              <w14:schemeClr w14:val="tx1"/>
            </w14:solidFill>
          </w14:textFill>
        </w:rPr>
        <w:t>决算数小于预算数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131A3BD8">
      <w:pPr>
        <w:numPr>
          <w:ilvl w:val="0"/>
          <w:numId w:val="2"/>
        </w:numPr>
        <w:snapToGrid w:val="0"/>
        <w:spacing w:line="520" w:lineRule="exact"/>
        <w:ind w:left="-10" w:leftChars="0" w:firstLine="640" w:firstLineChars="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就业补助</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下公益性岗位补贴</w:t>
      </w:r>
      <w:r>
        <w:rPr>
          <w:rFonts w:hint="eastAsia" w:ascii="仿宋_GB2312" w:hAnsi="仿宋"/>
          <w:color w:val="000000" w:themeColor="text1"/>
          <w:sz w:val="32"/>
          <w:szCs w:val="32"/>
          <w:lang w:eastAsia="zh-CN"/>
          <w14:textFill>
            <w14:solidFill>
              <w14:schemeClr w14:val="tx1"/>
            </w14:solidFill>
          </w14:textFill>
        </w:rPr>
        <w:t>（项）</w:t>
      </w:r>
    </w:p>
    <w:p w14:paraId="7B1BA8C7">
      <w:pPr>
        <w:numPr>
          <w:ilvl w:val="0"/>
          <w:numId w:val="0"/>
        </w:numPr>
        <w:snapToGrid w:val="0"/>
        <w:spacing w:line="520" w:lineRule="exact"/>
        <w:ind w:leftChars="200" w:firstLine="640" w:firstLineChars="200"/>
        <w:rPr>
          <w:rFonts w:hint="eastAsia" w:ascii="仿宋_GB2312" w:hAnsi="仿宋"/>
          <w:color w:val="FF0000"/>
          <w:sz w:val="32"/>
          <w:szCs w:val="32"/>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140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135.23</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完成年初预算数</w:t>
      </w:r>
      <w:r>
        <w:rPr>
          <w:rFonts w:hint="eastAsia" w:ascii="仿宋_GB2312" w:hAnsi="仿宋"/>
          <w:color w:val="000000" w:themeColor="text1"/>
          <w:sz w:val="32"/>
          <w:szCs w:val="32"/>
          <w:lang w:val="en-US" w:eastAsia="zh-CN"/>
          <w14:textFill>
            <w14:solidFill>
              <w14:schemeClr w14:val="tx1"/>
            </w14:solidFill>
          </w14:textFill>
        </w:rPr>
        <w:t>96.59%。</w:t>
      </w:r>
      <w:r>
        <w:rPr>
          <w:rFonts w:hint="eastAsia" w:ascii="仿宋_GB2312" w:hAnsi="仿宋"/>
          <w:color w:val="000000" w:themeColor="text1"/>
          <w:sz w:val="32"/>
          <w:szCs w:val="32"/>
          <w:lang w:eastAsia="zh-CN"/>
          <w14:textFill>
            <w14:solidFill>
              <w14:schemeClr w14:val="tx1"/>
            </w14:solidFill>
          </w14:textFill>
        </w:rPr>
        <w:t>决算数小于预算数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24FAB476">
      <w:pPr>
        <w:numPr>
          <w:ilvl w:val="0"/>
          <w:numId w:val="2"/>
        </w:numPr>
        <w:snapToGrid w:val="0"/>
        <w:spacing w:line="520" w:lineRule="exact"/>
        <w:ind w:left="-10" w:leftChars="0" w:firstLine="640" w:firstLineChars="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抚恤</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下义务兵优待</w:t>
      </w:r>
      <w:r>
        <w:rPr>
          <w:rFonts w:hint="eastAsia" w:ascii="仿宋_GB2312" w:hAnsi="仿宋"/>
          <w:color w:val="000000" w:themeColor="text1"/>
          <w:sz w:val="32"/>
          <w:szCs w:val="32"/>
          <w:lang w:eastAsia="zh-CN"/>
          <w14:textFill>
            <w14:solidFill>
              <w14:schemeClr w14:val="tx1"/>
            </w14:solidFill>
          </w14:textFill>
        </w:rPr>
        <w:t>（项）</w:t>
      </w:r>
    </w:p>
    <w:p w14:paraId="156D3ACE">
      <w:pPr>
        <w:numPr>
          <w:ilvl w:val="0"/>
          <w:numId w:val="0"/>
        </w:numPr>
        <w:snapToGrid w:val="0"/>
        <w:spacing w:line="520" w:lineRule="exact"/>
        <w:ind w:leftChars="200" w:firstLine="640" w:firstLineChars="200"/>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230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224</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完成年初预算数的</w:t>
      </w:r>
      <w:r>
        <w:rPr>
          <w:rFonts w:hint="eastAsia" w:ascii="仿宋_GB2312" w:hAnsi="仿宋"/>
          <w:color w:val="000000" w:themeColor="text1"/>
          <w:sz w:val="32"/>
          <w:szCs w:val="32"/>
          <w:lang w:val="en-US" w:eastAsia="zh-CN"/>
          <w14:textFill>
            <w14:solidFill>
              <w14:schemeClr w14:val="tx1"/>
            </w14:solidFill>
          </w14:textFill>
        </w:rPr>
        <w:t>97.39%。</w:t>
      </w:r>
      <w:r>
        <w:rPr>
          <w:rFonts w:hint="eastAsia" w:ascii="仿宋_GB2312" w:hAnsi="仿宋"/>
          <w:color w:val="000000" w:themeColor="text1"/>
          <w:sz w:val="32"/>
          <w:szCs w:val="32"/>
          <w:lang w:eastAsia="zh-CN"/>
          <w14:textFill>
            <w14:solidFill>
              <w14:schemeClr w14:val="tx1"/>
            </w14:solidFill>
          </w14:textFill>
        </w:rPr>
        <w:t>决算数小于预算数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65CF6188">
      <w:pPr>
        <w:numPr>
          <w:ilvl w:val="0"/>
          <w:numId w:val="2"/>
        </w:numPr>
        <w:snapToGrid w:val="0"/>
        <w:spacing w:line="520" w:lineRule="exact"/>
        <w:ind w:left="-10" w:leftChars="0" w:firstLine="640" w:firstLineChars="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抚恤</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下其他优抚支出</w:t>
      </w:r>
      <w:r>
        <w:rPr>
          <w:rFonts w:hint="eastAsia" w:ascii="仿宋_GB2312" w:hAnsi="仿宋"/>
          <w:color w:val="000000" w:themeColor="text1"/>
          <w:sz w:val="32"/>
          <w:szCs w:val="32"/>
          <w:lang w:eastAsia="zh-CN"/>
          <w14:textFill>
            <w14:solidFill>
              <w14:schemeClr w14:val="tx1"/>
            </w14:solidFill>
          </w14:textFill>
        </w:rPr>
        <w:t>（项）</w:t>
      </w:r>
    </w:p>
    <w:p w14:paraId="7F7E30D4">
      <w:pPr>
        <w:numPr>
          <w:ilvl w:val="0"/>
          <w:numId w:val="0"/>
        </w:numPr>
        <w:snapToGrid w:val="0"/>
        <w:spacing w:line="520" w:lineRule="exact"/>
        <w:ind w:leftChars="200" w:firstLine="640" w:firstLineChars="200"/>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7127.42</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6695.58</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完成年初预算数的</w:t>
      </w:r>
      <w:r>
        <w:rPr>
          <w:rFonts w:hint="eastAsia" w:ascii="仿宋_GB2312" w:hAnsi="仿宋"/>
          <w:color w:val="000000" w:themeColor="text1"/>
          <w:sz w:val="32"/>
          <w:szCs w:val="32"/>
          <w:lang w:val="en-US" w:eastAsia="zh-CN"/>
          <w14:textFill>
            <w14:solidFill>
              <w14:schemeClr w14:val="tx1"/>
            </w14:solidFill>
          </w14:textFill>
        </w:rPr>
        <w:t>93.94%。</w:t>
      </w:r>
      <w:r>
        <w:rPr>
          <w:rFonts w:hint="eastAsia" w:ascii="仿宋_GB2312" w:hAnsi="仿宋"/>
          <w:color w:val="000000" w:themeColor="text1"/>
          <w:sz w:val="32"/>
          <w:szCs w:val="32"/>
          <w:lang w:eastAsia="zh-CN"/>
          <w14:textFill>
            <w14:solidFill>
              <w14:schemeClr w14:val="tx1"/>
            </w14:solidFill>
          </w14:textFill>
        </w:rPr>
        <w:t>决算数小于预算数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根据中央八（项）规定，厉行节约，压减相关经费支出</w:t>
      </w:r>
      <w:r>
        <w:rPr>
          <w:rFonts w:hint="eastAsia" w:ascii="仿宋_GB2312" w:hAnsi="仿宋"/>
          <w:color w:val="000000" w:themeColor="text1"/>
          <w:sz w:val="32"/>
          <w:szCs w:val="32"/>
          <w14:textFill>
            <w14:solidFill>
              <w14:schemeClr w14:val="tx1"/>
            </w14:solidFill>
          </w14:textFill>
        </w:rPr>
        <w:t>。</w:t>
      </w:r>
    </w:p>
    <w:p w14:paraId="1AF744AB">
      <w:pPr>
        <w:numPr>
          <w:ilvl w:val="0"/>
          <w:numId w:val="2"/>
        </w:numPr>
        <w:snapToGrid w:val="0"/>
        <w:spacing w:line="520" w:lineRule="exact"/>
        <w:ind w:left="-10" w:leftChars="0" w:firstLine="640" w:firstLineChars="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退役安置</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下军队移交政府的离退休人员安置</w:t>
      </w:r>
      <w:r>
        <w:rPr>
          <w:rFonts w:hint="eastAsia" w:ascii="仿宋_GB2312" w:hAnsi="仿宋"/>
          <w:color w:val="000000" w:themeColor="text1"/>
          <w:sz w:val="32"/>
          <w:szCs w:val="32"/>
          <w:lang w:eastAsia="zh-CN"/>
          <w14:textFill>
            <w14:solidFill>
              <w14:schemeClr w14:val="tx1"/>
            </w14:solidFill>
          </w14:textFill>
        </w:rPr>
        <w:t>（项）</w:t>
      </w:r>
    </w:p>
    <w:p w14:paraId="1D5E5BCB">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73.5</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119.61</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完成年初预算数的</w:t>
      </w:r>
      <w:r>
        <w:rPr>
          <w:rFonts w:hint="eastAsia" w:ascii="仿宋_GB2312" w:hAnsi="仿宋"/>
          <w:color w:val="000000" w:themeColor="text1"/>
          <w:sz w:val="32"/>
          <w:szCs w:val="32"/>
          <w:lang w:val="en-US" w:eastAsia="zh-CN"/>
          <w14:textFill>
            <w14:solidFill>
              <w14:schemeClr w14:val="tx1"/>
            </w14:solidFill>
          </w14:textFill>
        </w:rPr>
        <w:t>162.73%。</w:t>
      </w:r>
      <w:r>
        <w:rPr>
          <w:rFonts w:hint="eastAsia" w:ascii="仿宋_GB2312" w:hAnsi="仿宋"/>
          <w:color w:val="000000" w:themeColor="text1"/>
          <w:sz w:val="32"/>
          <w:szCs w:val="32"/>
          <w:lang w:eastAsia="zh-CN"/>
          <w14:textFill>
            <w14:solidFill>
              <w14:schemeClr w14:val="tx1"/>
            </w14:solidFill>
          </w14:textFill>
        </w:rPr>
        <w:t>决算数大于预算数</w:t>
      </w:r>
      <w:r>
        <w:rPr>
          <w:rFonts w:hint="eastAsia" w:ascii="仿宋_GB2312" w:hAnsi="仿宋"/>
          <w:color w:val="000000" w:themeColor="text1"/>
          <w:sz w:val="32"/>
          <w:szCs w:val="32"/>
          <w14:textFill>
            <w14:solidFill>
              <w14:schemeClr w14:val="tx1"/>
            </w14:solidFill>
          </w14:textFill>
        </w:rPr>
        <w:t>，主要是根据业务需求调增项目预算支出。</w:t>
      </w:r>
    </w:p>
    <w:p w14:paraId="194F94C7">
      <w:pPr>
        <w:numPr>
          <w:ilvl w:val="0"/>
          <w:numId w:val="2"/>
        </w:numPr>
        <w:snapToGrid w:val="0"/>
        <w:spacing w:line="520" w:lineRule="exact"/>
        <w:ind w:left="-10" w:leftChars="0" w:firstLine="640" w:firstLineChars="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退役安置</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下军队移交政府离退休干部管理机构</w:t>
      </w:r>
      <w:r>
        <w:rPr>
          <w:rFonts w:hint="eastAsia" w:ascii="仿宋_GB2312" w:hAnsi="仿宋"/>
          <w:color w:val="000000" w:themeColor="text1"/>
          <w:sz w:val="32"/>
          <w:szCs w:val="32"/>
          <w:lang w:eastAsia="zh-CN"/>
          <w14:textFill>
            <w14:solidFill>
              <w14:schemeClr w14:val="tx1"/>
            </w14:solidFill>
          </w14:textFill>
        </w:rPr>
        <w:t>（项）</w:t>
      </w:r>
    </w:p>
    <w:p w14:paraId="644AC286">
      <w:pPr>
        <w:numPr>
          <w:ilvl w:val="0"/>
          <w:numId w:val="0"/>
        </w:numPr>
        <w:snapToGrid w:val="0"/>
        <w:spacing w:line="520" w:lineRule="exact"/>
        <w:ind w:leftChars="200" w:firstLine="640" w:firstLineChars="200"/>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12</w:t>
      </w:r>
      <w:r>
        <w:rPr>
          <w:rFonts w:hint="eastAsia" w:ascii="仿宋_GB2312" w:hAnsi="仿宋"/>
          <w:color w:val="000000" w:themeColor="text1"/>
          <w:sz w:val="32"/>
          <w:szCs w:val="32"/>
          <w14:textFill>
            <w14:solidFill>
              <w14:schemeClr w14:val="tx1"/>
            </w14:solidFill>
          </w14:textFill>
        </w:rPr>
        <w:t>万元，</w:t>
      </w:r>
      <w:r>
        <w:rPr>
          <w:rFonts w:hint="eastAsia" w:ascii="Times New Roman" w:eastAsia="宋体"/>
          <w:lang w:val="en-US" w:eastAsia="zh-CN"/>
        </w:rPr>
        <w:t>由于年初预算为0，无法计算百分比。</w:t>
      </w:r>
      <w:r>
        <w:rPr>
          <w:rFonts w:hint="eastAsia" w:ascii="仿宋_GB2312" w:hAnsi="仿宋"/>
          <w:color w:val="000000" w:themeColor="text1"/>
          <w:sz w:val="32"/>
          <w:szCs w:val="32"/>
          <w:lang w:eastAsia="zh-CN"/>
          <w14:textFill>
            <w14:solidFill>
              <w14:schemeClr w14:val="tx1"/>
            </w14:solidFill>
          </w14:textFill>
        </w:rPr>
        <w:t>决算数等于预算数</w:t>
      </w:r>
      <w:r>
        <w:rPr>
          <w:rFonts w:hint="eastAsia" w:ascii="仿宋_GB2312" w:hAnsi="仿宋"/>
          <w:color w:val="000000" w:themeColor="text1"/>
          <w:sz w:val="32"/>
          <w:szCs w:val="32"/>
          <w14:textFill>
            <w14:solidFill>
              <w14:schemeClr w14:val="tx1"/>
            </w14:solidFill>
          </w14:textFill>
        </w:rPr>
        <w:t>，主要是项目支出未纳入年初预算。</w:t>
      </w:r>
    </w:p>
    <w:p w14:paraId="74296CAE">
      <w:pPr>
        <w:numPr>
          <w:ilvl w:val="0"/>
          <w:numId w:val="0"/>
        </w:numPr>
        <w:snapToGrid w:val="0"/>
        <w:spacing w:line="520" w:lineRule="exact"/>
        <w:ind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lang w:val="en-US" w:eastAsia="zh-CN"/>
          <w14:textFill>
            <w14:solidFill>
              <w14:schemeClr w14:val="tx1"/>
            </w14:solidFill>
          </w14:textFill>
        </w:rPr>
        <w:t>10</w:t>
      </w: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退役安置</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下退役士兵管理教育</w:t>
      </w:r>
      <w:r>
        <w:rPr>
          <w:rFonts w:hint="eastAsia" w:ascii="仿宋_GB2312" w:hAnsi="仿宋"/>
          <w:color w:val="000000" w:themeColor="text1"/>
          <w:sz w:val="32"/>
          <w:szCs w:val="32"/>
          <w:lang w:eastAsia="zh-CN"/>
          <w14:textFill>
            <w14:solidFill>
              <w14:schemeClr w14:val="tx1"/>
            </w14:solidFill>
          </w14:textFill>
        </w:rPr>
        <w:t>（项）</w:t>
      </w:r>
    </w:p>
    <w:p w14:paraId="2263FBCD">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24</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23.82</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完成年初预算的</w:t>
      </w:r>
      <w:r>
        <w:rPr>
          <w:rFonts w:hint="eastAsia" w:ascii="仿宋_GB2312" w:hAnsi="仿宋"/>
          <w:color w:val="000000" w:themeColor="text1"/>
          <w:sz w:val="32"/>
          <w:szCs w:val="32"/>
          <w:lang w:val="en-US" w:eastAsia="zh-CN"/>
          <w14:textFill>
            <w14:solidFill>
              <w14:schemeClr w14:val="tx1"/>
            </w14:solidFill>
          </w14:textFill>
        </w:rPr>
        <w:t>99.25%。</w:t>
      </w:r>
      <w:r>
        <w:rPr>
          <w:rFonts w:hint="eastAsia" w:ascii="仿宋_GB2312" w:hAnsi="仿宋"/>
          <w:color w:val="000000" w:themeColor="text1"/>
          <w:sz w:val="32"/>
          <w:szCs w:val="32"/>
          <w:lang w:eastAsia="zh-CN"/>
          <w14:textFill>
            <w14:solidFill>
              <w14:schemeClr w14:val="tx1"/>
            </w14:solidFill>
          </w14:textFill>
        </w:rPr>
        <w:t>决算数小于预算数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根据中央八项规定压减项目支出</w:t>
      </w:r>
      <w:r>
        <w:rPr>
          <w:rFonts w:hint="eastAsia" w:ascii="仿宋_GB2312" w:hAnsi="仿宋"/>
          <w:color w:val="000000" w:themeColor="text1"/>
          <w:sz w:val="32"/>
          <w:szCs w:val="32"/>
          <w14:textFill>
            <w14:solidFill>
              <w14:schemeClr w14:val="tx1"/>
            </w14:solidFill>
          </w14:textFill>
        </w:rPr>
        <w:t>。</w:t>
      </w:r>
    </w:p>
    <w:p w14:paraId="5ED388C6">
      <w:pPr>
        <w:numPr>
          <w:ilvl w:val="0"/>
          <w:numId w:val="0"/>
        </w:numPr>
        <w:snapToGrid w:val="0"/>
        <w:spacing w:line="520" w:lineRule="exact"/>
        <w:ind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lang w:val="en-US" w:eastAsia="zh-CN"/>
          <w14:textFill>
            <w14:solidFill>
              <w14:schemeClr w14:val="tx1"/>
            </w14:solidFill>
          </w14:textFill>
        </w:rPr>
        <w:t>11</w:t>
      </w: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退役安置</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下军队转业干部安置</w:t>
      </w:r>
      <w:r>
        <w:rPr>
          <w:rFonts w:hint="eastAsia" w:ascii="仿宋_GB2312" w:hAnsi="仿宋"/>
          <w:color w:val="000000" w:themeColor="text1"/>
          <w:sz w:val="32"/>
          <w:szCs w:val="32"/>
          <w:lang w:eastAsia="zh-CN"/>
          <w14:textFill>
            <w14:solidFill>
              <w14:schemeClr w14:val="tx1"/>
            </w14:solidFill>
          </w14:textFill>
        </w:rPr>
        <w:t>（项）</w:t>
      </w:r>
    </w:p>
    <w:p w14:paraId="0EB2414A">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80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72.41</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完成年初预算数的</w:t>
      </w:r>
      <w:r>
        <w:rPr>
          <w:rFonts w:hint="eastAsia" w:ascii="仿宋_GB2312" w:hAnsi="仿宋"/>
          <w:color w:val="000000" w:themeColor="text1"/>
          <w:sz w:val="32"/>
          <w:szCs w:val="32"/>
          <w:lang w:val="en-US" w:eastAsia="zh-CN"/>
          <w14:textFill>
            <w14:solidFill>
              <w14:schemeClr w14:val="tx1"/>
            </w14:solidFill>
          </w14:textFill>
        </w:rPr>
        <w:t>90.51%。</w:t>
      </w:r>
      <w:r>
        <w:rPr>
          <w:rFonts w:hint="eastAsia" w:ascii="仿宋_GB2312" w:hAnsi="仿宋"/>
          <w:color w:val="000000" w:themeColor="text1"/>
          <w:sz w:val="32"/>
          <w:szCs w:val="32"/>
          <w:lang w:eastAsia="zh-CN"/>
          <w14:textFill>
            <w14:solidFill>
              <w14:schemeClr w14:val="tx1"/>
            </w14:solidFill>
          </w14:textFill>
        </w:rPr>
        <w:t>决算数小于预算数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根据中央八项规定压减项目支出</w:t>
      </w:r>
      <w:r>
        <w:rPr>
          <w:rFonts w:hint="eastAsia" w:ascii="仿宋_GB2312" w:hAnsi="仿宋"/>
          <w:color w:val="000000" w:themeColor="text1"/>
          <w:sz w:val="32"/>
          <w:szCs w:val="32"/>
          <w14:textFill>
            <w14:solidFill>
              <w14:schemeClr w14:val="tx1"/>
            </w14:solidFill>
          </w14:textFill>
        </w:rPr>
        <w:t>。</w:t>
      </w:r>
    </w:p>
    <w:p w14:paraId="32A6E5C8">
      <w:pPr>
        <w:numPr>
          <w:ilvl w:val="0"/>
          <w:numId w:val="0"/>
        </w:numPr>
        <w:snapToGrid w:val="0"/>
        <w:spacing w:line="520" w:lineRule="exact"/>
        <w:ind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lang w:val="en-US" w:eastAsia="zh-CN"/>
          <w14:textFill>
            <w14:solidFill>
              <w14:schemeClr w14:val="tx1"/>
            </w14:solidFill>
          </w14:textFill>
        </w:rPr>
        <w:t>12</w:t>
      </w: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退役安置</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下其他退役安置支出</w:t>
      </w:r>
      <w:r>
        <w:rPr>
          <w:rFonts w:hint="eastAsia" w:ascii="仿宋_GB2312" w:hAnsi="仿宋"/>
          <w:color w:val="000000" w:themeColor="text1"/>
          <w:sz w:val="32"/>
          <w:szCs w:val="32"/>
          <w:lang w:eastAsia="zh-CN"/>
          <w14:textFill>
            <w14:solidFill>
              <w14:schemeClr w14:val="tx1"/>
            </w14:solidFill>
          </w14:textFill>
        </w:rPr>
        <w:t>（项）</w:t>
      </w:r>
    </w:p>
    <w:p w14:paraId="6BD9214B">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250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243.41</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完成年初预算数的</w:t>
      </w:r>
      <w:r>
        <w:rPr>
          <w:rFonts w:hint="eastAsia" w:ascii="仿宋_GB2312" w:hAnsi="仿宋"/>
          <w:color w:val="000000" w:themeColor="text1"/>
          <w:sz w:val="32"/>
          <w:szCs w:val="32"/>
          <w:lang w:val="en-US" w:eastAsia="zh-CN"/>
          <w14:textFill>
            <w14:solidFill>
              <w14:schemeClr w14:val="tx1"/>
            </w14:solidFill>
          </w14:textFill>
        </w:rPr>
        <w:t>97.36%。</w:t>
      </w:r>
      <w:r>
        <w:rPr>
          <w:rFonts w:hint="eastAsia" w:ascii="仿宋_GB2312" w:hAnsi="仿宋"/>
          <w:color w:val="000000" w:themeColor="text1"/>
          <w:sz w:val="32"/>
          <w:szCs w:val="32"/>
          <w:lang w:eastAsia="zh-CN"/>
          <w14:textFill>
            <w14:solidFill>
              <w14:schemeClr w14:val="tx1"/>
            </w14:solidFill>
          </w14:textFill>
        </w:rPr>
        <w:t>决算数小于预算数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color w:val="000000" w:themeColor="text1"/>
          <w:sz w:val="32"/>
          <w:szCs w:val="32"/>
          <w:lang w:val="en-US" w:eastAsia="zh-CN"/>
          <w14:textFill>
            <w14:solidFill>
              <w14:schemeClr w14:val="tx1"/>
            </w14:solidFill>
          </w14:textFill>
        </w:rPr>
        <w:t>根据中央八项规定压减项目支出</w:t>
      </w:r>
      <w:r>
        <w:rPr>
          <w:rFonts w:hint="eastAsia" w:ascii="仿宋_GB2312" w:hAnsi="仿宋"/>
          <w:color w:val="000000" w:themeColor="text1"/>
          <w:sz w:val="32"/>
          <w:szCs w:val="32"/>
          <w14:textFill>
            <w14:solidFill>
              <w14:schemeClr w14:val="tx1"/>
            </w14:solidFill>
          </w14:textFill>
        </w:rPr>
        <w:t>。</w:t>
      </w:r>
    </w:p>
    <w:p w14:paraId="35B39858">
      <w:pPr>
        <w:numPr>
          <w:ilvl w:val="0"/>
          <w:numId w:val="0"/>
        </w:numPr>
        <w:snapToGrid w:val="0"/>
        <w:spacing w:line="520" w:lineRule="exact"/>
        <w:ind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lang w:val="en-US" w:eastAsia="zh-CN"/>
          <w14:textFill>
            <w14:solidFill>
              <w14:schemeClr w14:val="tx1"/>
            </w14:solidFill>
          </w14:textFill>
        </w:rPr>
        <w:t>13</w:t>
      </w: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14:textFill>
            <w14:solidFill>
              <w14:schemeClr w14:val="tx1"/>
            </w14:solidFill>
          </w14:textFill>
        </w:rPr>
        <w:t>社会保障和就业支出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退役军人管理事务</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下行政运行</w:t>
      </w:r>
      <w:r>
        <w:rPr>
          <w:rFonts w:hint="eastAsia" w:ascii="仿宋_GB2312" w:hAnsi="仿宋"/>
          <w:color w:val="000000" w:themeColor="text1"/>
          <w:sz w:val="32"/>
          <w:szCs w:val="32"/>
          <w:lang w:eastAsia="zh-CN"/>
          <w14:textFill>
            <w14:solidFill>
              <w14:schemeClr w14:val="tx1"/>
            </w14:solidFill>
          </w14:textFill>
        </w:rPr>
        <w:t>（项）</w:t>
      </w:r>
    </w:p>
    <w:p w14:paraId="07882EBD">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454.79</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515.15</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完成年初预算数的</w:t>
      </w:r>
      <w:r>
        <w:rPr>
          <w:rFonts w:hint="eastAsia" w:ascii="仿宋_GB2312" w:hAnsi="仿宋"/>
          <w:color w:val="000000" w:themeColor="text1"/>
          <w:sz w:val="32"/>
          <w:szCs w:val="32"/>
          <w:lang w:val="en-US" w:eastAsia="zh-CN"/>
          <w14:textFill>
            <w14:solidFill>
              <w14:schemeClr w14:val="tx1"/>
            </w14:solidFill>
          </w14:textFill>
        </w:rPr>
        <w:t>113.27%。</w:t>
      </w:r>
      <w:r>
        <w:rPr>
          <w:rFonts w:hint="eastAsia" w:ascii="仿宋_GB2312" w:hAnsi="仿宋"/>
          <w:color w:val="000000" w:themeColor="text1"/>
          <w:sz w:val="32"/>
          <w:szCs w:val="32"/>
          <w:lang w:eastAsia="zh-CN"/>
          <w14:textFill>
            <w14:solidFill>
              <w14:schemeClr w14:val="tx1"/>
            </w14:solidFill>
          </w14:textFill>
        </w:rPr>
        <w:t>决算数大于预算数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sz w:val="32"/>
          <w:szCs w:val="32"/>
        </w:rPr>
        <w:t>工资福利自然增长和业务需求增加相关费用</w:t>
      </w:r>
      <w:r>
        <w:rPr>
          <w:rFonts w:hint="eastAsia" w:ascii="仿宋_GB2312" w:hAnsi="仿宋"/>
          <w:color w:val="000000" w:themeColor="text1"/>
          <w:sz w:val="32"/>
          <w:szCs w:val="32"/>
          <w14:textFill>
            <w14:solidFill>
              <w14:schemeClr w14:val="tx1"/>
            </w14:solidFill>
          </w14:textFill>
        </w:rPr>
        <w:t>。</w:t>
      </w:r>
    </w:p>
    <w:p w14:paraId="4423EE2A">
      <w:pPr>
        <w:numPr>
          <w:ilvl w:val="0"/>
          <w:numId w:val="0"/>
        </w:numPr>
        <w:snapToGrid w:val="0"/>
        <w:spacing w:line="520" w:lineRule="exact"/>
        <w:ind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lang w:val="en-US" w:eastAsia="zh-CN"/>
          <w14:textFill>
            <w14:solidFill>
              <w14:schemeClr w14:val="tx1"/>
            </w14:solidFill>
          </w14:textFill>
        </w:rPr>
        <w:t>14</w:t>
      </w: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14:textFill>
            <w14:solidFill>
              <w14:schemeClr w14:val="tx1"/>
            </w14:solidFill>
          </w14:textFill>
        </w:rPr>
        <w:t>卫生健康支出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优抚对象医疗</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下优抚对象医疗补助</w:t>
      </w:r>
      <w:r>
        <w:rPr>
          <w:rFonts w:hint="eastAsia" w:ascii="仿宋_GB2312" w:hAnsi="仿宋"/>
          <w:color w:val="000000" w:themeColor="text1"/>
          <w:sz w:val="32"/>
          <w:szCs w:val="32"/>
          <w:lang w:eastAsia="zh-CN"/>
          <w14:textFill>
            <w14:solidFill>
              <w14:schemeClr w14:val="tx1"/>
            </w14:solidFill>
          </w14:textFill>
        </w:rPr>
        <w:t>（项）</w:t>
      </w:r>
    </w:p>
    <w:p w14:paraId="0AF50910">
      <w:pPr>
        <w:numPr>
          <w:ilvl w:val="0"/>
          <w:numId w:val="0"/>
        </w:numPr>
        <w:snapToGrid w:val="0"/>
        <w:spacing w:line="520" w:lineRule="exact"/>
        <w:ind w:leftChars="200" w:firstLine="640" w:firstLineChars="200"/>
        <w:rPr>
          <w:rFonts w:hint="eastAsia" w:ascii="仿宋_GB2312" w:hAnsi="仿宋"/>
          <w:color w:val="000000" w:themeColor="text1"/>
          <w:sz w:val="32"/>
          <w:szCs w:val="32"/>
          <w14:textFill>
            <w14:solidFill>
              <w14:schemeClr w14:val="tx1"/>
            </w14:solidFill>
          </w14:textFill>
        </w:rPr>
      </w:pPr>
      <w:r>
        <w:rPr>
          <w:rFonts w:hint="eastAsia" w:ascii="仿宋_GB2312" w:hAnsi="仿宋"/>
          <w:color w:val="000000" w:themeColor="text1"/>
          <w:sz w:val="32"/>
          <w:szCs w:val="32"/>
          <w14:textFill>
            <w14:solidFill>
              <w14:schemeClr w14:val="tx1"/>
            </w14:solidFill>
          </w14:textFill>
        </w:rPr>
        <w:t>年初预算数为</w:t>
      </w:r>
      <w:r>
        <w:rPr>
          <w:rFonts w:hint="eastAsia" w:ascii="仿宋_GB2312" w:hAnsi="仿宋"/>
          <w:color w:val="000000" w:themeColor="text1"/>
          <w:sz w:val="32"/>
          <w:szCs w:val="32"/>
          <w:lang w:val="en-US" w:eastAsia="zh-CN"/>
          <w14:textFill>
            <w14:solidFill>
              <w14:schemeClr w14:val="tx1"/>
            </w14:solidFill>
          </w14:textFill>
        </w:rPr>
        <w:t>400</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决算数</w:t>
      </w:r>
      <w:r>
        <w:rPr>
          <w:rFonts w:hint="eastAsia" w:ascii="仿宋_GB2312" w:hAnsi="仿宋"/>
          <w:color w:val="000000" w:themeColor="text1"/>
          <w:sz w:val="32"/>
          <w:szCs w:val="32"/>
          <w:lang w:val="en-US" w:eastAsia="zh-CN"/>
          <w14:textFill>
            <w14:solidFill>
              <w14:schemeClr w14:val="tx1"/>
            </w14:solidFill>
          </w14:textFill>
        </w:rPr>
        <w:t>339.84</w:t>
      </w:r>
      <w:r>
        <w:rPr>
          <w:rFonts w:hint="eastAsia" w:ascii="仿宋_GB2312" w:hAnsi="仿宋"/>
          <w:color w:val="000000" w:themeColor="text1"/>
          <w:sz w:val="32"/>
          <w:szCs w:val="32"/>
          <w14:textFill>
            <w14:solidFill>
              <w14:schemeClr w14:val="tx1"/>
            </w14:solidFill>
          </w14:textFill>
        </w:rPr>
        <w:t>万元，</w:t>
      </w:r>
      <w:r>
        <w:rPr>
          <w:rFonts w:hint="eastAsia" w:ascii="仿宋_GB2312" w:hAnsi="仿宋"/>
          <w:color w:val="000000" w:themeColor="text1"/>
          <w:sz w:val="32"/>
          <w:szCs w:val="32"/>
          <w:lang w:eastAsia="zh-CN"/>
          <w14:textFill>
            <w14:solidFill>
              <w14:schemeClr w14:val="tx1"/>
            </w14:solidFill>
          </w14:textFill>
        </w:rPr>
        <w:t>完成年初预算数的</w:t>
      </w:r>
      <w:r>
        <w:rPr>
          <w:rFonts w:hint="eastAsia" w:ascii="仿宋_GB2312" w:hAnsi="仿宋"/>
          <w:color w:val="000000" w:themeColor="text1"/>
          <w:sz w:val="32"/>
          <w:szCs w:val="32"/>
          <w:lang w:val="en-US" w:eastAsia="zh-CN"/>
          <w14:textFill>
            <w14:solidFill>
              <w14:schemeClr w14:val="tx1"/>
            </w14:solidFill>
          </w14:textFill>
        </w:rPr>
        <w:t>84.96%。</w:t>
      </w:r>
      <w:r>
        <w:rPr>
          <w:rFonts w:hint="eastAsia" w:ascii="仿宋_GB2312" w:hAnsi="仿宋"/>
          <w:color w:val="000000" w:themeColor="text1"/>
          <w:sz w:val="32"/>
          <w:szCs w:val="32"/>
          <w:lang w:eastAsia="zh-CN"/>
          <w14:textFill>
            <w14:solidFill>
              <w14:schemeClr w14:val="tx1"/>
            </w14:solidFill>
          </w14:textFill>
        </w:rPr>
        <w:t>决算数小于预算数</w:t>
      </w:r>
      <w:r>
        <w:rPr>
          <w:rFonts w:hint="eastAsia" w:ascii="仿宋_GB2312" w:hAnsi="仿宋"/>
          <w:color w:val="000000" w:themeColor="text1"/>
          <w:sz w:val="32"/>
          <w:szCs w:val="32"/>
          <w14:textFill>
            <w14:solidFill>
              <w14:schemeClr w14:val="tx1"/>
            </w14:solidFill>
          </w14:textFill>
        </w:rPr>
        <w:t>，主要是</w:t>
      </w:r>
      <w:r>
        <w:rPr>
          <w:rFonts w:hint="eastAsia" w:ascii="仿宋_GB2312" w:hAnsi="仿宋"/>
          <w:sz w:val="32"/>
          <w:szCs w:val="32"/>
        </w:rPr>
        <w:t>根据中央八项规定压减项目支出</w:t>
      </w:r>
      <w:r>
        <w:rPr>
          <w:rFonts w:hint="eastAsia" w:ascii="仿宋_GB2312" w:hAnsi="仿宋"/>
          <w:color w:val="000000" w:themeColor="text1"/>
          <w:sz w:val="32"/>
          <w:szCs w:val="32"/>
          <w14:textFill>
            <w14:solidFill>
              <w14:schemeClr w14:val="tx1"/>
            </w14:solidFill>
          </w14:textFill>
        </w:rPr>
        <w:t>。</w:t>
      </w:r>
    </w:p>
    <w:p w14:paraId="4B7A3586">
      <w:pPr>
        <w:numPr>
          <w:ilvl w:val="0"/>
          <w:numId w:val="0"/>
        </w:numPr>
        <w:snapToGrid w:val="0"/>
        <w:spacing w:line="520" w:lineRule="exact"/>
        <w:ind w:firstLine="640" w:firstLineChars="200"/>
        <w:rPr>
          <w:rFonts w:hint="eastAsia" w:ascii="仿宋_GB2312" w:hAnsi="仿宋"/>
          <w:color w:val="000000" w:themeColor="text1"/>
          <w:sz w:val="32"/>
          <w:szCs w:val="32"/>
          <w:lang w:eastAsia="zh-CN"/>
          <w14:textFill>
            <w14:solidFill>
              <w14:schemeClr w14:val="tx1"/>
            </w14:solidFill>
          </w14:textFill>
        </w:rPr>
      </w:pP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lang w:val="en-US" w:eastAsia="zh-CN"/>
          <w14:textFill>
            <w14:solidFill>
              <w14:schemeClr w14:val="tx1"/>
            </w14:solidFill>
          </w14:textFill>
        </w:rPr>
        <w:t>15</w:t>
      </w:r>
      <w:r>
        <w:rPr>
          <w:rFonts w:hint="eastAsia" w:ascii="仿宋_GB2312" w:hAnsi="仿宋"/>
          <w:color w:val="000000" w:themeColor="text1"/>
          <w:sz w:val="32"/>
          <w:szCs w:val="32"/>
          <w:lang w:eastAsia="zh-CN"/>
          <w14:textFill>
            <w14:solidFill>
              <w14:schemeClr w14:val="tx1"/>
            </w14:solidFill>
          </w14:textFill>
        </w:rPr>
        <w:t>）</w:t>
      </w:r>
      <w:r>
        <w:rPr>
          <w:rFonts w:hint="eastAsia" w:ascii="仿宋_GB2312" w:hAnsi="仿宋"/>
          <w:color w:val="000000" w:themeColor="text1"/>
          <w:sz w:val="32"/>
          <w:szCs w:val="32"/>
          <w14:textFill>
            <w14:solidFill>
              <w14:schemeClr w14:val="tx1"/>
            </w14:solidFill>
          </w14:textFill>
        </w:rPr>
        <w:t>住房保障支出</w:t>
      </w:r>
      <w:r>
        <w:rPr>
          <w:rFonts w:hint="eastAsia" w:ascii="仿宋_GB2312" w:hAnsi="仿宋"/>
          <w:color w:val="000000" w:themeColor="text1"/>
          <w:sz w:val="32"/>
          <w:szCs w:val="32"/>
          <w:lang w:eastAsia="zh-CN"/>
          <w14:textFill>
            <w14:solidFill>
              <w14:schemeClr w14:val="tx1"/>
            </w14:solidFill>
          </w14:textFill>
        </w:rPr>
        <w:t>（类）</w:t>
      </w:r>
      <w:r>
        <w:rPr>
          <w:rFonts w:hint="eastAsia" w:ascii="仿宋_GB2312" w:hAnsi="仿宋"/>
          <w:color w:val="000000" w:themeColor="text1"/>
          <w:sz w:val="32"/>
          <w:szCs w:val="32"/>
          <w14:textFill>
            <w14:solidFill>
              <w14:schemeClr w14:val="tx1"/>
            </w14:solidFill>
          </w14:textFill>
        </w:rPr>
        <w:t>住房改革支出</w:t>
      </w:r>
      <w:r>
        <w:rPr>
          <w:rFonts w:hint="eastAsia" w:ascii="仿宋_GB2312" w:hAnsi="仿宋"/>
          <w:color w:val="000000" w:themeColor="text1"/>
          <w:sz w:val="32"/>
          <w:szCs w:val="32"/>
          <w:lang w:eastAsia="zh-CN"/>
          <w14:textFill>
            <w14:solidFill>
              <w14:schemeClr w14:val="tx1"/>
            </w14:solidFill>
          </w14:textFill>
        </w:rPr>
        <w:t>（款）</w:t>
      </w:r>
      <w:r>
        <w:rPr>
          <w:rFonts w:hint="eastAsia" w:ascii="仿宋_GB2312" w:hAnsi="仿宋"/>
          <w:color w:val="000000" w:themeColor="text1"/>
          <w:sz w:val="32"/>
          <w:szCs w:val="32"/>
          <w14:textFill>
            <w14:solidFill>
              <w14:schemeClr w14:val="tx1"/>
            </w14:solidFill>
          </w14:textFill>
        </w:rPr>
        <w:t>下住房公积金</w:t>
      </w:r>
      <w:r>
        <w:rPr>
          <w:rFonts w:hint="eastAsia" w:ascii="仿宋_GB2312" w:hAnsi="仿宋"/>
          <w:color w:val="000000" w:themeColor="text1"/>
          <w:sz w:val="32"/>
          <w:szCs w:val="32"/>
          <w:lang w:eastAsia="zh-CN"/>
          <w14:textFill>
            <w14:solidFill>
              <w14:schemeClr w14:val="tx1"/>
            </w14:solidFill>
          </w14:textFill>
        </w:rPr>
        <w:t>（项）</w:t>
      </w:r>
    </w:p>
    <w:p w14:paraId="3A76F478">
      <w:pPr>
        <w:pStyle w:val="18"/>
        <w:spacing w:line="600" w:lineRule="exact"/>
        <w:ind w:firstLine="960" w:firstLineChars="300"/>
        <w:rPr>
          <w:rFonts w:hint="eastAsia" w:hAnsi="黑体"/>
          <w:bCs/>
          <w:color w:val="FF0000"/>
          <w:sz w:val="32"/>
          <w:szCs w:val="32"/>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年初预算数为0万元，决算数32.12万元，</w:t>
      </w:r>
      <w:r>
        <w:rPr>
          <w:rFonts w:hint="eastAsia" w:ascii="Times New Roman" w:eastAsia="宋体"/>
          <w:lang w:val="en-US" w:eastAsia="zh-CN"/>
        </w:rPr>
        <w:t>由于年初预算为0，无法计算百分比。</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决算数大于预算数，主要是项目支出未纳入年初预算。</w:t>
      </w:r>
    </w:p>
    <w:p w14:paraId="2CA9374E">
      <w:pPr>
        <w:pStyle w:val="18"/>
        <w:spacing w:line="600" w:lineRule="exact"/>
        <w:ind w:firstLine="640" w:firstLineChars="200"/>
        <w:rPr>
          <w:rFonts w:hint="eastAsia" w:hAnsi="黑体"/>
          <w:bCs/>
          <w:color w:val="FF0000"/>
          <w:sz w:val="32"/>
          <w:szCs w:val="32"/>
        </w:rPr>
      </w:pPr>
    </w:p>
    <w:p w14:paraId="46050020">
      <w:pPr>
        <w:pStyle w:val="18"/>
        <w:spacing w:line="600" w:lineRule="exact"/>
        <w:ind w:firstLine="640" w:firstLineChars="200"/>
        <w:rPr>
          <w:rFonts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六、一般公共预算财政拨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基本支出决算情况说明</w:t>
      </w:r>
    </w:p>
    <w:p w14:paraId="4983B31F">
      <w:pPr>
        <w:pStyle w:val="18"/>
        <w:spacing w:line="600" w:lineRule="exact"/>
        <w:ind w:firstLine="640" w:firstLineChars="20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2023年度财政拨（款）基本支出753.92万元，其中：</w:t>
      </w:r>
    </w:p>
    <w:p w14:paraId="778C557D">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人员经费704.69万元，占基本支出的93.47%,主要包括基本工资、津贴补贴、奖金、伙食补助费、绩效工资、机关事业单位基本养老保险缴费、职业年金缴费、职工基本医疗保险缴费、其他社会保障缴费、住房公积金、医疗费、退休费、抚恤金、医疗费补助、奖励金、其他对个人和家庭的补助。</w:t>
      </w:r>
    </w:p>
    <w:p w14:paraId="27C5C807">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公用经费49.23万元，占基本支出的6.53%，主要包括办公费、水费、电费、邮电费、差旅费、维修（护）费、培训费、公务接待费、工会经费、福利费、公务用车运行维护费、其他交通费用、其他商品和服务支出、办公设备购置。</w:t>
      </w:r>
    </w:p>
    <w:p w14:paraId="6EEC8FB9">
      <w:pPr>
        <w:pStyle w:val="18"/>
        <w:numPr>
          <w:ilvl w:val="0"/>
          <w:numId w:val="3"/>
        </w:numPr>
        <w:spacing w:line="600" w:lineRule="exact"/>
        <w:ind w:firstLine="640" w:firstLineChars="200"/>
        <w:rPr>
          <w:rFonts w:hint="eastAsia" w:hAnsi="黑体"/>
          <w:bCs/>
          <w:color w:val="000000" w:themeColor="text1"/>
          <w:sz w:val="32"/>
          <w:szCs w:val="32"/>
          <w14:textFill>
            <w14:solidFill>
              <w14:schemeClr w14:val="tx1"/>
            </w14:solidFill>
          </w14:textFill>
        </w:rPr>
      </w:pPr>
      <w:r>
        <w:rPr>
          <w:rFonts w:hint="eastAsia" w:hAnsi="黑体"/>
          <w:bCs/>
          <w:color w:val="000000" w:themeColor="text1"/>
          <w:sz w:val="32"/>
          <w:szCs w:val="32"/>
          <w14:textFill>
            <w14:solidFill>
              <w14:schemeClr w14:val="tx1"/>
            </w14:solidFill>
          </w14:textFill>
        </w:rPr>
        <w:t>财政拨</w:t>
      </w:r>
      <w:r>
        <w:rPr>
          <w:rFonts w:hint="eastAsia" w:hAnsi="黑体"/>
          <w:bCs/>
          <w:color w:val="000000" w:themeColor="text1"/>
          <w:sz w:val="32"/>
          <w:szCs w:val="32"/>
          <w:lang w:eastAsia="zh-CN"/>
          <w14:textFill>
            <w14:solidFill>
              <w14:schemeClr w14:val="tx1"/>
            </w14:solidFill>
          </w14:textFill>
        </w:rPr>
        <w:t>（款）</w:t>
      </w:r>
      <w:r>
        <w:rPr>
          <w:rFonts w:hint="eastAsia" w:hAnsi="黑体"/>
          <w:bCs/>
          <w:color w:val="000000" w:themeColor="text1"/>
          <w:sz w:val="32"/>
          <w:szCs w:val="32"/>
          <w14:textFill>
            <w14:solidFill>
              <w14:schemeClr w14:val="tx1"/>
            </w14:solidFill>
          </w14:textFill>
        </w:rPr>
        <w:t>三公经费支出决算情况说明</w:t>
      </w:r>
    </w:p>
    <w:p w14:paraId="28D463F6">
      <w:pPr>
        <w:pStyle w:val="18"/>
        <w:numPr>
          <w:ilvl w:val="0"/>
          <w:numId w:val="0"/>
        </w:numPr>
        <w:spacing w:line="600" w:lineRule="exact"/>
        <w:ind w:firstLine="640"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（一）“三公”经费财政拨</w:t>
      </w:r>
      <w:r>
        <w:rPr>
          <w:rFonts w:hint="eastAsia" w:ascii="楷体" w:hAnsi="楷体" w:eastAsia="楷体" w:cs="楷体"/>
          <w:b/>
          <w:color w:val="000000" w:themeColor="text1"/>
          <w:sz w:val="32"/>
          <w:szCs w:val="32"/>
          <w:lang w:eastAsia="zh-CN"/>
          <w14:textFill>
            <w14:solidFill>
              <w14:schemeClr w14:val="tx1"/>
            </w14:solidFill>
          </w14:textFill>
        </w:rPr>
        <w:t>（款）</w:t>
      </w:r>
      <w:r>
        <w:rPr>
          <w:rFonts w:hint="eastAsia" w:ascii="楷体" w:hAnsi="楷体" w:eastAsia="楷体" w:cs="楷体"/>
          <w:b/>
          <w:color w:val="000000" w:themeColor="text1"/>
          <w:sz w:val="32"/>
          <w:szCs w:val="32"/>
          <w14:textFill>
            <w14:solidFill>
              <w14:schemeClr w14:val="tx1"/>
            </w14:solidFill>
          </w14:textFill>
        </w:rPr>
        <w:t>支出决算总体情况说明</w:t>
      </w:r>
    </w:p>
    <w:p w14:paraId="14B0587D">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三公”经费财政拨（款）支出预算为1.22万元，支出决算为1.22万元，决算数等于预算数的主要原因是严格执行预算。与上年相比减少0.63万元，减少34.05%,减少的主要原因是认真贯彻落实中央八项规定精神和厉行节约要求，从严控制“三公”经费开支。其中：</w:t>
      </w:r>
    </w:p>
    <w:p w14:paraId="722D0A1A">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因公出国（境）费支出预算为0万元，支出决算为0万元，决算数等于预算数的主要原因是严格按预算执行决算，与上年一致，无增减变动，主要原因是未安排因公出国（境）活动。</w:t>
      </w:r>
    </w:p>
    <w:p w14:paraId="17808E24">
      <w:pPr>
        <w:pStyle w:val="18"/>
        <w:spacing w:line="600" w:lineRule="exact"/>
        <w:ind w:firstLine="800" w:firstLineChars="250"/>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公务接待费支出预算为1.22万元，支出决算为1.22万元，决算数等于预算数的主要原因是认真贯彻落实中央“八项规定”精神和厉行节约要求，从严控制“三公”经费开支，与上年相比减少0.63万元，减少34.05%,减少的主要原因是认真贯彻落实中央“八项规定”精神和厉行节约要求，从严控制“三公”经费开支。</w:t>
      </w:r>
    </w:p>
    <w:p w14:paraId="5231CE37">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公务用车购置费支出预算为0万元，支出决算为0万元，决算数等于预算数的主要原因是严格按预算执行决算，与上年一致，无增减变动，主要原因是两年均未购置公务用车。</w:t>
      </w:r>
    </w:p>
    <w:p w14:paraId="5E29A6CD">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公务用车运行维护费支出预算为0万元，支出决算为0万元，决算数等于预算数的主要原因是严格按预算执行决算，与上年一致，无增减变动，主要原因是两年均未发生公务用车运行维护费支出。</w:t>
      </w:r>
    </w:p>
    <w:p w14:paraId="1479DD83">
      <w:pPr>
        <w:pStyle w:val="18"/>
        <w:spacing w:line="600" w:lineRule="exact"/>
        <w:ind w:firstLine="640" w:firstLineChars="200"/>
        <w:rPr>
          <w:rFonts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（二）“三公”经费财政拨</w:t>
      </w:r>
      <w:r>
        <w:rPr>
          <w:rFonts w:hint="eastAsia" w:ascii="楷体" w:hAnsi="楷体" w:eastAsia="楷体" w:cs="楷体"/>
          <w:b/>
          <w:color w:val="000000" w:themeColor="text1"/>
          <w:sz w:val="32"/>
          <w:szCs w:val="32"/>
          <w:lang w:eastAsia="zh-CN"/>
          <w14:textFill>
            <w14:solidFill>
              <w14:schemeClr w14:val="tx1"/>
            </w14:solidFill>
          </w14:textFill>
        </w:rPr>
        <w:t>（款）</w:t>
      </w:r>
      <w:r>
        <w:rPr>
          <w:rFonts w:hint="eastAsia" w:ascii="楷体" w:hAnsi="楷体" w:eastAsia="楷体" w:cs="楷体"/>
          <w:b/>
          <w:color w:val="000000" w:themeColor="text1"/>
          <w:sz w:val="32"/>
          <w:szCs w:val="32"/>
          <w14:textFill>
            <w14:solidFill>
              <w14:schemeClr w14:val="tx1"/>
            </w14:solidFill>
          </w14:textFill>
        </w:rPr>
        <w:t>支出决算具体情况说明</w:t>
      </w:r>
    </w:p>
    <w:p w14:paraId="4ADEF935">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2023年度“三公”经费财政拨款支出决算中，公务接待费支出决算1.22万元，占100%,因公出国（境）费支出决算0万元，占0%,公务用车购置费及运行维护费支出决算0万元，占0%。其中：</w:t>
      </w:r>
    </w:p>
    <w:p w14:paraId="6E1FEE0F">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1、因公出国（境）费支出决算为0万元，全年安排因公出国（境）团组0个，累计0人次,我单位2023年度无因公出国（境）费支出。</w:t>
      </w:r>
    </w:p>
    <w:p w14:paraId="099D4AD5">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2、公务接待费支出决算为1.22万元，全年共接待来访团组8个、来宾95人次，用于上级单位调研工作及与有关单位交流工作情况和接受相关部门检查指导工作等发生的接待支出。</w:t>
      </w:r>
    </w:p>
    <w:p w14:paraId="3A9F3640">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3、公务用车购置费及运行维护费支出决算为0万元，其中：公务用车购置费0万元，更新公务用车0辆。公务用车运行维护费0万元，截止2023年12月31日，我单位开支财政拨款的公务用车保有量为0辆。</w:t>
      </w:r>
    </w:p>
    <w:p w14:paraId="0A41A08E">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p>
    <w:p w14:paraId="62104E43">
      <w:pPr>
        <w:pStyle w:val="18"/>
        <w:spacing w:line="600" w:lineRule="exact"/>
        <w:ind w:firstLine="640" w:firstLineChars="200"/>
        <w:rPr>
          <w:rFonts w:hint="eastAsia" w:hAnsi="黑体"/>
          <w:bCs/>
          <w:color w:val="000000" w:themeColor="text1"/>
          <w:sz w:val="32"/>
          <w:szCs w:val="32"/>
          <w:lang w:val="en-US" w:eastAsia="zh-CN"/>
          <w14:textFill>
            <w14:solidFill>
              <w14:schemeClr w14:val="tx1"/>
            </w14:solidFill>
          </w14:textFill>
        </w:rPr>
      </w:pPr>
      <w:r>
        <w:rPr>
          <w:rFonts w:hint="eastAsia" w:hAnsi="黑体"/>
          <w:bCs/>
          <w:color w:val="000000" w:themeColor="text1"/>
          <w:sz w:val="32"/>
          <w:szCs w:val="32"/>
          <w:lang w:val="en-US" w:eastAsia="zh-CN"/>
          <w14:textFill>
            <w14:solidFill>
              <w14:schemeClr w14:val="tx1"/>
            </w14:solidFill>
          </w14:textFill>
        </w:rPr>
        <w:t>八、政府性基金预算收入支出决算情况</w:t>
      </w:r>
    </w:p>
    <w:p w14:paraId="752C7AC2">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2023年度政府性基金预算财政拨款收入0万元；年初结转和结余0万元；支出0万元，其中基本支出0万元，（项）目支出0万元；年末结转和结余0万元。</w:t>
      </w:r>
    </w:p>
    <w:p w14:paraId="70D8DC0A">
      <w:pPr>
        <w:pStyle w:val="18"/>
        <w:spacing w:line="600" w:lineRule="exact"/>
        <w:ind w:firstLine="640" w:firstLineChars="200"/>
        <w:rPr>
          <w:rFonts w:ascii="Times New Roman" w:hAnsi="Times New Roman" w:eastAsia="仿宋_GB2312"/>
          <w:color w:val="FF0000"/>
          <w:sz w:val="32"/>
          <w:szCs w:val="32"/>
        </w:rPr>
      </w:pPr>
    </w:p>
    <w:p w14:paraId="06DDDC23">
      <w:pPr>
        <w:pStyle w:val="18"/>
        <w:spacing w:line="600" w:lineRule="exact"/>
        <w:ind w:firstLine="640" w:firstLineChars="200"/>
        <w:rPr>
          <w:rFonts w:hint="eastAsia" w:ascii="Times New Roman" w:hAnsi="Times New Roman" w:eastAsia="仿宋_GB2312"/>
          <w:b/>
          <w:color w:val="000000" w:themeColor="text1"/>
          <w:sz w:val="32"/>
          <w:szCs w:val="32"/>
          <w:lang w:eastAsia="zh-CN"/>
          <w14:textFill>
            <w14:solidFill>
              <w14:schemeClr w14:val="tx1"/>
            </w14:solidFill>
          </w14:textFill>
        </w:rPr>
      </w:pPr>
      <w:r>
        <w:rPr>
          <w:rFonts w:hint="eastAsia" w:ascii="Times New Roman" w:hAnsi="Times New Roman" w:eastAsia="仿宋_GB2312"/>
          <w:b/>
          <w:color w:val="000000" w:themeColor="text1"/>
          <w:sz w:val="32"/>
          <w:szCs w:val="32"/>
          <w:lang w:eastAsia="zh-CN"/>
          <w14:textFill>
            <w14:solidFill>
              <w14:schemeClr w14:val="tx1"/>
            </w14:solidFill>
          </w14:textFill>
        </w:rPr>
        <w:t>九、国有资本经营预算财政拨款支出决算情况</w:t>
      </w:r>
    </w:p>
    <w:p w14:paraId="05E23F02">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 xml:space="preserve"> 2023年本单位没有使用国有资本经营预算安排的支出。</w:t>
      </w:r>
    </w:p>
    <w:p w14:paraId="4C1ECE98">
      <w:pPr>
        <w:pStyle w:val="18"/>
        <w:spacing w:line="600" w:lineRule="exact"/>
        <w:ind w:firstLine="640" w:firstLineChars="200"/>
        <w:rPr>
          <w:rFonts w:hint="eastAsia" w:hAnsi="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十、关于机关运行经费支出说明</w:t>
      </w:r>
    </w:p>
    <w:p w14:paraId="3AC09C20">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本部门2023年度机关运行经费支出49.23万元，比年初预算数增加16.75万元，增长51.57%。主要原因是：根据工作的需要增加项目经费支出。</w:t>
      </w:r>
    </w:p>
    <w:p w14:paraId="3A663142">
      <w:pPr>
        <w:pStyle w:val="18"/>
        <w:spacing w:line="60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十一、一般性支出情况说明</w:t>
      </w:r>
    </w:p>
    <w:p w14:paraId="3CFA0A85">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2023年本部门开支会议费0.14万元，用于召开工作会议，人数26人，内容为安全生产部署会和退役军人信访维稳会议；开支培训费0万元，人数0人；本单位无举办节庆、晚会、论坛、赛事等活动的预算和支出决算数。</w:t>
      </w:r>
    </w:p>
    <w:p w14:paraId="164445A1">
      <w:pPr>
        <w:pStyle w:val="18"/>
        <w:spacing w:line="60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十二、关于政府采购支出说明</w:t>
      </w:r>
    </w:p>
    <w:p w14:paraId="01380C62">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本部门2023年度政府采购支出总额103.54万元，其中：政府采购货物支出55.13 万元、政府采购工程支出17.66万元、政府采购服务支出30.75万元。授予中小企业合同金额103.54万元，占政府采购支出总额的100%，其中：授予小微企业合同金额55.13万元，占授予中小企业合同金额的53.25%。货物采购授予中小企业合同金额55.13万元，占货物支出金额的100%，工程采购授予中小企业合同金额17.66万元，占工程支出金额的100%，服务采购授予中小企业合同金额30.75万元，占服务支出金额的100%。</w:t>
      </w:r>
    </w:p>
    <w:p w14:paraId="11E47061">
      <w:pPr>
        <w:pStyle w:val="18"/>
        <w:spacing w:line="58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十三、关于国有资产占用情况说明</w:t>
      </w:r>
    </w:p>
    <w:p w14:paraId="3B04AED5">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4BB1EAE2">
      <w:pPr>
        <w:pStyle w:val="18"/>
        <w:spacing w:line="580" w:lineRule="exact"/>
        <w:ind w:firstLine="640" w:firstLineChars="200"/>
        <w:rPr>
          <w:rFonts w:hint="eastAsia" w:hAnsi="黑体" w:eastAsia="黑体"/>
          <w:bCs/>
          <w:color w:val="000000" w:themeColor="text1"/>
          <w:sz w:val="32"/>
          <w:szCs w:val="32"/>
          <w:lang w:eastAsia="zh-CN"/>
          <w14:textFill>
            <w14:solidFill>
              <w14:schemeClr w14:val="tx1"/>
            </w14:solidFill>
          </w14:textFill>
        </w:rPr>
      </w:pPr>
      <w:r>
        <w:rPr>
          <w:rFonts w:hint="eastAsia" w:hAnsi="黑体"/>
          <w:bCs/>
          <w:color w:val="000000" w:themeColor="text1"/>
          <w:sz w:val="32"/>
          <w:szCs w:val="32"/>
          <w:lang w:eastAsia="zh-CN"/>
          <w14:textFill>
            <w14:solidFill>
              <w14:schemeClr w14:val="tx1"/>
            </w14:solidFill>
          </w14:textFill>
        </w:rPr>
        <w:t>十四、关于2023年度预算绩效情况的说明</w:t>
      </w:r>
    </w:p>
    <w:p w14:paraId="5F9F1092">
      <w:pPr>
        <w:pStyle w:val="18"/>
        <w:spacing w:line="580" w:lineRule="exact"/>
        <w:ind w:firstLine="640" w:firstLineChars="200"/>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（一）绩效管理工作开展情况</w:t>
      </w:r>
    </w:p>
    <w:p w14:paraId="5A5E416A">
      <w:pPr>
        <w:pStyle w:val="18"/>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为贯彻执行国家预算法，加强预算绩效管理，我单位严格按预算绩效管理的相关要求开展预算工作，我单位2023年预算总支出为8567.59万元。其中：基本支出860.74万元,占总支出的10.05%;项目支出7706.85万元,占总支出的89.95%。我单位切实以绩效管理为目标，健全单位绩效</w:t>
      </w:r>
      <w:bookmarkStart w:id="0" w:name="_GoBack"/>
      <w:bookmarkEnd w:id="0"/>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管理工作机制，明确责任，努力提高绩效管理工作水平；加强化单位制度建设，提升预算管理质量。</w:t>
      </w:r>
    </w:p>
    <w:p w14:paraId="2B528EB0">
      <w:pPr>
        <w:pStyle w:val="18"/>
        <w:spacing w:line="580" w:lineRule="exact"/>
        <w:ind w:firstLine="640" w:firstLineChars="200"/>
        <w:rPr>
          <w:rFonts w:hint="eastAsia" w:ascii="楷体" w:hAnsi="楷体" w:eastAsia="楷体" w:cs="楷体"/>
          <w:b/>
          <w:bCs/>
          <w:color w:val="FF0000"/>
          <w:sz w:val="32"/>
          <w:szCs w:val="32"/>
        </w:rPr>
      </w:pPr>
    </w:p>
    <w:p w14:paraId="7A66BDB6">
      <w:pPr>
        <w:pStyle w:val="18"/>
        <w:spacing w:line="580" w:lineRule="exact"/>
        <w:ind w:firstLine="640" w:firstLineChars="200"/>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（二）部门（单位）整体支出绩效情况</w:t>
      </w:r>
    </w:p>
    <w:p w14:paraId="69A02690">
      <w:pPr>
        <w:pStyle w:val="9"/>
        <w:shd w:val="clear" w:color="auto" w:fill="FFFFFF"/>
        <w:spacing w:before="0" w:beforeAutospacing="0" w:after="0" w:afterAutospacing="0" w:line="480" w:lineRule="auto"/>
        <w:jc w:val="both"/>
        <w:textAlignment w:val="cente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ascii="Segoe UI" w:hAnsi="Segoe UI" w:cs="Segoe UI"/>
          <w:color w:val="000000" w:themeColor="text1"/>
          <w:sz w:val="27"/>
          <w:szCs w:val="27"/>
          <w14:textFill>
            <w14:solidFill>
              <w14:schemeClr w14:val="tx1"/>
            </w14:solidFill>
          </w14:textFill>
        </w:rPr>
        <w:t>　</w:t>
      </w:r>
      <w:r>
        <w:rPr>
          <w:rFonts w:hint="eastAsia" w:ascii="Segoe UI" w:hAnsi="Segoe UI" w:cs="Segoe UI"/>
          <w:color w:val="000000" w:themeColor="text1"/>
          <w:sz w:val="27"/>
          <w:szCs w:val="27"/>
          <w:lang w:val="en-US" w:eastAsia="zh-CN"/>
          <w14:textFill>
            <w14:solidFill>
              <w14:schemeClr w14:val="tx1"/>
            </w14:solidFill>
          </w14:textFill>
        </w:rPr>
        <w:t xml:space="preserve">   </w:t>
      </w: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为贯彻执行国家预算法，加强预算绩效管理我单位严格按预算绩效管理的相关要求开展预算工作，严格按照预算编制方案科学合理编制本部门预算，从严控制经费，按照“零增长”的原则编制“三公经费”预算，并按相关要求严格执行预算范围内开支，并完成所有预定目标，人员调动，及时进行了预算动态调整。按时完成预算编制报送工作。按照例行节约，物尽其用的原则，资产管理采取统一管理，统一录入资产管理系统，对每件固定资产使用明确保管职责，落实专人负责资产报表，报表数据真实、准确、完整。按时将部门的预算、决算、绩效评价情况相关信息在县政府门户网站进行了公开，使财务状况更加公开、透明。2023年总支出为8567.59万元。其中：基本支出860.74万元,占总支出的10.05%。我单位切实以绩效管理为目标，健全单位绩效管理工作机制，明确责任，努力提高绩效管理工作水平；加强单位制度建设，提升预算管理质量。向本级县政府提交县本级预算执行情况的结果报告。</w:t>
      </w:r>
    </w:p>
    <w:p w14:paraId="67CD3290">
      <w:pPr>
        <w:pStyle w:val="9"/>
        <w:shd w:val="clear" w:color="auto" w:fill="FFFFFF"/>
        <w:spacing w:before="0" w:beforeAutospacing="0" w:after="0" w:afterAutospacing="0" w:line="480" w:lineRule="auto"/>
        <w:jc w:val="both"/>
        <w:textAlignment w:val="cente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　　从总体绩效目标来看，加强对国家专（项）资金的监督、将惠民政策落到实处；群众满意度和职工满意度较高，总体绩效目标完成较好。</w:t>
      </w:r>
    </w:p>
    <w:p w14:paraId="5FBD580D">
      <w:pPr>
        <w:pStyle w:val="18"/>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5BECCD98">
      <w:pPr>
        <w:pStyle w:val="9"/>
        <w:shd w:val="clear" w:color="auto" w:fill="FFFFFF"/>
        <w:spacing w:before="0" w:beforeAutospacing="0" w:after="0" w:afterAutospacing="0" w:line="480" w:lineRule="auto"/>
        <w:ind w:firstLine="640" w:firstLineChars="200"/>
        <w:jc w:val="both"/>
        <w:textAlignment w:val="cente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1、资金预算刚性不够，预算编制与实际支出（项）目有的存在差异；</w:t>
      </w:r>
    </w:p>
    <w:p w14:paraId="7D18859F">
      <w:pPr>
        <w:pStyle w:val="9"/>
        <w:shd w:val="clear" w:color="auto" w:fill="FFFFFF"/>
        <w:spacing w:before="0" w:beforeAutospacing="0" w:after="0" w:afterAutospacing="0" w:line="480" w:lineRule="auto"/>
        <w:jc w:val="both"/>
        <w:textAlignment w:val="cente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pPr>
      <w:r>
        <w:rPr>
          <w:rFonts w:hint="eastAsia" w:ascii="仿宋_GB2312" w:hAnsi="仿宋" w:eastAsiaTheme="minorEastAsia" w:cstheme="minorBidi"/>
          <w:color w:val="000000" w:themeColor="text1"/>
          <w:kern w:val="2"/>
          <w:sz w:val="32"/>
          <w:szCs w:val="32"/>
          <w:lang w:val="en-US" w:eastAsia="zh-CN" w:bidi="ar-SA"/>
          <w14:textFill>
            <w14:solidFill>
              <w14:schemeClr w14:val="tx1"/>
            </w14:solidFill>
          </w14:textFill>
        </w:rPr>
        <w:t>　　2、部分绩效指标缺乏科学合理的设置，绩效指标体系有待完善。</w:t>
      </w:r>
    </w:p>
    <w:p w14:paraId="2C4DAAA6">
      <w:pPr>
        <w:pStyle w:val="18"/>
        <w:jc w:val="both"/>
        <w:rPr>
          <w:sz w:val="72"/>
          <w:szCs w:val="72"/>
        </w:rPr>
      </w:pPr>
    </w:p>
    <w:p w14:paraId="09E8B86E">
      <w:pPr>
        <w:pStyle w:val="18"/>
        <w:jc w:val="center"/>
        <w:rPr>
          <w:sz w:val="72"/>
          <w:szCs w:val="72"/>
        </w:rPr>
      </w:pPr>
    </w:p>
    <w:p w14:paraId="2DF79485">
      <w:pPr>
        <w:pStyle w:val="18"/>
        <w:jc w:val="center"/>
        <w:rPr>
          <w:sz w:val="72"/>
          <w:szCs w:val="72"/>
        </w:rPr>
      </w:pPr>
    </w:p>
    <w:p w14:paraId="4C6B2844">
      <w:pPr>
        <w:pStyle w:val="18"/>
        <w:jc w:val="both"/>
        <w:rPr>
          <w:rFonts w:ascii="方正小标宋_GBK" w:hAnsi="方正小标宋_GBK" w:eastAsia="方正小标宋_GBK" w:cs="方正小标宋_GBK"/>
          <w:sz w:val="72"/>
          <w:szCs w:val="72"/>
        </w:rPr>
      </w:pPr>
    </w:p>
    <w:p w14:paraId="71517573">
      <w:pPr>
        <w:pStyle w:val="18"/>
        <w:jc w:val="center"/>
        <w:rPr>
          <w:rFonts w:ascii="方正小标宋_GBK" w:hAnsi="方正小标宋_GBK" w:eastAsia="方正小标宋_GBK" w:cs="方正小标宋_GBK"/>
          <w:sz w:val="72"/>
          <w:szCs w:val="72"/>
        </w:rPr>
      </w:pPr>
    </w:p>
    <w:p w14:paraId="410BDE92">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B674097">
      <w:pPr>
        <w:jc w:val="center"/>
        <w:rPr>
          <w:rFonts w:ascii="方正小标宋_GBK" w:hAnsi="方正小标宋_GBK" w:eastAsia="方正小标宋_GBK" w:cs="方正小标宋_GBK"/>
          <w:color w:val="000000"/>
          <w:kern w:val="0"/>
          <w:sz w:val="70"/>
          <w:szCs w:val="70"/>
        </w:rPr>
      </w:pPr>
    </w:p>
    <w:p w14:paraId="0059087B">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CB36D36">
      <w:pPr>
        <w:widowControl/>
        <w:jc w:val="left"/>
        <w:rPr>
          <w:rFonts w:cs="黑体" w:asciiTheme="minorEastAsia" w:hAnsiTheme="minorEastAsia"/>
          <w:color w:val="000000"/>
          <w:kern w:val="0"/>
          <w:sz w:val="32"/>
          <w:szCs w:val="32"/>
        </w:rPr>
      </w:pPr>
      <w:r>
        <w:br w:type="page"/>
      </w:r>
    </w:p>
    <w:p w14:paraId="6E642C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收入：指本级财政当年拨付的资金。</w:t>
      </w:r>
    </w:p>
    <w:p w14:paraId="7595CAB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政府性基金预算财政拨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收入：指本级财政当年拨付的政府性基金预算资金。</w:t>
      </w:r>
    </w:p>
    <w:p w14:paraId="1A8B47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一般公共服务支出（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0B83FFB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国防支出（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 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4A438C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文化体育与传媒支出（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）：是指用于文化、文物、体育、新闻出版广播影视等方面的支出，包括保障机构正常运转、完成日常和特定的工作任务或事业发展目标的支出。</w:t>
      </w:r>
    </w:p>
    <w:p w14:paraId="55EEE0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社会保障和就业支出（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）：是指用于社会保障和就业方面的支出，包括保障机构正常运转、完成日常和特定的工作任务或事业发展目标的支出。归口管理的行政单位离退休，指离退休人员管理机构统一管理的机关离退休人员的经费。</w:t>
      </w:r>
    </w:p>
    <w:p w14:paraId="2DC102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卫生健康支出（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）：是指用于医疗卫生与计划生育方面的支出，包括保障机构正常运转、完成日常和特定的工作任务或事业发展目标的支出。</w:t>
      </w:r>
    </w:p>
    <w:p w14:paraId="2F0EF3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节能环保支出（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）：是指用于节能环保支出，包括保障机构正常运转、完成日常和特定的工作任务或事业发展目标的支出。</w:t>
      </w:r>
    </w:p>
    <w:p w14:paraId="28FE35E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城乡社区支出（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）：是指用于城乡社区事务支出，包括保障机构正常运转、完成日常和特定的工作任务或事业发展目标的支出。</w:t>
      </w:r>
    </w:p>
    <w:p w14:paraId="5B64E72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农林水支出（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）：是指用于农林水事务支出，包括保障机构正常运转、完成日常和特定的工作任务或事业发展目标的支出。</w:t>
      </w:r>
    </w:p>
    <w:p w14:paraId="179F5C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交通运输支出（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）：是指用于交通运输和邮政业方面的支出，包括保障机构正常运转、完成日常和特定的工作任务或事业发展目标的支出。</w:t>
      </w:r>
    </w:p>
    <w:p w14:paraId="53D161C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商业服务业等支出（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）：是指用于商业服务业等方面的支出,包括保障机构正常运转、完成日常和特定的工作任务或事业发展目标的支出。</w:t>
      </w:r>
    </w:p>
    <w:p w14:paraId="4DCF8D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自然资源海洋气象等支出（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）：是指用于自然资源、海洋、测绘、气象等公益服务事业方面的支出，包括保障机构正常运转、完成日常和特定的工作任务或事业发展目标的支出。</w:t>
      </w:r>
    </w:p>
    <w:p w14:paraId="38D32C3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粮油物资储备支出（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）：是指用于粮油物资储备方面的支出，包括保障机构正常运转、完成日常和特定的工作任务或事业发展目标的支出。</w:t>
      </w:r>
    </w:p>
    <w:p w14:paraId="0784B6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灾害防治及应急管理支出（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）：是指用于反映政府用于自然灾害防治、安全生产监管及应急管理等方面的支出，包括保障机构正常运转、完成日常和特定的工作任务或事业发展目标的支出。</w:t>
      </w:r>
    </w:p>
    <w:p w14:paraId="58128E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其他支出（</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）：是指用于反映除上述</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目以外其他不能划分到具体功能科目中的支出</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目，包括保障机构正常运转、完成日常和特定的工作任务或事业发展目标的支出。</w:t>
      </w:r>
    </w:p>
    <w:p w14:paraId="69765D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基本支出：指保障机构正常运转、完成支日常工作任务而发生的人员支出和公用支出。</w:t>
      </w:r>
    </w:p>
    <w:p w14:paraId="2FD920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目支出：指在基本支出之外为完成特定行政任务和事业发展目标所发生的支出。</w:t>
      </w:r>
    </w:p>
    <w:p w14:paraId="5A580B9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“三公”经费：指用财政拨</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公务接待（含外宾接待）支出。</w:t>
      </w:r>
    </w:p>
    <w:p w14:paraId="521B380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政府采购 ：是指国家各级政府为从事日常的政务活动或为了满足公共服务的目的，利用国家财政性资金和政府借</w:t>
      </w:r>
      <w:r>
        <w:rPr>
          <w:rFonts w:hint="eastAsia" w:ascii="微软雅黑" w:hAnsi="微软雅黑" w:eastAsia="微软雅黑" w:cs="微软雅黑"/>
          <w:i w:val="0"/>
          <w:iCs w:val="0"/>
          <w:caps w:val="0"/>
          <w:color w:val="666666"/>
          <w:spacing w:val="0"/>
          <w:sz w:val="24"/>
          <w:szCs w:val="24"/>
          <w:shd w:val="clear" w:fill="FFFFFF"/>
          <w:lang w:eastAsia="zh-CN"/>
        </w:rPr>
        <w:t>（款）</w:t>
      </w:r>
      <w:r>
        <w:rPr>
          <w:rFonts w:hint="eastAsia" w:ascii="微软雅黑" w:hAnsi="微软雅黑" w:eastAsia="微软雅黑" w:cs="微软雅黑"/>
          <w:i w:val="0"/>
          <w:iCs w:val="0"/>
          <w:caps w:val="0"/>
          <w:color w:val="666666"/>
          <w:spacing w:val="0"/>
          <w:sz w:val="24"/>
          <w:szCs w:val="24"/>
          <w:shd w:val="clear" w:fill="FFFFFF"/>
        </w:rPr>
        <w:t>购买货物、工程和服务的行为。</w:t>
      </w:r>
    </w:p>
    <w:p w14:paraId="4F4C60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工资福利支出：反映单位开支的在职职工和编制外长期聘用人员的各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劳动报酬，以及为上述人员缴纳的各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社会保险费等。</w:t>
      </w:r>
    </w:p>
    <w:p w14:paraId="6495AB1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基本工资：反映按规定发放的基本工资，包括公务员的职务工资、级别工资；机关工人的岗位工资、技术等级工资；事业单位工作人员的岗位工资、薪级工资；各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学校毕业生试用期(见习期)工资、新参加工作工人学徒期、熟练期工资；军队（武警）军官、文职干部的职务（专业技术等级）工资、军衔（级别）工资、基础工资和军龄工资；军队士官的军衔等级工资、基础工资和军龄工资等。</w:t>
      </w:r>
    </w:p>
    <w:p w14:paraId="65A4A85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津贴补贴：反映经国家批准建立的机关事业单位艰苦边远地区津贴、机关工作人员地区附加津贴、机关工作人员岗位津贴、事业单位工作人员特殊岗位津贴补贴等。</w:t>
      </w:r>
    </w:p>
    <w:p w14:paraId="6E4ACE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奖金：反映机关工作人员年终一次性奖金。</w:t>
      </w:r>
    </w:p>
    <w:p w14:paraId="0B7298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绩效工资：反映事业单位工作人员的绩效工资。</w:t>
      </w:r>
    </w:p>
    <w:p w14:paraId="414998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机关事业单位基本养老保险缴费：反映机关事业单位缴纳的基本养老保险费。由单位代扣的工作人员基本养老保险缴费，不在此科目反映。</w:t>
      </w:r>
    </w:p>
    <w:p w14:paraId="00EFA47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职业年金缴费：反映机关事业单位实际缴纳的职业年金支出。由单位代扣的工作人员职业年金缴费，不在此科目反映。</w:t>
      </w:r>
    </w:p>
    <w:p w14:paraId="377DA2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职工基本医疗保险缴费：反映单位为职工缴纳的基本医疗保险费。</w:t>
      </w:r>
    </w:p>
    <w:p w14:paraId="79AA63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其他社会保障缴费：反映单位为职工缴纳的基本医疗、失业、工伤、生育等社会保险费，残疾人就业保障金，军队（含武警）为军人缴纳的伤亡、退役医疗等社会保险费。</w:t>
      </w:r>
    </w:p>
    <w:p w14:paraId="7E1A9E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住房公积金：反映行政事业单位按人力资源和社会保障部、财政部规定的基本工资和津贴补贴以及规定比例为职工缴纳的住房公积金。</w:t>
      </w:r>
    </w:p>
    <w:p w14:paraId="108F700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商品和服务支出：反映单位购买商品和服务的支出（不包括用于购置固定资产的支出、战略性和应急储备支出）。</w:t>
      </w:r>
    </w:p>
    <w:p w14:paraId="5F345F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办公费：反映单位购买按财务会计制度规定不符合固定资产确认标准的日常办公用品、书报杂志等支出。</w:t>
      </w:r>
    </w:p>
    <w:p w14:paraId="519CACC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印刷费：反映单位的印刷费支出。</w:t>
      </w:r>
    </w:p>
    <w:p w14:paraId="7FD0A05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水费：反映单位支付的水费、污水处理费等支出。</w:t>
      </w:r>
    </w:p>
    <w:p w14:paraId="4C22F6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电费：反映单位的电费支出。</w:t>
      </w:r>
    </w:p>
    <w:p w14:paraId="3A4398A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维修(护)费：反映单位日常开支的固定资产（不包括车船等交通工具）修理和维护费用，网络信息系统运行与维护费用，以及按规定提取的修购基金。</w:t>
      </w:r>
    </w:p>
    <w:p w14:paraId="6DDAD8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培训费：反映除因公出国（境）培训费以外的各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培训支出。</w:t>
      </w:r>
    </w:p>
    <w:p w14:paraId="273D432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公务接待费：反映单位按规定开支的各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公务接待（含外宾接待）费用。</w:t>
      </w:r>
    </w:p>
    <w:p w14:paraId="1990177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5E021A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劳务费：反映支付给单位和个人的劳务费用，如临时聘用人员、钟点工工资，稿费、翻译费，评审费等。</w:t>
      </w:r>
    </w:p>
    <w:p w14:paraId="7FE72F9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福利费：反映单位按规定提取的福利费。</w:t>
      </w:r>
    </w:p>
    <w:p w14:paraId="7753C7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其他交通费用：反映单位除公务用车运行维护费以外的其他交通费用。如公务交通补贴，租车费用、出租车费用，飞机、船舶等的燃料费、维修费、保险费等。</w:t>
      </w:r>
    </w:p>
    <w:p w14:paraId="16506C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税金及附加费用：反映单位提供劳务或销售产品应负担的税金及附加费用，包括营业税、消费税、城市维护建设税、资源税和教育附加等。</w:t>
      </w:r>
    </w:p>
    <w:p w14:paraId="62EF8E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其他商品和服务支出：反映上述科目未包括的日常公用支出。如行政赔偿费和诉讼费、国内组织的会员费、来访费、广告宣传、其他劳务费及离休人员特需费、公用经费等。</w:t>
      </w:r>
    </w:p>
    <w:p w14:paraId="1A6BC2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对个人和家庭的补助：反映政府用于对个人和家庭的补助支出。</w:t>
      </w:r>
    </w:p>
    <w:p w14:paraId="4BE91E7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退职（役）费：反映行政事业单位退职人员的生活补贴，一次性支付给职工或军官、军队无军籍退职职工、运动员的退职补助，一次性支付给军官、文职干部、士官、义务兵的退役费，按月支付给自主择业的军队转业干部的退役金。</w:t>
      </w:r>
    </w:p>
    <w:p w14:paraId="44B37E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抚恤金：反映按规定开支的烈士遗属、牺牲病故人员遗属的一次性和定期抚恤金，伤残人员的抚恤金，离退休人员等其他人员的各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抚恤金。</w:t>
      </w:r>
    </w:p>
    <w:p w14:paraId="6FD5C8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4E91C5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救济费：反映按规定开支的城乡贫困人员、灾民、归侨、外侨及其他人员的生活救济费，包括城市居民的最低生活保障费，随同资源枯竭矿山破产但未参加养老保险统筹的矿山所属集体企业退休人员按最低生活保障标准发放的生活费，农村五保供养对象、贫困户、麻风病人的生活救济费，精简退职老弱残职工救济费，福利、救助机构发生的收养费以及救助支出等。实物形式的救济也在此科目反映。</w:t>
      </w:r>
    </w:p>
    <w:p w14:paraId="2297875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3E5B41F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奖励金：反映政府各部门的奖励支出，如对个体私营经济的奖励、计划生育目标责任奖励、独生子女父母奖励等。</w:t>
      </w:r>
    </w:p>
    <w:p w14:paraId="202FA85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个人农业生产补贴：反映各种对个人发放的生产补贴支出，如国家对农民发放的农机具购置补贴、良种补贴、粮食直补以及发放给残疾人的各种生产经营补贴等。</w:t>
      </w:r>
    </w:p>
    <w:p w14:paraId="5491F8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其他对个人和家庭的补助支出：反映未包括在上述科目的对个人和家庭的补助支出，</w:t>
      </w:r>
    </w:p>
    <w:p w14:paraId="7169FCB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办公设备购置：反映用于购置并按财务会计制度规定纳入固定资产核算范围的办公家具和办公设备的支出，以及按规定提取的修购基金。</w:t>
      </w:r>
    </w:p>
    <w:p w14:paraId="003000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专用设备购置：反映用于购置具有专门用途、并按财务会计制度规定纳入固定资产核算范围的各</w:t>
      </w:r>
      <w:r>
        <w:rPr>
          <w:rFonts w:hint="eastAsia" w:ascii="微软雅黑" w:hAnsi="微软雅黑" w:eastAsia="微软雅黑" w:cs="微软雅黑"/>
          <w:i w:val="0"/>
          <w:iCs w:val="0"/>
          <w:caps w:val="0"/>
          <w:color w:val="666666"/>
          <w:spacing w:val="0"/>
          <w:sz w:val="24"/>
          <w:szCs w:val="24"/>
          <w:shd w:val="clear" w:fill="FFFFFF"/>
          <w:lang w:eastAsia="zh-CN"/>
        </w:rPr>
        <w:t>（类）</w:t>
      </w:r>
      <w:r>
        <w:rPr>
          <w:rFonts w:hint="eastAsia" w:ascii="微软雅黑" w:hAnsi="微软雅黑" w:eastAsia="微软雅黑" w:cs="微软雅黑"/>
          <w:i w:val="0"/>
          <w:iCs w:val="0"/>
          <w:caps w:val="0"/>
          <w:color w:val="666666"/>
          <w:spacing w:val="0"/>
          <w:sz w:val="24"/>
          <w:szCs w:val="24"/>
          <w:shd w:val="clear" w:fill="FFFFFF"/>
        </w:rPr>
        <w:t>专用设备的支出。如通信设备、发电设备、交通监控设备、卫星转发器、气象设备、进出口监管设备等，以及按规定提取的修购基金。</w:t>
      </w:r>
    </w:p>
    <w:p w14:paraId="40F8083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机关运行经费：指为保障行政单位（包括参照公务员法管理的事业单位）运行用于购买货物和服务的各</w:t>
      </w:r>
      <w:r>
        <w:rPr>
          <w:rFonts w:hint="eastAsia" w:ascii="微软雅黑" w:hAnsi="微软雅黑" w:eastAsia="微软雅黑" w:cs="微软雅黑"/>
          <w:i w:val="0"/>
          <w:iCs w:val="0"/>
          <w:caps w:val="0"/>
          <w:color w:val="666666"/>
          <w:spacing w:val="0"/>
          <w:sz w:val="24"/>
          <w:szCs w:val="24"/>
          <w:shd w:val="clear" w:fill="FFFFFF"/>
          <w:lang w:eastAsia="zh-CN"/>
        </w:rPr>
        <w:t>（项）</w:t>
      </w:r>
      <w:r>
        <w:rPr>
          <w:rFonts w:hint="eastAsia" w:ascii="微软雅黑" w:hAnsi="微软雅黑" w:eastAsia="微软雅黑" w:cs="微软雅黑"/>
          <w:i w:val="0"/>
          <w:iCs w:val="0"/>
          <w:caps w:val="0"/>
          <w:color w:val="666666"/>
          <w:spacing w:val="0"/>
          <w:sz w:val="24"/>
          <w:szCs w:val="24"/>
          <w:shd w:val="clear" w:fill="FFFFFF"/>
        </w:rPr>
        <w:t>资金，包括办公及印刷费、邮电费、差旅费、会议费、福利费、日常维修费、专用材料及一般设备购置费、办公用房水电费、办公用房取暖费、 办公用房物业管理费、 公务用车运行维护费以及其他费用。</w:t>
      </w:r>
    </w:p>
    <w:p w14:paraId="420DBF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textAlignment w:val="center"/>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shd w:val="clear" w:fill="FFFFFF"/>
        </w:rPr>
        <w:t>　　第五部分 附件</w:t>
      </w:r>
    </w:p>
    <w:p w14:paraId="72E3CC3C">
      <w:pPr>
        <w:pStyle w:val="18"/>
        <w:jc w:val="center"/>
        <w:rPr>
          <w:sz w:val="72"/>
          <w:szCs w:val="72"/>
        </w:rPr>
      </w:pPr>
    </w:p>
    <w:p w14:paraId="406965A4">
      <w:pPr>
        <w:pStyle w:val="18"/>
        <w:jc w:val="center"/>
        <w:rPr>
          <w:sz w:val="72"/>
          <w:szCs w:val="72"/>
        </w:rPr>
      </w:pPr>
    </w:p>
    <w:p w14:paraId="6B7C08F0">
      <w:pPr>
        <w:pStyle w:val="18"/>
        <w:jc w:val="center"/>
        <w:rPr>
          <w:sz w:val="72"/>
          <w:szCs w:val="72"/>
        </w:rPr>
      </w:pPr>
    </w:p>
    <w:p w14:paraId="0ECCCFC5">
      <w:pPr>
        <w:pStyle w:val="18"/>
        <w:jc w:val="center"/>
        <w:rPr>
          <w:sz w:val="72"/>
          <w:szCs w:val="72"/>
        </w:rPr>
      </w:pPr>
    </w:p>
    <w:p w14:paraId="72894A7C">
      <w:pPr>
        <w:pStyle w:val="18"/>
        <w:jc w:val="center"/>
        <w:rPr>
          <w:sz w:val="72"/>
          <w:szCs w:val="72"/>
        </w:rPr>
      </w:pPr>
    </w:p>
    <w:p w14:paraId="3FC5679B">
      <w:pPr>
        <w:pStyle w:val="18"/>
        <w:jc w:val="center"/>
        <w:rPr>
          <w:sz w:val="72"/>
          <w:szCs w:val="72"/>
        </w:rPr>
      </w:pPr>
    </w:p>
    <w:p w14:paraId="11E186FE">
      <w:pPr>
        <w:pStyle w:val="18"/>
        <w:jc w:val="center"/>
        <w:rPr>
          <w:sz w:val="72"/>
          <w:szCs w:val="72"/>
        </w:rPr>
      </w:pPr>
    </w:p>
    <w:p w14:paraId="70B50426">
      <w:pPr>
        <w:rPr>
          <w:sz w:val="72"/>
          <w:szCs w:val="72"/>
        </w:rPr>
      </w:pPr>
      <w:r>
        <w:br w:type="page"/>
      </w:r>
    </w:p>
    <w:p w14:paraId="2AE09084">
      <w:pPr>
        <w:pStyle w:val="18"/>
        <w:jc w:val="center"/>
        <w:rPr>
          <w:rFonts w:ascii="方正小标宋_GBK" w:hAnsi="方正小标宋_GBK" w:eastAsia="方正小标宋_GBK" w:cs="方正小标宋_GBK"/>
          <w:sz w:val="72"/>
          <w:szCs w:val="72"/>
        </w:rPr>
      </w:pPr>
    </w:p>
    <w:p w14:paraId="21F0D152">
      <w:pPr>
        <w:pStyle w:val="18"/>
        <w:jc w:val="center"/>
        <w:rPr>
          <w:rFonts w:ascii="方正小标宋_GBK" w:hAnsi="方正小标宋_GBK" w:eastAsia="方正小标宋_GBK" w:cs="方正小标宋_GBK"/>
          <w:sz w:val="72"/>
          <w:szCs w:val="72"/>
        </w:rPr>
      </w:pPr>
    </w:p>
    <w:p w14:paraId="6BCB9C92">
      <w:pPr>
        <w:pStyle w:val="18"/>
        <w:jc w:val="center"/>
        <w:rPr>
          <w:rFonts w:ascii="方正小标宋_GBK" w:hAnsi="方正小标宋_GBK" w:eastAsia="方正小标宋_GBK" w:cs="方正小标宋_GBK"/>
          <w:sz w:val="72"/>
          <w:szCs w:val="72"/>
        </w:rPr>
      </w:pPr>
    </w:p>
    <w:p w14:paraId="57729F84">
      <w:pPr>
        <w:pStyle w:val="18"/>
        <w:jc w:val="center"/>
        <w:rPr>
          <w:rFonts w:ascii="方正小标宋_GBK" w:hAnsi="方正小标宋_GBK" w:eastAsia="方正小标宋_GBK" w:cs="方正小标宋_GBK"/>
          <w:sz w:val="72"/>
          <w:szCs w:val="72"/>
        </w:rPr>
      </w:pPr>
    </w:p>
    <w:p w14:paraId="11E59573">
      <w:pPr>
        <w:pStyle w:val="18"/>
        <w:jc w:val="center"/>
        <w:rPr>
          <w:rFonts w:ascii="方正小标宋_GBK" w:hAnsi="方正小标宋_GBK" w:eastAsia="方正小标宋_GBK" w:cs="方正小标宋_GBK"/>
          <w:sz w:val="72"/>
          <w:szCs w:val="72"/>
        </w:rPr>
      </w:pPr>
    </w:p>
    <w:p w14:paraId="0DA484B8">
      <w:pPr>
        <w:pStyle w:val="18"/>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74751085">
      <w:pPr>
        <w:pStyle w:val="18"/>
        <w:jc w:val="center"/>
        <w:rPr>
          <w:rFonts w:ascii="方正小标宋_GBK" w:hAnsi="方正小标宋_GBK" w:eastAsia="方正小标宋_GBK" w:cs="方正小标宋_GBK"/>
          <w:sz w:val="70"/>
          <w:szCs w:val="70"/>
        </w:rPr>
      </w:pPr>
    </w:p>
    <w:p w14:paraId="1D309870">
      <w:pPr>
        <w:pStyle w:val="18"/>
        <w:jc w:val="center"/>
        <w:rPr>
          <w:sz w:val="72"/>
          <w:szCs w:val="72"/>
        </w:rPr>
      </w:pPr>
      <w:r>
        <w:rPr>
          <w:rFonts w:hint="eastAsia" w:ascii="方正小标宋_GBK" w:hAnsi="方正小标宋_GBK" w:eastAsia="方正小标宋_GBK" w:cs="方正小标宋_GBK"/>
          <w:sz w:val="70"/>
          <w:szCs w:val="70"/>
        </w:rPr>
        <w:t>附件</w:t>
      </w:r>
    </w:p>
    <w:p w14:paraId="1E9F15DB">
      <w:pPr>
        <w:rPr>
          <w:sz w:val="72"/>
          <w:szCs w:val="72"/>
        </w:rPr>
      </w:pPr>
      <w:r>
        <w:br w:type="page"/>
      </w:r>
    </w:p>
    <w:p w14:paraId="1785FACA">
      <w:pPr>
        <w:pStyle w:val="18"/>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5A719020">
      <w:pPr>
        <w:pStyle w:val="18"/>
        <w:ind w:firstLine="1280" w:firstLineChars="400"/>
        <w:rPr>
          <w:rFonts w:asciiTheme="minorEastAsia" w:hAnsiTheme="minorEastAsia" w:eastAsiaTheme="minorEastAsia"/>
          <w:sz w:val="32"/>
          <w:szCs w:val="32"/>
        </w:rPr>
      </w:pPr>
      <w:r>
        <w:rPr>
          <w:rFonts w:hint="eastAsia" w:asciiTheme="minorEastAsia" w:hAnsiTheme="minorEastAsia" w:eastAsiaTheme="minorEastAsia"/>
          <w:sz w:val="32"/>
          <w:szCs w:val="32"/>
        </w:rPr>
        <w:t>………</w:t>
      </w:r>
    </w:p>
    <w:p w14:paraId="492AA223">
      <w:pPr>
        <w:pStyle w:val="18"/>
        <w:spacing w:line="600" w:lineRule="exact"/>
        <w:ind w:firstLine="640" w:firstLineChars="200"/>
        <w:rPr>
          <w:rFonts w:ascii="Times New Roman" w:hAnsi="Times New Roman" w:eastAsia="仿宋_GB2312"/>
          <w:sz w:val="32"/>
          <w:szCs w:val="32"/>
        </w:rPr>
      </w:pPr>
    </w:p>
    <w:p w14:paraId="24DD41A9">
      <w:pPr>
        <w:pStyle w:val="18"/>
        <w:jc w:val="center"/>
        <w:rPr>
          <w:sz w:val="72"/>
          <w:szCs w:val="72"/>
        </w:rPr>
      </w:pPr>
    </w:p>
    <w:p w14:paraId="62DC67C9">
      <w:pPr>
        <w:pStyle w:val="18"/>
        <w:jc w:val="center"/>
        <w:rPr>
          <w:sz w:val="72"/>
          <w:szCs w:val="72"/>
        </w:rPr>
      </w:pPr>
    </w:p>
    <w:p w14:paraId="0A717E18">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4125C8-EFD0-40E0-A1BA-523F83D10C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C9A5392A-AB4D-44AB-AA76-09600A2C7B42}"/>
  </w:font>
  <w:font w:name="仿宋_GB2312">
    <w:altName w:val="仿宋"/>
    <w:panose1 w:val="00000000000000000000"/>
    <w:charset w:val="86"/>
    <w:family w:val="auto"/>
    <w:pitch w:val="default"/>
    <w:sig w:usb0="00000000" w:usb1="00000000" w:usb2="00000000" w:usb3="00000000" w:csb0="00040000" w:csb1="00000000"/>
    <w:embedRegular r:id="rId3" w:fontKey="{F3BE34BA-0A1D-478F-8BC3-68D2F702AF03}"/>
  </w:font>
  <w:font w:name="仿宋">
    <w:panose1 w:val="02010609060101010101"/>
    <w:charset w:val="86"/>
    <w:family w:val="auto"/>
    <w:pitch w:val="default"/>
    <w:sig w:usb0="800002BF" w:usb1="38CF7CFA" w:usb2="00000016" w:usb3="00000000" w:csb0="00040001" w:csb1="00000000"/>
    <w:embedRegular r:id="rId4" w:fontKey="{774CEAA2-E0B7-43BC-BDC1-5A89C933AEA2}"/>
  </w:font>
  <w:font w:name="楷体">
    <w:panose1 w:val="02010609060101010101"/>
    <w:charset w:val="86"/>
    <w:family w:val="modern"/>
    <w:pitch w:val="default"/>
    <w:sig w:usb0="800002BF" w:usb1="38CF7CFA" w:usb2="00000016" w:usb3="00000000" w:csb0="00040001" w:csb1="00000000"/>
    <w:embedRegular r:id="rId5" w:fontKey="{FB7569F0-0380-4EE7-9AC1-BBF8E3D011E6}"/>
  </w:font>
  <w:font w:name="Segoe UI">
    <w:panose1 w:val="020B0502040204020203"/>
    <w:charset w:val="00"/>
    <w:family w:val="swiss"/>
    <w:pitch w:val="default"/>
    <w:sig w:usb0="E4002EFF" w:usb1="C000E47F" w:usb2="00000009" w:usb3="00000000" w:csb0="200001FF" w:csb1="00000000"/>
    <w:embedRegular r:id="rId6" w:fontKey="{D31E0DCB-DA15-47D0-A225-75527E37A9B0}"/>
  </w:font>
  <w:font w:name="微软雅黑">
    <w:panose1 w:val="020B0503020204020204"/>
    <w:charset w:val="86"/>
    <w:family w:val="auto"/>
    <w:pitch w:val="default"/>
    <w:sig w:usb0="80000287" w:usb1="2ACF3C50" w:usb2="00000016" w:usb3="00000000" w:csb0="0004001F" w:csb1="00000000"/>
    <w:embedRegular r:id="rId7" w:fontKey="{F64FA04A-0954-48D1-8BB8-5EB7A02AE2E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CE81B"/>
    <w:multiLevelType w:val="singleLevel"/>
    <w:tmpl w:val="D65CE81B"/>
    <w:lvl w:ilvl="0" w:tentative="0">
      <w:start w:val="7"/>
      <w:numFmt w:val="chineseCounting"/>
      <w:suff w:val="nothing"/>
      <w:lvlText w:val="%1、"/>
      <w:lvlJc w:val="left"/>
      <w:rPr>
        <w:rFonts w:hint="eastAsia"/>
      </w:rPr>
    </w:lvl>
  </w:abstractNum>
  <w:abstractNum w:abstractNumId="1">
    <w:nsid w:val="15767C00"/>
    <w:multiLevelType w:val="multilevel"/>
    <w:tmpl w:val="15767C00"/>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4EF1C0"/>
    <w:multiLevelType w:val="singleLevel"/>
    <w:tmpl w:val="194EF1C0"/>
    <w:lvl w:ilvl="0" w:tentative="0">
      <w:start w:val="1"/>
      <w:numFmt w:val="decimal"/>
      <w:suff w:val="nothing"/>
      <w:lvlText w:val="（%1）"/>
      <w:lvlJc w:val="left"/>
      <w:pPr>
        <w:ind w:left="-1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881d6a8a-fd40-4ec5-b221-72a23a993f36"/>
  </w:docVars>
  <w:rsids>
    <w:rsidRoot w:val="00DD1162"/>
    <w:rsid w:val="00151C79"/>
    <w:rsid w:val="00B05A71"/>
    <w:rsid w:val="00DD1162"/>
    <w:rsid w:val="00E400F3"/>
    <w:rsid w:val="01B80280"/>
    <w:rsid w:val="027349D8"/>
    <w:rsid w:val="032D676B"/>
    <w:rsid w:val="04684DB9"/>
    <w:rsid w:val="0969186C"/>
    <w:rsid w:val="0FF03ACF"/>
    <w:rsid w:val="111950B2"/>
    <w:rsid w:val="13015A86"/>
    <w:rsid w:val="169E53CB"/>
    <w:rsid w:val="173C2D6C"/>
    <w:rsid w:val="18D56EF7"/>
    <w:rsid w:val="18E154D1"/>
    <w:rsid w:val="1BEE7CE5"/>
    <w:rsid w:val="1CF12FF9"/>
    <w:rsid w:val="1EAC2A66"/>
    <w:rsid w:val="1EB21A3A"/>
    <w:rsid w:val="1EB62EED"/>
    <w:rsid w:val="20F12374"/>
    <w:rsid w:val="21262890"/>
    <w:rsid w:val="22570FF1"/>
    <w:rsid w:val="23326B64"/>
    <w:rsid w:val="24A713B1"/>
    <w:rsid w:val="25277518"/>
    <w:rsid w:val="26A53820"/>
    <w:rsid w:val="281E30AB"/>
    <w:rsid w:val="29F645F6"/>
    <w:rsid w:val="319043CA"/>
    <w:rsid w:val="32D214D5"/>
    <w:rsid w:val="330E5295"/>
    <w:rsid w:val="335534D0"/>
    <w:rsid w:val="34352F54"/>
    <w:rsid w:val="36024DEF"/>
    <w:rsid w:val="38F47D33"/>
    <w:rsid w:val="3BCC0303"/>
    <w:rsid w:val="3CA21203"/>
    <w:rsid w:val="3F2C6082"/>
    <w:rsid w:val="41AA73C7"/>
    <w:rsid w:val="41BF364E"/>
    <w:rsid w:val="44147633"/>
    <w:rsid w:val="449B5114"/>
    <w:rsid w:val="45986DBE"/>
    <w:rsid w:val="485633B9"/>
    <w:rsid w:val="48D933EB"/>
    <w:rsid w:val="4A036BAE"/>
    <w:rsid w:val="4F7A1B7D"/>
    <w:rsid w:val="50864FDA"/>
    <w:rsid w:val="51045862"/>
    <w:rsid w:val="51263C43"/>
    <w:rsid w:val="54E13ABA"/>
    <w:rsid w:val="55077184"/>
    <w:rsid w:val="56417C61"/>
    <w:rsid w:val="5721285E"/>
    <w:rsid w:val="5820097D"/>
    <w:rsid w:val="596173AF"/>
    <w:rsid w:val="5AE86731"/>
    <w:rsid w:val="5CE54BAD"/>
    <w:rsid w:val="611C5F1F"/>
    <w:rsid w:val="613B26E6"/>
    <w:rsid w:val="6489669E"/>
    <w:rsid w:val="64A12629"/>
    <w:rsid w:val="660D697B"/>
    <w:rsid w:val="6C725F5B"/>
    <w:rsid w:val="791D0032"/>
    <w:rsid w:val="7D263B28"/>
    <w:rsid w:val="7EF23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20"/>
    <w:semiHidden/>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1"/>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13">
    <w:name w:val="Footnote Text"/>
    <w:basedOn w:val="1"/>
    <w:next w:val="4"/>
    <w:semiHidden/>
    <w:qFormat/>
    <w:uiPriority w:val="0"/>
    <w:pPr>
      <w:snapToGrid w:val="0"/>
      <w:jc w:val="left"/>
    </w:pPr>
    <w:rPr>
      <w:sz w:val="18"/>
      <w:szCs w:val="18"/>
    </w:rPr>
  </w:style>
  <w:style w:type="paragraph" w:customStyle="1" w:styleId="14">
    <w:name w:val="Footer"/>
    <w:basedOn w:val="1"/>
    <w:link w:val="17"/>
    <w:unhideWhenUsed/>
    <w:qFormat/>
    <w:uiPriority w:val="99"/>
    <w:pPr>
      <w:tabs>
        <w:tab w:val="center" w:pos="4153"/>
        <w:tab w:val="right" w:pos="8306"/>
      </w:tabs>
      <w:snapToGrid w:val="0"/>
      <w:jc w:val="left"/>
    </w:pPr>
    <w:rPr>
      <w:sz w:val="18"/>
      <w:szCs w:val="18"/>
    </w:rPr>
  </w:style>
  <w:style w:type="paragraph" w:customStyle="1" w:styleId="1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6">
    <w:name w:val="页眉 Char"/>
    <w:basedOn w:val="12"/>
    <w:link w:val="15"/>
    <w:qFormat/>
    <w:uiPriority w:val="99"/>
    <w:rPr>
      <w:sz w:val="18"/>
      <w:szCs w:val="18"/>
    </w:rPr>
  </w:style>
  <w:style w:type="character" w:customStyle="1" w:styleId="17">
    <w:name w:val="页脚 Char"/>
    <w:basedOn w:val="12"/>
    <w:link w:val="14"/>
    <w:qFormat/>
    <w:uiPriority w:val="99"/>
    <w:rPr>
      <w:sz w:val="18"/>
      <w:szCs w:val="18"/>
    </w:rPr>
  </w:style>
  <w:style w:type="paragraph" w:customStyle="1" w:styleId="18">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9">
    <w:name w:val="List Paragraph"/>
    <w:basedOn w:val="1"/>
    <w:qFormat/>
    <w:uiPriority w:val="34"/>
    <w:pPr>
      <w:ind w:firstLine="420" w:firstLineChars="200"/>
    </w:pPr>
  </w:style>
  <w:style w:type="character" w:customStyle="1" w:styleId="20">
    <w:name w:val="批注框文本 Char"/>
    <w:basedOn w:val="12"/>
    <w:link w:val="5"/>
    <w:semiHidden/>
    <w:qFormat/>
    <w:uiPriority w:val="99"/>
    <w:rPr>
      <w:sz w:val="18"/>
      <w:szCs w:val="18"/>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21"/>
    <w:basedOn w:val="12"/>
    <w:qFormat/>
    <w:uiPriority w:val="0"/>
    <w:rPr>
      <w:rFonts w:hint="eastAsia" w:ascii="宋体" w:hAnsi="宋体" w:eastAsia="宋体" w:cs="宋体"/>
      <w:color w:val="000000"/>
      <w:sz w:val="24"/>
      <w:szCs w:val="24"/>
      <w:u w:val="none"/>
    </w:rPr>
  </w:style>
  <w:style w:type="character" w:customStyle="1" w:styleId="23">
    <w:name w:val="font11"/>
    <w:basedOn w:val="12"/>
    <w:qFormat/>
    <w:uiPriority w:val="0"/>
    <w:rPr>
      <w:rFonts w:hint="eastAsia" w:ascii="宋体" w:hAnsi="宋体" w:eastAsia="宋体" w:cs="宋体"/>
      <w:color w:val="000000"/>
      <w:sz w:val="24"/>
      <w:szCs w:val="24"/>
      <w:u w:val="none"/>
    </w:rPr>
  </w:style>
  <w:style w:type="character" w:customStyle="1" w:styleId="24">
    <w:name w:val="页眉 Char1"/>
    <w:basedOn w:val="12"/>
    <w:link w:val="7"/>
    <w:qFormat/>
    <w:uiPriority w:val="99"/>
    <w:rPr>
      <w:rFonts w:asciiTheme="minorHAnsi" w:hAnsiTheme="minorHAnsi" w:eastAsiaTheme="minorEastAsia" w:cstheme="minorBidi"/>
      <w:kern w:val="2"/>
      <w:sz w:val="18"/>
      <w:szCs w:val="18"/>
    </w:rPr>
  </w:style>
  <w:style w:type="character" w:customStyle="1" w:styleId="25">
    <w:name w:val="页脚 Char1"/>
    <w:basedOn w:val="12"/>
    <w:link w:val="6"/>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9.xml"/><Relationship Id="rId12" Type="http://schemas.openxmlformats.org/officeDocument/2006/relationships/customXml" Target="../customXml/item8.xml"/><Relationship Id="rId11" Type="http://schemas.openxmlformats.org/officeDocument/2006/relationships/customXml" Target="../customXml/item7.xml"/><Relationship Id="rId10" Type="http://schemas.openxmlformats.org/officeDocument/2006/relationships/customXml" Target="../customXml/item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2.xml><?xml version="1.0" encoding="utf-8"?>
<Properties xmlns:vt="http://schemas.openxmlformats.org/officeDocument/2006/docPropsVTypes" xmlns="http://schemas.openxmlformats.org/officeDocument/2006/extended-properties">
  <Template>Normal</Template>
  <TotalTime>3</TotalTime>
  <Pages>24</Pages>
  <Words>1347</Words>
  <Characters>7679</Characters>
  <Application>WPS Office_11.8.2.10125_F1E327BC-269C-435d-A152-05C5408002CA</Application>
  <DocSecurity>0</DocSecurity>
  <Lines>63</Lines>
  <Paragraphs>18</Paragraphs>
  <Company>Microsoft</Company>
  <CharactersWithSpaces>9008</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greatwall</cp:lastModifiedBy>
  <cp:revision>67</cp:revision>
  <cp:lastPrinted>2024-08-08T10:20:43Z</cp:lastPrinted>
  <dcterms:created xsi:type="dcterms:W3CDTF">2020-07-08T02:32:00Z</dcterms:created>
  <dcterms:modified xsi:type="dcterms:W3CDTF">2024-08-08T10:23:01Z</dcterms:modified>
</cp:core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6.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8.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

<file path=customXml/item9.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Props1.xml><?xml version="1.0" encoding="utf-8"?>
<ds:datastoreItem xmlns:ds="http://schemas.openxmlformats.org/officeDocument/2006/customXml" ds:itemID="{6320B808-AD43-4E9F-80E7-2215DBA5FF44}">
  <ds:schemaRefs/>
</ds:datastoreItem>
</file>

<file path=customXml/itemProps2.xml><?xml version="1.0" encoding="utf-8"?>
<ds:datastoreItem xmlns:ds="http://schemas.openxmlformats.org/officeDocument/2006/customXml" ds:itemID="{D305BAEB-66E0-4A72-837A-2710DBC71D8B}">
  <ds:schemaRefs/>
</ds:datastoreItem>
</file>

<file path=customXml/itemProps3.xml><?xml version="1.0" encoding="utf-8"?>
<ds:datastoreItem xmlns:ds="http://schemas.openxmlformats.org/officeDocument/2006/customXml" ds:itemID="{001E2153-8360-4F89-BDF1-F813FF13F363}">
  <ds:schemaRefs/>
</ds:datastoreItem>
</file>

<file path=customXml/itemProps4.xml><?xml version="1.0" encoding="utf-8"?>
<ds:datastoreItem xmlns:ds="http://schemas.openxmlformats.org/officeDocument/2006/customXml" ds:itemID="{3F8AB211-55D8-4F92-813A-852CD59E8487}">
  <ds:schemaRefs/>
</ds:datastoreItem>
</file>

<file path=customXml/itemProps5.xml><?xml version="1.0" encoding="utf-8"?>
<ds:datastoreItem xmlns:ds="http://schemas.openxmlformats.org/officeDocument/2006/customXml" ds:itemID="{35D804E4-C686-46CA-8849-0B5AE5BF370A}">
  <ds:schemaRefs/>
</ds:datastoreItem>
</file>

<file path=customXml/itemProps6.xml><?xml version="1.0" encoding="utf-8"?>
<ds:datastoreItem xmlns:ds="http://schemas.openxmlformats.org/officeDocument/2006/customXml" ds:itemID="{973DF25B-19C7-49B6-8B39-0D14448B96DA}">
  <ds:schemaRefs/>
</ds:datastoreItem>
</file>

<file path=customXml/itemProps7.xml><?xml version="1.0" encoding="utf-8"?>
<ds:datastoreItem xmlns:ds="http://schemas.openxmlformats.org/officeDocument/2006/customXml" ds:itemID="{98D4EF09-1908-44C8-8F57-A3F1D1CC4449}">
  <ds:schemaRefs/>
</ds:datastoreItem>
</file>

<file path=customXml/itemProps8.xml><?xml version="1.0" encoding="utf-8"?>
<ds:datastoreItem xmlns:ds="http://schemas.openxmlformats.org/officeDocument/2006/customXml" ds:itemID="{4996EE3E-EE49-435A-8C4D-174B685B8274}">
  <ds:schemaRefs/>
</ds:datastoreItem>
</file>

<file path=customXml/itemProps9.xml><?xml version="1.0" encoding="utf-8"?>
<ds:datastoreItem xmlns:ds="http://schemas.openxmlformats.org/officeDocument/2006/customXml" ds:itemID="{878EFBD2-07ED-451A-A8A2-CEF67010C79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9599</Words>
  <Characters>10172</Characters>
  <Lines>62</Lines>
  <Paragraphs>17</Paragraphs>
  <TotalTime>4</TotalTime>
  <ScaleCrop>false</ScaleCrop>
  <LinksUpToDate>false</LinksUpToDate>
  <CharactersWithSpaces>10312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2024-09-18T08:46:00Z</dcterms:created>
  <dc:creator>李航 null</dc:creator>
  <cp:lastModifiedBy>李天乐</cp:lastModifiedBy>
  <cp:lastPrinted>2024-08-08T10:20:00Z</cp:lastPrinted>
  <dcterms:modified xsi:type="dcterms:W3CDTF">2026-01-04T14:35:48Z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0F70893B77C441AE9308DAB00A893433</vt:lpwstr>
  </property>
  <property fmtid="{D5CDD505-2E9C-101B-9397-08002B2CF9AE}" pid="4" name="KSOTemplateDocerSaveRecord">
    <vt:lpwstr>eyJoZGlkIjoiYWNjNTk2OTRjYzEzNTI3Yzk4MDU3ZTg2ZjlhODM2NDAiLCJ1c2VySWQiOiIxNDkyNDM0OTU4In0=</vt:lpwstr>
  </property>
</Properties>
</file>