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69E19">
      <w:pPr>
        <w:pStyle w:val="18"/>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0" y="0"/>
                          <a:ext cx="1523365" cy="517525"/>
                        </a:xfrm>
                        <a:prstGeom prst="rect">
                          <a:avLst/>
                        </a:prstGeom>
                        <a:solidFill>
                          <a:srgbClr val="FFFFFF"/>
                        </a:solidFill>
                        <a:ln w="6350">
                          <a:noFill/>
                        </a:ln>
                      </wps:spPr>
                      <wps:txbx>
                        <w:txbxContent>
                          <w:p w14:paraId="3A7273C4">
                            <w:pPr>
                              <w:rPr>
                                <w:rFonts w:ascii="楷体" w:hAnsi="楷体" w:eastAsia="楷体" w:cs="楷体"/>
                                <w:sz w:val="30"/>
                                <w:szCs w:val="30"/>
                              </w:rPr>
                            </w:pPr>
                            <w:r>
                              <w:rPr>
                                <w:rFonts w:hint="eastAsia" w:ascii="楷体" w:hAnsi="楷体" w:eastAsia="楷体" w:cs="楷体"/>
                                <w:sz w:val="30"/>
                                <w:szCs w:val="30"/>
                              </w:rPr>
                              <w:t>附件1：</w:t>
                            </w:r>
                          </w:p>
                        </w:txbxContent>
                      </wps:txbx>
                      <wps:bodyPr upright="1"/>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LwJlDWAAAACgEAAA8AAAAAAAAAAQAgAAAAIgAAAGRycy9kb3ducmV2&#10;LnhtbFBLAQIUABQAAAAIAIdO4kDiJEgjxQEAAIADAAAOAAAAAAAAAAEAIAAAACUBAABkcnMvZTJv&#10;RG9jLnhtbFBLBQYAAAAABgAGAFkBAABcBQAAAAA=&#10;">
                <v:fill on="t" focussize="0,0"/>
                <v:stroke on="f" weight="0.5pt"/>
                <v:imagedata o:title=""/>
                <o:lock v:ext="edit" aspectratio="f"/>
                <v:textbox>
                  <w:txbxContent>
                    <w:p w14:paraId="3A7273C4">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558B7434">
      <w:pPr>
        <w:pStyle w:val="18"/>
        <w:jc w:val="center"/>
        <w:rPr>
          <w:sz w:val="56"/>
          <w:szCs w:val="56"/>
        </w:rPr>
      </w:pPr>
    </w:p>
    <w:p w14:paraId="31EA6CA4">
      <w:pPr>
        <w:pStyle w:val="18"/>
        <w:jc w:val="center"/>
        <w:rPr>
          <w:sz w:val="84"/>
          <w:szCs w:val="84"/>
        </w:rPr>
      </w:pPr>
    </w:p>
    <w:p w14:paraId="41A0AD02">
      <w:pPr>
        <w:pStyle w:val="18"/>
        <w:jc w:val="center"/>
        <w:rPr>
          <w:sz w:val="84"/>
          <w:szCs w:val="84"/>
        </w:rPr>
      </w:pPr>
    </w:p>
    <w:p w14:paraId="234E5EAC">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22A084D3">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华容县退役军人事务局</w:t>
      </w:r>
    </w:p>
    <w:p w14:paraId="7590EE1C">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031EAB4">
      <w:pPr>
        <w:pStyle w:val="18"/>
        <w:jc w:val="center"/>
        <w:rPr>
          <w:rFonts w:ascii="方正小标宋_GBK" w:hAnsi="方正小标宋_GBK" w:eastAsia="方正小标宋_GBK" w:cs="方正小标宋_GBK"/>
          <w:sz w:val="56"/>
          <w:szCs w:val="56"/>
        </w:rPr>
      </w:pPr>
    </w:p>
    <w:p w14:paraId="693116F7">
      <w:pPr>
        <w:pStyle w:val="18"/>
        <w:jc w:val="center"/>
        <w:rPr>
          <w:sz w:val="56"/>
          <w:szCs w:val="56"/>
        </w:rPr>
      </w:pPr>
    </w:p>
    <w:p w14:paraId="7257A676">
      <w:pPr>
        <w:pStyle w:val="18"/>
        <w:jc w:val="center"/>
        <w:rPr>
          <w:sz w:val="56"/>
          <w:szCs w:val="56"/>
        </w:rPr>
      </w:pPr>
    </w:p>
    <w:p w14:paraId="128B8110">
      <w:pPr>
        <w:pStyle w:val="18"/>
        <w:jc w:val="center"/>
        <w:rPr>
          <w:sz w:val="56"/>
          <w:szCs w:val="56"/>
        </w:rPr>
      </w:pPr>
    </w:p>
    <w:p w14:paraId="2DED960F">
      <w:pPr>
        <w:pStyle w:val="18"/>
        <w:jc w:val="center"/>
        <w:rPr>
          <w:sz w:val="32"/>
          <w:szCs w:val="32"/>
        </w:rPr>
      </w:pPr>
    </w:p>
    <w:p w14:paraId="37904024">
      <w:pPr>
        <w:pStyle w:val="18"/>
        <w:jc w:val="center"/>
        <w:rPr>
          <w:sz w:val="32"/>
          <w:szCs w:val="32"/>
        </w:rPr>
      </w:pPr>
    </w:p>
    <w:p w14:paraId="42D8DE3B">
      <w:pPr>
        <w:pStyle w:val="18"/>
        <w:jc w:val="center"/>
        <w:rPr>
          <w:sz w:val="32"/>
          <w:szCs w:val="32"/>
        </w:rPr>
      </w:pPr>
    </w:p>
    <w:p w14:paraId="0E181F54">
      <w:pPr>
        <w:pStyle w:val="18"/>
        <w:jc w:val="center"/>
        <w:rPr>
          <w:sz w:val="32"/>
          <w:szCs w:val="32"/>
        </w:rPr>
      </w:pPr>
    </w:p>
    <w:p w14:paraId="579B47DE">
      <w:pPr>
        <w:pStyle w:val="18"/>
        <w:jc w:val="center"/>
        <w:rPr>
          <w:sz w:val="32"/>
          <w:szCs w:val="32"/>
        </w:rPr>
      </w:pPr>
    </w:p>
    <w:p w14:paraId="555B9741">
      <w:pPr>
        <w:pStyle w:val="18"/>
        <w:spacing w:line="540" w:lineRule="exact"/>
        <w:jc w:val="center"/>
        <w:rPr>
          <w:sz w:val="56"/>
          <w:szCs w:val="56"/>
        </w:rPr>
      </w:pPr>
    </w:p>
    <w:p w14:paraId="1B49C2E8">
      <w:pPr>
        <w:pStyle w:val="18"/>
        <w:spacing w:line="500" w:lineRule="exact"/>
        <w:jc w:val="both"/>
        <w:rPr>
          <w:b/>
          <w:sz w:val="36"/>
          <w:szCs w:val="28"/>
        </w:rPr>
      </w:pPr>
    </w:p>
    <w:p w14:paraId="162600A2">
      <w:pPr>
        <w:pStyle w:val="18"/>
        <w:spacing w:line="500" w:lineRule="exact"/>
        <w:jc w:val="center"/>
        <w:rPr>
          <w:b/>
          <w:sz w:val="36"/>
          <w:szCs w:val="28"/>
        </w:rPr>
      </w:pPr>
      <w:r>
        <w:rPr>
          <w:rFonts w:hint="eastAsia"/>
          <w:b/>
          <w:sz w:val="36"/>
          <w:szCs w:val="28"/>
        </w:rPr>
        <w:t>目录</w:t>
      </w:r>
    </w:p>
    <w:p w14:paraId="5E0D16FA">
      <w:pPr>
        <w:pStyle w:val="18"/>
        <w:spacing w:line="500" w:lineRule="exact"/>
        <w:rPr>
          <w:rFonts w:hAnsi="黑体"/>
          <w:bCs/>
          <w:sz w:val="28"/>
          <w:szCs w:val="28"/>
        </w:rPr>
      </w:pPr>
      <w:r>
        <w:rPr>
          <w:rFonts w:hint="eastAsia" w:hAnsi="黑体"/>
          <w:bCs/>
          <w:sz w:val="28"/>
          <w:szCs w:val="28"/>
        </w:rPr>
        <w:t>第一部分部门（单位）概况</w:t>
      </w:r>
    </w:p>
    <w:p w14:paraId="4675569E">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71BD38A">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79FFA46">
      <w:pPr>
        <w:pStyle w:val="18"/>
        <w:spacing w:line="500" w:lineRule="exact"/>
        <w:rPr>
          <w:rFonts w:hAnsi="黑体"/>
          <w:bCs/>
          <w:sz w:val="28"/>
          <w:szCs w:val="28"/>
        </w:rPr>
      </w:pPr>
      <w:r>
        <w:rPr>
          <w:rFonts w:hint="eastAsia" w:hAnsi="黑体"/>
          <w:bCs/>
          <w:sz w:val="28"/>
          <w:szCs w:val="28"/>
        </w:rPr>
        <w:t>第二部分部门决算表</w:t>
      </w:r>
    </w:p>
    <w:p w14:paraId="7A852B2A">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C656E15">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D807D4C">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B978DCD">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收入支出决算总表</w:t>
      </w:r>
    </w:p>
    <w:p w14:paraId="68CFB663">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2B28B574">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基本支出决算明细表</w:t>
      </w:r>
    </w:p>
    <w:p w14:paraId="36A54FE6">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收入支出决算表</w:t>
      </w:r>
    </w:p>
    <w:p w14:paraId="1E2FAEE8">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064E63C4">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“三公”经费支出决算表</w:t>
      </w:r>
    </w:p>
    <w:p w14:paraId="29C69DD8">
      <w:pPr>
        <w:pStyle w:val="18"/>
        <w:spacing w:line="500" w:lineRule="exact"/>
        <w:rPr>
          <w:rFonts w:hAnsi="黑体"/>
          <w:bCs/>
          <w:sz w:val="28"/>
          <w:szCs w:val="28"/>
        </w:rPr>
      </w:pPr>
      <w:r>
        <w:rPr>
          <w:rFonts w:hint="eastAsia" w:hAnsi="黑体"/>
          <w:bCs/>
          <w:sz w:val="28"/>
          <w:szCs w:val="28"/>
        </w:rPr>
        <w:t>第三部分部门决算情况说明</w:t>
      </w:r>
    </w:p>
    <w:p w14:paraId="41FC1556">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0EF3A5F">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66BB06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222FA1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收入支出决算总体情况说明</w:t>
      </w:r>
    </w:p>
    <w:p w14:paraId="7093A56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支出决算情况说明</w:t>
      </w:r>
    </w:p>
    <w:p w14:paraId="0D6350E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基本支出决算情况说明</w:t>
      </w:r>
    </w:p>
    <w:p w14:paraId="55953DC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三公经费支出决算情况说明</w:t>
      </w:r>
    </w:p>
    <w:p w14:paraId="14B40BD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7C799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083331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40F1C5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22CDD2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547D503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十三、关于国有资产占用情况说明</w:t>
      </w:r>
    </w:p>
    <w:p w14:paraId="4FC1B8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十四、关于2023年度预算绩效情况的说明</w:t>
      </w:r>
    </w:p>
    <w:p w14:paraId="2DA7D871">
      <w:pPr>
        <w:pStyle w:val="18"/>
        <w:spacing w:line="500" w:lineRule="exact"/>
        <w:rPr>
          <w:rFonts w:hAnsi="黑体"/>
          <w:bCs/>
          <w:sz w:val="28"/>
          <w:szCs w:val="28"/>
        </w:rPr>
      </w:pPr>
      <w:r>
        <w:rPr>
          <w:rFonts w:hint="eastAsia" w:hAnsi="黑体"/>
          <w:bCs/>
          <w:sz w:val="28"/>
          <w:szCs w:val="28"/>
        </w:rPr>
        <w:t>第四部分名词解释</w:t>
      </w:r>
    </w:p>
    <w:p w14:paraId="32A4CE93">
      <w:pPr>
        <w:pStyle w:val="18"/>
        <w:spacing w:line="500" w:lineRule="exact"/>
        <w:rPr>
          <w:rFonts w:hAnsi="黑体"/>
          <w:bCs/>
          <w:sz w:val="28"/>
          <w:szCs w:val="28"/>
        </w:rPr>
      </w:pPr>
      <w:r>
        <w:rPr>
          <w:rFonts w:hint="eastAsia" w:hAnsi="黑体"/>
          <w:bCs/>
          <w:sz w:val="28"/>
          <w:szCs w:val="28"/>
        </w:rPr>
        <w:t>第五部分附件</w:t>
      </w:r>
    </w:p>
    <w:p w14:paraId="407F202B">
      <w:pPr>
        <w:pStyle w:val="18"/>
        <w:spacing w:line="500" w:lineRule="exact"/>
        <w:rPr>
          <w:rFonts w:hAnsi="黑体"/>
          <w:bCs/>
          <w:sz w:val="28"/>
          <w:szCs w:val="28"/>
        </w:rPr>
      </w:pPr>
    </w:p>
    <w:p w14:paraId="52E304DA">
      <w:pPr>
        <w:jc w:val="center"/>
        <w:rPr>
          <w:sz w:val="72"/>
          <w:szCs w:val="72"/>
        </w:rPr>
      </w:pPr>
    </w:p>
    <w:p w14:paraId="46267185">
      <w:pPr>
        <w:jc w:val="center"/>
        <w:rPr>
          <w:sz w:val="72"/>
          <w:szCs w:val="72"/>
        </w:rPr>
      </w:pPr>
    </w:p>
    <w:p w14:paraId="4871CB84">
      <w:pPr>
        <w:jc w:val="center"/>
        <w:rPr>
          <w:sz w:val="72"/>
          <w:szCs w:val="72"/>
        </w:rPr>
      </w:pPr>
    </w:p>
    <w:p w14:paraId="61008649">
      <w:pPr>
        <w:jc w:val="center"/>
        <w:rPr>
          <w:sz w:val="72"/>
          <w:szCs w:val="72"/>
        </w:rPr>
      </w:pPr>
    </w:p>
    <w:p w14:paraId="2B74504A">
      <w:pPr>
        <w:rPr>
          <w:rFonts w:ascii="方正小标宋_GBK" w:hAnsi="方正小标宋_GBK" w:eastAsia="方正小标宋_GBK" w:cs="方正小标宋_GBK"/>
          <w:sz w:val="72"/>
          <w:szCs w:val="72"/>
        </w:rPr>
      </w:pPr>
    </w:p>
    <w:p w14:paraId="64A3247B">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48136B4">
      <w:pPr>
        <w:pStyle w:val="18"/>
        <w:jc w:val="center"/>
        <w:rPr>
          <w:rFonts w:ascii="方正小标宋_GBK" w:hAnsi="方正小标宋_GBK" w:eastAsia="方正小标宋_GBK" w:cs="方正小标宋_GBK"/>
          <w:sz w:val="84"/>
          <w:szCs w:val="84"/>
        </w:rPr>
      </w:pPr>
    </w:p>
    <w:p w14:paraId="6A81D157">
      <w:pPr>
        <w:pStyle w:val="18"/>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华容县退役军人</w:t>
      </w:r>
      <w:r>
        <w:rPr>
          <w:rFonts w:hint="eastAsia" w:ascii="方正小标宋_GBK" w:hAnsi="方正小标宋_GBK" w:eastAsia="方正小标宋_GBK" w:cs="方正小标宋_GBK"/>
          <w:sz w:val="84"/>
          <w:szCs w:val="84"/>
          <w:lang w:eastAsia="zh-CN"/>
        </w:rPr>
        <w:t>事务局</w:t>
      </w:r>
    </w:p>
    <w:p w14:paraId="1A9F3B2D">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况</w:t>
      </w:r>
    </w:p>
    <w:p w14:paraId="52CB478D">
      <w:pPr>
        <w:jc w:val="center"/>
        <w:rPr>
          <w:rFonts w:ascii="方正小标宋_GBK" w:hAnsi="方正小标宋_GBK" w:eastAsia="方正小标宋_GBK" w:cs="方正小标宋_GBK"/>
          <w:sz w:val="72"/>
          <w:szCs w:val="72"/>
        </w:rPr>
      </w:pPr>
    </w:p>
    <w:p w14:paraId="0BD17F95">
      <w:pPr>
        <w:jc w:val="center"/>
        <w:rPr>
          <w:sz w:val="72"/>
          <w:szCs w:val="72"/>
        </w:rPr>
      </w:pPr>
    </w:p>
    <w:p w14:paraId="4A7846ED">
      <w:pPr>
        <w:pStyle w:val="19"/>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41A1CB38">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（一）负责退役军人思想政治、管理保障和安置优抚等工作政策法规的组织实施，褒扬彰显退役军人为党、国家和人民牺牲奉献的精神风范和价值导向。</w:t>
      </w:r>
    </w:p>
    <w:p w14:paraId="7B7F7A15">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（二）负责军人转业干部、复员干部、离退休干部、退役士兵和无军籍退休退职职工的移交安置工作。</w:t>
      </w:r>
    </w:p>
    <w:p w14:paraId="7AF3FFF9">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（三）贯彻落实全区军队转业干部、退役士兵、随军家属及随调家属安置办法及安置计划并组织实施。</w:t>
      </w:r>
    </w:p>
    <w:p w14:paraId="39949BA0">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（四）负责退役军人教育培训、优待抚恤等工作。</w:t>
      </w:r>
    </w:p>
    <w:p w14:paraId="6EFE8C24">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（五）负责自主择业军队转业干部服务管理、待遇保障等工作，承担军队转业干部安置工作小组办公室日常工作。</w:t>
      </w:r>
    </w:p>
    <w:p w14:paraId="6B15D75B">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（六）组织指导拥军优属活动，承担审核、报批、褒扬革命烈士工作，负责优抚对象的抚恤，指导优抚事业单位的管理，承担双拥工作领导小组办公室的日常工作。</w:t>
      </w:r>
    </w:p>
    <w:p w14:paraId="4A984721">
      <w:pPr>
        <w:pStyle w:val="9"/>
        <w:spacing w:before="300" w:beforeAutospacing="0" w:after="0" w:afterAutospacing="0" w:line="33" w:lineRule="atLeast"/>
        <w:ind w:firstLine="420"/>
        <w:jc w:val="both"/>
        <w:rPr>
          <w:rFonts w:hint="eastAsia" w:cs="Times New Roman"/>
          <w:kern w:val="2"/>
          <w:sz w:val="32"/>
          <w:szCs w:val="32"/>
        </w:rPr>
      </w:pPr>
      <w:r>
        <w:rPr>
          <w:rFonts w:hint="eastAsia" w:cs="Times New Roman"/>
          <w:kern w:val="2"/>
          <w:sz w:val="32"/>
          <w:szCs w:val="32"/>
        </w:rPr>
        <w:t>（七）承办县委、县政府和上级主管部门交办的其他事项。</w:t>
      </w:r>
    </w:p>
    <w:p w14:paraId="484E26CA">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93F25A3">
      <w:pPr>
        <w:spacing w:line="360" w:lineRule="auto"/>
        <w:ind w:firstLine="640" w:firstLineChars="200"/>
        <w:rPr>
          <w:rFonts w:hint="eastAsia" w:ascii="宋体" w:hAnsi="宋体"/>
          <w:sz w:val="32"/>
          <w:szCs w:val="32"/>
        </w:rPr>
      </w:pPr>
      <w:r>
        <w:rPr>
          <w:rFonts w:hint="eastAsia" w:asciiTheme="majorEastAsia" w:hAnsiTheme="majorEastAsia" w:eastAsiaTheme="majorEastAsia" w:cstheme="majorEastAsia"/>
          <w:bCs/>
          <w:kern w:val="0"/>
          <w:sz w:val="32"/>
          <w:szCs w:val="32"/>
        </w:rPr>
        <w:t>（一）内设机构设置。</w:t>
      </w:r>
      <w:r>
        <w:rPr>
          <w:rFonts w:hint="eastAsia" w:ascii="宋体" w:hAnsi="宋体"/>
          <w:sz w:val="32"/>
          <w:szCs w:val="32"/>
        </w:rPr>
        <w:t>华容县退役军人事务局内设机构包括：办公室、规划财务股、拥军优抚股、移交安置股、思想政治与权益维护股5个股室。</w:t>
      </w:r>
    </w:p>
    <w:p w14:paraId="0BA450D9">
      <w:pPr>
        <w:spacing w:line="360" w:lineRule="auto"/>
        <w:ind w:firstLine="640" w:firstLineChars="200"/>
        <w:rPr>
          <w:rFonts w:hint="eastAsia" w:asciiTheme="majorEastAsia" w:hAnsiTheme="majorEastAsia" w:eastAsiaTheme="majorEastAsia" w:cstheme="majorEastAsia"/>
          <w:bCs/>
          <w:kern w:val="0"/>
          <w:sz w:val="32"/>
          <w:szCs w:val="32"/>
          <w:lang w:eastAsia="zh-CN"/>
        </w:rPr>
      </w:pPr>
      <w:r>
        <w:rPr>
          <w:rFonts w:hint="eastAsia" w:asciiTheme="majorEastAsia" w:hAnsiTheme="majorEastAsia" w:eastAsiaTheme="majorEastAsia" w:cstheme="majorEastAsia"/>
          <w:bCs/>
          <w:kern w:val="0"/>
          <w:sz w:val="32"/>
          <w:szCs w:val="32"/>
        </w:rPr>
        <w:t>（二）决算单位构成。</w:t>
      </w:r>
      <w:r>
        <w:rPr>
          <w:rFonts w:hint="eastAsia" w:asciiTheme="majorEastAsia" w:hAnsiTheme="majorEastAsia" w:eastAsiaTheme="majorEastAsia" w:cstheme="majorEastAsia"/>
          <w:bCs/>
          <w:kern w:val="0"/>
          <w:sz w:val="32"/>
          <w:szCs w:val="32"/>
          <w:lang w:val="en-US" w:eastAsia="zh-CN"/>
        </w:rPr>
        <w:t>华容县退役军人事务局</w:t>
      </w:r>
      <w:r>
        <w:rPr>
          <w:rFonts w:hint="eastAsia" w:asciiTheme="majorEastAsia" w:hAnsiTheme="majorEastAsia" w:eastAsiaTheme="majorEastAsia" w:cstheme="majorEastAsia"/>
          <w:bCs/>
          <w:kern w:val="0"/>
          <w:sz w:val="32"/>
          <w:szCs w:val="32"/>
          <w:lang w:eastAsia="zh-CN"/>
        </w:rPr>
        <w:t>2023年部门决算公开单位构成包括：</w:t>
      </w:r>
      <w:r>
        <w:rPr>
          <w:rFonts w:hint="eastAsia" w:ascii="宋体" w:hAnsi="宋体"/>
          <w:sz w:val="32"/>
          <w:szCs w:val="32"/>
        </w:rPr>
        <w:t>退役军人事务局本级</w:t>
      </w:r>
      <w:r>
        <w:rPr>
          <w:rFonts w:hint="eastAsia" w:asciiTheme="majorEastAsia" w:hAnsiTheme="majorEastAsia" w:eastAsiaTheme="majorEastAsia" w:cstheme="majorEastAsia"/>
          <w:bCs/>
          <w:kern w:val="0"/>
          <w:sz w:val="32"/>
          <w:szCs w:val="32"/>
          <w:lang w:val="en-US" w:eastAsia="zh-CN"/>
        </w:rPr>
        <w:t>。</w:t>
      </w:r>
    </w:p>
    <w:p w14:paraId="1714090D">
      <w:pPr>
        <w:pStyle w:val="18"/>
        <w:jc w:val="center"/>
        <w:rPr>
          <w:rFonts w:ascii="方正小标宋_GBK" w:hAnsi="方正小标宋_GBK" w:eastAsia="方正小标宋_GBK" w:cs="方正小标宋_GBK"/>
          <w:sz w:val="84"/>
          <w:szCs w:val="84"/>
        </w:rPr>
      </w:pPr>
    </w:p>
    <w:p w14:paraId="5098D4AB">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302A435">
      <w:pPr>
        <w:pStyle w:val="18"/>
        <w:jc w:val="center"/>
        <w:rPr>
          <w:rFonts w:ascii="方正小标宋_GBK" w:hAnsi="方正小标宋_GBK" w:eastAsia="方正小标宋_GBK" w:cs="方正小标宋_GBK"/>
          <w:sz w:val="84"/>
          <w:szCs w:val="84"/>
        </w:rPr>
      </w:pPr>
    </w:p>
    <w:p w14:paraId="63B0FB48">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117746F">
      <w:pPr>
        <w:jc w:val="center"/>
        <w:rPr>
          <w:sz w:val="72"/>
          <w:szCs w:val="72"/>
        </w:rPr>
      </w:pPr>
    </w:p>
    <w:p w14:paraId="222215C5">
      <w:pPr>
        <w:jc w:val="center"/>
        <w:rPr>
          <w:sz w:val="72"/>
          <w:szCs w:val="72"/>
        </w:rPr>
      </w:pPr>
    </w:p>
    <w:p w14:paraId="4496EFD6">
      <w:pPr>
        <w:jc w:val="center"/>
        <w:rPr>
          <w:sz w:val="72"/>
          <w:szCs w:val="72"/>
        </w:rPr>
      </w:pPr>
    </w:p>
    <w:p w14:paraId="66E6C88F">
      <w:pPr>
        <w:jc w:val="center"/>
        <w:rPr>
          <w:sz w:val="72"/>
          <w:szCs w:val="72"/>
        </w:rPr>
      </w:pPr>
    </w:p>
    <w:p w14:paraId="5CEECAC4">
      <w:pPr>
        <w:jc w:val="center"/>
        <w:rPr>
          <w:sz w:val="72"/>
          <w:szCs w:val="72"/>
        </w:rPr>
      </w:pPr>
    </w:p>
    <w:p w14:paraId="4514B9CA">
      <w:pPr>
        <w:jc w:val="center"/>
        <w:rPr>
          <w:sz w:val="72"/>
          <w:szCs w:val="72"/>
        </w:rPr>
      </w:pPr>
    </w:p>
    <w:p w14:paraId="611BA2A9">
      <w:pPr>
        <w:jc w:val="left"/>
        <w:rPr>
          <w:sz w:val="32"/>
          <w:szCs w:val="32"/>
        </w:rPr>
      </w:pPr>
    </w:p>
    <w:p w14:paraId="60E4FEE6">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3779CF24">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73D99C2">
      <w:pPr>
        <w:pStyle w:val="18"/>
        <w:jc w:val="center"/>
        <w:rPr>
          <w:rFonts w:ascii="方正小标宋_GBK" w:hAnsi="方正小标宋_GBK" w:eastAsia="方正小标宋_GBK" w:cs="方正小标宋_GBK"/>
          <w:sz w:val="70"/>
          <w:szCs w:val="70"/>
        </w:rPr>
      </w:pPr>
    </w:p>
    <w:p w14:paraId="0EF74178">
      <w:pPr>
        <w:pStyle w:val="18"/>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194321EF">
      <w:pPr>
        <w:widowControl/>
        <w:jc w:val="left"/>
        <w:rPr>
          <w:rFonts w:asciiTheme="minorEastAsia" w:hAnsiTheme="minorEastAsia"/>
          <w:sz w:val="32"/>
          <w:szCs w:val="32"/>
        </w:rPr>
      </w:pPr>
      <w:r>
        <w:br w:type="page"/>
      </w:r>
    </w:p>
    <w:p w14:paraId="19366DE0">
      <w:pPr>
        <w:pStyle w:val="18"/>
        <w:spacing w:line="600" w:lineRule="exact"/>
        <w:ind w:firstLine="640" w:firstLineChars="200"/>
        <w:rPr>
          <w:rFonts w:hAnsi="黑体"/>
          <w:bCs/>
          <w:sz w:val="32"/>
          <w:szCs w:val="32"/>
        </w:rPr>
      </w:pPr>
      <w:r>
        <w:rPr>
          <w:rFonts w:hint="eastAsia" w:hAnsi="黑体"/>
          <w:bCs/>
          <w:sz w:val="32"/>
          <w:szCs w:val="32"/>
        </w:rPr>
        <w:t>一、收入支出决算总体情况说明</w:t>
      </w:r>
    </w:p>
    <w:p w14:paraId="44D71D9F">
      <w:pPr>
        <w:pStyle w:val="18"/>
        <w:spacing w:line="600" w:lineRule="exact"/>
        <w:ind w:firstLine="640" w:firstLineChars="200"/>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rPr>
        <w:t>2023年度收、支总计</w:t>
      </w:r>
      <w:r>
        <w:rPr>
          <w:rFonts w:hint="eastAsia" w:asciiTheme="majorEastAsia" w:hAnsiTheme="majorEastAsia" w:eastAsiaTheme="majorEastAsia" w:cstheme="majorEastAsia"/>
          <w:sz w:val="32"/>
          <w:szCs w:val="32"/>
          <w:lang w:val="en-US" w:eastAsia="zh-CN"/>
        </w:rPr>
        <w:t>7549.28</w:t>
      </w:r>
      <w:r>
        <w:rPr>
          <w:rFonts w:hint="eastAsia" w:asciiTheme="majorEastAsia" w:hAnsiTheme="majorEastAsia" w:eastAsiaTheme="majorEastAsia" w:cstheme="majorEastAsia"/>
          <w:sz w:val="32"/>
          <w:szCs w:val="32"/>
        </w:rPr>
        <w:t>万元。与上年相比，</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394.3</w:t>
      </w:r>
      <w:r>
        <w:rPr>
          <w:rFonts w:hint="eastAsia" w:asciiTheme="majorEastAsia" w:hAnsiTheme="majorEastAsia" w:eastAsiaTheme="majorEastAsia" w:cstheme="majorEastAsia"/>
          <w:sz w:val="32"/>
          <w:szCs w:val="32"/>
        </w:rPr>
        <w:t>万元，</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4.96</w:t>
      </w:r>
      <w:r>
        <w:rPr>
          <w:rFonts w:hint="eastAsia" w:asciiTheme="majorEastAsia" w:hAnsiTheme="majorEastAsia" w:eastAsiaTheme="majorEastAsia" w:cstheme="majorEastAsia"/>
          <w:sz w:val="32"/>
          <w:szCs w:val="32"/>
        </w:rPr>
        <w:t>%，主要是业务量</w:t>
      </w:r>
      <w:r>
        <w:rPr>
          <w:rFonts w:hint="eastAsia" w:asciiTheme="majorEastAsia" w:hAnsiTheme="majorEastAsia" w:eastAsiaTheme="majorEastAsia" w:cstheme="majorEastAsia"/>
          <w:sz w:val="32"/>
          <w:szCs w:val="32"/>
          <w:lang w:val="en-US" w:eastAsia="zh-CN"/>
        </w:rPr>
        <w:t>减少，</w:t>
      </w:r>
      <w:r>
        <w:rPr>
          <w:rFonts w:hint="eastAsia" w:asciiTheme="majorEastAsia" w:hAnsiTheme="majorEastAsia" w:eastAsiaTheme="majorEastAsia" w:cstheme="majorEastAsia"/>
          <w:sz w:val="32"/>
          <w:szCs w:val="32"/>
        </w:rPr>
        <w:t>根据业务需求</w:t>
      </w:r>
      <w:r>
        <w:rPr>
          <w:rFonts w:hint="eastAsia" w:asciiTheme="majorEastAsia" w:hAnsiTheme="majorEastAsia" w:eastAsiaTheme="majorEastAsia" w:cstheme="majorEastAsia"/>
          <w:sz w:val="32"/>
          <w:szCs w:val="32"/>
          <w:lang w:val="en-US" w:eastAsia="zh-CN"/>
        </w:rPr>
        <w:t>调减</w:t>
      </w:r>
      <w:r>
        <w:rPr>
          <w:rFonts w:hint="eastAsia" w:asciiTheme="majorEastAsia" w:hAnsiTheme="majorEastAsia" w:eastAsiaTheme="majorEastAsia" w:cstheme="majorEastAsia"/>
          <w:sz w:val="32"/>
          <w:szCs w:val="32"/>
        </w:rPr>
        <w:t>预算</w:t>
      </w:r>
      <w:r>
        <w:rPr>
          <w:rFonts w:hint="eastAsia" w:asciiTheme="majorEastAsia" w:hAnsiTheme="majorEastAsia" w:eastAsiaTheme="majorEastAsia" w:cstheme="majorEastAsia"/>
          <w:sz w:val="32"/>
          <w:szCs w:val="32"/>
          <w:lang w:eastAsia="zh-CN"/>
        </w:rPr>
        <w:t>。</w:t>
      </w:r>
    </w:p>
    <w:p w14:paraId="41794364">
      <w:pPr>
        <w:pStyle w:val="18"/>
        <w:spacing w:line="600" w:lineRule="exact"/>
        <w:ind w:firstLine="640" w:firstLineChars="200"/>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二、收入决算情况说明</w:t>
      </w:r>
    </w:p>
    <w:p w14:paraId="581E69A9">
      <w:pPr>
        <w:pStyle w:val="18"/>
        <w:spacing w:line="600" w:lineRule="exact"/>
        <w:ind w:firstLine="640" w:firstLineChars="2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2023年度收入合计</w:t>
      </w:r>
      <w:r>
        <w:rPr>
          <w:rFonts w:hint="eastAsia" w:asciiTheme="majorEastAsia" w:hAnsiTheme="majorEastAsia" w:eastAsiaTheme="majorEastAsia" w:cstheme="majorEastAsia"/>
          <w:sz w:val="32"/>
          <w:szCs w:val="32"/>
          <w:lang w:val="en-US" w:eastAsia="zh-CN"/>
        </w:rPr>
        <w:t>7549.28</w:t>
      </w:r>
      <w:r>
        <w:rPr>
          <w:rFonts w:hint="eastAsia" w:asciiTheme="majorEastAsia" w:hAnsiTheme="majorEastAsia" w:eastAsiaTheme="majorEastAsia" w:cstheme="majorEastAsia"/>
          <w:sz w:val="32"/>
          <w:szCs w:val="32"/>
        </w:rPr>
        <w:t>万元，其中：财政拨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收入</w:t>
      </w:r>
      <w:r>
        <w:rPr>
          <w:rFonts w:hint="eastAsia" w:asciiTheme="majorEastAsia" w:hAnsiTheme="majorEastAsia" w:eastAsiaTheme="majorEastAsia" w:cstheme="majorEastAsia"/>
          <w:sz w:val="32"/>
          <w:szCs w:val="32"/>
          <w:lang w:val="en-US" w:eastAsia="zh-CN"/>
        </w:rPr>
        <w:t>7537.25</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99.84</w:t>
      </w:r>
      <w:r>
        <w:rPr>
          <w:rFonts w:hint="eastAsia" w:asciiTheme="majorEastAsia" w:hAnsiTheme="majorEastAsia" w:eastAsiaTheme="majorEastAsia" w:cstheme="majorEastAsia"/>
          <w:sz w:val="32"/>
          <w:szCs w:val="32"/>
        </w:rPr>
        <w:t>%；上级补助收入</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%；事业收入</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%；经营收入</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%；附属单位上缴收入</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%；其他收入</w:t>
      </w:r>
      <w:r>
        <w:rPr>
          <w:rFonts w:hint="eastAsia" w:asciiTheme="majorEastAsia" w:hAnsiTheme="majorEastAsia" w:eastAsiaTheme="majorEastAsia" w:cstheme="majorEastAsia"/>
          <w:sz w:val="32"/>
          <w:szCs w:val="32"/>
          <w:lang w:val="en-US" w:eastAsia="zh-CN"/>
        </w:rPr>
        <w:t>12.03</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0.16</w:t>
      </w:r>
      <w:r>
        <w:rPr>
          <w:rFonts w:hint="eastAsia" w:asciiTheme="majorEastAsia" w:hAnsiTheme="majorEastAsia" w:eastAsiaTheme="majorEastAsia" w:cstheme="majorEastAsia"/>
          <w:sz w:val="32"/>
          <w:szCs w:val="32"/>
        </w:rPr>
        <w:t>%。</w:t>
      </w:r>
    </w:p>
    <w:p w14:paraId="60320582">
      <w:pPr>
        <w:pStyle w:val="18"/>
        <w:spacing w:line="600" w:lineRule="exact"/>
        <w:ind w:firstLine="640" w:firstLineChars="200"/>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三、支出决算情况说明</w:t>
      </w:r>
    </w:p>
    <w:p w14:paraId="36C02EFB">
      <w:pPr>
        <w:pStyle w:val="18"/>
        <w:spacing w:line="600" w:lineRule="exact"/>
        <w:ind w:firstLine="640" w:firstLineChars="2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2023年度支出合计</w:t>
      </w:r>
      <w:r>
        <w:rPr>
          <w:rFonts w:hint="eastAsia" w:asciiTheme="majorEastAsia" w:hAnsiTheme="majorEastAsia" w:eastAsiaTheme="majorEastAsia" w:cstheme="majorEastAsia"/>
          <w:sz w:val="32"/>
          <w:szCs w:val="32"/>
          <w:lang w:val="en-US" w:eastAsia="zh-CN"/>
        </w:rPr>
        <w:t>7549.28</w:t>
      </w:r>
      <w:r>
        <w:rPr>
          <w:rFonts w:hint="eastAsia" w:asciiTheme="majorEastAsia" w:hAnsiTheme="majorEastAsia" w:eastAsiaTheme="majorEastAsia" w:cstheme="majorEastAsia"/>
          <w:sz w:val="32"/>
          <w:szCs w:val="32"/>
        </w:rPr>
        <w:t>万元，其中：基本支出</w:t>
      </w:r>
      <w:r>
        <w:rPr>
          <w:rFonts w:hint="eastAsia" w:asciiTheme="majorEastAsia" w:hAnsiTheme="majorEastAsia" w:eastAsiaTheme="majorEastAsia" w:cstheme="majorEastAsia"/>
          <w:sz w:val="32"/>
          <w:szCs w:val="32"/>
          <w:lang w:val="en-US" w:eastAsia="zh-CN"/>
        </w:rPr>
        <w:t>297.43</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3.94</w:t>
      </w:r>
      <w:r>
        <w:rPr>
          <w:rFonts w:hint="eastAsia" w:asciiTheme="majorEastAsia" w:hAnsiTheme="majorEastAsia" w:eastAsiaTheme="majorEastAsia" w:cstheme="majorEastAsia"/>
          <w:sz w:val="32"/>
          <w:szCs w:val="32"/>
        </w:rPr>
        <w:t>%；</w:t>
      </w:r>
      <w:r>
        <w:rPr>
          <w:rFonts w:hint="eastAsia" w:asciiTheme="majorEastAsia" w:hAnsiTheme="majorEastAsia" w:eastAsiaTheme="majorEastAsia" w:cstheme="majorEastAsia"/>
          <w:sz w:val="32"/>
          <w:szCs w:val="32"/>
          <w:lang w:eastAsia="zh-CN"/>
        </w:rPr>
        <w:t>项</w:t>
      </w:r>
      <w:r>
        <w:rPr>
          <w:rFonts w:hint="eastAsia" w:asciiTheme="majorEastAsia" w:hAnsiTheme="majorEastAsia" w:eastAsiaTheme="majorEastAsia" w:cstheme="majorEastAsia"/>
          <w:sz w:val="32"/>
          <w:szCs w:val="32"/>
        </w:rPr>
        <w:t>目支出</w:t>
      </w:r>
      <w:r>
        <w:rPr>
          <w:rFonts w:hint="eastAsia" w:asciiTheme="majorEastAsia" w:hAnsiTheme="majorEastAsia" w:eastAsiaTheme="majorEastAsia" w:cstheme="majorEastAsia"/>
          <w:sz w:val="32"/>
          <w:szCs w:val="32"/>
          <w:lang w:val="en-US" w:eastAsia="zh-CN"/>
        </w:rPr>
        <w:t>7251.85</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96.06</w:t>
      </w:r>
      <w:r>
        <w:rPr>
          <w:rFonts w:hint="eastAsia" w:asciiTheme="majorEastAsia" w:hAnsiTheme="majorEastAsia" w:eastAsiaTheme="majorEastAsia" w:cstheme="majorEastAsia"/>
          <w:sz w:val="32"/>
          <w:szCs w:val="32"/>
        </w:rPr>
        <w:t>%；上缴上级支出</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%；经营支出</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%；对附属单位补助支出</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0</w:t>
      </w:r>
      <w:r>
        <w:rPr>
          <w:rFonts w:hint="eastAsia" w:asciiTheme="majorEastAsia" w:hAnsiTheme="majorEastAsia" w:eastAsiaTheme="majorEastAsia" w:cstheme="majorEastAsia"/>
          <w:sz w:val="32"/>
          <w:szCs w:val="32"/>
        </w:rPr>
        <w:t>%。</w:t>
      </w:r>
    </w:p>
    <w:p w14:paraId="7D913A4F">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四、财政拨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收入支出决算总体情况说明</w:t>
      </w:r>
    </w:p>
    <w:p w14:paraId="3850C566">
      <w:pPr>
        <w:pStyle w:val="18"/>
        <w:spacing w:line="600" w:lineRule="exact"/>
        <w:rPr>
          <w:rFonts w:hint="eastAsia" w:asciiTheme="majorEastAsia" w:hAnsiTheme="majorEastAsia" w:eastAsiaTheme="majorEastAsia" w:cstheme="majorEastAsia"/>
          <w:sz w:val="32"/>
          <w:szCs w:val="32"/>
        </w:rPr>
      </w:pPr>
      <w:r>
        <w:rPr>
          <w:rFonts w:hint="eastAsia" w:ascii="Times New Roman" w:hAnsi="Times New Roman" w:eastAsia="仿宋_GB2312"/>
          <w:color w:val="000000" w:themeColor="text1"/>
          <w:sz w:val="32"/>
          <w:szCs w:val="32"/>
          <w14:textFill>
            <w14:solidFill>
              <w14:schemeClr w14:val="tx1"/>
            </w14:solidFill>
          </w14:textFill>
        </w:rPr>
        <w:t xml:space="preserve">   </w:t>
      </w:r>
      <w:r>
        <w:rPr>
          <w:rFonts w:hint="eastAsia" w:asciiTheme="majorEastAsia" w:hAnsiTheme="majorEastAsia" w:eastAsiaTheme="majorEastAsia" w:cstheme="majorEastAsia"/>
          <w:sz w:val="32"/>
          <w:szCs w:val="32"/>
        </w:rPr>
        <w:t xml:space="preserve"> 2023年度财政拨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收、支总计</w:t>
      </w:r>
      <w:r>
        <w:rPr>
          <w:rFonts w:hint="eastAsia" w:asciiTheme="majorEastAsia" w:hAnsiTheme="majorEastAsia" w:eastAsiaTheme="majorEastAsia" w:cstheme="majorEastAsia"/>
          <w:sz w:val="32"/>
          <w:szCs w:val="32"/>
          <w:lang w:val="en-US" w:eastAsia="zh-CN"/>
        </w:rPr>
        <w:t>7537.25</w:t>
      </w:r>
      <w:r>
        <w:rPr>
          <w:rFonts w:hint="eastAsia" w:asciiTheme="majorEastAsia" w:hAnsiTheme="majorEastAsia" w:eastAsiaTheme="majorEastAsia" w:cstheme="majorEastAsia"/>
          <w:sz w:val="32"/>
          <w:szCs w:val="32"/>
        </w:rPr>
        <w:t>万元，与上年相比，</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406.19</w:t>
      </w:r>
      <w:r>
        <w:rPr>
          <w:rFonts w:hint="eastAsia" w:asciiTheme="majorEastAsia" w:hAnsiTheme="majorEastAsia" w:eastAsiaTheme="majorEastAsia" w:cstheme="majorEastAsia"/>
          <w:sz w:val="32"/>
          <w:szCs w:val="32"/>
        </w:rPr>
        <w:t>万元,</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5.39</w:t>
      </w:r>
      <w:r>
        <w:rPr>
          <w:rFonts w:hint="eastAsia" w:asciiTheme="majorEastAsia" w:hAnsiTheme="majorEastAsia" w:eastAsiaTheme="majorEastAsia" w:cstheme="majorEastAsia"/>
          <w:sz w:val="32"/>
          <w:szCs w:val="32"/>
        </w:rPr>
        <w:t>%，主要是因为根据中央“八</w:t>
      </w:r>
      <w:r>
        <w:rPr>
          <w:rFonts w:hint="eastAsia" w:asciiTheme="majorEastAsia" w:hAnsiTheme="majorEastAsia" w:eastAsiaTheme="majorEastAsia" w:cstheme="majorEastAsia"/>
          <w:sz w:val="32"/>
          <w:szCs w:val="32"/>
          <w:lang w:eastAsia="zh-CN"/>
        </w:rPr>
        <w:t>项</w:t>
      </w:r>
      <w:r>
        <w:rPr>
          <w:rFonts w:hint="eastAsia" w:asciiTheme="majorEastAsia" w:hAnsiTheme="majorEastAsia" w:eastAsiaTheme="majorEastAsia" w:cstheme="majorEastAsia"/>
          <w:sz w:val="32"/>
          <w:szCs w:val="32"/>
        </w:rPr>
        <w:t>”规定，根据业务需求压减</w:t>
      </w:r>
      <w:r>
        <w:rPr>
          <w:rFonts w:hint="eastAsia" w:asciiTheme="majorEastAsia" w:hAnsiTheme="majorEastAsia" w:eastAsiaTheme="majorEastAsia" w:cstheme="majorEastAsia"/>
          <w:sz w:val="32"/>
          <w:szCs w:val="32"/>
          <w:lang w:eastAsia="zh-CN"/>
        </w:rPr>
        <w:t>项</w:t>
      </w:r>
      <w:r>
        <w:rPr>
          <w:rFonts w:hint="eastAsia" w:asciiTheme="majorEastAsia" w:hAnsiTheme="majorEastAsia" w:eastAsiaTheme="majorEastAsia" w:cstheme="majorEastAsia"/>
          <w:sz w:val="32"/>
          <w:szCs w:val="32"/>
        </w:rPr>
        <w:t>目经费支出</w:t>
      </w:r>
      <w:r>
        <w:rPr>
          <w:rFonts w:hint="eastAsia" w:asciiTheme="majorEastAsia" w:hAnsiTheme="majorEastAsia" w:eastAsiaTheme="majorEastAsia" w:cstheme="majorEastAsia"/>
          <w:sz w:val="32"/>
          <w:szCs w:val="32"/>
          <w:lang w:eastAsia="zh-CN"/>
        </w:rPr>
        <w:t>。</w:t>
      </w:r>
    </w:p>
    <w:p w14:paraId="4DCF361A">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五、一般公共预算财政拨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支出决算情况说明</w:t>
      </w:r>
    </w:p>
    <w:p w14:paraId="5EB44AD4">
      <w:pPr>
        <w:pStyle w:val="18"/>
        <w:spacing w:line="600" w:lineRule="exact"/>
        <w:ind w:firstLine="960" w:firstLineChars="3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（一）一般公共预算财政拨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支出决算总体情况</w:t>
      </w:r>
    </w:p>
    <w:p w14:paraId="58A13A0C">
      <w:pPr>
        <w:pStyle w:val="18"/>
        <w:spacing w:line="600" w:lineRule="exac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2023年度财政拨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val="en-US" w:eastAsia="zh-CN"/>
        </w:rPr>
        <w:t>7537.25</w:t>
      </w:r>
      <w:r>
        <w:rPr>
          <w:rFonts w:hint="eastAsia" w:asciiTheme="majorEastAsia" w:hAnsiTheme="majorEastAsia" w:eastAsiaTheme="majorEastAsia" w:cstheme="majorEastAsia"/>
          <w:sz w:val="32"/>
          <w:szCs w:val="32"/>
        </w:rPr>
        <w:t>万元，占本年支出合计的</w:t>
      </w:r>
      <w:r>
        <w:rPr>
          <w:rFonts w:hint="eastAsia" w:asciiTheme="majorEastAsia" w:hAnsiTheme="majorEastAsia" w:eastAsiaTheme="majorEastAsia" w:cstheme="majorEastAsia"/>
          <w:sz w:val="32"/>
          <w:szCs w:val="32"/>
          <w:lang w:val="en-US" w:eastAsia="zh-CN"/>
        </w:rPr>
        <w:t>99.84</w:t>
      </w:r>
      <w:r>
        <w:rPr>
          <w:rFonts w:hint="eastAsia" w:asciiTheme="majorEastAsia" w:hAnsiTheme="majorEastAsia" w:eastAsiaTheme="majorEastAsia" w:cstheme="majorEastAsia"/>
          <w:sz w:val="32"/>
          <w:szCs w:val="32"/>
        </w:rPr>
        <w:t>%，与上年相比，财政拨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406.19</w:t>
      </w:r>
      <w:r>
        <w:rPr>
          <w:rFonts w:hint="eastAsia" w:asciiTheme="majorEastAsia" w:hAnsiTheme="majorEastAsia" w:eastAsiaTheme="majorEastAsia" w:cstheme="majorEastAsia"/>
          <w:sz w:val="32"/>
          <w:szCs w:val="32"/>
        </w:rPr>
        <w:t>万元，</w:t>
      </w:r>
      <w:r>
        <w:rPr>
          <w:rFonts w:hint="eastAsia" w:asciiTheme="majorEastAsia" w:hAnsiTheme="majorEastAsia" w:eastAsiaTheme="majorEastAsia" w:cstheme="majorEastAsia"/>
          <w:sz w:val="32"/>
          <w:szCs w:val="32"/>
          <w:lang w:eastAsia="zh-CN"/>
        </w:rPr>
        <w:t>减少</w:t>
      </w:r>
      <w:r>
        <w:rPr>
          <w:rFonts w:hint="eastAsia" w:asciiTheme="majorEastAsia" w:hAnsiTheme="majorEastAsia" w:eastAsiaTheme="majorEastAsia" w:cstheme="majorEastAsia"/>
          <w:sz w:val="32"/>
          <w:szCs w:val="32"/>
          <w:lang w:val="en-US" w:eastAsia="zh-CN"/>
        </w:rPr>
        <w:t>5.39</w:t>
      </w:r>
      <w:r>
        <w:rPr>
          <w:rFonts w:hint="eastAsia" w:asciiTheme="majorEastAsia" w:hAnsiTheme="majorEastAsia" w:eastAsiaTheme="majorEastAsia" w:cstheme="majorEastAsia"/>
          <w:sz w:val="32"/>
          <w:szCs w:val="32"/>
        </w:rPr>
        <w:t>%，主要是因为根据中央“八</w:t>
      </w:r>
      <w:r>
        <w:rPr>
          <w:rFonts w:hint="eastAsia" w:asciiTheme="majorEastAsia" w:hAnsiTheme="majorEastAsia" w:eastAsiaTheme="majorEastAsia" w:cstheme="majorEastAsia"/>
          <w:sz w:val="32"/>
          <w:szCs w:val="32"/>
          <w:lang w:eastAsia="zh-CN"/>
        </w:rPr>
        <w:t>项</w:t>
      </w:r>
      <w:r>
        <w:rPr>
          <w:rFonts w:hint="eastAsia" w:asciiTheme="majorEastAsia" w:hAnsiTheme="majorEastAsia" w:eastAsiaTheme="majorEastAsia" w:cstheme="majorEastAsia"/>
          <w:sz w:val="32"/>
          <w:szCs w:val="32"/>
        </w:rPr>
        <w:t>”规定，压减</w:t>
      </w:r>
      <w:r>
        <w:rPr>
          <w:rFonts w:hint="eastAsia" w:asciiTheme="majorEastAsia" w:hAnsiTheme="majorEastAsia" w:eastAsiaTheme="majorEastAsia" w:cstheme="majorEastAsia"/>
          <w:sz w:val="32"/>
          <w:szCs w:val="32"/>
          <w:lang w:eastAsia="zh-CN"/>
        </w:rPr>
        <w:t>项</w:t>
      </w:r>
      <w:r>
        <w:rPr>
          <w:rFonts w:hint="eastAsia" w:asciiTheme="majorEastAsia" w:hAnsiTheme="majorEastAsia" w:eastAsiaTheme="majorEastAsia" w:cstheme="majorEastAsia"/>
          <w:sz w:val="32"/>
          <w:szCs w:val="32"/>
        </w:rPr>
        <w:t>目经费支出。</w:t>
      </w:r>
    </w:p>
    <w:p w14:paraId="6CB07A7B">
      <w:pPr>
        <w:pStyle w:val="18"/>
        <w:spacing w:line="600" w:lineRule="exact"/>
        <w:ind w:firstLine="960" w:firstLineChars="3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（二）一般公共预算财政拨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支出决算结构情况</w:t>
      </w:r>
    </w:p>
    <w:p w14:paraId="2ED05C73">
      <w:pPr>
        <w:pStyle w:val="18"/>
        <w:spacing w:line="600" w:lineRule="exact"/>
        <w:ind w:firstLine="960" w:firstLineChars="300"/>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rPr>
        <w:t>2023年度财政拨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val="en-US" w:eastAsia="zh-CN"/>
        </w:rPr>
        <w:t>7537.25</w:t>
      </w:r>
      <w:r>
        <w:rPr>
          <w:rFonts w:hint="eastAsia" w:asciiTheme="majorEastAsia" w:hAnsiTheme="majorEastAsia" w:eastAsiaTheme="majorEastAsia" w:cstheme="majorEastAsia"/>
          <w:sz w:val="32"/>
          <w:szCs w:val="32"/>
        </w:rPr>
        <w:t>万元，主要用于以下方面：一般公共服务</w:t>
      </w:r>
      <w:r>
        <w:rPr>
          <w:rFonts w:hint="eastAsia" w:asciiTheme="majorEastAsia" w:hAnsiTheme="majorEastAsia" w:eastAsiaTheme="majorEastAsia" w:cstheme="majorEastAsia"/>
          <w:sz w:val="32"/>
          <w:szCs w:val="32"/>
          <w:lang w:eastAsia="zh-CN"/>
        </w:rPr>
        <w:t>（类）</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val="en-US" w:eastAsia="zh-CN"/>
        </w:rPr>
        <w:t>3.9万</w:t>
      </w:r>
      <w:r>
        <w:rPr>
          <w:rFonts w:hint="eastAsia" w:asciiTheme="majorEastAsia" w:hAnsiTheme="majorEastAsia" w:eastAsiaTheme="majorEastAsia" w:cstheme="majorEastAsia"/>
          <w:sz w:val="32"/>
          <w:szCs w:val="32"/>
        </w:rPr>
        <w:t>元，占</w:t>
      </w:r>
      <w:r>
        <w:rPr>
          <w:rFonts w:hint="eastAsia" w:asciiTheme="majorEastAsia" w:hAnsiTheme="majorEastAsia" w:eastAsiaTheme="majorEastAsia" w:cstheme="majorEastAsia"/>
          <w:sz w:val="32"/>
          <w:szCs w:val="32"/>
          <w:lang w:val="en-US" w:eastAsia="zh-CN"/>
        </w:rPr>
        <w:t>0.05</w:t>
      </w:r>
      <w:r>
        <w:rPr>
          <w:rFonts w:hint="eastAsia" w:asciiTheme="majorEastAsia" w:hAnsiTheme="majorEastAsia" w:eastAsiaTheme="majorEastAsia" w:cstheme="majorEastAsia"/>
          <w:sz w:val="32"/>
          <w:szCs w:val="32"/>
        </w:rPr>
        <w:t>%；社会保障和就业支出</w:t>
      </w:r>
      <w:r>
        <w:rPr>
          <w:rFonts w:hint="eastAsia" w:asciiTheme="majorEastAsia" w:hAnsiTheme="majorEastAsia" w:eastAsiaTheme="majorEastAsia" w:cstheme="majorEastAsia"/>
          <w:sz w:val="32"/>
          <w:szCs w:val="32"/>
          <w:lang w:eastAsia="zh-CN"/>
        </w:rPr>
        <w:t>（类）</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val="en-US" w:eastAsia="zh-CN"/>
        </w:rPr>
        <w:t>7193.21</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95.44</w:t>
      </w:r>
      <w:r>
        <w:rPr>
          <w:rFonts w:hint="eastAsia" w:asciiTheme="majorEastAsia" w:hAnsiTheme="majorEastAsia" w:eastAsiaTheme="majorEastAsia" w:cstheme="majorEastAsia"/>
          <w:sz w:val="32"/>
          <w:szCs w:val="32"/>
        </w:rPr>
        <w:t>%;卫生健康支出</w:t>
      </w:r>
      <w:r>
        <w:rPr>
          <w:rFonts w:hint="eastAsia" w:asciiTheme="majorEastAsia" w:hAnsiTheme="majorEastAsia" w:eastAsiaTheme="majorEastAsia" w:cstheme="majorEastAsia"/>
          <w:sz w:val="32"/>
          <w:szCs w:val="32"/>
          <w:lang w:eastAsia="zh-CN"/>
        </w:rPr>
        <w:t>（类）</w:t>
      </w:r>
      <w:r>
        <w:rPr>
          <w:rFonts w:hint="eastAsia" w:asciiTheme="majorEastAsia" w:hAnsiTheme="majorEastAsia" w:eastAsiaTheme="majorEastAsia" w:cstheme="majorEastAsia"/>
          <w:sz w:val="32"/>
          <w:szCs w:val="32"/>
        </w:rPr>
        <w:t>支出</w:t>
      </w:r>
      <w:r>
        <w:rPr>
          <w:rFonts w:hint="eastAsia" w:asciiTheme="majorEastAsia" w:hAnsiTheme="majorEastAsia" w:eastAsiaTheme="majorEastAsia" w:cstheme="majorEastAsia"/>
          <w:sz w:val="32"/>
          <w:szCs w:val="32"/>
          <w:lang w:val="en-US" w:eastAsia="zh-CN"/>
        </w:rPr>
        <w:t>339.84</w:t>
      </w:r>
      <w:r>
        <w:rPr>
          <w:rFonts w:hint="eastAsia" w:asciiTheme="majorEastAsia" w:hAnsiTheme="majorEastAsia" w:eastAsiaTheme="majorEastAsia" w:cstheme="majorEastAsia"/>
          <w:sz w:val="32"/>
          <w:szCs w:val="32"/>
        </w:rPr>
        <w:t>万元，占</w:t>
      </w:r>
      <w:r>
        <w:rPr>
          <w:rFonts w:hint="eastAsia" w:asciiTheme="majorEastAsia" w:hAnsiTheme="majorEastAsia" w:eastAsiaTheme="majorEastAsia" w:cstheme="majorEastAsia"/>
          <w:sz w:val="32"/>
          <w:szCs w:val="32"/>
          <w:lang w:val="en-US" w:eastAsia="zh-CN"/>
        </w:rPr>
        <w:t>4.51</w:t>
      </w:r>
      <w:r>
        <w:rPr>
          <w:rFonts w:hint="eastAsia" w:asciiTheme="majorEastAsia" w:hAnsiTheme="majorEastAsia" w:eastAsiaTheme="majorEastAsia" w:cstheme="majorEastAsia"/>
          <w:sz w:val="32"/>
          <w:szCs w:val="32"/>
        </w:rPr>
        <w:t>%</w:t>
      </w:r>
      <w:r>
        <w:rPr>
          <w:rFonts w:hint="eastAsia" w:asciiTheme="majorEastAsia" w:hAnsiTheme="majorEastAsia" w:eastAsiaTheme="majorEastAsia" w:cstheme="majorEastAsia"/>
          <w:sz w:val="32"/>
          <w:szCs w:val="32"/>
          <w:lang w:val="en-US" w:eastAsia="zh-CN"/>
        </w:rPr>
        <w:t>。</w:t>
      </w:r>
    </w:p>
    <w:p w14:paraId="3D67BC11">
      <w:pPr>
        <w:pStyle w:val="18"/>
        <w:spacing w:line="600" w:lineRule="exact"/>
        <w:ind w:firstLine="800" w:firstLineChars="250"/>
        <w:rPr>
          <w:rFonts w:hint="eastAsia" w:ascii="楷体" w:hAnsi="楷体" w:eastAsia="楷体" w:cs="楷体"/>
          <w:bCs/>
          <w:color w:val="000000" w:themeColor="text1"/>
          <w:sz w:val="32"/>
          <w:szCs w:val="32"/>
          <w14:textFill>
            <w14:solidFill>
              <w14:schemeClr w14:val="tx1"/>
            </w14:solidFill>
          </w14:textFill>
        </w:rPr>
      </w:pPr>
    </w:p>
    <w:p w14:paraId="0FD1E7FE">
      <w:pPr>
        <w:pStyle w:val="18"/>
        <w:spacing w:line="600" w:lineRule="exact"/>
        <w:ind w:firstLine="800" w:firstLineChars="250"/>
        <w:rPr>
          <w:rFonts w:hint="eastAsia" w:ascii="楷体" w:hAnsi="楷体" w:eastAsia="楷体" w:cs="楷体"/>
          <w:bCs/>
          <w:color w:val="000000" w:themeColor="text1"/>
          <w:sz w:val="32"/>
          <w:szCs w:val="32"/>
          <w:lang w:eastAsia="zh-CN"/>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（三）一般公共预算财政拨</w:t>
      </w:r>
      <w:r>
        <w:rPr>
          <w:rFonts w:hint="eastAsia" w:ascii="楷体" w:hAnsi="楷体" w:eastAsia="楷体" w:cs="楷体"/>
          <w:bCs/>
          <w:color w:val="000000" w:themeColor="text1"/>
          <w:sz w:val="32"/>
          <w:szCs w:val="32"/>
          <w:lang w:eastAsia="zh-CN"/>
          <w14:textFill>
            <w14:solidFill>
              <w14:schemeClr w14:val="tx1"/>
            </w14:solidFill>
          </w14:textFill>
        </w:rPr>
        <w:t>（款）</w:t>
      </w:r>
      <w:r>
        <w:rPr>
          <w:rFonts w:hint="eastAsia" w:ascii="楷体" w:hAnsi="楷体" w:eastAsia="楷体" w:cs="楷体"/>
          <w:bCs/>
          <w:color w:val="000000" w:themeColor="text1"/>
          <w:sz w:val="32"/>
          <w:szCs w:val="32"/>
          <w14:textFill>
            <w14:solidFill>
              <w14:schemeClr w14:val="tx1"/>
            </w14:solidFill>
          </w14:textFill>
        </w:rPr>
        <w:t>支出决算具体情况</w:t>
      </w:r>
      <w:r>
        <w:rPr>
          <w:rFonts w:hint="eastAsia" w:ascii="楷体" w:hAnsi="楷体" w:eastAsia="楷体" w:cs="楷体"/>
          <w:bCs/>
          <w:color w:val="000000" w:themeColor="text1"/>
          <w:sz w:val="32"/>
          <w:szCs w:val="32"/>
          <w:lang w:eastAsia="zh-CN"/>
          <w14:textFill>
            <w14:solidFill>
              <w14:schemeClr w14:val="tx1"/>
            </w14:solidFill>
          </w14:textFill>
        </w:rPr>
        <w:t>。</w:t>
      </w:r>
    </w:p>
    <w:p w14:paraId="5B827991">
      <w:pPr>
        <w:pStyle w:val="18"/>
        <w:spacing w:line="600" w:lineRule="exact"/>
        <w:ind w:firstLine="960" w:firstLineChars="3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2023年度财政拨</w:t>
      </w:r>
      <w:r>
        <w:rPr>
          <w:rFonts w:hint="eastAsia" w:asciiTheme="majorEastAsia" w:hAnsiTheme="majorEastAsia" w:eastAsiaTheme="majorEastAsia" w:cstheme="majorEastAsia"/>
          <w:sz w:val="32"/>
          <w:szCs w:val="32"/>
          <w:lang w:eastAsia="zh-CN"/>
        </w:rPr>
        <w:t>（款）</w:t>
      </w:r>
      <w:r>
        <w:rPr>
          <w:rFonts w:hint="eastAsia" w:asciiTheme="majorEastAsia" w:hAnsiTheme="majorEastAsia" w:eastAsiaTheme="majorEastAsia" w:cstheme="majorEastAsia"/>
          <w:sz w:val="32"/>
          <w:szCs w:val="32"/>
        </w:rPr>
        <w:t>支出年初预算数为</w:t>
      </w:r>
      <w:r>
        <w:rPr>
          <w:rFonts w:hint="eastAsia" w:asciiTheme="majorEastAsia" w:hAnsiTheme="majorEastAsia" w:eastAsiaTheme="majorEastAsia" w:cstheme="majorEastAsia"/>
          <w:sz w:val="32"/>
          <w:szCs w:val="32"/>
          <w:lang w:val="en-US" w:eastAsia="zh-CN"/>
        </w:rPr>
        <w:t>8373.52</w:t>
      </w:r>
      <w:r>
        <w:rPr>
          <w:rFonts w:hint="eastAsia" w:asciiTheme="majorEastAsia" w:hAnsiTheme="majorEastAsia" w:eastAsiaTheme="majorEastAsia" w:cstheme="majorEastAsia"/>
          <w:sz w:val="32"/>
          <w:szCs w:val="32"/>
        </w:rPr>
        <w:t>万元，支出决算数为</w:t>
      </w:r>
      <w:r>
        <w:rPr>
          <w:rFonts w:hint="eastAsia" w:asciiTheme="majorEastAsia" w:hAnsiTheme="majorEastAsia" w:eastAsiaTheme="majorEastAsia" w:cstheme="majorEastAsia"/>
          <w:sz w:val="32"/>
          <w:szCs w:val="32"/>
          <w:lang w:val="en-US" w:eastAsia="zh-CN"/>
        </w:rPr>
        <w:t>7537.25</w:t>
      </w:r>
      <w:r>
        <w:rPr>
          <w:rFonts w:hint="eastAsia" w:asciiTheme="majorEastAsia" w:hAnsiTheme="majorEastAsia" w:eastAsiaTheme="majorEastAsia" w:cstheme="majorEastAsia"/>
          <w:sz w:val="32"/>
          <w:szCs w:val="32"/>
        </w:rPr>
        <w:t>万元，完成年初预算的</w:t>
      </w:r>
      <w:r>
        <w:rPr>
          <w:rFonts w:hint="eastAsia" w:asciiTheme="majorEastAsia" w:hAnsiTheme="majorEastAsia" w:eastAsiaTheme="majorEastAsia" w:cstheme="majorEastAsia"/>
          <w:sz w:val="32"/>
          <w:szCs w:val="32"/>
          <w:lang w:val="en-US" w:eastAsia="zh-CN"/>
        </w:rPr>
        <w:t>90.01</w:t>
      </w:r>
      <w:r>
        <w:rPr>
          <w:rFonts w:hint="eastAsia" w:asciiTheme="majorEastAsia" w:hAnsiTheme="majorEastAsia" w:eastAsiaTheme="majorEastAsia" w:cstheme="majorEastAsia"/>
          <w:sz w:val="32"/>
          <w:szCs w:val="32"/>
        </w:rPr>
        <w:t>%，其中：</w:t>
      </w:r>
    </w:p>
    <w:p w14:paraId="13D36334">
      <w:pPr>
        <w:numPr>
          <w:ilvl w:val="0"/>
          <w:numId w:val="2"/>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一般公共服务支出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商贸事务</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下招商引资</w:t>
      </w:r>
      <w:r>
        <w:rPr>
          <w:rFonts w:hint="eastAsia" w:ascii="仿宋_GB2312" w:hAnsi="仿宋"/>
          <w:color w:val="000000" w:themeColor="text1"/>
          <w:sz w:val="32"/>
          <w:szCs w:val="32"/>
          <w:lang w:eastAsia="zh-CN"/>
          <w14:textFill>
            <w14:solidFill>
              <w14:schemeClr w14:val="tx1"/>
            </w14:solidFill>
          </w14:textFill>
        </w:rPr>
        <w:t>（项）</w:t>
      </w:r>
    </w:p>
    <w:p w14:paraId="38DA0A62">
      <w:pPr>
        <w:numPr>
          <w:ilvl w:val="0"/>
          <w:numId w:val="0"/>
        </w:numPr>
        <w:snapToGrid w:val="0"/>
        <w:spacing w:line="520" w:lineRule="exact"/>
        <w:ind w:firstLine="960" w:firstLineChars="3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w:t>
      </w:r>
      <w:r>
        <w:rPr>
          <w:rFonts w:hint="eastAsia" w:ascii="仿宋_GB2312" w:hAnsi="仿宋"/>
          <w:color w:val="000000" w:themeColor="text1"/>
          <w:sz w:val="32"/>
          <w:szCs w:val="32"/>
          <w:lang w:val="en-US" w:eastAsia="zh-CN"/>
          <w14:textFill>
            <w14:solidFill>
              <w14:schemeClr w14:val="tx1"/>
            </w14:solidFill>
          </w14:textFill>
        </w:rPr>
        <w:t>3.9</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3.9</w:t>
      </w:r>
      <w:r>
        <w:rPr>
          <w:rFonts w:hint="eastAsia" w:ascii="仿宋_GB2312" w:hAnsi="仿宋"/>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sz w:val="32"/>
          <w:szCs w:val="32"/>
        </w:rPr>
        <w:t>完成年初预算的</w:t>
      </w:r>
      <w:r>
        <w:rPr>
          <w:rFonts w:hint="eastAsia" w:asciiTheme="majorEastAsia" w:hAnsiTheme="majorEastAsia" w:eastAsiaTheme="majorEastAsia" w:cstheme="majorEastAsia"/>
          <w:sz w:val="32"/>
          <w:szCs w:val="32"/>
          <w:lang w:val="en-US" w:eastAsia="zh-CN"/>
        </w:rPr>
        <w:t>100</w:t>
      </w:r>
      <w:r>
        <w:rPr>
          <w:rFonts w:hint="eastAsia" w:asciiTheme="majorEastAsia" w:hAnsiTheme="majorEastAsia" w:eastAsiaTheme="majorEastAsia" w:cstheme="majorEastAsia"/>
          <w:sz w:val="32"/>
          <w:szCs w:val="32"/>
        </w:rPr>
        <w:t>%</w:t>
      </w:r>
      <w:r>
        <w:rPr>
          <w:rFonts w:hint="eastAsia" w:ascii="仿宋_GB2312" w:hAnsi="仿宋"/>
          <w:color w:val="000000" w:themeColor="text1"/>
          <w:sz w:val="32"/>
          <w:szCs w:val="32"/>
          <w14:textFill>
            <w14:solidFill>
              <w14:schemeClr w14:val="tx1"/>
            </w14:solidFill>
          </w14:textFill>
        </w:rPr>
        <w:t>，主要是严格按预算执行。</w:t>
      </w:r>
    </w:p>
    <w:p w14:paraId="3EC16B1F">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一般公共服务支出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其他一般公共服务支出</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下其他一般公共服务支出</w:t>
      </w:r>
      <w:r>
        <w:rPr>
          <w:rFonts w:hint="eastAsia" w:ascii="仿宋_GB2312" w:hAnsi="仿宋"/>
          <w:color w:val="000000" w:themeColor="text1"/>
          <w:sz w:val="32"/>
          <w:szCs w:val="32"/>
          <w:lang w:eastAsia="zh-CN"/>
          <w14:textFill>
            <w14:solidFill>
              <w14:schemeClr w14:val="tx1"/>
            </w14:solidFill>
          </w14:textFill>
        </w:rPr>
        <w:t>（项）</w:t>
      </w:r>
    </w:p>
    <w:p w14:paraId="02FF508A">
      <w:pPr>
        <w:numPr>
          <w:ilvl w:val="0"/>
          <w:numId w:val="0"/>
        </w:numPr>
        <w:snapToGrid w:val="0"/>
        <w:spacing w:line="520" w:lineRule="exact"/>
        <w:ind w:leftChars="200" w:firstLine="640" w:firstLineChars="2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0.3</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0.3</w:t>
      </w:r>
      <w:r>
        <w:rPr>
          <w:rFonts w:hint="eastAsia" w:ascii="仿宋_GB2312" w:hAnsi="仿宋"/>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sz w:val="32"/>
          <w:szCs w:val="32"/>
        </w:rPr>
        <w:t>完成年初预算的</w:t>
      </w:r>
      <w:r>
        <w:rPr>
          <w:rFonts w:hint="eastAsia" w:asciiTheme="majorEastAsia" w:hAnsiTheme="majorEastAsia" w:eastAsiaTheme="majorEastAsia" w:cstheme="majorEastAsia"/>
          <w:sz w:val="32"/>
          <w:szCs w:val="32"/>
          <w:lang w:val="en-US" w:eastAsia="zh-CN"/>
        </w:rPr>
        <w:t>100</w:t>
      </w:r>
      <w:r>
        <w:rPr>
          <w:rFonts w:hint="eastAsia" w:asciiTheme="majorEastAsia" w:hAnsiTheme="majorEastAsia" w:eastAsiaTheme="majorEastAsia" w:cstheme="majorEastAsia"/>
          <w:sz w:val="32"/>
          <w:szCs w:val="32"/>
        </w:rPr>
        <w:t>%</w:t>
      </w:r>
      <w:r>
        <w:rPr>
          <w:rFonts w:hint="eastAsia" w:ascii="仿宋_GB2312" w:hAnsi="仿宋"/>
          <w:color w:val="000000" w:themeColor="text1"/>
          <w:sz w:val="32"/>
          <w:szCs w:val="32"/>
          <w14:textFill>
            <w14:solidFill>
              <w14:schemeClr w14:val="tx1"/>
            </w14:solidFill>
          </w14:textFill>
        </w:rPr>
        <w:t>，主要是严格按预算执行。</w:t>
      </w:r>
    </w:p>
    <w:p w14:paraId="132FD8FA">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就业补助</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下公益性岗位补贴</w:t>
      </w:r>
      <w:r>
        <w:rPr>
          <w:rFonts w:hint="eastAsia" w:ascii="仿宋_GB2312" w:hAnsi="仿宋"/>
          <w:color w:val="000000" w:themeColor="text1"/>
          <w:sz w:val="32"/>
          <w:szCs w:val="32"/>
          <w:lang w:eastAsia="zh-CN"/>
          <w14:textFill>
            <w14:solidFill>
              <w14:schemeClr w14:val="tx1"/>
            </w14:solidFill>
          </w14:textFill>
        </w:rPr>
        <w:t>（项）</w:t>
      </w:r>
    </w:p>
    <w:p w14:paraId="3AD11D38">
      <w:pPr>
        <w:numPr>
          <w:ilvl w:val="0"/>
          <w:numId w:val="0"/>
        </w:numPr>
        <w:snapToGrid w:val="0"/>
        <w:spacing w:line="520" w:lineRule="exact"/>
        <w:ind w:leftChars="200" w:firstLine="640" w:firstLineChars="2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140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135.23</w:t>
      </w:r>
      <w:r>
        <w:rPr>
          <w:rFonts w:hint="eastAsia" w:ascii="仿宋_GB2312" w:hAnsi="仿宋"/>
          <w:color w:val="000000" w:themeColor="text1"/>
          <w:sz w:val="32"/>
          <w:szCs w:val="32"/>
          <w14:textFill>
            <w14:solidFill>
              <w14:schemeClr w14:val="tx1"/>
            </w14:solidFill>
          </w14:textFill>
        </w:rPr>
        <w:t>万元，</w:t>
      </w:r>
      <w:r>
        <w:rPr>
          <w:rFonts w:hint="eastAsia" w:asciiTheme="majorEastAsia" w:hAnsiTheme="majorEastAsia" w:eastAsiaTheme="majorEastAsia" w:cstheme="majorEastAsia"/>
          <w:sz w:val="32"/>
          <w:szCs w:val="32"/>
        </w:rPr>
        <w:t>完成年初预算的</w:t>
      </w:r>
      <w:r>
        <w:rPr>
          <w:rFonts w:hint="eastAsia" w:asciiTheme="majorEastAsia" w:hAnsiTheme="majorEastAsia" w:eastAsiaTheme="majorEastAsia" w:cstheme="majorEastAsia"/>
          <w:sz w:val="32"/>
          <w:szCs w:val="32"/>
          <w:lang w:val="en-US" w:eastAsia="zh-CN"/>
        </w:rPr>
        <w:t>96.59</w:t>
      </w:r>
      <w:r>
        <w:rPr>
          <w:rFonts w:hint="eastAsia" w:asciiTheme="majorEastAsia" w:hAnsiTheme="majorEastAsia" w:eastAsiaTheme="majorEastAsia" w:cstheme="majorEastAsia"/>
          <w:sz w:val="32"/>
          <w:szCs w:val="32"/>
        </w:rPr>
        <w:t>%</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2B52B6AB">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抚恤</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下义务兵优待</w:t>
      </w:r>
      <w:r>
        <w:rPr>
          <w:rFonts w:hint="eastAsia" w:ascii="仿宋_GB2312" w:hAnsi="仿宋"/>
          <w:color w:val="000000" w:themeColor="text1"/>
          <w:sz w:val="32"/>
          <w:szCs w:val="32"/>
          <w:lang w:eastAsia="zh-CN"/>
          <w14:textFill>
            <w14:solidFill>
              <w14:schemeClr w14:val="tx1"/>
            </w14:solidFill>
          </w14:textFill>
        </w:rPr>
        <w:t>（项）</w:t>
      </w:r>
    </w:p>
    <w:p w14:paraId="019A823E">
      <w:pPr>
        <w:numPr>
          <w:ilvl w:val="0"/>
          <w:numId w:val="0"/>
        </w:numPr>
        <w:snapToGrid w:val="0"/>
        <w:spacing w:line="520" w:lineRule="exact"/>
        <w:ind w:leftChars="200" w:firstLine="640" w:firstLineChars="2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230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224</w:t>
      </w:r>
      <w:r>
        <w:rPr>
          <w:rFonts w:hint="eastAsia" w:ascii="仿宋_GB2312" w:hAnsi="仿宋"/>
          <w:color w:val="000000" w:themeColor="text1"/>
          <w:sz w:val="32"/>
          <w:szCs w:val="32"/>
          <w14:textFill>
            <w14:solidFill>
              <w14:schemeClr w14:val="tx1"/>
            </w14:solidFill>
          </w14:textFill>
        </w:rPr>
        <w:t>万元，</w:t>
      </w:r>
      <w:r>
        <w:rPr>
          <w:rFonts w:ascii="宋体" w:hAnsi="宋体" w:eastAsia="宋体" w:cs="宋体"/>
          <w:sz w:val="24"/>
          <w:szCs w:val="24"/>
        </w:rPr>
        <w:t>完成年初预算数的97.39%。</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4FB26956">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抚恤</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下其他优抚支出</w:t>
      </w:r>
      <w:r>
        <w:rPr>
          <w:rFonts w:hint="eastAsia" w:ascii="仿宋_GB2312" w:hAnsi="仿宋"/>
          <w:color w:val="000000" w:themeColor="text1"/>
          <w:sz w:val="32"/>
          <w:szCs w:val="32"/>
          <w:lang w:eastAsia="zh-CN"/>
          <w14:textFill>
            <w14:solidFill>
              <w14:schemeClr w14:val="tx1"/>
            </w14:solidFill>
          </w14:textFill>
        </w:rPr>
        <w:t>（项）</w:t>
      </w:r>
    </w:p>
    <w:p w14:paraId="33FC9B6F">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7127.42</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6372.19</w:t>
      </w:r>
      <w:r>
        <w:rPr>
          <w:rFonts w:hint="eastAsia" w:ascii="仿宋_GB2312" w:hAnsi="仿宋"/>
          <w:color w:val="000000" w:themeColor="text1"/>
          <w:sz w:val="32"/>
          <w:szCs w:val="32"/>
          <w14:textFill>
            <w14:solidFill>
              <w14:schemeClr w14:val="tx1"/>
            </w14:solidFill>
          </w14:textFill>
        </w:rPr>
        <w:t>万元，</w:t>
      </w:r>
      <w:r>
        <w:rPr>
          <w:rFonts w:ascii="宋体" w:hAnsi="宋体" w:eastAsia="宋体" w:cs="宋体"/>
          <w:sz w:val="24"/>
          <w:szCs w:val="24"/>
        </w:rPr>
        <w:t>完成年初预算数的</w:t>
      </w:r>
      <w:r>
        <w:rPr>
          <w:rFonts w:hint="eastAsia" w:ascii="宋体" w:hAnsi="宋体" w:eastAsia="宋体" w:cs="宋体"/>
          <w:sz w:val="24"/>
          <w:szCs w:val="24"/>
          <w:lang w:val="en-US" w:eastAsia="zh-CN"/>
        </w:rPr>
        <w:t>89.4</w:t>
      </w:r>
      <w:r>
        <w:rPr>
          <w:rFonts w:ascii="宋体" w:hAnsi="宋体" w:eastAsia="宋体" w:cs="宋体"/>
          <w:sz w:val="24"/>
          <w:szCs w:val="24"/>
        </w:rPr>
        <w:t>%。</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1A5D70E1">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下退役士兵管理教育</w:t>
      </w:r>
      <w:r>
        <w:rPr>
          <w:rFonts w:hint="eastAsia" w:ascii="仿宋_GB2312" w:hAnsi="仿宋"/>
          <w:color w:val="000000" w:themeColor="text1"/>
          <w:sz w:val="32"/>
          <w:szCs w:val="32"/>
          <w:lang w:eastAsia="zh-CN"/>
          <w14:textFill>
            <w14:solidFill>
              <w14:schemeClr w14:val="tx1"/>
            </w14:solidFill>
          </w14:textFill>
        </w:rPr>
        <w:t>（项）</w:t>
      </w:r>
    </w:p>
    <w:p w14:paraId="449E83C1">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24</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23.82</w:t>
      </w:r>
      <w:r>
        <w:rPr>
          <w:rFonts w:hint="eastAsia" w:ascii="仿宋_GB2312" w:hAnsi="仿宋"/>
          <w:color w:val="000000" w:themeColor="text1"/>
          <w:sz w:val="32"/>
          <w:szCs w:val="32"/>
          <w14:textFill>
            <w14:solidFill>
              <w14:schemeClr w14:val="tx1"/>
            </w14:solidFill>
          </w14:textFill>
        </w:rPr>
        <w:t>万元，</w:t>
      </w:r>
      <w:r>
        <w:rPr>
          <w:rFonts w:ascii="宋体" w:hAnsi="宋体" w:eastAsia="宋体" w:cs="宋体"/>
          <w:sz w:val="24"/>
          <w:szCs w:val="24"/>
        </w:rPr>
        <w:t>完成年初预算的99.25%。</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5B7900AE">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下军队转业干部安置</w:t>
      </w:r>
      <w:r>
        <w:rPr>
          <w:rFonts w:hint="eastAsia" w:ascii="仿宋_GB2312" w:hAnsi="仿宋"/>
          <w:color w:val="000000" w:themeColor="text1"/>
          <w:sz w:val="32"/>
          <w:szCs w:val="32"/>
          <w:lang w:eastAsia="zh-CN"/>
          <w14:textFill>
            <w14:solidFill>
              <w14:schemeClr w14:val="tx1"/>
            </w14:solidFill>
          </w14:textFill>
        </w:rPr>
        <w:t>（项）</w:t>
      </w:r>
    </w:p>
    <w:p w14:paraId="750EBC47">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80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72.41</w:t>
      </w:r>
      <w:r>
        <w:rPr>
          <w:rFonts w:hint="eastAsia" w:ascii="仿宋_GB2312" w:hAnsi="仿宋"/>
          <w:color w:val="000000" w:themeColor="text1"/>
          <w:sz w:val="32"/>
          <w:szCs w:val="32"/>
          <w14:textFill>
            <w14:solidFill>
              <w14:schemeClr w14:val="tx1"/>
            </w14:solidFill>
          </w14:textFill>
        </w:rPr>
        <w:t>万元，</w:t>
      </w:r>
      <w:r>
        <w:rPr>
          <w:rFonts w:ascii="宋体" w:hAnsi="宋体" w:eastAsia="宋体" w:cs="宋体"/>
          <w:sz w:val="24"/>
          <w:szCs w:val="24"/>
        </w:rPr>
        <w:t>完成年初预算数的90.51%。</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0CA4BC0F">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下其他退役安置支出</w:t>
      </w:r>
      <w:r>
        <w:rPr>
          <w:rFonts w:hint="eastAsia" w:ascii="仿宋_GB2312" w:hAnsi="仿宋"/>
          <w:color w:val="000000" w:themeColor="text1"/>
          <w:sz w:val="32"/>
          <w:szCs w:val="32"/>
          <w:lang w:eastAsia="zh-CN"/>
          <w14:textFill>
            <w14:solidFill>
              <w14:schemeClr w14:val="tx1"/>
            </w14:solidFill>
          </w14:textFill>
        </w:rPr>
        <w:t>（项）</w:t>
      </w:r>
    </w:p>
    <w:p w14:paraId="14F6298E">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250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243.41</w:t>
      </w:r>
      <w:r>
        <w:rPr>
          <w:rFonts w:hint="eastAsia" w:ascii="仿宋_GB2312" w:hAnsi="仿宋"/>
          <w:color w:val="000000" w:themeColor="text1"/>
          <w:sz w:val="32"/>
          <w:szCs w:val="32"/>
          <w14:textFill>
            <w14:solidFill>
              <w14:schemeClr w14:val="tx1"/>
            </w14:solidFill>
          </w14:textFill>
        </w:rPr>
        <w:t>万元，差</w:t>
      </w:r>
      <w:r>
        <w:rPr>
          <w:rFonts w:ascii="宋体" w:hAnsi="宋体" w:eastAsia="宋体" w:cs="宋体"/>
          <w:sz w:val="24"/>
          <w:szCs w:val="24"/>
        </w:rPr>
        <w:t>完成年初预算数的97.36%。</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10ABC390">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退役军人管理事务</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下行政运行</w:t>
      </w:r>
      <w:r>
        <w:rPr>
          <w:rFonts w:hint="eastAsia" w:ascii="仿宋_GB2312" w:hAnsi="仿宋"/>
          <w:color w:val="000000" w:themeColor="text1"/>
          <w:sz w:val="32"/>
          <w:szCs w:val="32"/>
          <w:lang w:eastAsia="zh-CN"/>
          <w14:textFill>
            <w14:solidFill>
              <w14:schemeClr w14:val="tx1"/>
            </w14:solidFill>
          </w14:textFill>
        </w:rPr>
        <w:t>（项）</w:t>
      </w:r>
    </w:p>
    <w:p w14:paraId="1E2B936B">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118.02</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122.15</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w:t>
      </w:r>
      <w:r>
        <w:rPr>
          <w:rFonts w:ascii="宋体" w:hAnsi="宋体" w:eastAsia="宋体" w:cs="宋体"/>
          <w:sz w:val="24"/>
          <w:szCs w:val="24"/>
        </w:rPr>
        <w:t>完成年初预算数的</w:t>
      </w:r>
      <w:r>
        <w:rPr>
          <w:rFonts w:hint="eastAsia" w:ascii="宋体" w:hAnsi="宋体" w:eastAsia="宋体" w:cs="宋体"/>
          <w:sz w:val="24"/>
          <w:szCs w:val="24"/>
          <w:lang w:val="en-US" w:eastAsia="zh-CN"/>
        </w:rPr>
        <w:t>103.5</w:t>
      </w:r>
      <w:r>
        <w:rPr>
          <w:rFonts w:ascii="宋体" w:hAnsi="宋体" w:eastAsia="宋体" w:cs="宋体"/>
          <w:sz w:val="24"/>
          <w:szCs w:val="24"/>
        </w:rPr>
        <w:t>%。</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工资福利自然增长和业务需求增加相关费用</w:t>
      </w:r>
      <w:r>
        <w:rPr>
          <w:rFonts w:hint="eastAsia" w:ascii="仿宋_GB2312" w:hAnsi="仿宋"/>
          <w:color w:val="000000" w:themeColor="text1"/>
          <w:sz w:val="32"/>
          <w:szCs w:val="32"/>
          <w14:textFill>
            <w14:solidFill>
              <w14:schemeClr w14:val="tx1"/>
            </w14:solidFill>
          </w14:textFill>
        </w:rPr>
        <w:t>。</w:t>
      </w:r>
    </w:p>
    <w:p w14:paraId="7EDBAA84">
      <w:pPr>
        <w:numPr>
          <w:ilvl w:val="0"/>
          <w:numId w:val="2"/>
        </w:numPr>
        <w:snapToGrid w:val="0"/>
        <w:spacing w:line="520" w:lineRule="exact"/>
        <w:ind w:left="0" w:leftChars="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卫生健康支出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优抚对象医疗</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下优抚对象医疗补助</w:t>
      </w:r>
      <w:r>
        <w:rPr>
          <w:rFonts w:hint="eastAsia" w:ascii="仿宋_GB2312" w:hAnsi="仿宋"/>
          <w:color w:val="000000" w:themeColor="text1"/>
          <w:sz w:val="32"/>
          <w:szCs w:val="32"/>
          <w:lang w:eastAsia="zh-CN"/>
          <w14:textFill>
            <w14:solidFill>
              <w14:schemeClr w14:val="tx1"/>
            </w14:solidFill>
          </w14:textFill>
        </w:rPr>
        <w:t>（项）</w:t>
      </w:r>
    </w:p>
    <w:p w14:paraId="7C80F31D">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400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支出决算数</w:t>
      </w:r>
      <w:r>
        <w:rPr>
          <w:rFonts w:hint="eastAsia" w:ascii="仿宋_GB2312" w:hAnsi="仿宋"/>
          <w:color w:val="000000" w:themeColor="text1"/>
          <w:sz w:val="32"/>
          <w:szCs w:val="32"/>
          <w:lang w:val="en-US" w:eastAsia="zh-CN"/>
          <w14:textFill>
            <w14:solidFill>
              <w14:schemeClr w14:val="tx1"/>
            </w14:solidFill>
          </w14:textFill>
        </w:rPr>
        <w:t>339.84</w:t>
      </w:r>
      <w:r>
        <w:rPr>
          <w:rFonts w:hint="eastAsia" w:ascii="仿宋_GB2312" w:hAnsi="仿宋"/>
          <w:color w:val="000000" w:themeColor="text1"/>
          <w:sz w:val="32"/>
          <w:szCs w:val="32"/>
          <w14:textFill>
            <w14:solidFill>
              <w14:schemeClr w14:val="tx1"/>
            </w14:solidFill>
          </w14:textFill>
        </w:rPr>
        <w:t>万元，</w:t>
      </w:r>
      <w:r>
        <w:rPr>
          <w:rFonts w:ascii="宋体" w:hAnsi="宋体" w:eastAsia="宋体" w:cs="宋体"/>
          <w:sz w:val="24"/>
          <w:szCs w:val="24"/>
        </w:rPr>
        <w:t>完成年初预算数的84.96%。</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根据中央八项规定压减项目支出</w:t>
      </w:r>
      <w:r>
        <w:rPr>
          <w:rFonts w:hint="eastAsia" w:ascii="仿宋_GB2312" w:hAnsi="仿宋"/>
          <w:color w:val="000000" w:themeColor="text1"/>
          <w:sz w:val="32"/>
          <w:szCs w:val="32"/>
          <w14:textFill>
            <w14:solidFill>
              <w14:schemeClr w14:val="tx1"/>
            </w14:solidFill>
          </w14:textFill>
        </w:rPr>
        <w:t>。</w:t>
      </w:r>
    </w:p>
    <w:p w14:paraId="14223719">
      <w:pPr>
        <w:pStyle w:val="18"/>
        <w:spacing w:line="600" w:lineRule="exact"/>
        <w:ind w:firstLine="640" w:firstLineChars="200"/>
        <w:rPr>
          <w:rFonts w:hint="eastAsia" w:hAnsi="黑体"/>
          <w:bCs/>
          <w:color w:val="000000" w:themeColor="text1"/>
          <w:sz w:val="32"/>
          <w:szCs w:val="32"/>
          <w14:textFill>
            <w14:solidFill>
              <w14:schemeClr w14:val="tx1"/>
            </w14:solidFill>
          </w14:textFill>
        </w:rPr>
      </w:pPr>
    </w:p>
    <w:p w14:paraId="2ED8CA79">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六、一般公共预算财政拨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基本支出决算情况说明</w:t>
      </w:r>
    </w:p>
    <w:p w14:paraId="2E5EEB9C">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2023年度财政拨款基本支出285.4万元，其中：</w:t>
      </w:r>
    </w:p>
    <w:p w14:paraId="09283D3B">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人员经费238.17万元，占基本支出的83.45%,主要包括基本工资、津贴补贴、奖金、伙食补助费、绩效工资、机关事业单位基本养老保险缴费、职业年金缴费、职工基本医疗保险缴费、其他社会保障缴费、住房公积金、医疗费、退休费、抚恤金、医疗费补助、奖励金、其他对个人和家庭的补助。</w:t>
      </w:r>
    </w:p>
    <w:p w14:paraId="776F65BD">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用经费47.23万元，占基本支出的16.55%，主要包括办公费、水费、电费、邮电费、差旅费、维修（护）费、培训费、公务接待费、工会经费、福利费、公务用车运行维护费、其他交通费用、其他商品和服务支出、办公设备购置。</w:t>
      </w:r>
    </w:p>
    <w:p w14:paraId="5278BCCE">
      <w:pPr>
        <w:pStyle w:val="18"/>
        <w:numPr>
          <w:ilvl w:val="0"/>
          <w:numId w:val="3"/>
        </w:numPr>
        <w:spacing w:line="600" w:lineRule="exact"/>
        <w:ind w:firstLine="640" w:firstLineChars="200"/>
        <w:rPr>
          <w:rFonts w:hint="eastAsia"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三公经费支出决算情况说明</w:t>
      </w:r>
    </w:p>
    <w:p w14:paraId="3D7C1C69">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（一）“三公”经费财政拨款支出决算总体情况说明</w:t>
      </w:r>
    </w:p>
    <w:p w14:paraId="1FA253B8">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“三公”经费财政拨款支出预算为1.22万元，支出决算为1.22万元，决算数等于预算数的主要原因是严格执行预算，未发生“三公”经费支出项目。</w:t>
      </w:r>
    </w:p>
    <w:p w14:paraId="6804FA10">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与上年相比减少0.63万元，减少34.05%,减少的主要原因是认真贯彻落实中央“八项规定”精神和厉行节约要求，从严控制“三公”经费开支。其中：</w:t>
      </w:r>
    </w:p>
    <w:p w14:paraId="42F3DD15">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因公出国（境）费支出预算为0万元，支出决算为0万元，决算数等于预算数的主要原因是严格按预算执行决算，与上年一致，无增减变动，主要原因是未安排因公出国（境）活动。</w:t>
      </w:r>
    </w:p>
    <w:p w14:paraId="4A66700D">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接待费支出预算为1.22万元，支出决算为1.22万元，决算数等于预算数的主要原因是认真贯彻落实中央“八项规定”精神和厉行节约要求，从严控制“三公”经费开支，与上年相比减少0.63万元，减少34.05%,减少的主要原因是认真贯彻落实中央“八项规定”精神和厉行节约要求，从严控制“三公”经费开支。</w:t>
      </w:r>
    </w:p>
    <w:p w14:paraId="5D29AB53">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公务用车购置费支出预算为0万元，支出决算为0万元，决算数等于预算数的主要原因是严格按预算执行决算，与上年一致，无增减变动，主要原因是两年均未购置公务用车。</w:t>
      </w:r>
    </w:p>
    <w:p w14:paraId="3ED8C5FF">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公务用车运行维护费支出预算为0万元，支出决算为0万元，决算数等于预算数的主要原因是严格按预算执行决算，与上年一致，无增减变动，主要原因是两年均未发生公务用车运行维护费支出。</w:t>
      </w:r>
    </w:p>
    <w:p w14:paraId="43C6D6F0">
      <w:pPr>
        <w:pStyle w:val="18"/>
        <w:spacing w:line="600" w:lineRule="exact"/>
        <w:ind w:firstLine="640"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（二）“三公”经费财政拨</w:t>
      </w:r>
      <w:r>
        <w:rPr>
          <w:rFonts w:hint="eastAsia" w:ascii="楷体" w:hAnsi="楷体" w:eastAsia="楷体" w:cs="楷体"/>
          <w:b/>
          <w:color w:val="000000" w:themeColor="text1"/>
          <w:sz w:val="32"/>
          <w:szCs w:val="32"/>
          <w:lang w:eastAsia="zh-CN"/>
          <w14:textFill>
            <w14:solidFill>
              <w14:schemeClr w14:val="tx1"/>
            </w14:solidFill>
          </w14:textFill>
        </w:rPr>
        <w:t>款</w:t>
      </w:r>
      <w:r>
        <w:rPr>
          <w:rFonts w:hint="eastAsia" w:ascii="楷体" w:hAnsi="楷体" w:eastAsia="楷体" w:cs="楷体"/>
          <w:b/>
          <w:color w:val="000000" w:themeColor="text1"/>
          <w:sz w:val="32"/>
          <w:szCs w:val="32"/>
          <w14:textFill>
            <w14:solidFill>
              <w14:schemeClr w14:val="tx1"/>
            </w14:solidFill>
          </w14:textFill>
        </w:rPr>
        <w:t>支出决算具体情况说明</w:t>
      </w:r>
    </w:p>
    <w:p w14:paraId="02977207">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2023年度“三公”经费财政拨款支出决算中，公务接待费支出决算1.22万元，占100%,因公出国（境）费支出决算0万元，占0%,公务用车购置费及运行维护费支出决算0万元，占0%。其中：</w:t>
      </w:r>
    </w:p>
    <w:p w14:paraId="50366D7D">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1、因公出国（境）费支出决算为0万元，全年安排因公出国（境）团组0个，累计0人次,我单位2023年度无因公出国（境）费支出。</w:t>
      </w:r>
    </w:p>
    <w:p w14:paraId="2B58F1BF">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2、公务接待费支出决算为1.22万元，全年共接待来访团组8个、来宾95人次，用于上级单位调研工作及与有关单位交流工作情况和接受相关部门检查指导工作等发生的接待支出。</w:t>
      </w:r>
    </w:p>
    <w:p w14:paraId="67BCF68B">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p>
    <w:p w14:paraId="261AA2BD">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3、公务用车购置费及运行维护费支出决算为0万元，其中：公务用车购置费0万元，更新公务用车0辆。公务用车运行维护费0万元，截止2023年12月31日，我单位开支财政拨款的公务用车保有量为0辆。</w:t>
      </w:r>
    </w:p>
    <w:p w14:paraId="13B2567D">
      <w:pPr>
        <w:pStyle w:val="18"/>
        <w:spacing w:line="600" w:lineRule="exact"/>
        <w:ind w:firstLine="640" w:firstLineChars="200"/>
        <w:rPr>
          <w:rFonts w:hint="eastAsia" w:hAnsi="黑体"/>
          <w:bCs/>
          <w:color w:val="000000" w:themeColor="text1"/>
          <w:sz w:val="32"/>
          <w:szCs w:val="32"/>
          <w14:textFill>
            <w14:solidFill>
              <w14:schemeClr w14:val="tx1"/>
            </w14:solidFill>
          </w14:textFill>
        </w:rPr>
      </w:pPr>
    </w:p>
    <w:p w14:paraId="34CDE9DA">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八、政府性基金预算收入支出决算情况</w:t>
      </w:r>
    </w:p>
    <w:p w14:paraId="431EFAA4">
      <w:pPr>
        <w:snapToGrid w:val="0"/>
        <w:spacing w:line="52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2023年度政府性基金预算财政拨</w:t>
      </w:r>
      <w:r>
        <w:rPr>
          <w:rFonts w:hint="eastAsia" w:ascii="仿宋_GB2312" w:hAnsi="仿宋" w:cstheme="minorBidi"/>
          <w:color w:val="000000" w:themeColor="text1"/>
          <w:kern w:val="2"/>
          <w:sz w:val="32"/>
          <w:szCs w:val="32"/>
          <w:lang w:val="en-US" w:eastAsia="zh-CN" w:bidi="ar-SA"/>
          <w14:textFill>
            <w14:solidFill>
              <w14:schemeClr w14:val="tx1"/>
            </w14:solidFill>
          </w14:textFill>
        </w:rPr>
        <w:t>款</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收入0万元；年初结转和结余0万元；支出0万元，其中基本支出0万元，</w:t>
      </w:r>
      <w:r>
        <w:rPr>
          <w:rFonts w:hint="eastAsia" w:ascii="仿宋_GB2312" w:hAnsi="仿宋" w:cstheme="minorBidi"/>
          <w:color w:val="000000" w:themeColor="text1"/>
          <w:kern w:val="2"/>
          <w:sz w:val="32"/>
          <w:szCs w:val="32"/>
          <w:lang w:val="en-US" w:eastAsia="zh-CN" w:bidi="ar-SA"/>
          <w14:textFill>
            <w14:solidFill>
              <w14:schemeClr w14:val="tx1"/>
            </w14:solidFill>
          </w14:textFill>
        </w:rPr>
        <w:t>项</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目支出0万元；年末结转和结余0万元。</w:t>
      </w:r>
    </w:p>
    <w:p w14:paraId="00784115">
      <w:pPr>
        <w:pStyle w:val="18"/>
        <w:spacing w:line="600" w:lineRule="exact"/>
        <w:ind w:firstLine="640" w:firstLineChars="200"/>
        <w:rPr>
          <w:rFonts w:ascii="Times New Roman" w:hAnsi="Times New Roman" w:eastAsia="仿宋_GB2312"/>
          <w:color w:val="FF0000"/>
          <w:sz w:val="32"/>
          <w:szCs w:val="32"/>
        </w:rPr>
      </w:pPr>
    </w:p>
    <w:p w14:paraId="15DB0CE6">
      <w:pPr>
        <w:pStyle w:val="18"/>
        <w:spacing w:line="600" w:lineRule="exact"/>
        <w:ind w:firstLine="640" w:firstLineChars="200"/>
        <w:rPr>
          <w:rFonts w:hint="eastAsia" w:ascii="Times New Roman" w:hAnsi="Times New Roman" w:eastAsia="仿宋_GB2312"/>
          <w:b/>
          <w:color w:val="000000" w:themeColor="text1"/>
          <w:sz w:val="32"/>
          <w:szCs w:val="32"/>
          <w:lang w:eastAsia="zh-CN"/>
          <w14:textFill>
            <w14:solidFill>
              <w14:schemeClr w14:val="tx1"/>
            </w14:solidFill>
          </w14:textFill>
        </w:rPr>
      </w:pPr>
      <w:r>
        <w:rPr>
          <w:rFonts w:hint="eastAsia" w:ascii="Times New Roman" w:hAnsi="Times New Roman" w:eastAsia="仿宋_GB2312"/>
          <w:b/>
          <w:color w:val="000000" w:themeColor="text1"/>
          <w:sz w:val="32"/>
          <w:szCs w:val="32"/>
          <w:lang w:eastAsia="zh-CN"/>
          <w14:textFill>
            <w14:solidFill>
              <w14:schemeClr w14:val="tx1"/>
            </w14:solidFill>
          </w14:textFill>
        </w:rPr>
        <w:t>九、国有资本经营预算财政拨款支出决算情况</w:t>
      </w:r>
    </w:p>
    <w:p w14:paraId="613A3472">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2023年本单位没有使用国有资本经营预算安排的支出。</w:t>
      </w:r>
    </w:p>
    <w:p w14:paraId="32027416">
      <w:pPr>
        <w:pStyle w:val="18"/>
        <w:spacing w:line="600" w:lineRule="exact"/>
        <w:ind w:firstLine="640" w:firstLineChars="200"/>
        <w:rPr>
          <w:rFonts w:hint="eastAsia" w:ascii="Times New Roman" w:hAnsi="Times New Roman" w:eastAsia="仿宋_GB2312"/>
          <w:b/>
          <w:color w:val="000000" w:themeColor="text1"/>
          <w:sz w:val="32"/>
          <w:szCs w:val="32"/>
          <w:lang w:eastAsia="zh-CN"/>
          <w14:textFill>
            <w14:solidFill>
              <w14:schemeClr w14:val="tx1"/>
            </w14:solidFill>
          </w14:textFill>
        </w:rPr>
      </w:pPr>
      <w:r>
        <w:rPr>
          <w:rFonts w:hint="eastAsia" w:ascii="Times New Roman" w:hAnsi="Times New Roman" w:eastAsia="仿宋_GB2312"/>
          <w:b/>
          <w:color w:val="000000" w:themeColor="text1"/>
          <w:sz w:val="32"/>
          <w:szCs w:val="32"/>
          <w:lang w:eastAsia="zh-CN"/>
          <w14:textFill>
            <w14:solidFill>
              <w14:schemeClr w14:val="tx1"/>
            </w14:solidFill>
          </w14:textFill>
        </w:rPr>
        <w:t>十、关于机关运行经费支出说明</w:t>
      </w:r>
    </w:p>
    <w:p w14:paraId="4E77FC79">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本部门2023年度机关运行经费支出47.23万元，比年初预算数增加12.71万元，增长36.82%。主要原因是：根据工作的需要增加项目经费支出。</w:t>
      </w:r>
    </w:p>
    <w:p w14:paraId="135EC2A8">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十一、一般性支出情况说明</w:t>
      </w:r>
    </w:p>
    <w:p w14:paraId="19F34B70">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2023年本部门开支会议费0.14万元，用于召开工作会议，人数26人，内容为安全生产部署会和退役军人信访维稳会议；开支培训费0万元，人数0人；本单位无举办节庆、晚会、论坛、赛事等活动的预算和支出决算数。</w:t>
      </w:r>
    </w:p>
    <w:p w14:paraId="4786F5B9">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十二、关于政府采购支出说明</w:t>
      </w:r>
    </w:p>
    <w:p w14:paraId="48368000">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本部门2023年度政府采购支出总额25.56万元，其中：政府采购货物支</w:t>
      </w:r>
      <w:bookmarkStart w:id="0" w:name="_GoBack"/>
      <w:bookmarkEnd w:id="0"/>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出18.81 万元、政府采购工程支出0万元、政府采购服务支出6.75万元。授予中小企业合同金额25.56万元，占政府采购支出总额的100%，其中：授予小微企业合同金额18.81万元，占授予中小企业合同金额的73.59%。货物采购授予中小企业合同金额18.81万元，占货物支出金额的100%，工程采购授予中小企业合同金额0万元，占工程支出金额的0%，服务采购授予中小企业合同金额6.75万元，占服务支出金额的100%。</w:t>
      </w:r>
    </w:p>
    <w:p w14:paraId="535BA789">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十三、关于国有资产占用情况说明</w:t>
      </w:r>
    </w:p>
    <w:p w14:paraId="75F3DAA5">
      <w:pPr>
        <w:pStyle w:val="18"/>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0F6B63A6">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十四、关于2023年度预算绩效情况的说明</w:t>
      </w:r>
    </w:p>
    <w:p w14:paraId="58CD2273">
      <w:pPr>
        <w:pStyle w:val="18"/>
        <w:spacing w:line="580" w:lineRule="exact"/>
        <w:ind w:firstLine="640"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（一）绩效管理工作开展情况</w:t>
      </w:r>
    </w:p>
    <w:p w14:paraId="2C5BA9BF">
      <w:pPr>
        <w:snapToGrid w:val="0"/>
        <w:spacing w:line="52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为贯彻执行国家预算法，加强预算绩效管理，我单位严格按预算绩效管理的相关要求开展预算工作，我单位2023年预算总支出为7549.28万元。其中：基本支出297.43万元,占总支出的3.94%;</w:t>
      </w:r>
      <w:r>
        <w:rPr>
          <w:rFonts w:hint="eastAsia" w:ascii="仿宋_GB2312" w:hAnsi="仿宋" w:cstheme="minorBidi"/>
          <w:color w:val="000000" w:themeColor="text1"/>
          <w:kern w:val="2"/>
          <w:sz w:val="32"/>
          <w:szCs w:val="32"/>
          <w:lang w:val="en-US" w:eastAsia="zh-CN" w:bidi="ar-SA"/>
          <w14:textFill>
            <w14:solidFill>
              <w14:schemeClr w14:val="tx1"/>
            </w14:solidFill>
          </w14:textFill>
        </w:rPr>
        <w:t>项</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目支出7251.85万元,占总支出的96.06%。我单位切实以绩效管理为目标，健全单位绩效管理工作机制，明确责任，努力提高绩效管理工作水平；加强化单位制度建设，提升预算管理质量。</w:t>
      </w:r>
    </w:p>
    <w:p w14:paraId="179C8095">
      <w:pPr>
        <w:pStyle w:val="18"/>
        <w:spacing w:line="580" w:lineRule="exact"/>
        <w:ind w:firstLine="640" w:firstLineChars="200"/>
        <w:rPr>
          <w:rFonts w:hint="eastAsia" w:ascii="楷体" w:hAnsi="楷体" w:eastAsia="楷体" w:cs="楷体"/>
          <w:b/>
          <w:bCs/>
          <w:color w:val="000000" w:themeColor="text1"/>
          <w:sz w:val="32"/>
          <w:szCs w:val="32"/>
          <w14:textFill>
            <w14:solidFill>
              <w14:schemeClr w14:val="tx1"/>
            </w14:solidFill>
          </w14:textFill>
        </w:rPr>
      </w:pPr>
    </w:p>
    <w:p w14:paraId="5A4B3B13">
      <w:pPr>
        <w:pStyle w:val="18"/>
        <w:spacing w:line="580" w:lineRule="exact"/>
        <w:ind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（二）部门（单位）整体支出绩效情况</w:t>
      </w:r>
    </w:p>
    <w:p w14:paraId="78999470">
      <w:pPr>
        <w:snapToGrid w:val="0"/>
        <w:spacing w:line="520" w:lineRule="exact"/>
        <w:ind w:firstLine="5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ascii="Segoe UI" w:hAnsi="Segoe UI" w:cs="Segoe UI"/>
          <w:color w:val="000000" w:themeColor="text1"/>
          <w:sz w:val="27"/>
          <w:szCs w:val="27"/>
          <w14:textFill>
            <w14:solidFill>
              <w14:schemeClr w14:val="tx1"/>
            </w14:solidFill>
          </w14:textFill>
        </w:rPr>
        <w:t>　</w:t>
      </w:r>
      <w:r>
        <w:rPr>
          <w:rFonts w:hint="eastAsia" w:ascii="Segoe UI" w:hAnsi="Segoe UI" w:cs="Segoe UI"/>
          <w:color w:val="000000" w:themeColor="text1"/>
          <w:sz w:val="27"/>
          <w:szCs w:val="27"/>
          <w:lang w:val="en-US" w:eastAsia="zh-CN"/>
          <w14:textFill>
            <w14:solidFill>
              <w14:schemeClr w14:val="tx1"/>
            </w14:solidFill>
          </w14:textFill>
        </w:rPr>
        <w:t xml:space="preserve">   </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为贯彻执行国家预算法，加强预算绩效管理我单位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例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2023年总支出为7549.28万元。其中：基本支出297.43万元,占总支出的3.94%。我单位切实以绩效管理为目标，健全单位绩效管理工作机制，明确责任，努力提高绩效管理工作水平；加强单位制度建设，提升预算管理质量。向本级县政府提交县本级预算执行情况的结果报告。</w:t>
      </w:r>
    </w:p>
    <w:p w14:paraId="0B02F7AF">
      <w:pPr>
        <w:snapToGrid w:val="0"/>
        <w:spacing w:line="52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从总体绩效目标来看，加强对国家专</w:t>
      </w:r>
      <w:r>
        <w:rPr>
          <w:rFonts w:hint="eastAsia" w:ascii="仿宋_GB2312" w:hAnsi="仿宋" w:cstheme="minorBidi"/>
          <w:color w:val="000000" w:themeColor="text1"/>
          <w:kern w:val="2"/>
          <w:sz w:val="32"/>
          <w:szCs w:val="32"/>
          <w:lang w:val="en-US" w:eastAsia="zh-CN" w:bidi="ar-SA"/>
          <w14:textFill>
            <w14:solidFill>
              <w14:schemeClr w14:val="tx1"/>
            </w14:solidFill>
          </w14:textFill>
        </w:rPr>
        <w:t>项</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资金的监督、将惠民政策落到实处；群众满意度和职工满意度较高，总体绩效目标完成较好。</w:t>
      </w:r>
    </w:p>
    <w:p w14:paraId="4B17A173">
      <w:pPr>
        <w:pStyle w:val="18"/>
        <w:spacing w:line="580" w:lineRule="exact"/>
        <w:ind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（三）存在的问题及原因分析</w:t>
      </w:r>
    </w:p>
    <w:p w14:paraId="7DF7988B">
      <w:pPr>
        <w:pStyle w:val="9"/>
        <w:shd w:val="clear" w:color="auto" w:fill="FFFFFF"/>
        <w:spacing w:before="0" w:beforeAutospacing="0" w:after="0" w:afterAutospacing="0" w:line="480" w:lineRule="auto"/>
        <w:ind w:firstLine="1280" w:firstLineChars="400"/>
        <w:jc w:val="both"/>
        <w:textAlignment w:val="cente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1、资金预算刚性不够，预算编制与实际支出</w:t>
      </w:r>
      <w:r>
        <w:rPr>
          <w:rFonts w:hint="eastAsia" w:ascii="仿宋_GB2312" w:hAnsi="仿宋" w:cstheme="minorBidi"/>
          <w:color w:val="000000" w:themeColor="text1"/>
          <w:kern w:val="2"/>
          <w:sz w:val="32"/>
          <w:szCs w:val="32"/>
          <w:lang w:val="en-US" w:eastAsia="zh-CN" w:bidi="ar-SA"/>
          <w14:textFill>
            <w14:solidFill>
              <w14:schemeClr w14:val="tx1"/>
            </w14:solidFill>
          </w14:textFill>
        </w:rPr>
        <w:t>项</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目有的存在差异；</w:t>
      </w:r>
    </w:p>
    <w:p w14:paraId="439B3072">
      <w:pPr>
        <w:pStyle w:val="18"/>
        <w:spacing w:line="58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2、部分绩效指标缺乏科学合理的设置，绩效指标体系有待完善。</w:t>
      </w:r>
    </w:p>
    <w:p w14:paraId="215C93A0">
      <w:pPr>
        <w:pStyle w:val="18"/>
        <w:jc w:val="both"/>
        <w:rPr>
          <w:sz w:val="72"/>
          <w:szCs w:val="72"/>
        </w:rPr>
      </w:pPr>
    </w:p>
    <w:p w14:paraId="31D2D1A9">
      <w:pPr>
        <w:pStyle w:val="18"/>
        <w:jc w:val="center"/>
        <w:rPr>
          <w:sz w:val="72"/>
          <w:szCs w:val="72"/>
        </w:rPr>
      </w:pPr>
    </w:p>
    <w:p w14:paraId="172B8CDF">
      <w:pPr>
        <w:pStyle w:val="18"/>
        <w:jc w:val="center"/>
        <w:rPr>
          <w:sz w:val="72"/>
          <w:szCs w:val="72"/>
        </w:rPr>
      </w:pPr>
    </w:p>
    <w:p w14:paraId="59E0EE08">
      <w:pPr>
        <w:pStyle w:val="18"/>
        <w:jc w:val="both"/>
        <w:rPr>
          <w:rFonts w:ascii="方正小标宋_GBK" w:hAnsi="方正小标宋_GBK" w:eastAsia="方正小标宋_GBK" w:cs="方正小标宋_GBK"/>
          <w:sz w:val="72"/>
          <w:szCs w:val="72"/>
        </w:rPr>
      </w:pPr>
    </w:p>
    <w:p w14:paraId="618C7903">
      <w:pPr>
        <w:pStyle w:val="18"/>
        <w:jc w:val="center"/>
        <w:rPr>
          <w:rFonts w:ascii="方正小标宋_GBK" w:hAnsi="方正小标宋_GBK" w:eastAsia="方正小标宋_GBK" w:cs="方正小标宋_GBK"/>
          <w:sz w:val="72"/>
          <w:szCs w:val="72"/>
        </w:rPr>
      </w:pPr>
    </w:p>
    <w:p w14:paraId="36873964">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40DC00C">
      <w:pPr>
        <w:jc w:val="center"/>
        <w:rPr>
          <w:rFonts w:ascii="方正小标宋_GBK" w:hAnsi="方正小标宋_GBK" w:eastAsia="方正小标宋_GBK" w:cs="方正小标宋_GBK"/>
          <w:color w:val="000000"/>
          <w:kern w:val="0"/>
          <w:sz w:val="70"/>
          <w:szCs w:val="70"/>
        </w:rPr>
      </w:pPr>
    </w:p>
    <w:p w14:paraId="58362EBD">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7694B84">
      <w:pPr>
        <w:widowControl/>
        <w:jc w:val="left"/>
        <w:rPr>
          <w:rFonts w:cs="黑体" w:asciiTheme="minorEastAsia" w:hAnsiTheme="minorEastAsia"/>
          <w:color w:val="000000"/>
          <w:kern w:val="0"/>
          <w:sz w:val="32"/>
          <w:szCs w:val="32"/>
        </w:rPr>
      </w:pPr>
      <w:r>
        <w:br w:type="page"/>
      </w:r>
    </w:p>
    <w:p w14:paraId="600FFB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收入：指本级财政当年拨付的资金。</w:t>
      </w:r>
    </w:p>
    <w:p w14:paraId="009608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政府性基金预算财政拨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收入：指本级财政当年拨付的政府性基金预算资金。</w:t>
      </w:r>
    </w:p>
    <w:p w14:paraId="704A42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一般公共服务支出（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15A27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国防支出（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 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41A296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文化体育与传媒支出（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）：是指用于文化、文物、体育、新闻出版广播影视等方面的支出，包括保障机构正常运转、完成日常和特定的工作任务或事业发展目标的支出。</w:t>
      </w:r>
    </w:p>
    <w:p w14:paraId="1E4B29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社会保障和就业支出（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）：是指用于社会保障和就业方面的支出，包括保障机构正常运转、完成日常和特定的工作任务或事业发展目标的支出。归口管理的行政单位离退休，指离退休人员管理机构统一管理的机关离退休人员的经费。</w:t>
      </w:r>
    </w:p>
    <w:p w14:paraId="72B71C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卫生健康支出（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）：是指用于医疗卫生与计划生育方面的支出，包括保障机构正常运转、完成日常和特定的工作任务或事业发展目标的支出。</w:t>
      </w:r>
    </w:p>
    <w:p w14:paraId="1A4BE0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节能环保支出（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）：是指用于节能环保支出，包括保障机构正常运转、完成日常和特定的工作任务或事业发展目标的支出。</w:t>
      </w:r>
    </w:p>
    <w:p w14:paraId="5DB9A1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城乡社区支出（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）：是指用于城乡社区事务支出，包括保障机构正常运转、完成日常和特定的工作任务或事业发展目标的支出。</w:t>
      </w:r>
    </w:p>
    <w:p w14:paraId="2565D1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农林水支出（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）：是指用于农林水事务支出，包括保障机构正常运转、完成日常和特定的工作任务或事业发展目标的支出。</w:t>
      </w:r>
    </w:p>
    <w:p w14:paraId="3AFCD9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交通运输支出（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）：是指用于交通运输和邮政业方面的支出，包括保障机构正常运转、完成日常和特定的工作任务或事业发展目标的支出。</w:t>
      </w:r>
    </w:p>
    <w:p w14:paraId="265454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商业服务业等支出（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）：是指用于商业服务业等方面的支出,包括保障机构正常运转、完成日常和特定的工作任务或事业发展目标的支出。</w:t>
      </w:r>
    </w:p>
    <w:p w14:paraId="6CFC61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自然资源海洋气象等支出（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）：是指用于自然资源、海洋、测绘、气象等公益服务事业方面的支出，包括保障机构正常运转、完成日常和特定的工作任务或事业发展目标的支出。</w:t>
      </w:r>
    </w:p>
    <w:p w14:paraId="7D4658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粮油物资储备支出（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）：是指用于粮油物资储备方面的支出，包括保障机构正常运转、完成日常和特定的工作任务或事业发展目标的支出。</w:t>
      </w:r>
    </w:p>
    <w:p w14:paraId="371B5C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灾害防治及应急管理支出（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）：是指用于反映政府用于自然灾害防治、安全生产监管及应急管理等方面的支出，包括保障机构正常运转、完成日常和特定的工作任务或事业发展目标的支出。</w:t>
      </w:r>
    </w:p>
    <w:p w14:paraId="54E916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）：是指用于反映除上述</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目以外其他不能划分到具体功能科目中的支出</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目，包括保障机构正常运转、完成日常和特定的工作任务或事业发展目标的支出。</w:t>
      </w:r>
    </w:p>
    <w:p w14:paraId="4FBC3A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基本支出：指保障机构正常运转、完成支日常工作任务而发生的人员支出和公用支出。</w:t>
      </w:r>
    </w:p>
    <w:p w14:paraId="16576D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目支出：指在基本支出之外为完成特定行政任务和事业发展目标所发生的支出。</w:t>
      </w:r>
    </w:p>
    <w:p w14:paraId="6C4F8D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“三公”经费：指用财政拨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公务接待（含外宾接待）支出。</w:t>
      </w:r>
    </w:p>
    <w:p w14:paraId="5404E8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政府采购 ：是指国家各级政府为从事日常的政务活动或为了满足公共服务的目的，利用国家财政性资金和政府借</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购买货物、工程和服务的行为。</w:t>
      </w:r>
    </w:p>
    <w:p w14:paraId="3C103F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工资福利支出：反映单位开支的在职职工和编制外长期聘用人员的各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劳动报酬，以及为上述人员缴纳的各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社会保险费等。</w:t>
      </w:r>
    </w:p>
    <w:p w14:paraId="4B91FB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基本工资：反映按规定发放的基本工资，包括公务员的职务工资、级别工资；机关工人的岗位工资、技术等级工资；事业单位工作人员的岗位工资、薪级工资；各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学校毕业生试用期(见习期)工资、新参加工作工人学徒期、熟练期工资；军队（武警）军官、文职干部的职务（专业技术等级）工资、军衔（级别）工资、基础工资和军龄工资；军队士官的军衔等级工资、基础工资和军龄工资等。</w:t>
      </w:r>
    </w:p>
    <w:p w14:paraId="35A6E7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津贴补贴：反映经国家批准建立的机关事业单位艰苦边远地区津贴、机关工作人员地区附加津贴、机关工作人员岗位津贴、事业单位工作人员特殊岗位津贴补贴等。</w:t>
      </w:r>
    </w:p>
    <w:p w14:paraId="0DFD37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奖金：反映机关工作人员年终一次性奖金。</w:t>
      </w:r>
    </w:p>
    <w:p w14:paraId="59FC6B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绩效工资：反映事业单位工作人员的绩效工资。</w:t>
      </w:r>
    </w:p>
    <w:p w14:paraId="5A44D7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机关事业单位基本养老保险缴费：反映机关事业单位缴纳的基本养老保险费。由单位代扣的工作人员基本养老保险缴费，不在此科目反映。</w:t>
      </w:r>
    </w:p>
    <w:p w14:paraId="5112BA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职业年金缴费：反映机关事业单位实际缴纳的职业年金支出。由单位代扣的工作人员职业年金缴费，不在此科目反映。</w:t>
      </w:r>
    </w:p>
    <w:p w14:paraId="6D669F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职工基本医疗保险缴费：反映单位为职工缴纳的基本医疗保险费。</w:t>
      </w:r>
    </w:p>
    <w:p w14:paraId="420C9A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其他社会保障缴费：反映单位为职工缴纳的基本医疗、失业、工伤、生育等社会保险费，残疾人就业保障金，军队（含武警）为军人缴纳的伤亡、退役医疗等社会保险费。</w:t>
      </w:r>
    </w:p>
    <w:p w14:paraId="49A10B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住房公积金：反映行政事业单位按人力资源和社会保障部、财政部规定的基本工资和津贴补贴以及规定比例为职工缴纳的住房公积金。</w:t>
      </w:r>
    </w:p>
    <w:p w14:paraId="195C8C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商品和服务支出：反映单位购买商品和服务的支出（不包括用于购置固定资产的支出、战略性和应急储备支出）。</w:t>
      </w:r>
    </w:p>
    <w:p w14:paraId="6F517E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办公费：反映单位购买按财务会计制度规定不符合固定资产确认标准的日常办公用品、书报杂志等支出。</w:t>
      </w:r>
    </w:p>
    <w:p w14:paraId="396643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印刷费：反映单位的印刷费支出。</w:t>
      </w:r>
    </w:p>
    <w:p w14:paraId="4BB42D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水费：反映单位支付的水费、污水处理费等支出。</w:t>
      </w:r>
    </w:p>
    <w:p w14:paraId="434AC4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电费：反映单位的电费支出。</w:t>
      </w:r>
    </w:p>
    <w:p w14:paraId="67881B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维修(护)费：反映单位日常开支的固定资产（不包括车船等交通工具）修理和维护费用，网络信息系统运行与维护费用，以及按规定提取的修购基金。</w:t>
      </w:r>
    </w:p>
    <w:p w14:paraId="5FDF0D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培训费：反映除因公出国（境）培训费以外的各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培训支出。</w:t>
      </w:r>
    </w:p>
    <w:p w14:paraId="07710DF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公务接待（含外宾接待）费用。</w:t>
      </w:r>
    </w:p>
    <w:p w14:paraId="350268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EA318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劳务费：反映支付给单位和个人的劳务费用，如临时聘用人员、钟点工工资，稿费、翻译费，评审费等。</w:t>
      </w:r>
    </w:p>
    <w:p w14:paraId="4D80F5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福利费：反映单位按规定提取的福利费。</w:t>
      </w:r>
    </w:p>
    <w:p w14:paraId="6CE6DF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其他交通费用：反映单位除公务用车运行维护费以外的其他交通费用。如公务交通补贴，租车费用、出租车费用，飞机、船舶等的燃料费、维修费、保险费等。</w:t>
      </w:r>
    </w:p>
    <w:p w14:paraId="428C73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税金及附加费用：反映单位提供劳务或销售产品应负担的税金及附加费用，包括营业税、消费税、城市维护建设税、资源税和教育附加等。</w:t>
      </w:r>
    </w:p>
    <w:p w14:paraId="0C9934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其他商品和服务支出：反映上述科目未包括的日常公用支出。如行政赔偿费和诉讼费、国内组织的会员费、来访费、广告宣传、其他劳务费及离休人员特需费、公用经费等。</w:t>
      </w:r>
    </w:p>
    <w:p w14:paraId="46D07B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对个人和家庭的补助：反映政府用于对个人和家庭的补助支出。</w:t>
      </w:r>
    </w:p>
    <w:p w14:paraId="554EA2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退职（役）费：反映行政事业单位退职人员的生活补贴，一次性支付给职工或军官、军队无军籍退职职工、运动员的退职补助，一次性支付给军官、文职干部、士官、义务兵的退役费，按月支付给自主择业的军队转业干部的退役金。</w:t>
      </w:r>
    </w:p>
    <w:p w14:paraId="6396D0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抚恤金：反映按规定开支的烈士遗属、牺牲病故人员遗属的一次性和定期抚恤金，伤残人员的抚恤金，离退休人员等其他人员的各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抚恤金。</w:t>
      </w:r>
    </w:p>
    <w:p w14:paraId="4BCB9D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6129D9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5C6BFD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0DA02F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奖励金：反映政府各部门的奖励支出，如对个体私营经济的奖励、计划生育目标责任奖励、独生子女父母奖励等。</w:t>
      </w:r>
    </w:p>
    <w:p w14:paraId="4B606B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个人农业生产补贴：反映各种对个人发放的生产补贴支出，如国家对农民发放的农机具购置补贴、良种补贴、粮食直补以及发放给残疾人的各种生产经营补贴等。</w:t>
      </w:r>
    </w:p>
    <w:p w14:paraId="27D96D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其他对个人和家庭的补助支出：反映未包括在上述科目的对个人和家庭的补助支出，</w:t>
      </w:r>
    </w:p>
    <w:p w14:paraId="2D9D78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办公设备购置：反映用于购置并按财务会计制度规定纳入固定资产核算范围的办公家具和办公设备的支出，以及按规定提取的修购基金。</w:t>
      </w:r>
    </w:p>
    <w:p w14:paraId="646DA3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专用设备购置：反映用于购置具有专门用途、并按财务会计制度规定纳入固定资产核算范围的各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专用设备的支出。如通信设备、发电设备、交通监控设备、卫星转发器、气象设备、进出口监管设备等，以及按规定提取的修购基金。</w:t>
      </w:r>
    </w:p>
    <w:p w14:paraId="4D4C25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机关运行经费：指为保障行政单位（包括参照公务员法管理的事业单位）运行用于购买货物和服务的各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资金，包括办公及印刷费、邮电费、差旅费、会议费、福利费、日常维修费、专用材料及一般设备购置费、办公用房水电费、办公用房取暖费、 办公用房物业管理费、 公务用车运行维护费以及其他费用。</w:t>
      </w:r>
    </w:p>
    <w:p w14:paraId="4119E9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第五部分 附件</w:t>
      </w:r>
    </w:p>
    <w:p w14:paraId="1984FAF4">
      <w:pPr>
        <w:pStyle w:val="18"/>
        <w:jc w:val="center"/>
        <w:rPr>
          <w:sz w:val="72"/>
          <w:szCs w:val="72"/>
        </w:rPr>
      </w:pPr>
    </w:p>
    <w:p w14:paraId="3CE380AE">
      <w:pPr>
        <w:pStyle w:val="18"/>
        <w:jc w:val="center"/>
        <w:rPr>
          <w:sz w:val="72"/>
          <w:szCs w:val="72"/>
        </w:rPr>
      </w:pPr>
    </w:p>
    <w:p w14:paraId="2BC4D16F">
      <w:pPr>
        <w:pStyle w:val="18"/>
        <w:jc w:val="center"/>
        <w:rPr>
          <w:sz w:val="72"/>
          <w:szCs w:val="72"/>
        </w:rPr>
      </w:pPr>
    </w:p>
    <w:p w14:paraId="64AF7C28">
      <w:pPr>
        <w:pStyle w:val="18"/>
        <w:jc w:val="center"/>
        <w:rPr>
          <w:sz w:val="72"/>
          <w:szCs w:val="72"/>
        </w:rPr>
      </w:pPr>
    </w:p>
    <w:p w14:paraId="05A98DB2">
      <w:pPr>
        <w:pStyle w:val="18"/>
        <w:jc w:val="center"/>
        <w:rPr>
          <w:sz w:val="72"/>
          <w:szCs w:val="72"/>
        </w:rPr>
      </w:pPr>
    </w:p>
    <w:p w14:paraId="3537A57C">
      <w:pPr>
        <w:pStyle w:val="18"/>
        <w:jc w:val="center"/>
        <w:rPr>
          <w:sz w:val="72"/>
          <w:szCs w:val="72"/>
        </w:rPr>
      </w:pPr>
    </w:p>
    <w:p w14:paraId="4F752B1A">
      <w:pPr>
        <w:pStyle w:val="18"/>
        <w:jc w:val="center"/>
        <w:rPr>
          <w:sz w:val="72"/>
          <w:szCs w:val="72"/>
        </w:rPr>
      </w:pPr>
    </w:p>
    <w:p w14:paraId="63E18738">
      <w:pPr>
        <w:rPr>
          <w:sz w:val="72"/>
          <w:szCs w:val="72"/>
        </w:rPr>
      </w:pPr>
      <w:r>
        <w:br w:type="page"/>
      </w:r>
    </w:p>
    <w:p w14:paraId="456CC57D">
      <w:pPr>
        <w:pStyle w:val="18"/>
        <w:jc w:val="center"/>
        <w:rPr>
          <w:rFonts w:ascii="方正小标宋_GBK" w:hAnsi="方正小标宋_GBK" w:eastAsia="方正小标宋_GBK" w:cs="方正小标宋_GBK"/>
          <w:sz w:val="72"/>
          <w:szCs w:val="72"/>
        </w:rPr>
      </w:pPr>
    </w:p>
    <w:p w14:paraId="7C767F53">
      <w:pPr>
        <w:pStyle w:val="18"/>
        <w:jc w:val="center"/>
        <w:rPr>
          <w:rFonts w:ascii="方正小标宋_GBK" w:hAnsi="方正小标宋_GBK" w:eastAsia="方正小标宋_GBK" w:cs="方正小标宋_GBK"/>
          <w:sz w:val="72"/>
          <w:szCs w:val="72"/>
        </w:rPr>
      </w:pPr>
    </w:p>
    <w:p w14:paraId="6566570B">
      <w:pPr>
        <w:pStyle w:val="18"/>
        <w:jc w:val="center"/>
        <w:rPr>
          <w:rFonts w:ascii="方正小标宋_GBK" w:hAnsi="方正小标宋_GBK" w:eastAsia="方正小标宋_GBK" w:cs="方正小标宋_GBK"/>
          <w:sz w:val="72"/>
          <w:szCs w:val="72"/>
        </w:rPr>
      </w:pPr>
    </w:p>
    <w:p w14:paraId="0D3B924A">
      <w:pPr>
        <w:pStyle w:val="18"/>
        <w:jc w:val="center"/>
        <w:rPr>
          <w:rFonts w:ascii="方正小标宋_GBK" w:hAnsi="方正小标宋_GBK" w:eastAsia="方正小标宋_GBK" w:cs="方正小标宋_GBK"/>
          <w:sz w:val="72"/>
          <w:szCs w:val="72"/>
        </w:rPr>
      </w:pPr>
    </w:p>
    <w:p w14:paraId="21CD6C8D">
      <w:pPr>
        <w:pStyle w:val="18"/>
        <w:jc w:val="center"/>
        <w:rPr>
          <w:rFonts w:ascii="方正小标宋_GBK" w:hAnsi="方正小标宋_GBK" w:eastAsia="方正小标宋_GBK" w:cs="方正小标宋_GBK"/>
          <w:sz w:val="72"/>
          <w:szCs w:val="72"/>
        </w:rPr>
      </w:pPr>
    </w:p>
    <w:p w14:paraId="0A28187B">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74B9AEE3">
      <w:pPr>
        <w:pStyle w:val="18"/>
        <w:jc w:val="center"/>
        <w:rPr>
          <w:rFonts w:ascii="方正小标宋_GBK" w:hAnsi="方正小标宋_GBK" w:eastAsia="方正小标宋_GBK" w:cs="方正小标宋_GBK"/>
          <w:sz w:val="70"/>
          <w:szCs w:val="70"/>
        </w:rPr>
      </w:pPr>
    </w:p>
    <w:p w14:paraId="05316B62">
      <w:pPr>
        <w:pStyle w:val="18"/>
        <w:jc w:val="center"/>
        <w:rPr>
          <w:sz w:val="72"/>
          <w:szCs w:val="72"/>
        </w:rPr>
      </w:pPr>
      <w:r>
        <w:rPr>
          <w:rFonts w:hint="eastAsia" w:ascii="方正小标宋_GBK" w:hAnsi="方正小标宋_GBK" w:eastAsia="方正小标宋_GBK" w:cs="方正小标宋_GBK"/>
          <w:sz w:val="70"/>
          <w:szCs w:val="70"/>
        </w:rPr>
        <w:t>附件</w:t>
      </w:r>
    </w:p>
    <w:p w14:paraId="1621DFBE">
      <w:pPr>
        <w:rPr>
          <w:sz w:val="72"/>
          <w:szCs w:val="72"/>
        </w:rPr>
      </w:pPr>
      <w:r>
        <w:br w:type="page"/>
      </w:r>
    </w:p>
    <w:p w14:paraId="686EE68F">
      <w:pPr>
        <w:pStyle w:val="18"/>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444FCA4F">
      <w:pPr>
        <w:pStyle w:val="18"/>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51C01B8F">
      <w:pPr>
        <w:pStyle w:val="18"/>
        <w:spacing w:line="600" w:lineRule="exact"/>
        <w:ind w:firstLine="640" w:firstLineChars="200"/>
        <w:rPr>
          <w:rFonts w:ascii="Times New Roman" w:hAnsi="Times New Roman" w:eastAsia="仿宋_GB2312"/>
          <w:sz w:val="32"/>
          <w:szCs w:val="32"/>
        </w:rPr>
      </w:pPr>
    </w:p>
    <w:p w14:paraId="79C31134">
      <w:pPr>
        <w:pStyle w:val="18"/>
        <w:jc w:val="center"/>
        <w:rPr>
          <w:sz w:val="72"/>
          <w:szCs w:val="72"/>
        </w:rPr>
      </w:pPr>
    </w:p>
    <w:p w14:paraId="106DEE4D">
      <w:pPr>
        <w:pStyle w:val="18"/>
        <w:jc w:val="center"/>
        <w:rPr>
          <w:sz w:val="72"/>
          <w:szCs w:val="72"/>
        </w:rPr>
      </w:pPr>
    </w:p>
    <w:p w14:paraId="37D991F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790F4F-8AC1-496A-B87C-7C4E0DD540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A5792654-E45A-4D9C-B60F-A3232E1CE81B}"/>
  </w:font>
  <w:font w:name="方正小标宋_GBK">
    <w:panose1 w:val="02000000000000000000"/>
    <w:charset w:val="86"/>
    <w:family w:val="auto"/>
    <w:pitch w:val="default"/>
    <w:sig w:usb0="A00002BF" w:usb1="38CF7CFA" w:usb2="00082016" w:usb3="00000000" w:csb0="00040001" w:csb1="00000000"/>
    <w:embedRegular r:id="rId3" w:fontKey="{8EEFDA57-7616-4C9A-8395-F2E451DA16DD}"/>
  </w:font>
  <w:font w:name="仿宋_GB2312">
    <w:altName w:val="仿宋"/>
    <w:panose1 w:val="00000000000000000000"/>
    <w:charset w:val="86"/>
    <w:family w:val="auto"/>
    <w:pitch w:val="default"/>
    <w:sig w:usb0="00000000" w:usb1="00000000" w:usb2="00000000" w:usb3="00000000" w:csb0="00040000" w:csb1="00000000"/>
    <w:embedRegular r:id="rId4" w:fontKey="{8EA4E04C-9E0B-4A79-8EAB-35053E8B0D46}"/>
  </w:font>
  <w:font w:name="仿宋">
    <w:panose1 w:val="02010609060101010101"/>
    <w:charset w:val="86"/>
    <w:family w:val="auto"/>
    <w:pitch w:val="default"/>
    <w:sig w:usb0="800002BF" w:usb1="38CF7CFA" w:usb2="00000016" w:usb3="00000000" w:csb0="00040001" w:csb1="00000000"/>
    <w:embedRegular r:id="rId5" w:fontKey="{4C1CC73A-F6A0-467F-BAF9-CCEF71C20DA5}"/>
  </w:font>
  <w:font w:name="Segoe UI">
    <w:panose1 w:val="020B0502040204020203"/>
    <w:charset w:val="00"/>
    <w:family w:val="swiss"/>
    <w:pitch w:val="default"/>
    <w:sig w:usb0="E4002EFF" w:usb1="C000E47F" w:usb2="00000009" w:usb3="00000000" w:csb0="200001FF" w:csb1="00000000"/>
    <w:embedRegular r:id="rId6" w:fontKey="{4599AF15-6F69-45A3-8EB0-11970936D7FF}"/>
  </w:font>
  <w:font w:name="微软雅黑">
    <w:panose1 w:val="020B0503020204020204"/>
    <w:charset w:val="86"/>
    <w:family w:val="auto"/>
    <w:pitch w:val="default"/>
    <w:sig w:usb0="80000287" w:usb1="2ACF3C50" w:usb2="00000016" w:usb3="00000000" w:csb0="0004001F" w:csb1="00000000"/>
    <w:embedRegular r:id="rId7" w:fontKey="{B7A0AAB7-0033-42A1-B353-4330CB8D9D1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CE81B"/>
    <w:multiLevelType w:val="singleLevel"/>
    <w:tmpl w:val="D65CE81B"/>
    <w:lvl w:ilvl="0" w:tentative="0">
      <w:start w:val="7"/>
      <w:numFmt w:val="chineseCounting"/>
      <w:suff w:val="nothing"/>
      <w:lvlText w:val="%1、"/>
      <w:lvlJc w:val="left"/>
      <w:rPr>
        <w:rFonts w:hint="eastAsia"/>
      </w:rPr>
    </w:lvl>
  </w:abstractNum>
  <w:abstractNum w:abstractNumId="1">
    <w:nsid w:val="15767C00"/>
    <w:multiLevelType w:val="multilevel"/>
    <w:tmpl w:val="15767C00"/>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4EF1C0"/>
    <w:multiLevelType w:val="singleLevel"/>
    <w:tmpl w:val="194EF1C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881d6a8a-fd40-4ec5-b221-72a23a993f36"/>
  </w:docVars>
  <w:rsids>
    <w:rsidRoot w:val="00DD1162"/>
    <w:rsid w:val="00151C79"/>
    <w:rsid w:val="00B05A71"/>
    <w:rsid w:val="00DD1162"/>
    <w:rsid w:val="00E400F3"/>
    <w:rsid w:val="04684DB9"/>
    <w:rsid w:val="0F190738"/>
    <w:rsid w:val="13015A86"/>
    <w:rsid w:val="169E53CB"/>
    <w:rsid w:val="173C2D6C"/>
    <w:rsid w:val="18D56EF7"/>
    <w:rsid w:val="18E154D1"/>
    <w:rsid w:val="1BEE7CE5"/>
    <w:rsid w:val="1CF12FF9"/>
    <w:rsid w:val="1EB21A3A"/>
    <w:rsid w:val="1EB62EED"/>
    <w:rsid w:val="20F12374"/>
    <w:rsid w:val="22570FF1"/>
    <w:rsid w:val="23326B64"/>
    <w:rsid w:val="24A713B1"/>
    <w:rsid w:val="26A53820"/>
    <w:rsid w:val="281E30AB"/>
    <w:rsid w:val="319043CA"/>
    <w:rsid w:val="32D214D5"/>
    <w:rsid w:val="330E5295"/>
    <w:rsid w:val="335534D0"/>
    <w:rsid w:val="34352F54"/>
    <w:rsid w:val="36024DEF"/>
    <w:rsid w:val="38F47D33"/>
    <w:rsid w:val="3BCC0303"/>
    <w:rsid w:val="3CA21203"/>
    <w:rsid w:val="3F2C6082"/>
    <w:rsid w:val="3F754BC9"/>
    <w:rsid w:val="41BF364E"/>
    <w:rsid w:val="44147633"/>
    <w:rsid w:val="449B5114"/>
    <w:rsid w:val="485633B9"/>
    <w:rsid w:val="4A036BAE"/>
    <w:rsid w:val="4F7A1B7D"/>
    <w:rsid w:val="51045862"/>
    <w:rsid w:val="56417C61"/>
    <w:rsid w:val="5721285E"/>
    <w:rsid w:val="5820097D"/>
    <w:rsid w:val="596173AF"/>
    <w:rsid w:val="5CE54BAD"/>
    <w:rsid w:val="611C5F1F"/>
    <w:rsid w:val="62151AC1"/>
    <w:rsid w:val="64A12629"/>
    <w:rsid w:val="660D697B"/>
    <w:rsid w:val="6C725F5B"/>
    <w:rsid w:val="77A81F65"/>
    <w:rsid w:val="791D0032"/>
    <w:rsid w:val="7D263B28"/>
    <w:rsid w:val="7EF23E56"/>
    <w:rsid w:val="7F640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20"/>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1"/>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3">
    <w:name w:val="Footnote Text"/>
    <w:basedOn w:val="1"/>
    <w:next w:val="4"/>
    <w:semiHidden/>
    <w:qFormat/>
    <w:uiPriority w:val="0"/>
    <w:pPr>
      <w:snapToGrid w:val="0"/>
      <w:jc w:val="left"/>
    </w:pPr>
    <w:rPr>
      <w:sz w:val="18"/>
      <w:szCs w:val="18"/>
    </w:rPr>
  </w:style>
  <w:style w:type="paragraph" w:customStyle="1" w:styleId="14">
    <w:name w:val="Footer"/>
    <w:basedOn w:val="1"/>
    <w:link w:val="17"/>
    <w:unhideWhenUsed/>
    <w:qFormat/>
    <w:uiPriority w:val="99"/>
    <w:pPr>
      <w:tabs>
        <w:tab w:val="center" w:pos="4153"/>
        <w:tab w:val="right" w:pos="8306"/>
      </w:tabs>
      <w:snapToGrid w:val="0"/>
      <w:jc w:val="left"/>
    </w:pPr>
    <w:rPr>
      <w:sz w:val="18"/>
      <w:szCs w:val="18"/>
    </w:rPr>
  </w:style>
  <w:style w:type="paragraph" w:customStyle="1" w:styleId="1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6">
    <w:name w:val="页眉 Char"/>
    <w:basedOn w:val="12"/>
    <w:link w:val="15"/>
    <w:qFormat/>
    <w:uiPriority w:val="99"/>
    <w:rPr>
      <w:sz w:val="18"/>
      <w:szCs w:val="18"/>
    </w:rPr>
  </w:style>
  <w:style w:type="character" w:customStyle="1" w:styleId="17">
    <w:name w:val="页脚 Char"/>
    <w:basedOn w:val="12"/>
    <w:link w:val="14"/>
    <w:qFormat/>
    <w:uiPriority w:val="99"/>
    <w:rPr>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批注框文本 Char"/>
    <w:basedOn w:val="12"/>
    <w:link w:val="5"/>
    <w:semiHidden/>
    <w:qFormat/>
    <w:uiPriority w:val="99"/>
    <w:rPr>
      <w:sz w:val="18"/>
      <w:szCs w:val="18"/>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21"/>
    <w:basedOn w:val="12"/>
    <w:qFormat/>
    <w:uiPriority w:val="0"/>
    <w:rPr>
      <w:rFonts w:hint="eastAsia" w:ascii="宋体" w:hAnsi="宋体" w:eastAsia="宋体" w:cs="宋体"/>
      <w:color w:val="000000"/>
      <w:sz w:val="24"/>
      <w:szCs w:val="24"/>
      <w:u w:val="none"/>
    </w:rPr>
  </w:style>
  <w:style w:type="character" w:customStyle="1" w:styleId="23">
    <w:name w:val="font11"/>
    <w:basedOn w:val="12"/>
    <w:qFormat/>
    <w:uiPriority w:val="0"/>
    <w:rPr>
      <w:rFonts w:hint="eastAsia" w:ascii="宋体" w:hAnsi="宋体" w:eastAsia="宋体" w:cs="宋体"/>
      <w:color w:val="000000"/>
      <w:sz w:val="24"/>
      <w:szCs w:val="24"/>
      <w:u w:val="none"/>
    </w:rPr>
  </w:style>
  <w:style w:type="character" w:customStyle="1" w:styleId="24">
    <w:name w:val="页眉 Char1"/>
    <w:basedOn w:val="12"/>
    <w:link w:val="7"/>
    <w:qFormat/>
    <w:uiPriority w:val="99"/>
    <w:rPr>
      <w:rFonts w:asciiTheme="minorHAnsi" w:hAnsiTheme="minorHAnsi" w:eastAsiaTheme="minorEastAsia" w:cstheme="minorBidi"/>
      <w:kern w:val="2"/>
      <w:sz w:val="18"/>
      <w:szCs w:val="18"/>
    </w:rPr>
  </w:style>
  <w:style w:type="character" w:customStyle="1" w:styleId="25">
    <w:name w:val="页脚 Char1"/>
    <w:basedOn w:val="12"/>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0.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10.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3.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7.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8.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9.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78EFBD2-07ED-451A-A8A2-CEF67010C79C}">
  <ds:schemaRefs/>
</ds:datastoreItem>
</file>

<file path=customXml/itemProps2.xml><?xml version="1.0" encoding="utf-8"?>
<ds:datastoreItem xmlns:ds="http://schemas.openxmlformats.org/officeDocument/2006/customXml" ds:itemID="{6320B808-AD43-4E9F-80E7-2215DBA5FF44}">
  <ds:schemaRefs/>
</ds:datastoreItem>
</file>

<file path=customXml/itemProps3.xml><?xml version="1.0" encoding="utf-8"?>
<ds:datastoreItem xmlns:ds="http://schemas.openxmlformats.org/officeDocument/2006/customXml" ds:itemID="{D305BAEB-66E0-4A72-837A-2710DBC71D8B}">
  <ds:schemaRefs/>
</ds:datastoreItem>
</file>

<file path=customXml/itemProps4.xml><?xml version="1.0" encoding="utf-8"?>
<ds:datastoreItem xmlns:ds="http://schemas.openxmlformats.org/officeDocument/2006/customXml" ds:itemID="{001E2153-8360-4F89-BDF1-F813FF13F363}">
  <ds:schemaRefs/>
</ds:datastoreItem>
</file>

<file path=customXml/itemProps5.xml><?xml version="1.0" encoding="utf-8"?>
<ds:datastoreItem xmlns:ds="http://schemas.openxmlformats.org/officeDocument/2006/customXml" ds:itemID="{3F8AB211-55D8-4F92-813A-852CD59E8487}">
  <ds:schemaRefs/>
</ds:datastoreItem>
</file>

<file path=customXml/itemProps6.xml><?xml version="1.0" encoding="utf-8"?>
<ds:datastoreItem xmlns:ds="http://schemas.openxmlformats.org/officeDocument/2006/customXml" ds:itemID="{35D804E4-C686-46CA-8849-0B5AE5BF370A}">
  <ds:schemaRefs/>
</ds:datastoreItem>
</file>

<file path=customXml/itemProps7.xml><?xml version="1.0" encoding="utf-8"?>
<ds:datastoreItem xmlns:ds="http://schemas.openxmlformats.org/officeDocument/2006/customXml" ds:itemID="{973DF25B-19C7-49B6-8B39-0D14448B96DA}">
  <ds:schemaRefs/>
</ds:datastoreItem>
</file>

<file path=customXml/itemProps8.xml><?xml version="1.0" encoding="utf-8"?>
<ds:datastoreItem xmlns:ds="http://schemas.openxmlformats.org/officeDocument/2006/customXml" ds:itemID="{98D4EF09-1908-44C8-8F57-A3F1D1CC4449}">
  <ds:schemaRefs/>
</ds:datastoreItem>
</file>

<file path=customXml/itemProps9.xml><?xml version="1.0" encoding="utf-8"?>
<ds:datastoreItem xmlns:ds="http://schemas.openxmlformats.org/officeDocument/2006/customXml" ds:itemID="{4996EE3E-EE49-435A-8C4D-174B685B827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9028</Words>
  <Characters>9542</Characters>
  <Lines>62</Lines>
  <Paragraphs>17</Paragraphs>
  <TotalTime>23</TotalTime>
  <ScaleCrop>false</ScaleCrop>
  <LinksUpToDate>false</LinksUpToDate>
  <CharactersWithSpaces>9680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2024-09-18T08:46:00Z</dcterms:created>
  <dc:creator>李航 null</dc:creator>
  <cp:lastModifiedBy>李天乐</cp:lastModifiedBy>
  <cp:lastPrinted>2024-08-08T10:20:00Z</cp:lastPrinted>
  <dcterms:modified xsi:type="dcterms:W3CDTF">2026-01-04T14:54:07Z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79EAC7ACD7334C6A9936D35432C2E7BB_13</vt:lpwstr>
  </property>
  <property fmtid="{D5CDD505-2E9C-101B-9397-08002B2CF9AE}" pid="4" name="KSOTemplateDocerSaveRecord">
    <vt:lpwstr>eyJoZGlkIjoiYWNjNTk2OTRjYzEzNTI3Yzk4MDU3ZTg2ZjlhODM2NDAiLCJ1c2VySWQiOiIxNDkyNDM0OTU4In0=</vt:lpwstr>
  </property>
</Properties>
</file>