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pacing w:val="-4"/>
          <w:sz w:val="31"/>
          <w:szCs w:val="31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lang w:val="en-US" w:eastAsia="zh-CN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/>
        <w:textAlignment w:val="auto"/>
        <w:rPr>
          <w:rFonts w:hint="eastAsia" w:ascii="黑体" w:hAnsi="黑体" w:eastAsia="黑体" w:cs="黑体"/>
          <w:spacing w:val="-4"/>
          <w:sz w:val="31"/>
          <w:szCs w:val="3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0"/>
          <w:sz w:val="44"/>
          <w:szCs w:val="44"/>
        </w:rPr>
        <w:t>2023年度部门整体支出绩效评价基础数据表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</w:pPr>
    </w:p>
    <w:tbl>
      <w:tblPr>
        <w:tblStyle w:val="20"/>
        <w:tblW w:w="9277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19"/>
        <w:gridCol w:w="964"/>
        <w:gridCol w:w="965"/>
        <w:gridCol w:w="1"/>
        <w:gridCol w:w="985"/>
        <w:gridCol w:w="986"/>
        <w:gridCol w:w="978"/>
        <w:gridCol w:w="97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  <w:jc w:val="center"/>
        </w:trPr>
        <w:tc>
          <w:tcPr>
            <w:tcW w:w="3419" w:type="dxa"/>
            <w:vMerge w:val="restart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财政供养人员情况（人）</w:t>
            </w:r>
          </w:p>
        </w:tc>
        <w:tc>
          <w:tcPr>
            <w:tcW w:w="193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编制数</w:t>
            </w:r>
          </w:p>
        </w:tc>
        <w:tc>
          <w:tcPr>
            <w:tcW w:w="197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2023年实际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在职人数</w:t>
            </w:r>
          </w:p>
        </w:tc>
        <w:tc>
          <w:tcPr>
            <w:tcW w:w="195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控制率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  <w:jc w:val="center"/>
        </w:trPr>
        <w:tc>
          <w:tcPr>
            <w:tcW w:w="3419" w:type="dxa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193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97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95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  <w:jc w:val="center"/>
        </w:trPr>
        <w:tc>
          <w:tcPr>
            <w:tcW w:w="34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经费控制情况（万元）</w:t>
            </w:r>
          </w:p>
        </w:tc>
        <w:tc>
          <w:tcPr>
            <w:tcW w:w="193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2022年决算数</w:t>
            </w:r>
          </w:p>
        </w:tc>
        <w:tc>
          <w:tcPr>
            <w:tcW w:w="197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2023年预算数</w:t>
            </w:r>
          </w:p>
        </w:tc>
        <w:tc>
          <w:tcPr>
            <w:tcW w:w="195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2023年决算数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  <w:jc w:val="center"/>
        </w:trPr>
        <w:tc>
          <w:tcPr>
            <w:tcW w:w="34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三公经费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：</w:t>
            </w:r>
          </w:p>
        </w:tc>
        <w:tc>
          <w:tcPr>
            <w:tcW w:w="193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97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95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  <w:jc w:val="center"/>
        </w:trPr>
        <w:tc>
          <w:tcPr>
            <w:tcW w:w="34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1、公务用车购置和维护经费</w:t>
            </w:r>
          </w:p>
        </w:tc>
        <w:tc>
          <w:tcPr>
            <w:tcW w:w="193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97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95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  <w:jc w:val="center"/>
        </w:trPr>
        <w:tc>
          <w:tcPr>
            <w:tcW w:w="34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840" w:firstLineChars="4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其中：公车购置</w:t>
            </w:r>
          </w:p>
        </w:tc>
        <w:tc>
          <w:tcPr>
            <w:tcW w:w="193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840" w:firstLineChars="4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97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840" w:firstLineChars="4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95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840" w:firstLineChars="4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  <w:jc w:val="center"/>
        </w:trPr>
        <w:tc>
          <w:tcPr>
            <w:tcW w:w="34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1459" w:firstLineChars="695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公车运行维护</w:t>
            </w:r>
          </w:p>
        </w:tc>
        <w:tc>
          <w:tcPr>
            <w:tcW w:w="193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97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95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  <w:jc w:val="center"/>
        </w:trPr>
        <w:tc>
          <w:tcPr>
            <w:tcW w:w="34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2、出国经费</w:t>
            </w:r>
          </w:p>
        </w:tc>
        <w:tc>
          <w:tcPr>
            <w:tcW w:w="193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97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95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  <w:jc w:val="center"/>
        </w:trPr>
        <w:tc>
          <w:tcPr>
            <w:tcW w:w="34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3、公务接待</w:t>
            </w:r>
          </w:p>
        </w:tc>
        <w:tc>
          <w:tcPr>
            <w:tcW w:w="193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97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95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  <w:jc w:val="center"/>
        </w:trPr>
        <w:tc>
          <w:tcPr>
            <w:tcW w:w="34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项目支出：</w:t>
            </w:r>
          </w:p>
        </w:tc>
        <w:tc>
          <w:tcPr>
            <w:tcW w:w="1930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default" w:ascii="新宋体" w:hAnsi="新宋体" w:eastAsia="新宋体" w:cs="新宋体"/>
                <w:sz w:val="21"/>
                <w:szCs w:val="21"/>
                <w:lang w:val="en-US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971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957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default" w:ascii="新宋体" w:hAnsi="新宋体" w:eastAsia="新宋体" w:cs="新宋体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  <w:jc w:val="center"/>
        </w:trPr>
        <w:tc>
          <w:tcPr>
            <w:tcW w:w="34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公用经费：</w:t>
            </w:r>
          </w:p>
        </w:tc>
        <w:tc>
          <w:tcPr>
            <w:tcW w:w="1930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default" w:ascii="新宋体" w:hAnsi="新宋体" w:eastAsia="新宋体" w:cs="新宋体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971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default" w:ascii="新宋体" w:hAnsi="新宋体" w:eastAsia="新宋体" w:cs="新宋体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  <w:t>12.8</w:t>
            </w:r>
          </w:p>
        </w:tc>
        <w:tc>
          <w:tcPr>
            <w:tcW w:w="1957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default" w:ascii="新宋体" w:hAnsi="新宋体" w:eastAsia="新宋体" w:cs="新宋体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  <w:t>26.3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  <w:jc w:val="center"/>
        </w:trPr>
        <w:tc>
          <w:tcPr>
            <w:tcW w:w="34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840" w:firstLineChars="4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其中：办公经费</w:t>
            </w:r>
          </w:p>
        </w:tc>
        <w:tc>
          <w:tcPr>
            <w:tcW w:w="1930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default" w:ascii="新宋体" w:hAnsi="新宋体" w:eastAsia="新宋体" w:cs="新宋体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971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default" w:ascii="新宋体" w:hAnsi="新宋体" w:eastAsia="新宋体" w:cs="新宋体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957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default" w:ascii="新宋体" w:hAnsi="新宋体" w:eastAsia="新宋体" w:cs="新宋体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  <w:t>4.2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  <w:jc w:val="center"/>
        </w:trPr>
        <w:tc>
          <w:tcPr>
            <w:tcW w:w="34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1478" w:firstLineChars="704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水费、电费、差旅费</w:t>
            </w:r>
          </w:p>
        </w:tc>
        <w:tc>
          <w:tcPr>
            <w:tcW w:w="1930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default" w:ascii="新宋体" w:hAnsi="新宋体" w:eastAsia="新宋体" w:cs="新宋体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971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957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default" w:ascii="新宋体" w:hAnsi="新宋体" w:eastAsia="新宋体" w:cs="新宋体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  <w:t>2.12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  <w:jc w:val="center"/>
        </w:trPr>
        <w:tc>
          <w:tcPr>
            <w:tcW w:w="34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1478" w:firstLineChars="704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会议费、培训费</w:t>
            </w:r>
          </w:p>
        </w:tc>
        <w:tc>
          <w:tcPr>
            <w:tcW w:w="1930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default" w:ascii="新宋体" w:hAnsi="新宋体" w:eastAsia="新宋体" w:cs="新宋体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971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default" w:ascii="新宋体" w:hAnsi="新宋体" w:eastAsia="新宋体" w:cs="新宋体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957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default" w:ascii="新宋体" w:hAnsi="新宋体" w:eastAsia="新宋体" w:cs="新宋体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  <w:t>0.2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  <w:jc w:val="center"/>
        </w:trPr>
        <w:tc>
          <w:tcPr>
            <w:tcW w:w="34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政府采购金额</w:t>
            </w:r>
          </w:p>
        </w:tc>
        <w:tc>
          <w:tcPr>
            <w:tcW w:w="1930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——</w:t>
            </w:r>
          </w:p>
        </w:tc>
        <w:tc>
          <w:tcPr>
            <w:tcW w:w="1971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default" w:ascii="新宋体" w:hAnsi="新宋体" w:eastAsia="新宋体" w:cs="新宋体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957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default" w:ascii="新宋体" w:hAnsi="新宋体" w:eastAsia="新宋体" w:cs="新宋体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  <w:t>17.77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  <w:jc w:val="center"/>
        </w:trPr>
        <w:tc>
          <w:tcPr>
            <w:tcW w:w="34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部门基本支出预算调整</w:t>
            </w:r>
          </w:p>
        </w:tc>
        <w:tc>
          <w:tcPr>
            <w:tcW w:w="1930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——</w:t>
            </w:r>
          </w:p>
        </w:tc>
        <w:tc>
          <w:tcPr>
            <w:tcW w:w="1971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default" w:ascii="新宋体" w:hAnsi="新宋体" w:eastAsia="新宋体" w:cs="新宋体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  <w:t>70.88</w:t>
            </w:r>
          </w:p>
        </w:tc>
        <w:tc>
          <w:tcPr>
            <w:tcW w:w="1957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default" w:ascii="新宋体" w:hAnsi="新宋体" w:eastAsia="新宋体" w:cs="新宋体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  <w:t>103.46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atLeast"/>
          <w:jc w:val="center"/>
        </w:trPr>
        <w:tc>
          <w:tcPr>
            <w:tcW w:w="3419" w:type="dxa"/>
            <w:vMerge w:val="restart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楼堂馆所控制情况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（2023年完工项目）</w:t>
            </w: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批复规模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（㎡）</w:t>
            </w:r>
          </w:p>
        </w:tc>
        <w:tc>
          <w:tcPr>
            <w:tcW w:w="9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实际规模（㎡）</w:t>
            </w:r>
          </w:p>
        </w:tc>
        <w:tc>
          <w:tcPr>
            <w:tcW w:w="98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规模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控制率</w:t>
            </w:r>
          </w:p>
        </w:tc>
        <w:tc>
          <w:tcPr>
            <w:tcW w:w="9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预算投资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（万元）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实际投资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（万元）</w:t>
            </w:r>
          </w:p>
        </w:tc>
        <w:tc>
          <w:tcPr>
            <w:tcW w:w="9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投资概算控制率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  <w:jc w:val="center"/>
        </w:trPr>
        <w:tc>
          <w:tcPr>
            <w:tcW w:w="3419" w:type="dxa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8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  <w:jc w:val="center"/>
        </w:trPr>
        <w:tc>
          <w:tcPr>
            <w:tcW w:w="34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厉行节约保障措施</w:t>
            </w:r>
          </w:p>
        </w:tc>
        <w:tc>
          <w:tcPr>
            <w:tcW w:w="5858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  <w:t>减少不必要的开支</w:t>
            </w:r>
          </w:p>
        </w:tc>
      </w:tr>
    </w:tbl>
    <w:p>
      <w:pPr>
        <w:rPr>
          <w:rFonts w:hint="eastAsia"/>
          <w:lang w:eastAsia="zh-CN"/>
        </w:rPr>
      </w:pPr>
      <w:r>
        <w:rPr>
          <w:rFonts w:hint="eastAsia"/>
        </w:rPr>
        <w:t>说明：“项目支出” 需要填报基本支出以外的所有项目支出情况，“公用经费”填报基本支出</w:t>
      </w:r>
      <w:r>
        <w:rPr>
          <w:rFonts w:hint="eastAsia"/>
          <w:lang w:eastAsia="zh-CN"/>
        </w:rPr>
        <w:t>中的一般商品和服务支出。</w:t>
      </w:r>
    </w:p>
    <w:p>
      <w:pPr>
        <w:pStyle w:val="9"/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填表人：</w:t>
      </w:r>
      <w:r>
        <w:rPr>
          <w:rFonts w:hint="eastAsia"/>
          <w:lang w:eastAsia="zh-CN"/>
        </w:rPr>
        <w:t>黄橙</w:t>
      </w:r>
      <w:r>
        <w:rPr>
          <w:rFonts w:hint="eastAsia"/>
        </w:rPr>
        <w:t xml:space="preserve">        填报日期：</w:t>
      </w:r>
      <w:r>
        <w:rPr>
          <w:rFonts w:hint="eastAsia"/>
          <w:lang w:val="en-US" w:eastAsia="zh-CN"/>
        </w:rPr>
        <w:t>2024.5.25</w:t>
      </w:r>
      <w:r>
        <w:rPr>
          <w:rFonts w:hint="eastAsia"/>
        </w:rPr>
        <w:t xml:space="preserve">       联系电话：</w:t>
      </w:r>
      <w:r>
        <w:rPr>
          <w:rFonts w:hint="eastAsia"/>
          <w:lang w:val="en-US" w:eastAsia="zh-CN"/>
        </w:rPr>
        <w:t>13348603333</w:t>
      </w:r>
      <w:r>
        <w:rPr>
          <w:rFonts w:hint="eastAsia"/>
        </w:rPr>
        <w:t xml:space="preserve">         单位负责人签字：</w:t>
      </w:r>
      <w:r>
        <w:rPr>
          <w:rFonts w:hint="eastAsia"/>
          <w:lang w:eastAsia="zh-CN"/>
        </w:rPr>
        <w:t>朱晓林</w:t>
      </w:r>
    </w:p>
    <w:p>
      <w:pPr>
        <w:rPr>
          <w:spacing w:val="-13"/>
          <w:sz w:val="22"/>
          <w:szCs w:val="22"/>
        </w:rPr>
      </w:pPr>
      <w:r>
        <w:rPr>
          <w:spacing w:val="-13"/>
          <w:sz w:val="22"/>
          <w:szCs w:val="22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default" w:ascii="仿宋_GB2312" w:hAnsi="仿宋_GB2312" w:eastAsia="仿宋_GB2312" w:cs="仿宋_GB2312"/>
          <w:spacing w:val="-4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lang w:val="en-US" w:eastAsia="zh-CN"/>
        </w:rPr>
        <w:t>3</w:t>
      </w:r>
    </w:p>
    <w:p>
      <w:pPr>
        <w:spacing w:line="251" w:lineRule="auto"/>
        <w:rPr>
          <w:rFonts w:ascii="Arial"/>
          <w:sz w:val="21"/>
        </w:rPr>
      </w:pPr>
    </w:p>
    <w:p>
      <w:pPr>
        <w:spacing w:line="251" w:lineRule="auto"/>
        <w:rPr>
          <w:rFonts w:ascii="Arial"/>
          <w:sz w:val="21"/>
        </w:rPr>
      </w:pPr>
    </w:p>
    <w:p>
      <w:pPr>
        <w:rPr>
          <w:rFonts w:ascii="Arial"/>
          <w:sz w:val="21"/>
        </w:rPr>
      </w:pPr>
    </w:p>
    <w:p>
      <w:pPr>
        <w:pStyle w:val="9"/>
      </w:pPr>
    </w:p>
    <w:p/>
    <w:p>
      <w:pPr>
        <w:jc w:val="center"/>
        <w:rPr>
          <w:rFonts w:hint="eastAsia" w:asciiTheme="majorEastAsia" w:hAnsiTheme="majorEastAsia" w:eastAsiaTheme="majorEastAsia" w:cstheme="majorEastAsia"/>
          <w:b w:val="0"/>
          <w:bCs w:val="0"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44"/>
          <w:szCs w:val="44"/>
        </w:rPr>
        <w:t>2023年度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44"/>
          <w:szCs w:val="44"/>
          <w:lang w:eastAsia="zh-CN"/>
        </w:rPr>
        <w:t>华容县劳动人事争议仲裁院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44"/>
          <w:szCs w:val="44"/>
        </w:rPr>
        <w:t>整体支出</w:t>
      </w:r>
    </w:p>
    <w:p>
      <w:pPr>
        <w:jc w:val="center"/>
        <w:rPr>
          <w:rFonts w:hint="eastAsia" w:asciiTheme="majorEastAsia" w:hAnsiTheme="majorEastAsia" w:eastAsiaTheme="majorEastAsia" w:cstheme="majorEastAsia"/>
          <w:b w:val="0"/>
          <w:bCs w:val="0"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44"/>
          <w:szCs w:val="44"/>
        </w:rPr>
        <w:t>绩效自评报告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pStyle w:val="9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line="221" w:lineRule="auto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部门（单位）名称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u w:val="single" w:color="auto"/>
          <w:lang w:eastAsia="zh-CN"/>
        </w:rPr>
        <w:t>华容县劳动人事争议仲裁院</w:t>
      </w:r>
      <w:r>
        <w:rPr>
          <w:rFonts w:hint="eastAsia" w:ascii="仿宋_GB2312" w:hAnsi="仿宋_GB2312" w:eastAsia="仿宋_GB2312" w:cs="仿宋_GB2312"/>
          <w:sz w:val="32"/>
          <w:szCs w:val="32"/>
          <w:u w:val="single" w:color="auto"/>
        </w:rPr>
        <w:t xml:space="preserve"> 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  <w:u w:val="single" w:color="auto"/>
          <w:lang w:val="en-US" w:eastAsia="zh-CN"/>
        </w:rPr>
        <w:t>(</w:t>
      </w:r>
      <w:r>
        <w:rPr>
          <w:rFonts w:hint="eastAsia" w:ascii="仿宋_GB2312" w:hAnsi="仿宋_GB2312" w:eastAsia="仿宋_GB2312" w:cs="仿宋_GB2312"/>
          <w:spacing w:val="-118"/>
          <w:sz w:val="32"/>
          <w:szCs w:val="32"/>
          <w:u w:val="single" w:color="auto"/>
        </w:rPr>
        <w:t xml:space="preserve"> </w:t>
      </w:r>
      <w:r>
        <w:rPr>
          <w:rFonts w:hint="eastAsia" w:ascii="仿宋_GB2312" w:hAnsi="仿宋_GB2312" w:eastAsia="仿宋_GB2312" w:cs="仿宋_GB2312"/>
          <w:spacing w:val="-75"/>
          <w:sz w:val="32"/>
          <w:szCs w:val="32"/>
          <w:u w:val="single" w:color="auto"/>
        </w:rPr>
        <w:t xml:space="preserve"> </w:t>
      </w:r>
      <w:r>
        <w:rPr>
          <w:rFonts w:hint="eastAsia" w:ascii="仿宋_GB2312" w:hAnsi="仿宋_GB2312" w:eastAsia="仿宋_GB2312" w:cs="仿宋_GB2312"/>
          <w:spacing w:val="-10"/>
          <w:sz w:val="32"/>
          <w:szCs w:val="32"/>
          <w:u w:val="single" w:color="auto"/>
        </w:rPr>
        <w:t>盖章）</w:t>
      </w:r>
      <w:r>
        <w:rPr>
          <w:rFonts w:hint="eastAsia" w:ascii="仿宋_GB2312" w:hAnsi="仿宋_GB2312" w:eastAsia="仿宋_GB2312" w:cs="仿宋_GB2312"/>
          <w:sz w:val="32"/>
          <w:szCs w:val="32"/>
          <w:u w:val="single" w:color="auto"/>
        </w:rPr>
        <w:t xml:space="preserve">  </w:t>
      </w:r>
    </w:p>
    <w:p>
      <w:pPr>
        <w:spacing w:before="228" w:line="222" w:lineRule="auto"/>
        <w:ind w:firstLine="2432" w:firstLineChars="800"/>
        <w:jc w:val="both"/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pacing w:val="-8"/>
          <w:sz w:val="32"/>
          <w:szCs w:val="32"/>
          <w:lang w:val="en-US" w:eastAsia="zh-CN"/>
        </w:rPr>
        <w:t>2024</w:t>
      </w:r>
      <w:r>
        <w:rPr>
          <w:rFonts w:hint="eastAsia" w:asciiTheme="majorEastAsia" w:hAnsiTheme="majorEastAsia" w:eastAsiaTheme="majorEastAsia" w:cstheme="majorEastAsia"/>
          <w:spacing w:val="-8"/>
          <w:sz w:val="32"/>
          <w:szCs w:val="32"/>
        </w:rPr>
        <w:t>年</w:t>
      </w:r>
      <w:r>
        <w:rPr>
          <w:rFonts w:hint="eastAsia" w:asciiTheme="majorEastAsia" w:hAnsiTheme="majorEastAsia" w:eastAsiaTheme="majorEastAsia" w:cstheme="majorEastAsia"/>
          <w:spacing w:val="21"/>
          <w:sz w:val="32"/>
          <w:szCs w:val="32"/>
        </w:rPr>
        <w:t xml:space="preserve">  </w:t>
      </w:r>
      <w:r>
        <w:rPr>
          <w:rFonts w:hint="eastAsia" w:asciiTheme="majorEastAsia" w:hAnsiTheme="majorEastAsia" w:eastAsiaTheme="majorEastAsia" w:cstheme="majorEastAsia"/>
          <w:spacing w:val="21"/>
          <w:sz w:val="32"/>
          <w:szCs w:val="32"/>
          <w:lang w:val="en-US" w:eastAsia="zh-CN"/>
        </w:rPr>
        <w:t>5</w:t>
      </w:r>
      <w:r>
        <w:rPr>
          <w:rFonts w:hint="eastAsia" w:asciiTheme="majorEastAsia" w:hAnsiTheme="majorEastAsia" w:eastAsiaTheme="majorEastAsia" w:cstheme="majorEastAsia"/>
          <w:spacing w:val="-8"/>
          <w:sz w:val="32"/>
          <w:szCs w:val="32"/>
        </w:rPr>
        <w:t>月</w:t>
      </w:r>
      <w:r>
        <w:rPr>
          <w:rFonts w:hint="eastAsia" w:asciiTheme="majorEastAsia" w:hAnsiTheme="majorEastAsia" w:eastAsiaTheme="majorEastAsia" w:cstheme="majorEastAsia"/>
          <w:spacing w:val="43"/>
          <w:sz w:val="32"/>
          <w:szCs w:val="32"/>
        </w:rPr>
        <w:t xml:space="preserve"> </w:t>
      </w:r>
      <w:r>
        <w:rPr>
          <w:rFonts w:hint="eastAsia" w:asciiTheme="majorEastAsia" w:hAnsiTheme="majorEastAsia" w:eastAsiaTheme="majorEastAsia" w:cstheme="majorEastAsia"/>
          <w:spacing w:val="43"/>
          <w:sz w:val="32"/>
          <w:szCs w:val="32"/>
          <w:lang w:val="en-US" w:eastAsia="zh-CN"/>
        </w:rPr>
        <w:t>25</w:t>
      </w:r>
      <w:r>
        <w:rPr>
          <w:rFonts w:hint="eastAsia" w:asciiTheme="majorEastAsia" w:hAnsiTheme="majorEastAsia" w:eastAsiaTheme="majorEastAsia" w:cstheme="majorEastAsia"/>
          <w:spacing w:val="43"/>
          <w:sz w:val="32"/>
          <w:szCs w:val="32"/>
        </w:rPr>
        <w:t xml:space="preserve"> </w:t>
      </w:r>
      <w:r>
        <w:rPr>
          <w:rFonts w:hint="eastAsia" w:asciiTheme="majorEastAsia" w:hAnsiTheme="majorEastAsia" w:eastAsiaTheme="majorEastAsia" w:cstheme="majorEastAsia"/>
          <w:spacing w:val="-8"/>
          <w:sz w:val="32"/>
          <w:szCs w:val="32"/>
        </w:rPr>
        <w:t>日</w:t>
      </w:r>
    </w:p>
    <w:p>
      <w:pPr>
        <w:spacing w:line="335" w:lineRule="auto"/>
        <w:rPr>
          <w:rFonts w:hint="eastAsia" w:asciiTheme="majorEastAsia" w:hAnsiTheme="majorEastAsia" w:eastAsiaTheme="majorEastAsia" w:cstheme="majorEastAsia"/>
          <w:sz w:val="32"/>
          <w:szCs w:val="32"/>
        </w:rPr>
      </w:pPr>
    </w:p>
    <w:p>
      <w:pPr>
        <w:sectPr>
          <w:footerReference r:id="rId3" w:type="default"/>
          <w:pgSz w:w="11905" w:h="16838"/>
          <w:pgMar w:top="1984" w:right="1701" w:bottom="1984" w:left="1701" w:header="850" w:footer="1587" w:gutter="0"/>
          <w:pgNumType w:fmt="numberInDash" w:start="7"/>
          <w:cols w:space="0" w:num="1"/>
          <w:rtlGutter w:val="0"/>
          <w:docGrid w:type="lines" w:linePitch="314" w:charSpace="0"/>
        </w:sectPr>
      </w:pPr>
      <w: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pacing w:val="6"/>
          <w:sz w:val="44"/>
          <w:szCs w:val="44"/>
        </w:rPr>
      </w:pPr>
    </w:p>
    <w:p>
      <w:pPr>
        <w:pStyle w:val="9"/>
        <w:rPr>
          <w:rFonts w:hint="eastAsi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jc w:val="center"/>
        <w:textAlignment w:val="auto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>202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3</w:t>
      </w:r>
      <w:r>
        <w:rPr>
          <w:rFonts w:hint="eastAsia" w:ascii="宋体" w:hAnsi="宋体" w:eastAsia="宋体" w:cs="宋体"/>
          <w:sz w:val="44"/>
          <w:szCs w:val="44"/>
        </w:rPr>
        <w:t>年度</w:t>
      </w:r>
      <w:r>
        <w:rPr>
          <w:rFonts w:hint="eastAsia" w:ascii="宋体" w:hAnsi="宋体" w:eastAsia="宋体" w:cs="宋体"/>
          <w:sz w:val="44"/>
          <w:szCs w:val="44"/>
          <w:lang w:eastAsia="zh-CN"/>
        </w:rPr>
        <w:t>华容县</w:t>
      </w:r>
      <w:r>
        <w:rPr>
          <w:rFonts w:hint="eastAsia" w:ascii="宋体" w:hAnsi="宋体" w:cs="宋体"/>
          <w:sz w:val="44"/>
          <w:szCs w:val="44"/>
          <w:lang w:eastAsia="zh-CN"/>
        </w:rPr>
        <w:t>劳动人事争议仲裁院</w:t>
      </w:r>
      <w:r>
        <w:rPr>
          <w:rFonts w:hint="eastAsia" w:ascii="宋体" w:hAnsi="宋体" w:eastAsia="宋体" w:cs="宋体"/>
          <w:sz w:val="44"/>
          <w:szCs w:val="44"/>
        </w:rPr>
        <w:t>整体支出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jc w:val="center"/>
        <w:textAlignment w:val="auto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>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60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lang w:val="en-US" w:eastAsia="zh-CN"/>
        </w:rPr>
      </w:pPr>
      <w:r>
        <w:rPr>
          <w:rFonts w:hint="eastAsia" w:ascii="宋体" w:hAnsi="宋体" w:eastAsia="宋体" w:cs="宋体"/>
          <w:sz w:val="32"/>
          <w:lang w:val="en-US" w:eastAsia="zh-CN"/>
        </w:rPr>
        <w:t>根据《华容县财政局关于开展2023年度部门整体支出绩效自评工作的通知》（华财函〔2024〕103号）的相关规定和要求，现对我部门2023年度整体支出开展绩效自评，现将情况汇报如下：</w:t>
      </w:r>
    </w:p>
    <w:p>
      <w:pPr>
        <w:pStyle w:val="9"/>
        <w:rPr>
          <w:rFonts w:hint="eastAsia" w:ascii="宋体" w:hAnsi="宋体" w:eastAsia="宋体" w:cs="宋体"/>
        </w:rPr>
      </w:pPr>
    </w:p>
    <w:p>
      <w:pPr>
        <w:numPr>
          <w:ilvl w:val="0"/>
          <w:numId w:val="1"/>
        </w:numPr>
        <w:spacing w:before="101" w:line="228" w:lineRule="auto"/>
        <w:ind w:left="648"/>
        <w:rPr>
          <w:rFonts w:hint="eastAsia" w:ascii="宋体" w:hAnsi="宋体" w:eastAsia="宋体" w:cs="宋体"/>
          <w:spacing w:val="5"/>
          <w:sz w:val="32"/>
          <w:szCs w:val="32"/>
        </w:rPr>
      </w:pPr>
      <w:r>
        <w:rPr>
          <w:rFonts w:hint="eastAsia" w:ascii="宋体" w:hAnsi="宋体" w:eastAsia="宋体" w:cs="宋体"/>
          <w:spacing w:val="5"/>
          <w:sz w:val="32"/>
          <w:szCs w:val="32"/>
        </w:rPr>
        <w:t>部门基本情况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60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lang w:val="en-US" w:eastAsia="zh-CN"/>
        </w:rPr>
      </w:pPr>
      <w:r>
        <w:rPr>
          <w:rFonts w:hint="eastAsia" w:ascii="宋体" w:hAnsi="宋体" w:eastAsia="宋体" w:cs="宋体"/>
          <w:sz w:val="32"/>
          <w:lang w:val="en-US" w:eastAsia="zh-CN"/>
        </w:rPr>
        <w:t>华容县</w:t>
      </w:r>
      <w:r>
        <w:rPr>
          <w:rFonts w:hint="eastAsia" w:ascii="宋体" w:hAnsi="宋体" w:cs="宋体"/>
          <w:sz w:val="32"/>
          <w:lang w:val="en-US" w:eastAsia="zh-CN"/>
        </w:rPr>
        <w:t>劳动人事争议仲裁院</w:t>
      </w:r>
      <w:r>
        <w:rPr>
          <w:rFonts w:hint="eastAsia" w:ascii="宋体" w:hAnsi="宋体" w:eastAsia="宋体" w:cs="宋体"/>
          <w:sz w:val="32"/>
          <w:lang w:val="en-US" w:eastAsia="zh-CN"/>
        </w:rPr>
        <w:t>现有人员编制</w:t>
      </w:r>
      <w:r>
        <w:rPr>
          <w:rFonts w:hint="eastAsia" w:ascii="宋体" w:hAnsi="宋体" w:cs="宋体"/>
          <w:sz w:val="32"/>
          <w:lang w:val="en-US" w:eastAsia="zh-CN"/>
        </w:rPr>
        <w:t>6</w:t>
      </w:r>
      <w:r>
        <w:rPr>
          <w:rFonts w:hint="eastAsia" w:ascii="宋体" w:hAnsi="宋体" w:eastAsia="宋体" w:cs="宋体"/>
          <w:sz w:val="32"/>
          <w:lang w:val="en-US" w:eastAsia="zh-CN"/>
        </w:rPr>
        <w:t>名（其中：行政编制</w:t>
      </w:r>
      <w:r>
        <w:rPr>
          <w:rFonts w:hint="eastAsia" w:ascii="宋体" w:hAnsi="宋体" w:cs="宋体"/>
          <w:sz w:val="32"/>
          <w:lang w:val="en-US" w:eastAsia="zh-CN"/>
        </w:rPr>
        <w:t>0</w:t>
      </w:r>
      <w:r>
        <w:rPr>
          <w:rFonts w:hint="eastAsia" w:ascii="宋体" w:hAnsi="宋体" w:eastAsia="宋体" w:cs="宋体"/>
          <w:sz w:val="32"/>
          <w:lang w:val="en-US" w:eastAsia="zh-CN"/>
        </w:rPr>
        <w:t>名，事业全额编制</w:t>
      </w:r>
      <w:r>
        <w:rPr>
          <w:rFonts w:hint="eastAsia" w:ascii="宋体" w:hAnsi="宋体" w:cs="宋体"/>
          <w:sz w:val="32"/>
          <w:lang w:val="en-US" w:eastAsia="zh-CN"/>
        </w:rPr>
        <w:t>6</w:t>
      </w:r>
      <w:r>
        <w:rPr>
          <w:rFonts w:hint="eastAsia" w:ascii="宋体" w:hAnsi="宋体" w:eastAsia="宋体" w:cs="宋体"/>
          <w:sz w:val="32"/>
          <w:lang w:val="en-US" w:eastAsia="zh-CN"/>
        </w:rPr>
        <w:t>名），实有在职干部、职工</w:t>
      </w:r>
      <w:r>
        <w:rPr>
          <w:rFonts w:hint="eastAsia" w:ascii="宋体" w:hAnsi="宋体" w:cs="宋体"/>
          <w:sz w:val="32"/>
          <w:lang w:val="en-US" w:eastAsia="zh-CN"/>
        </w:rPr>
        <w:t>6</w:t>
      </w:r>
      <w:r>
        <w:rPr>
          <w:rFonts w:hint="eastAsia" w:ascii="宋体" w:hAnsi="宋体" w:eastAsia="宋体" w:cs="宋体"/>
          <w:sz w:val="32"/>
          <w:lang w:val="en-US" w:eastAsia="zh-CN"/>
        </w:rPr>
        <w:t>人。</w:t>
      </w:r>
    </w:p>
    <w:p>
      <w:pPr>
        <w:spacing w:before="216" w:line="226" w:lineRule="auto"/>
        <w:ind w:left="648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pacing w:val="-2"/>
          <w:sz w:val="32"/>
          <w:szCs w:val="32"/>
        </w:rPr>
        <w:t>二、一般公共预算支出情况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2" w:firstLineChars="200"/>
        <w:textAlignment w:val="auto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（一）基本支出情况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60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lang w:val="en-US" w:eastAsia="zh-CN"/>
        </w:rPr>
      </w:pPr>
      <w:r>
        <w:rPr>
          <w:rFonts w:hint="eastAsia" w:ascii="宋体" w:hAnsi="宋体" w:eastAsia="宋体" w:cs="宋体"/>
          <w:sz w:val="32"/>
          <w:lang w:val="en-US" w:eastAsia="zh-CN"/>
        </w:rPr>
        <w:t>2023年我单位基本支出共</w:t>
      </w:r>
      <w:r>
        <w:rPr>
          <w:rFonts w:hint="eastAsia" w:ascii="宋体" w:hAnsi="宋体" w:cs="宋体"/>
          <w:sz w:val="32"/>
          <w:lang w:val="en-US" w:eastAsia="zh-CN"/>
        </w:rPr>
        <w:t>103.46</w:t>
      </w:r>
      <w:r>
        <w:rPr>
          <w:rFonts w:hint="eastAsia" w:ascii="宋体" w:hAnsi="宋体" w:eastAsia="宋体" w:cs="宋体"/>
          <w:sz w:val="32"/>
          <w:lang w:val="en-US" w:eastAsia="zh-CN"/>
        </w:rPr>
        <w:t>万元，主要用于职工的工资福利支出、五险一金支出及商品服务支出；其中人员经费</w:t>
      </w:r>
      <w:r>
        <w:rPr>
          <w:rFonts w:hint="eastAsia" w:ascii="宋体" w:hAnsi="宋体" w:cs="宋体"/>
          <w:sz w:val="32"/>
          <w:lang w:val="en-US" w:eastAsia="zh-CN"/>
        </w:rPr>
        <w:t>77.15</w:t>
      </w:r>
      <w:r>
        <w:rPr>
          <w:rFonts w:hint="eastAsia" w:ascii="宋体" w:hAnsi="宋体" w:eastAsia="宋体" w:cs="宋体"/>
          <w:sz w:val="32"/>
          <w:lang w:val="en-US" w:eastAsia="zh-CN"/>
        </w:rPr>
        <w:t>万元，日常公用经费</w:t>
      </w:r>
      <w:r>
        <w:rPr>
          <w:rFonts w:hint="eastAsia" w:ascii="宋体" w:hAnsi="宋体" w:cs="宋体"/>
          <w:sz w:val="32"/>
          <w:lang w:val="en-US" w:eastAsia="zh-CN"/>
        </w:rPr>
        <w:t>26.3</w:t>
      </w:r>
      <w:r>
        <w:rPr>
          <w:rFonts w:hint="eastAsia" w:ascii="宋体" w:hAnsi="宋体" w:eastAsia="宋体" w:cs="宋体"/>
          <w:sz w:val="32"/>
          <w:lang w:val="en-US" w:eastAsia="zh-CN"/>
        </w:rPr>
        <w:t>万元。</w:t>
      </w:r>
      <w:r>
        <w:rPr>
          <w:rFonts w:hint="eastAsia" w:ascii="宋体" w:hAnsi="宋体" w:cs="宋体"/>
          <w:sz w:val="32"/>
          <w:lang w:val="en-US" w:eastAsia="zh-CN"/>
        </w:rPr>
        <w:t>因本单位为预算管理新增单位，故</w:t>
      </w:r>
      <w:r>
        <w:rPr>
          <w:rFonts w:hint="eastAsia" w:ascii="宋体" w:hAnsi="宋体" w:eastAsia="宋体" w:cs="宋体"/>
          <w:sz w:val="32"/>
          <w:lang w:val="en-US" w:eastAsia="zh-CN"/>
        </w:rPr>
        <w:t>2022年</w:t>
      </w:r>
      <w:r>
        <w:rPr>
          <w:rFonts w:hint="eastAsia" w:ascii="宋体" w:hAnsi="宋体" w:cs="宋体"/>
          <w:sz w:val="32"/>
          <w:lang w:val="en-US" w:eastAsia="zh-CN"/>
        </w:rPr>
        <w:t>支出情况暂无纵向比较数据。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2" w:firstLineChars="200"/>
        <w:textAlignment w:val="auto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项目支出情况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600" w:lineRule="exact"/>
        <w:ind w:firstLine="640" w:firstLineChars="200"/>
        <w:textAlignment w:val="auto"/>
        <w:rPr>
          <w:rFonts w:hint="default" w:ascii="宋体" w:hAnsi="宋体" w:eastAsia="宋体" w:cs="宋体"/>
          <w:sz w:val="32"/>
          <w:lang w:val="en-US" w:eastAsia="zh-CN"/>
        </w:rPr>
      </w:pPr>
      <w:r>
        <w:rPr>
          <w:rFonts w:hint="eastAsia" w:ascii="宋体" w:hAnsi="宋体" w:eastAsia="宋体" w:cs="宋体"/>
          <w:sz w:val="32"/>
          <w:lang w:val="en-US" w:eastAsia="zh-CN"/>
        </w:rPr>
        <w:t>2023年项目支出为</w:t>
      </w:r>
      <w:r>
        <w:rPr>
          <w:rFonts w:hint="eastAsia" w:ascii="宋体" w:hAnsi="宋体" w:cs="宋体"/>
          <w:sz w:val="32"/>
          <w:lang w:val="en-US" w:eastAsia="zh-CN"/>
        </w:rPr>
        <w:t>0</w:t>
      </w:r>
      <w:r>
        <w:rPr>
          <w:rFonts w:hint="eastAsia" w:ascii="宋体" w:hAnsi="宋体" w:eastAsia="宋体" w:cs="宋体"/>
          <w:sz w:val="32"/>
          <w:lang w:val="en-US" w:eastAsia="zh-CN"/>
        </w:rPr>
        <w:t>万元，占总支出的</w:t>
      </w:r>
      <w:r>
        <w:rPr>
          <w:rFonts w:hint="eastAsia" w:ascii="宋体" w:hAnsi="宋体" w:cs="宋体"/>
          <w:sz w:val="32"/>
          <w:lang w:val="en-US" w:eastAsia="zh-CN"/>
        </w:rPr>
        <w:t>0</w:t>
      </w:r>
      <w:r>
        <w:rPr>
          <w:rFonts w:hint="eastAsia" w:ascii="宋体" w:hAnsi="宋体" w:eastAsia="宋体" w:cs="宋体"/>
          <w:sz w:val="32"/>
          <w:lang w:val="en-US" w:eastAsia="zh-CN"/>
        </w:rPr>
        <w:t>%</w:t>
      </w:r>
      <w:r>
        <w:rPr>
          <w:rFonts w:hint="eastAsia" w:ascii="宋体" w:hAnsi="宋体" w:cs="宋体"/>
          <w:sz w:val="32"/>
          <w:lang w:val="en-US" w:eastAsia="zh-CN"/>
        </w:rPr>
        <w:t>。</w:t>
      </w:r>
    </w:p>
    <w:p>
      <w:pPr>
        <w:numPr>
          <w:ilvl w:val="0"/>
          <w:numId w:val="1"/>
        </w:numPr>
        <w:spacing w:before="224" w:line="227" w:lineRule="auto"/>
        <w:ind w:left="648" w:leftChars="0" w:firstLine="0" w:firstLineChars="0"/>
        <w:rPr>
          <w:rFonts w:hint="eastAsia" w:ascii="宋体" w:hAnsi="宋体" w:eastAsia="宋体" w:cs="宋体"/>
          <w:spacing w:val="8"/>
          <w:sz w:val="32"/>
          <w:szCs w:val="32"/>
        </w:rPr>
      </w:pPr>
      <w:r>
        <w:rPr>
          <w:rFonts w:hint="eastAsia" w:ascii="宋体" w:hAnsi="宋体" w:eastAsia="宋体" w:cs="宋体"/>
          <w:spacing w:val="8"/>
          <w:sz w:val="32"/>
          <w:szCs w:val="32"/>
        </w:rPr>
        <w:t>政府性基金预算支出情况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60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highlight w:val="none"/>
          <w:lang w:val="en-US" w:eastAsia="zh-CN"/>
        </w:rPr>
        <w:t>2023年政府性基金预算支出</w:t>
      </w:r>
      <w:r>
        <w:rPr>
          <w:rFonts w:hint="eastAsia" w:ascii="宋体" w:hAnsi="宋体" w:cs="宋体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宋体" w:hAnsi="宋体" w:eastAsia="宋体" w:cs="宋体"/>
          <w:sz w:val="32"/>
          <w:szCs w:val="32"/>
          <w:highlight w:val="none"/>
          <w:lang w:val="en-US" w:eastAsia="zh-CN"/>
        </w:rPr>
        <w:t>万元,主要是移民补助、基础设施建设等商品和服务支出。其中</w:t>
      </w:r>
      <w:r>
        <w:rPr>
          <w:rFonts w:hint="eastAsia" w:ascii="宋体" w:hAnsi="宋体" w:cs="宋体"/>
          <w:sz w:val="32"/>
          <w:szCs w:val="32"/>
          <w:highlight w:val="none"/>
          <w:lang w:val="en-US" w:eastAsia="zh-CN"/>
        </w:rPr>
        <w:t>商品和服务支出0万元，</w:t>
      </w:r>
      <w:r>
        <w:rPr>
          <w:rFonts w:hint="eastAsia" w:ascii="宋体" w:hAnsi="宋体" w:eastAsia="宋体" w:cs="宋体"/>
          <w:sz w:val="32"/>
          <w:szCs w:val="32"/>
          <w:highlight w:val="none"/>
          <w:lang w:val="en-US" w:eastAsia="zh-CN"/>
        </w:rPr>
        <w:t>对个人和家庭的补助</w:t>
      </w:r>
      <w:r>
        <w:rPr>
          <w:rFonts w:hint="eastAsia" w:ascii="宋体" w:hAnsi="宋体" w:cs="宋体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宋体" w:hAnsi="宋体" w:eastAsia="宋体" w:cs="宋体"/>
          <w:sz w:val="32"/>
          <w:szCs w:val="32"/>
          <w:highlight w:val="none"/>
          <w:lang w:val="en-US" w:eastAsia="zh-CN"/>
        </w:rPr>
        <w:t>万元，资本性支出</w:t>
      </w:r>
      <w:r>
        <w:rPr>
          <w:rFonts w:hint="eastAsia" w:ascii="宋体" w:hAnsi="宋体" w:cs="宋体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宋体" w:hAnsi="宋体" w:eastAsia="宋体" w:cs="宋体"/>
          <w:sz w:val="32"/>
          <w:szCs w:val="32"/>
          <w:highlight w:val="none"/>
          <w:lang w:val="en-US" w:eastAsia="zh-CN"/>
        </w:rPr>
        <w:t>万元。</w:t>
      </w:r>
    </w:p>
    <w:p>
      <w:pPr>
        <w:numPr>
          <w:ilvl w:val="0"/>
          <w:numId w:val="1"/>
        </w:numPr>
        <w:spacing w:before="219" w:line="600" w:lineRule="exact"/>
        <w:ind w:left="648" w:leftChars="0" w:firstLine="0" w:firstLineChars="0"/>
        <w:rPr>
          <w:rFonts w:hint="eastAsia" w:ascii="宋体" w:hAnsi="宋体" w:eastAsia="宋体" w:cs="宋体"/>
          <w:spacing w:val="7"/>
          <w:position w:val="21"/>
          <w:sz w:val="32"/>
          <w:szCs w:val="32"/>
        </w:rPr>
      </w:pPr>
      <w:r>
        <w:rPr>
          <w:rFonts w:hint="eastAsia" w:ascii="宋体" w:hAnsi="宋体" w:eastAsia="宋体" w:cs="宋体"/>
          <w:spacing w:val="7"/>
          <w:position w:val="21"/>
          <w:sz w:val="32"/>
          <w:szCs w:val="32"/>
        </w:rPr>
        <w:t>国有资本经营预算支出情况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60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lang w:val="en-US" w:eastAsia="zh-CN"/>
        </w:rPr>
      </w:pPr>
      <w:r>
        <w:rPr>
          <w:rFonts w:hint="eastAsia" w:ascii="宋体" w:hAnsi="宋体" w:eastAsia="宋体" w:cs="宋体"/>
          <w:sz w:val="32"/>
          <w:lang w:val="en-US" w:eastAsia="zh-CN"/>
        </w:rPr>
        <w:t>2023年无国有资本经营预算支出。</w:t>
      </w:r>
    </w:p>
    <w:p>
      <w:pPr>
        <w:numPr>
          <w:ilvl w:val="0"/>
          <w:numId w:val="1"/>
        </w:numPr>
        <w:spacing w:line="227" w:lineRule="auto"/>
        <w:ind w:left="648" w:leftChars="0" w:firstLine="0" w:firstLineChars="0"/>
        <w:rPr>
          <w:rFonts w:hint="eastAsia" w:ascii="宋体" w:hAnsi="宋体" w:eastAsia="宋体" w:cs="宋体"/>
          <w:spacing w:val="8"/>
          <w:sz w:val="32"/>
          <w:szCs w:val="32"/>
        </w:rPr>
      </w:pPr>
      <w:r>
        <w:rPr>
          <w:rFonts w:hint="eastAsia" w:ascii="宋体" w:hAnsi="宋体" w:eastAsia="宋体" w:cs="宋体"/>
          <w:spacing w:val="8"/>
          <w:sz w:val="32"/>
          <w:szCs w:val="32"/>
        </w:rPr>
        <w:t>社会保险基金预算支出情况</w:t>
      </w:r>
    </w:p>
    <w:p>
      <w:pPr>
        <w:pStyle w:val="12"/>
        <w:numPr>
          <w:ilvl w:val="0"/>
          <w:numId w:val="0"/>
        </w:numPr>
        <w:ind w:left="648" w:leftChars="0"/>
        <w:rPr>
          <w:rFonts w:hint="eastAsia" w:ascii="宋体" w:hAnsi="宋体" w:eastAsia="宋体" w:cs="宋体"/>
          <w:kern w:val="2"/>
          <w:sz w:val="32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32"/>
          <w:szCs w:val="24"/>
          <w:lang w:val="en-US" w:eastAsia="zh-CN" w:bidi="ar-SA"/>
        </w:rPr>
        <w:t>2023年无社会保险基金预算支出。</w:t>
      </w:r>
    </w:p>
    <w:p>
      <w:pPr>
        <w:numPr>
          <w:ilvl w:val="0"/>
          <w:numId w:val="1"/>
        </w:numPr>
        <w:spacing w:before="219" w:line="226" w:lineRule="auto"/>
        <w:ind w:left="648" w:leftChars="0" w:firstLine="0" w:firstLineChars="0"/>
        <w:rPr>
          <w:rFonts w:hint="eastAsia" w:ascii="宋体" w:hAnsi="宋体" w:eastAsia="宋体" w:cs="宋体"/>
          <w:spacing w:val="8"/>
          <w:sz w:val="32"/>
          <w:szCs w:val="32"/>
        </w:rPr>
      </w:pPr>
      <w:r>
        <w:rPr>
          <w:rFonts w:hint="eastAsia" w:ascii="宋体" w:hAnsi="宋体" w:eastAsia="宋体" w:cs="宋体"/>
          <w:spacing w:val="8"/>
          <w:sz w:val="32"/>
          <w:szCs w:val="32"/>
        </w:rPr>
        <w:t>部门整体支出绩效情况</w:t>
      </w:r>
    </w:p>
    <w:p>
      <w:pPr>
        <w:spacing w:line="600" w:lineRule="exact"/>
        <w:ind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（一）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目标任务完成情况</w:t>
      </w:r>
    </w:p>
    <w:p>
      <w:pPr>
        <w:spacing w:line="600" w:lineRule="exact"/>
        <w:ind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1.截至1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月30日，我县共接收申请劳动人事争议案件共1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8起，其中线上案件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26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起，案前调解申请案件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20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起；线上及案前调解申请案件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6起已全部调解到位，线下112起，共中不予受理12起，仲裁裁决结案35起，规定时限内仲裁结案率100%，调解结案65起，调解结案率72%。</w:t>
      </w:r>
    </w:p>
    <w:p>
      <w:pPr>
        <w:spacing w:line="600" w:lineRule="exact"/>
        <w:ind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2. 截至1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月30日，我县新仲裁办案系统录入率 100 %，结案率100%。</w:t>
      </w:r>
    </w:p>
    <w:p>
      <w:pPr>
        <w:spacing w:line="600" w:lineRule="exact"/>
        <w:ind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（二）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中心工作完成情况</w:t>
      </w:r>
    </w:p>
    <w:p>
      <w:pPr>
        <w:spacing w:line="600" w:lineRule="exact"/>
        <w:ind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1、提升劳动关系协调能力。根据《岳阳市劳动关系“和谐同行”能力提升三年行动计划实施方案（2020—2023）》，我县于2023年7月12日—2023年7月16日举办了为期五天的“和谐同行”能力提升暨劳动关系协调员培训班，参加人员包括各乡镇（含田家湖生态新区）社会事务中心主任及各村、社区的专职劳动关系协调员，共计110人。通过系统学习劳动争议调解工作程序、行为规范、办案规则及标准等业务内容，有效地弥补了劳动法律法规相关知识、日常劳动争议调解工作技能和协调能力存在的不足。</w:t>
      </w:r>
    </w:p>
    <w:p>
      <w:pPr>
        <w:spacing w:line="600" w:lineRule="exact"/>
        <w:ind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2、提升企业用工服务能力。一是面对面。先后4次开展仲裁庭进园区活动，组织专业力量联系高新区恒兴建材、丰硕硅材料等10多家企业，协助企业完善规章制度，规范用工管理，构建多元化预防化解劳动纠纷模式，打通仲裁服务企业的“最后一公里”。 二是一对一。充分利用“12333”人社政策法规宣传活动的契机深入开展现场法律咨询服务，现场设点发放宣传手册，开展法律法规咨询，一对一地解决务工人员的疑难问题。三是点对点。针对企业需求，联合总工会、高新区等单位深入聚和源、宝丽纺织、华信人造板等企业，点对点培训人力资源管理人员，现场解决企业用工问题，全面增强基层调处矛盾的能力。</w:t>
      </w:r>
    </w:p>
    <w:p>
      <w:pPr>
        <w:spacing w:line="600" w:lineRule="exact"/>
        <w:ind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3、完善基层调解组织工作能力。一是组织培训。选派15名乡镇专职劳动争议调解员开展业务培训，通过系统学习劳动争议调解工作程序、行为规范、办案规则及标准等业务内容，有效地弥补了劳动法律法规相关知识、日常劳动争议调解工作技能和协调能力存在的不足。二是落实阵地。各乡镇严格按照“六有”要求（即：有调解组织标识标牌、有调解组织印章、有调解室、有调解制度、有调解流程、有调解文书）全部落实到位，做到制度上墙，规范到岗。三是打造亮点。今年全市将树立培养14个金牌劳动争议调解组织，我县三封寺镇劳动争议调解中心申报评选成功，有效推进了我县基层调解工作的深入开展。</w:t>
      </w:r>
    </w:p>
    <w:p>
      <w:pPr>
        <w:spacing w:before="220" w:line="600" w:lineRule="exact"/>
        <w:ind w:left="641"/>
        <w:rPr>
          <w:rFonts w:hint="eastAsia" w:ascii="宋体" w:hAnsi="宋体" w:eastAsia="宋体" w:cs="宋体"/>
          <w:spacing w:val="9"/>
          <w:position w:val="21"/>
          <w:sz w:val="32"/>
          <w:szCs w:val="32"/>
        </w:rPr>
      </w:pPr>
      <w:r>
        <w:rPr>
          <w:rFonts w:hint="eastAsia" w:ascii="宋体" w:hAnsi="宋体" w:cs="宋体"/>
          <w:spacing w:val="9"/>
          <w:position w:val="21"/>
          <w:sz w:val="32"/>
          <w:szCs w:val="32"/>
          <w:lang w:eastAsia="zh-CN"/>
        </w:rPr>
        <w:t>六</w:t>
      </w:r>
      <w:r>
        <w:rPr>
          <w:rFonts w:hint="eastAsia" w:ascii="宋体" w:hAnsi="宋体" w:eastAsia="宋体" w:cs="宋体"/>
          <w:spacing w:val="9"/>
          <w:position w:val="21"/>
          <w:sz w:val="32"/>
          <w:szCs w:val="32"/>
        </w:rPr>
        <w:t>、存在的问题及原因分析</w:t>
      </w:r>
    </w:p>
    <w:p>
      <w:pPr>
        <w:pStyle w:val="10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3" w:lineRule="atLeast"/>
        <w:ind w:firstLine="640" w:firstLineChars="200"/>
        <w:jc w:val="both"/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  <w:t>1.预算绩效指标体系存在进一步完善的空间，我单位现建立的各项预算绩效目标指标仍有不科学、不细致的地方，影响了预算绩效评价的结果。</w:t>
      </w:r>
    </w:p>
    <w:p>
      <w:pPr>
        <w:pStyle w:val="10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3" w:lineRule="atLeast"/>
        <w:ind w:firstLine="640" w:firstLineChars="200"/>
        <w:jc w:val="both"/>
        <w:rPr>
          <w:rFonts w:hint="eastAsia" w:ascii="宋体" w:hAnsi="宋体" w:eastAsia="宋体" w:cs="宋体"/>
          <w:spacing w:val="9"/>
          <w:position w:val="21"/>
          <w:sz w:val="32"/>
          <w:szCs w:val="32"/>
        </w:rPr>
      </w:pPr>
      <w:r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  <w:t>2.预算绩效管理经验需要进一步积累。因为预算绩效管理工作具有政策性强、专业性强、涉及面广、操作难度大等特点，经验不足，导致工作多走许多弯路，影响工作效果。</w:t>
      </w:r>
    </w:p>
    <w:p>
      <w:pPr>
        <w:spacing w:line="227" w:lineRule="auto"/>
        <w:ind w:left="643"/>
        <w:rPr>
          <w:rFonts w:hint="eastAsia" w:ascii="宋体" w:hAnsi="宋体" w:eastAsia="宋体" w:cs="宋体"/>
          <w:spacing w:val="8"/>
          <w:sz w:val="32"/>
          <w:szCs w:val="32"/>
        </w:rPr>
      </w:pPr>
      <w:r>
        <w:rPr>
          <w:rFonts w:hint="eastAsia" w:ascii="宋体" w:hAnsi="宋体" w:cs="宋体"/>
          <w:spacing w:val="8"/>
          <w:sz w:val="32"/>
          <w:szCs w:val="32"/>
          <w:lang w:eastAsia="zh-CN"/>
        </w:rPr>
        <w:t>七</w:t>
      </w:r>
      <w:r>
        <w:rPr>
          <w:rFonts w:hint="eastAsia" w:ascii="宋体" w:hAnsi="宋体" w:eastAsia="宋体" w:cs="宋体"/>
          <w:spacing w:val="8"/>
          <w:sz w:val="32"/>
          <w:szCs w:val="32"/>
        </w:rPr>
        <w:t>、下一步改进措施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" w:lineRule="atLeast"/>
        <w:ind w:left="0" w:right="0" w:firstLine="420"/>
        <w:jc w:val="both"/>
        <w:rPr>
          <w:rFonts w:hint="eastAsia" w:asciiTheme="minorEastAsia" w:hAnsiTheme="minorEastAsia" w:eastAsiaTheme="minorEastAsia" w:cstheme="minorEastAsia"/>
          <w:color w:val="000000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2"/>
          <w:sz w:val="32"/>
          <w:szCs w:val="32"/>
          <w:shd w:val="clear" w:color="auto" w:fill="FFFFFF"/>
          <w:lang w:val="en-US" w:eastAsia="zh-CN" w:bidi="ar-SA"/>
        </w:rPr>
        <w:t>1、细化预算编制工作，认真做好预算的编制。进一步加强预算管理意识，严格按照预算编制的相关制度和要求进行预算编制；全面编制预算项目，优先保障固定性的、相对刚性的费用支出项目，尽量压缩变动性的、有控制空间的费用项目，进一步提高预算编制的科学性、严谨性和可控性。加强内部预算编制的审核和预算控制指标的下达。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" w:lineRule="atLeast"/>
        <w:ind w:left="0" w:right="0" w:firstLine="420"/>
        <w:jc w:val="both"/>
        <w:rPr>
          <w:rFonts w:hint="eastAsia" w:asciiTheme="minorEastAsia" w:hAnsiTheme="minorEastAsia" w:eastAsiaTheme="minorEastAsia" w:cstheme="minorEastAsia"/>
          <w:color w:val="000000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2"/>
          <w:sz w:val="32"/>
          <w:szCs w:val="32"/>
          <w:shd w:val="clear" w:color="auto" w:fill="FFFFFF"/>
          <w:lang w:val="en-US" w:eastAsia="zh-CN" w:bidi="ar-SA"/>
        </w:rPr>
        <w:t>2、加强财务管理，严格财务审核。加强单位财务管理，健全单位财务管理制度体系，规范单位财务行为。在费用报账支付时，按照预算规定的费用项目和用途进行资金使用审核、列报支付、财务核算，杜绝超支现象的发生。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" w:lineRule="atLeast"/>
        <w:ind w:left="0" w:right="0" w:firstLine="420"/>
        <w:jc w:val="both"/>
        <w:rPr>
          <w:rFonts w:hint="eastAsia" w:asciiTheme="minorEastAsia" w:hAnsiTheme="minorEastAsia" w:eastAsiaTheme="minorEastAsia" w:cstheme="minorEastAsia"/>
          <w:color w:val="000000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2"/>
          <w:sz w:val="32"/>
          <w:szCs w:val="32"/>
          <w:shd w:val="clear" w:color="auto" w:fill="FFFFFF"/>
          <w:lang w:val="en-US" w:eastAsia="zh-CN" w:bidi="ar-SA"/>
        </w:rPr>
        <w:t>3、完善资产管理，抓好“三公”经费控制。严格编制政府采购年初预算和计划，规范各类资产的购置审批制度、资产出租出借和收入管理制度、资产采购制度、使用管理制度、资产处置和报废审批制度、资产管理岗位职责制度等，加强单位内部的资产管理工作。严格控制“三公”经费的规模和比例，把关“三公”经费支出的审核、审批，杜绝挪用和挤占其他预算资金行为；进一步细化“三公”经费的管理，合理压缩“三公”经费支出。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" w:lineRule="atLeast"/>
        <w:ind w:left="0" w:right="0" w:firstLine="420"/>
        <w:jc w:val="both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2"/>
          <w:sz w:val="32"/>
          <w:szCs w:val="32"/>
          <w:shd w:val="clear" w:color="auto" w:fill="FFFFFF"/>
          <w:lang w:val="en-US" w:eastAsia="zh-CN" w:bidi="ar-SA"/>
        </w:rPr>
        <w:t>4、对相关人员加强培训，特别是针对《预算法》、《行政事业单位会计制度》等学习培训，规范部门预算收支核算，切实提高部门预算收支管理水平。 </w:t>
      </w:r>
    </w:p>
    <w:p>
      <w:pPr>
        <w:numPr>
          <w:ilvl w:val="0"/>
          <w:numId w:val="0"/>
        </w:numPr>
        <w:spacing w:before="220" w:line="600" w:lineRule="exact"/>
        <w:ind w:left="210" w:leftChars="0"/>
        <w:rPr>
          <w:rFonts w:hint="eastAsia" w:ascii="宋体" w:hAnsi="宋体" w:eastAsia="宋体" w:cs="宋体"/>
          <w:spacing w:val="9"/>
          <w:position w:val="21"/>
          <w:sz w:val="32"/>
          <w:szCs w:val="32"/>
        </w:rPr>
      </w:pPr>
      <w:r>
        <w:rPr>
          <w:rFonts w:hint="eastAsia" w:ascii="宋体" w:hAnsi="宋体" w:cs="宋体"/>
          <w:spacing w:val="9"/>
          <w:position w:val="21"/>
          <w:sz w:val="32"/>
          <w:szCs w:val="32"/>
          <w:lang w:eastAsia="zh-CN"/>
        </w:rPr>
        <w:t>八、</w:t>
      </w:r>
      <w:r>
        <w:rPr>
          <w:rFonts w:hint="eastAsia" w:ascii="宋体" w:hAnsi="宋体" w:eastAsia="宋体" w:cs="宋体"/>
          <w:spacing w:val="9"/>
          <w:position w:val="21"/>
          <w:sz w:val="32"/>
          <w:szCs w:val="32"/>
        </w:rPr>
        <w:t>部门整体支出绩效自评结果拟应用和公开情况</w:t>
      </w:r>
    </w:p>
    <w:p>
      <w:pPr>
        <w:pStyle w:val="10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3" w:lineRule="atLeast"/>
        <w:ind w:firstLine="640" w:firstLineChars="200"/>
        <w:jc w:val="both"/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  <w:t>1、在下一年度制定绩效目标时，将对往年的工作程序进行反馈，关注最新的发展变化，制定与时俱进的绩效目标，提高绩效目标的可操作性。</w:t>
      </w:r>
    </w:p>
    <w:p>
      <w:pPr>
        <w:pStyle w:val="10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3" w:lineRule="atLeast"/>
        <w:ind w:firstLine="640" w:firstLineChars="200"/>
        <w:jc w:val="both"/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  <w:t>2、</w:t>
      </w:r>
      <w:r>
        <w:rPr>
          <w:rFonts w:hint="default" w:ascii="宋体" w:hAnsi="宋体" w:eastAsia="宋体" w:cs="宋体"/>
          <w:kern w:val="2"/>
          <w:sz w:val="32"/>
          <w:szCs w:val="32"/>
          <w:lang w:val="en-US" w:eastAsia="zh-CN" w:bidi="ar-SA"/>
        </w:rPr>
        <w:t>拟与预算安排相结合的情况</w:t>
      </w:r>
      <w:r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  <w:t>在</w:t>
      </w:r>
      <w:r>
        <w:rPr>
          <w:rFonts w:hint="default" w:ascii="宋体" w:hAnsi="宋体" w:eastAsia="宋体" w:cs="宋体"/>
          <w:kern w:val="2"/>
          <w:sz w:val="32"/>
          <w:szCs w:val="32"/>
          <w:lang w:val="en-US" w:eastAsia="zh-CN" w:bidi="ar-SA"/>
        </w:rPr>
        <w:t>制定合理、可操作的</w:t>
      </w:r>
      <w:r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  <w:t>绩</w:t>
      </w:r>
      <w:r>
        <w:rPr>
          <w:rFonts w:hint="default" w:ascii="宋体" w:hAnsi="宋体" w:eastAsia="宋体" w:cs="宋体"/>
          <w:kern w:val="2"/>
          <w:sz w:val="32"/>
          <w:szCs w:val="32"/>
          <w:lang w:val="en-US" w:eastAsia="zh-CN" w:bidi="ar-SA"/>
        </w:rPr>
        <w:t>效目标基础上，将根据年度预算情况，加强对预算执行的监控，提高与</w:t>
      </w:r>
      <w:r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  <w:t>相关部门</w:t>
      </w:r>
      <w:r>
        <w:rPr>
          <w:rFonts w:hint="default" w:ascii="宋体" w:hAnsi="宋体" w:eastAsia="宋体" w:cs="宋体"/>
          <w:kern w:val="2"/>
          <w:sz w:val="32"/>
          <w:szCs w:val="32"/>
          <w:lang w:val="en-US" w:eastAsia="zh-CN" w:bidi="ar-SA"/>
        </w:rPr>
        <w:t>的协调配合，跟进资金使用情况，保证资金的执行率，提高资金的使用效益。定期</w:t>
      </w:r>
      <w:r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  <w:t>找</w:t>
      </w:r>
      <w:r>
        <w:rPr>
          <w:rFonts w:hint="default" w:ascii="宋体" w:hAnsi="宋体" w:eastAsia="宋体" w:cs="宋体"/>
          <w:kern w:val="2"/>
          <w:sz w:val="32"/>
          <w:szCs w:val="32"/>
          <w:lang w:val="en-US" w:eastAsia="zh-CN" w:bidi="ar-SA"/>
        </w:rPr>
        <w:t>准资金使用过程中与绩效存在差异的地方，及时修正，保证年度目标绩效能按时完成。</w:t>
      </w:r>
      <w:r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  <w:t xml:space="preserve">          </w:t>
      </w:r>
    </w:p>
    <w:p>
      <w:pPr>
        <w:pStyle w:val="10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3" w:lineRule="atLeast"/>
        <w:ind w:firstLine="640" w:firstLineChars="200"/>
        <w:jc w:val="both"/>
        <w:rPr>
          <w:rFonts w:hint="default" w:ascii="宋体" w:hAnsi="宋体" w:eastAsia="宋体" w:cs="宋体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  <w:t>3、</w:t>
      </w:r>
      <w:r>
        <w:rPr>
          <w:rFonts w:hint="default" w:ascii="宋体" w:hAnsi="宋体" w:eastAsia="宋体" w:cs="宋体"/>
          <w:kern w:val="2"/>
          <w:sz w:val="32"/>
          <w:szCs w:val="32"/>
          <w:lang w:val="en-US" w:eastAsia="zh-CN" w:bidi="ar-SA"/>
        </w:rPr>
        <w:t>拟公开情况按照政府信息公开相关要求，将绩效自评结果在本单位网站上公开。</w:t>
      </w:r>
    </w:p>
    <w:p>
      <w:pPr>
        <w:pStyle w:val="12"/>
        <w:numPr>
          <w:ilvl w:val="0"/>
          <w:numId w:val="0"/>
        </w:numPr>
        <w:ind w:leftChars="400"/>
        <w:rPr>
          <w:rFonts w:hint="eastAsia" w:ascii="宋体" w:hAnsi="宋体" w:eastAsia="宋体" w:cs="宋体"/>
          <w:spacing w:val="9"/>
          <w:position w:val="21"/>
          <w:sz w:val="32"/>
          <w:szCs w:val="32"/>
        </w:rPr>
      </w:pPr>
      <w:r>
        <w:rPr>
          <w:rFonts w:hint="eastAsia" w:ascii="宋体" w:hAnsi="宋体" w:eastAsia="宋体" w:cs="宋体"/>
          <w:spacing w:val="9"/>
          <w:position w:val="21"/>
          <w:sz w:val="32"/>
          <w:szCs w:val="32"/>
        </w:rPr>
        <w:t>十、其他需要说明的情况</w:t>
      </w:r>
    </w:p>
    <w:p>
      <w:pPr>
        <w:spacing w:before="220" w:line="600" w:lineRule="exact"/>
        <w:ind w:left="641"/>
        <w:rPr>
          <w:rFonts w:hint="eastAsia" w:ascii="宋体" w:hAnsi="宋体" w:eastAsia="宋体" w:cs="宋体"/>
          <w:spacing w:val="9"/>
          <w:position w:val="21"/>
          <w:sz w:val="32"/>
          <w:szCs w:val="32"/>
        </w:rPr>
        <w:sectPr>
          <w:footerReference r:id="rId4" w:type="default"/>
          <w:pgSz w:w="11905" w:h="16838"/>
          <w:pgMar w:top="1984" w:right="1701" w:bottom="1984" w:left="1701" w:header="850" w:footer="992" w:gutter="0"/>
          <w:pgNumType w:fmt="numberInDash"/>
          <w:cols w:space="0" w:num="1"/>
          <w:rtlGutter w:val="0"/>
          <w:docGrid w:type="lines" w:linePitch="314" w:charSpace="0"/>
        </w:sectPr>
      </w:pPr>
      <w:r>
        <w:rPr>
          <w:rFonts w:hint="eastAsia" w:ascii="宋体" w:hAnsi="宋体" w:eastAsia="宋体" w:cs="宋体"/>
          <w:spacing w:val="9"/>
          <w:position w:val="21"/>
          <w:sz w:val="32"/>
          <w:szCs w:val="32"/>
          <w:lang w:eastAsia="zh-CN"/>
        </w:rPr>
        <w:t>无</w:t>
      </w:r>
      <w:r>
        <w:rPr>
          <w:rFonts w:hint="eastAsia" w:ascii="宋体" w:hAnsi="宋体" w:eastAsia="宋体" w:cs="宋体"/>
          <w:spacing w:val="9"/>
          <w:position w:val="21"/>
          <w:sz w:val="32"/>
          <w:szCs w:val="32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宋体" w:hAnsi="宋体" w:eastAsia="宋体" w:cs="宋体"/>
          <w:spacing w:val="-4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pacing w:val="-4"/>
          <w:sz w:val="32"/>
          <w:szCs w:val="32"/>
        </w:rPr>
        <w:t>附件</w:t>
      </w:r>
      <w:r>
        <w:rPr>
          <w:rFonts w:hint="eastAsia" w:ascii="宋体" w:hAnsi="宋体" w:eastAsia="宋体" w:cs="宋体"/>
          <w:spacing w:val="-4"/>
          <w:sz w:val="32"/>
          <w:szCs w:val="32"/>
          <w:lang w:val="en-US" w:eastAsia="zh-CN"/>
        </w:rPr>
        <w:t>4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textAlignment w:val="auto"/>
        <w:rPr>
          <w:rFonts w:hint="eastAsia" w:ascii="宋体" w:hAnsi="宋体" w:eastAsia="宋体" w:cs="宋体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0" w:firstLineChars="0"/>
        <w:jc w:val="center"/>
        <w:textAlignment w:val="auto"/>
        <w:rPr>
          <w:rFonts w:hint="eastAsia" w:ascii="宋体" w:hAnsi="宋体" w:eastAsia="宋体" w:cs="宋体"/>
          <w:spacing w:val="6"/>
          <w:sz w:val="44"/>
          <w:szCs w:val="44"/>
        </w:rPr>
      </w:pPr>
      <w:r>
        <w:rPr>
          <w:rFonts w:hint="eastAsia" w:ascii="宋体" w:hAnsi="宋体" w:eastAsia="宋体" w:cs="宋体"/>
          <w:spacing w:val="6"/>
          <w:sz w:val="44"/>
          <w:szCs w:val="44"/>
        </w:rPr>
        <w:t>2023年度部门整体支出绩效自评表</w:t>
      </w:r>
    </w:p>
    <w:p>
      <w:pPr>
        <w:spacing w:line="132" w:lineRule="exact"/>
        <w:rPr>
          <w:rFonts w:hint="eastAsia" w:ascii="宋体" w:hAnsi="宋体" w:eastAsia="宋体" w:cs="宋体"/>
        </w:rPr>
      </w:pPr>
    </w:p>
    <w:tbl>
      <w:tblPr>
        <w:tblStyle w:val="20"/>
        <w:tblW w:w="5074" w:type="pct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16"/>
        <w:gridCol w:w="986"/>
        <w:gridCol w:w="969"/>
        <w:gridCol w:w="24"/>
        <w:gridCol w:w="995"/>
        <w:gridCol w:w="1062"/>
        <w:gridCol w:w="1009"/>
        <w:gridCol w:w="689"/>
        <w:gridCol w:w="715"/>
        <w:gridCol w:w="137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9" w:hRule="atLeast"/>
          <w:jc w:val="center"/>
        </w:trPr>
        <w:tc>
          <w:tcPr>
            <w:tcW w:w="1605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省级预算部门、单位名称</w:t>
            </w:r>
          </w:p>
        </w:tc>
        <w:tc>
          <w:tcPr>
            <w:tcW w:w="3394" w:type="pct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华容县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劳动人事争议仲裁院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0" w:hRule="atLeast"/>
          <w:jc w:val="center"/>
        </w:trPr>
        <w:tc>
          <w:tcPr>
            <w:tcW w:w="473" w:type="pct"/>
            <w:vMerge w:val="restart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年度预算申请（万元）</w:t>
            </w:r>
          </w:p>
        </w:tc>
        <w:tc>
          <w:tcPr>
            <w:tcW w:w="113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0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年初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预算数</w:t>
            </w:r>
          </w:p>
        </w:tc>
        <w:tc>
          <w:tcPr>
            <w:tcW w:w="61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预算数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执行数</w:t>
            </w:r>
          </w:p>
        </w:tc>
        <w:tc>
          <w:tcPr>
            <w:tcW w:w="39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分值</w:t>
            </w:r>
          </w:p>
        </w:tc>
        <w:tc>
          <w:tcPr>
            <w:tcW w:w="41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执行率</w:t>
            </w:r>
          </w:p>
        </w:tc>
        <w:tc>
          <w:tcPr>
            <w:tcW w:w="79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自评得分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473" w:type="pct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3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年度资金总额</w:t>
            </w:r>
          </w:p>
        </w:tc>
        <w:tc>
          <w:tcPr>
            <w:tcW w:w="590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73.88</w:t>
            </w:r>
          </w:p>
        </w:tc>
        <w:tc>
          <w:tcPr>
            <w:tcW w:w="61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103.46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103.46</w:t>
            </w:r>
          </w:p>
        </w:tc>
        <w:tc>
          <w:tcPr>
            <w:tcW w:w="39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10</w:t>
            </w:r>
          </w:p>
        </w:tc>
        <w:tc>
          <w:tcPr>
            <w:tcW w:w="41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79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473" w:type="pct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337" w:type="pct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58" w:firstLineChars="28"/>
              <w:jc w:val="both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按收入性质分：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103.46</w:t>
            </w:r>
          </w:p>
        </w:tc>
        <w:tc>
          <w:tcPr>
            <w:tcW w:w="2188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按支出性质分：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103.46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473" w:type="pct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337" w:type="pct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210" w:firstLineChars="100"/>
              <w:jc w:val="both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其中：一般公共预算：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103.46</w:t>
            </w:r>
          </w:p>
        </w:tc>
        <w:tc>
          <w:tcPr>
            <w:tcW w:w="2188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210" w:firstLineChars="100"/>
              <w:jc w:val="left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其中：基本支出：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103.46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473" w:type="pct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337" w:type="pct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840" w:firstLineChars="400"/>
              <w:jc w:val="both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政府性基金拨款：</w:t>
            </w:r>
          </w:p>
        </w:tc>
        <w:tc>
          <w:tcPr>
            <w:tcW w:w="2188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840" w:firstLineChars="400"/>
              <w:jc w:val="left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项目支出：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473" w:type="pct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337" w:type="pct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840" w:firstLineChars="40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纳入专户管理的非税收入拨款：</w:t>
            </w:r>
          </w:p>
        </w:tc>
        <w:tc>
          <w:tcPr>
            <w:tcW w:w="2188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473" w:type="pct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337" w:type="pct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840" w:firstLineChars="40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其他资金：</w:t>
            </w:r>
          </w:p>
        </w:tc>
        <w:tc>
          <w:tcPr>
            <w:tcW w:w="2188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473" w:type="pct"/>
            <w:vMerge w:val="restart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年度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总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体目标</w:t>
            </w:r>
          </w:p>
        </w:tc>
        <w:tc>
          <w:tcPr>
            <w:tcW w:w="2337" w:type="pct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预期目标</w:t>
            </w:r>
          </w:p>
        </w:tc>
        <w:tc>
          <w:tcPr>
            <w:tcW w:w="2188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实际完成情况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473" w:type="pct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337" w:type="pct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1.以落实金保二期为契机，全面推进我县仲裁办案系统信息化建设，提升仲裁办案水平；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2.进一步加大服务企业力度，针对劳动争议易发多发企业，开展以案释法的方式送法入企；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3.切实加大与法院、司法、工会等部门的对接，建立健全多元处理劳动人事争议机制，重点推进新就业形态劳动者较多的平台企业建立调解组织,加大新就业形态劳动者维权力度。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>4.进一步完善乡镇劳动争议调解中心职能职责。</w:t>
            </w:r>
          </w:p>
        </w:tc>
        <w:tc>
          <w:tcPr>
            <w:tcW w:w="2188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840" w:firstLineChars="40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按要求已完成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  <w:jc w:val="center"/>
        </w:trPr>
        <w:tc>
          <w:tcPr>
            <w:tcW w:w="473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绩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标</w:t>
            </w:r>
          </w:p>
        </w:tc>
        <w:tc>
          <w:tcPr>
            <w:tcW w:w="571" w:type="pct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一级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指标</w:t>
            </w:r>
          </w:p>
        </w:tc>
        <w:tc>
          <w:tcPr>
            <w:tcW w:w="575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二级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指标</w:t>
            </w:r>
          </w:p>
        </w:tc>
        <w:tc>
          <w:tcPr>
            <w:tcW w:w="57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三级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指标</w:t>
            </w:r>
          </w:p>
        </w:tc>
        <w:tc>
          <w:tcPr>
            <w:tcW w:w="61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年度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指标值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完成值</w:t>
            </w:r>
          </w:p>
        </w:tc>
        <w:tc>
          <w:tcPr>
            <w:tcW w:w="39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分值</w:t>
            </w:r>
          </w:p>
        </w:tc>
        <w:tc>
          <w:tcPr>
            <w:tcW w:w="41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自评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得分</w:t>
            </w:r>
          </w:p>
        </w:tc>
        <w:tc>
          <w:tcPr>
            <w:tcW w:w="79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偏差原因分析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及改进措施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73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7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0分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575" w:type="pct"/>
            <w:gridSpan w:val="2"/>
            <w:vMerge w:val="restart"/>
            <w:tcBorders>
              <w:left w:val="sing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数量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指标</w:t>
            </w:r>
          </w:p>
        </w:tc>
        <w:tc>
          <w:tcPr>
            <w:tcW w:w="57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真抓实干督促工作14项</w:t>
            </w:r>
          </w:p>
        </w:tc>
        <w:tc>
          <w:tcPr>
            <w:tcW w:w="61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39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41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9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  <w:jc w:val="center"/>
        </w:trPr>
        <w:tc>
          <w:tcPr>
            <w:tcW w:w="473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7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75" w:type="pct"/>
            <w:gridSpan w:val="2"/>
            <w:vMerge w:val="continue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7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全年劳动人事争议案件调解到位率</w:t>
            </w:r>
          </w:p>
        </w:tc>
        <w:tc>
          <w:tcPr>
            <w:tcW w:w="61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95%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39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41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9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73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7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75" w:type="pct"/>
            <w:gridSpan w:val="2"/>
            <w:vMerge w:val="restart"/>
            <w:tcBorders>
              <w:left w:val="sing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质量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指标</w:t>
            </w:r>
          </w:p>
        </w:tc>
        <w:tc>
          <w:tcPr>
            <w:tcW w:w="57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1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9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79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1" w:hRule="atLeast"/>
          <w:jc w:val="center"/>
        </w:trPr>
        <w:tc>
          <w:tcPr>
            <w:tcW w:w="473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7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75" w:type="pct"/>
            <w:gridSpan w:val="2"/>
            <w:vMerge w:val="continue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7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新宋体" w:hAnsi="新宋体" w:eastAsia="新宋体" w:cs="新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仲裁裁决结案率</w:t>
            </w:r>
          </w:p>
        </w:tc>
        <w:tc>
          <w:tcPr>
            <w:tcW w:w="61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&gt;=70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%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75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%</w:t>
            </w:r>
          </w:p>
        </w:tc>
        <w:tc>
          <w:tcPr>
            <w:tcW w:w="39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41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9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73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7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7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时效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指标</w:t>
            </w:r>
          </w:p>
        </w:tc>
        <w:tc>
          <w:tcPr>
            <w:tcW w:w="57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新宋体" w:hAnsi="新宋体" w:eastAsia="新宋体" w:cs="新宋体"/>
                <w:i w:val="0"/>
                <w:i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新仲裁办案系统录入率</w:t>
            </w:r>
          </w:p>
        </w:tc>
        <w:tc>
          <w:tcPr>
            <w:tcW w:w="61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39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41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9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73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绩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标</w:t>
            </w:r>
          </w:p>
        </w:tc>
        <w:tc>
          <w:tcPr>
            <w:tcW w:w="57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（30分）</w:t>
            </w:r>
          </w:p>
        </w:tc>
        <w:tc>
          <w:tcPr>
            <w:tcW w:w="57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经济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效益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指标</w:t>
            </w:r>
          </w:p>
        </w:tc>
        <w:tc>
          <w:tcPr>
            <w:tcW w:w="57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维护务工人员合法权益</w:t>
            </w:r>
          </w:p>
        </w:tc>
        <w:tc>
          <w:tcPr>
            <w:tcW w:w="61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按时按量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已达标</w:t>
            </w:r>
          </w:p>
        </w:tc>
        <w:tc>
          <w:tcPr>
            <w:tcW w:w="39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41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9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73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7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7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社会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效益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指标</w:t>
            </w:r>
          </w:p>
        </w:tc>
        <w:tc>
          <w:tcPr>
            <w:tcW w:w="57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促进全县劳动人事关系和谐稳定</w:t>
            </w:r>
          </w:p>
        </w:tc>
        <w:tc>
          <w:tcPr>
            <w:tcW w:w="61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按时按量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已达标</w:t>
            </w:r>
          </w:p>
        </w:tc>
        <w:tc>
          <w:tcPr>
            <w:tcW w:w="39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41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9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73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7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7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生态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效益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指标</w:t>
            </w:r>
          </w:p>
        </w:tc>
        <w:tc>
          <w:tcPr>
            <w:tcW w:w="57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新宋体" w:hAnsi="新宋体" w:eastAsia="新宋体" w:cs="新宋体"/>
                <w:i w:val="0"/>
                <w:i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办公节能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达标</w:t>
            </w:r>
          </w:p>
        </w:tc>
        <w:tc>
          <w:tcPr>
            <w:tcW w:w="61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新宋体" w:hAnsi="新宋体" w:eastAsia="新宋体" w:cs="新宋体"/>
                <w:i w:val="0"/>
                <w:i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i w:val="0"/>
                <w:iCs w:val="0"/>
                <w:color w:val="000000"/>
                <w:sz w:val="21"/>
                <w:szCs w:val="21"/>
                <w:lang w:val="en-US" w:eastAsia="zh-CN"/>
              </w:rPr>
              <w:t>按量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已达标</w:t>
            </w:r>
          </w:p>
        </w:tc>
        <w:tc>
          <w:tcPr>
            <w:tcW w:w="39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41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9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73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7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7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可持续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影响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指标</w:t>
            </w:r>
          </w:p>
        </w:tc>
        <w:tc>
          <w:tcPr>
            <w:tcW w:w="57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eastAsia="仿宋_GB2312"/>
                <w:kern w:val="0"/>
                <w:sz w:val="24"/>
                <w:lang w:val="en-US" w:eastAsia="zh-CN"/>
              </w:rPr>
              <w:t>务工人员对经办机构认可度</w:t>
            </w:r>
          </w:p>
        </w:tc>
        <w:tc>
          <w:tcPr>
            <w:tcW w:w="61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/>
              <w:jc w:val="center"/>
              <w:textAlignment w:val="auto"/>
              <w:rPr>
                <w:rFonts w:hint="default" w:ascii="新宋体" w:hAnsi="新宋体" w:eastAsia="新宋体" w:cs="新宋体"/>
                <w:i w:val="0"/>
                <w:i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i w:val="0"/>
                <w:iCs w:val="0"/>
                <w:color w:val="00000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39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41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9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73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（10分）</w:t>
            </w:r>
          </w:p>
        </w:tc>
        <w:tc>
          <w:tcPr>
            <w:tcW w:w="575" w:type="pct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服务对象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指标</w:t>
            </w:r>
          </w:p>
        </w:tc>
        <w:tc>
          <w:tcPr>
            <w:tcW w:w="57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社会公众满意度</w:t>
            </w:r>
          </w:p>
        </w:tc>
        <w:tc>
          <w:tcPr>
            <w:tcW w:w="61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&gt;=95%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93%</w:t>
            </w:r>
          </w:p>
        </w:tc>
        <w:tc>
          <w:tcPr>
            <w:tcW w:w="39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41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79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73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71" w:type="pct"/>
            <w:vMerge w:val="restart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本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（2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0分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）</w:t>
            </w:r>
          </w:p>
        </w:tc>
        <w:tc>
          <w:tcPr>
            <w:tcW w:w="575" w:type="pct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经济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成本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指标</w:t>
            </w:r>
          </w:p>
        </w:tc>
        <w:tc>
          <w:tcPr>
            <w:tcW w:w="57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预算内成本</w:t>
            </w:r>
          </w:p>
        </w:tc>
        <w:tc>
          <w:tcPr>
            <w:tcW w:w="61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&lt;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=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103.46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万元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103.46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万元</w:t>
            </w:r>
          </w:p>
        </w:tc>
        <w:tc>
          <w:tcPr>
            <w:tcW w:w="39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41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9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73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71" w:type="pct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75" w:type="pct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社会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成本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指标</w:t>
            </w:r>
          </w:p>
        </w:tc>
        <w:tc>
          <w:tcPr>
            <w:tcW w:w="57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财政拨款</w:t>
            </w:r>
          </w:p>
        </w:tc>
        <w:tc>
          <w:tcPr>
            <w:tcW w:w="61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=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103.46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万元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103.46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万元</w:t>
            </w:r>
          </w:p>
        </w:tc>
        <w:tc>
          <w:tcPr>
            <w:tcW w:w="39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41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9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73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71" w:type="pct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75" w:type="pct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生态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环境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成本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指标</w:t>
            </w:r>
          </w:p>
        </w:tc>
        <w:tc>
          <w:tcPr>
            <w:tcW w:w="57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i w:val="0"/>
                <w:iCs w:val="0"/>
                <w:color w:val="000000"/>
                <w:sz w:val="21"/>
                <w:szCs w:val="21"/>
                <w:lang w:val="en-US" w:eastAsia="zh-CN"/>
              </w:rPr>
              <w:t>上级补助收入</w:t>
            </w:r>
          </w:p>
        </w:tc>
        <w:tc>
          <w:tcPr>
            <w:tcW w:w="61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&gt;=95%</w:t>
            </w:r>
          </w:p>
        </w:tc>
        <w:tc>
          <w:tcPr>
            <w:tcW w:w="58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39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41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9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3393" w:type="pct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总分</w:t>
            </w:r>
          </w:p>
        </w:tc>
        <w:tc>
          <w:tcPr>
            <w:tcW w:w="39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100</w:t>
            </w:r>
          </w:p>
        </w:tc>
        <w:tc>
          <w:tcPr>
            <w:tcW w:w="41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96</w:t>
            </w:r>
          </w:p>
        </w:tc>
        <w:tc>
          <w:tcPr>
            <w:tcW w:w="79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>
      <w:pPr>
        <w:rPr>
          <w:rFonts w:hint="eastAsia"/>
          <w:lang w:val="en-US" w:eastAsia="zh-CN"/>
        </w:rPr>
      </w:pPr>
      <w:r>
        <w:rPr>
          <w:rFonts w:hint="eastAsia"/>
        </w:rPr>
        <w:t>填表人：</w:t>
      </w:r>
      <w:r>
        <w:rPr>
          <w:rFonts w:hint="eastAsia"/>
          <w:lang w:eastAsia="zh-CN"/>
        </w:rPr>
        <w:t>黄橙</w:t>
      </w:r>
      <w:r>
        <w:rPr>
          <w:rFonts w:hint="eastAsia"/>
        </w:rPr>
        <w:t xml:space="preserve">        填报日期：</w:t>
      </w:r>
      <w:r>
        <w:rPr>
          <w:rFonts w:hint="eastAsia"/>
          <w:lang w:val="en-US" w:eastAsia="zh-CN"/>
        </w:rPr>
        <w:t>2024.5.25</w:t>
      </w:r>
      <w:r>
        <w:rPr>
          <w:rFonts w:hint="eastAsia"/>
        </w:rPr>
        <w:t xml:space="preserve">       联系电话：</w:t>
      </w:r>
      <w:r>
        <w:rPr>
          <w:rFonts w:hint="eastAsia"/>
          <w:lang w:val="en-US" w:eastAsia="zh-CN"/>
        </w:rPr>
        <w:t>13348603333</w:t>
      </w:r>
      <w:r>
        <w:rPr>
          <w:rFonts w:hint="eastAsia"/>
        </w:rPr>
        <w:t xml:space="preserve">         单位负责人签字：</w:t>
      </w:r>
      <w:r>
        <w:rPr>
          <w:rFonts w:hint="eastAsia"/>
          <w:lang w:eastAsia="zh-CN"/>
        </w:rPr>
        <w:t>朱晓林</w:t>
      </w:r>
    </w:p>
    <w:sectPr>
      <w:footerReference r:id="rId5" w:type="default"/>
      <w:pgSz w:w="11905" w:h="16838"/>
      <w:pgMar w:top="1984" w:right="1701" w:bottom="1984" w:left="1701" w:header="850" w:footer="1587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0" w:num="1"/>
      <w:rtlGutter w:val="0"/>
      <w:docGrid w:type="lines" w:linePitch="31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01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???-18030">
    <w:altName w:val="URW Book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新宋体">
    <w:altName w:val="方正书宋_GBK"/>
    <w:panose1 w:val="02010609030101010101"/>
    <w:charset w:val="86"/>
    <w:family w:val="auto"/>
    <w:pitch w:val="default"/>
    <w:sig w:usb0="00000000" w:usb1="00000000" w:usb2="0000000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1" w:line="174" w:lineRule="auto"/>
      <w:jc w:val="center"/>
      <w:rPr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 w:val="0"/>
                            <w:ind w:left="525" w:leftChars="250" w:right="525" w:rightChars="250"/>
                            <w:textAlignment w:val="auto"/>
                            <w:rPr>
                              <w:rFonts w:hint="default" w:ascii="Times New Roman" w:hAnsi="Times New Roman" w:eastAsia="华文仿宋" w:cs="Times New Roman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default" w:ascii="Times New Roman" w:hAnsi="Times New Roman" w:eastAsia="华文仿宋" w:cs="Times New Roman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eastAsia="华文仿宋" w:cs="Times New Roman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eastAsia="华文仿宋" w:cs="Times New Roman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eastAsia="华文仿宋" w:cs="Times New Roman"/>
                              <w:sz w:val="32"/>
                              <w:szCs w:val="32"/>
                            </w:rPr>
                            <w:t>7</w:t>
                          </w:r>
                          <w:r>
                            <w:rPr>
                              <w:rFonts w:hint="default" w:ascii="Times New Roman" w:hAnsi="Times New Roman" w:eastAsia="华文仿宋" w:cs="Times New Roman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BYAAABkcnMvUEsBAhQAFAAAAAgAh07iQLNJ&#10;WO7QAAAABQEAAA8AAAAAAAAAAQAgAAAAOAAAAGRycy9kb3ducmV2LnhtbFBLAQIUABQAAAAIAIdO&#10;4kCNxeOVFQIAABUEAAAOAAAAAAAAAAEAIAAAADU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keepNext w:val="0"/>
                      <w:keepLines w:val="0"/>
                      <w:pageBreakBefore w:val="0"/>
                      <w:widowControl w:val="0"/>
                      <w:kinsoku/>
                      <w:wordWrap/>
                      <w:overflowPunct/>
                      <w:topLinePunct w:val="0"/>
                      <w:bidi w:val="0"/>
                      <w:adjustRightInd/>
                      <w:snapToGrid w:val="0"/>
                      <w:ind w:left="525" w:leftChars="250" w:right="525" w:rightChars="250"/>
                      <w:textAlignment w:val="auto"/>
                      <w:rPr>
                        <w:rFonts w:hint="default" w:ascii="Times New Roman" w:hAnsi="Times New Roman" w:eastAsia="华文仿宋" w:cs="Times New Roman"/>
                        <w:sz w:val="32"/>
                        <w:szCs w:val="32"/>
                      </w:rPr>
                    </w:pPr>
                    <w:r>
                      <w:rPr>
                        <w:rFonts w:hint="default" w:ascii="Times New Roman" w:hAnsi="Times New Roman" w:eastAsia="华文仿宋" w:cs="Times New Roman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eastAsia="华文仿宋" w:cs="Times New Roman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eastAsia="华文仿宋" w:cs="Times New Roman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eastAsia="华文仿宋" w:cs="Times New Roman"/>
                        <w:sz w:val="32"/>
                        <w:szCs w:val="32"/>
                      </w:rPr>
                      <w:t>7</w:t>
                    </w:r>
                    <w:r>
                      <w:rPr>
                        <w:rFonts w:hint="default" w:ascii="Times New Roman" w:hAnsi="Times New Roman" w:eastAsia="华文仿宋" w:cs="Times New Roman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1" w:line="174" w:lineRule="auto"/>
      <w:ind w:left="8576"/>
      <w:rPr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  <w:rPr>
                              <w:rFonts w:hint="eastAsia" w:ascii="华文仿宋" w:hAnsi="华文仿宋" w:eastAsia="华文仿宋" w:cs="华文仿宋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华文仿宋" w:hAnsi="华文仿宋" w:eastAsia="华文仿宋" w:cs="华文仿宋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华文仿宋" w:hAnsi="华文仿宋" w:eastAsia="华文仿宋" w:cs="华文仿宋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华文仿宋" w:hAnsi="华文仿宋" w:eastAsia="华文仿宋" w:cs="华文仿宋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华文仿宋" w:hAnsi="华文仿宋" w:eastAsia="华文仿宋" w:cs="华文仿宋"/>
                              <w:sz w:val="28"/>
                              <w:szCs w:val="28"/>
                            </w:rPr>
                            <w:t>10</w:t>
                          </w:r>
                          <w:r>
                            <w:rPr>
                              <w:rFonts w:hint="eastAsia" w:ascii="华文仿宋" w:hAnsi="华文仿宋" w:eastAsia="华文仿宋" w:cs="华文仿宋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BYAAABkcnMvUEsBAhQAFAAAAAgAh07iQLNJWO7Q&#10;AAAABQEAAA8AAAAAAAAAAQAgAAAAOAAAAGRycy9kb3ducmV2LnhtbFBLAQIUABQAAAAIAIdO4kDP&#10;bXR6EgIAABUEAAAOAAAAAAAAAAEAIAAAADUBAABkcnMvZTJvRG9jLnhtbFBLBQYAAAAABgAGAFkB&#10;AAC5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rPr>
                        <w:rFonts w:hint="eastAsia" w:ascii="华文仿宋" w:hAnsi="华文仿宋" w:eastAsia="华文仿宋" w:cs="华文仿宋"/>
                        <w:sz w:val="28"/>
                        <w:szCs w:val="28"/>
                      </w:rPr>
                    </w:pPr>
                    <w:r>
                      <w:rPr>
                        <w:rFonts w:hint="eastAsia" w:ascii="华文仿宋" w:hAnsi="华文仿宋" w:eastAsia="华文仿宋" w:cs="华文仿宋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华文仿宋" w:hAnsi="华文仿宋" w:eastAsia="华文仿宋" w:cs="华文仿宋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华文仿宋" w:hAnsi="华文仿宋" w:eastAsia="华文仿宋" w:cs="华文仿宋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华文仿宋" w:hAnsi="华文仿宋" w:eastAsia="华文仿宋" w:cs="华文仿宋"/>
                        <w:sz w:val="28"/>
                        <w:szCs w:val="28"/>
                      </w:rPr>
                      <w:t>10</w:t>
                    </w:r>
                    <w:r>
                      <w:rPr>
                        <w:rFonts w:hint="eastAsia" w:ascii="华文仿宋" w:hAnsi="华文仿宋" w:eastAsia="华文仿宋" w:cs="华文仿宋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1" w:line="174" w:lineRule="auto"/>
      <w:ind w:left="574"/>
      <w:rPr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4" name="文本框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 w:val="0"/>
                            <w:ind w:left="525" w:leftChars="250" w:right="525" w:rightChars="250"/>
                            <w:textAlignment w:val="auto"/>
                            <w:rPr>
                              <w:rFonts w:hint="eastAsia" w:ascii="华文仿宋" w:hAnsi="华文仿宋" w:eastAsia="华文仿宋" w:cs="华文仿宋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华文仿宋" w:hAnsi="华文仿宋" w:eastAsia="华文仿宋" w:cs="华文仿宋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华文仿宋" w:hAnsi="华文仿宋" w:eastAsia="华文仿宋" w:cs="华文仿宋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华文仿宋" w:hAnsi="华文仿宋" w:eastAsia="华文仿宋" w:cs="华文仿宋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华文仿宋" w:hAnsi="华文仿宋" w:eastAsia="华文仿宋" w:cs="华文仿宋"/>
                              <w:sz w:val="28"/>
                              <w:szCs w:val="28"/>
                            </w:rPr>
                            <w:t>15</w:t>
                          </w:r>
                          <w:r>
                            <w:rPr>
                              <w:rFonts w:hint="eastAsia" w:ascii="华文仿宋" w:hAnsi="华文仿宋" w:eastAsia="华文仿宋" w:cs="华文仿宋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1312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FgAAAGRycy9QSwECFAAUAAAACACHTuJAs0lY&#10;7tAAAAAFAQAADwAAAAAAAAABACAAAAA4AAAAZHJzL2Rvd25yZXYueG1sUEsBAhQAFAAAAAgAh07i&#10;QAdoX50UAgAAFQQAAA4AAAAAAAAAAQAgAAAANQ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keepNext w:val="0"/>
                      <w:keepLines w:val="0"/>
                      <w:pageBreakBefore w:val="0"/>
                      <w:widowControl w:val="0"/>
                      <w:kinsoku/>
                      <w:wordWrap/>
                      <w:overflowPunct/>
                      <w:topLinePunct w:val="0"/>
                      <w:bidi w:val="0"/>
                      <w:adjustRightInd/>
                      <w:snapToGrid w:val="0"/>
                      <w:ind w:left="525" w:leftChars="250" w:right="525" w:rightChars="250"/>
                      <w:textAlignment w:val="auto"/>
                      <w:rPr>
                        <w:rFonts w:hint="eastAsia" w:ascii="华文仿宋" w:hAnsi="华文仿宋" w:eastAsia="华文仿宋" w:cs="华文仿宋"/>
                        <w:sz w:val="28"/>
                        <w:szCs w:val="28"/>
                      </w:rPr>
                    </w:pPr>
                    <w:r>
                      <w:rPr>
                        <w:rFonts w:hint="eastAsia" w:ascii="华文仿宋" w:hAnsi="华文仿宋" w:eastAsia="华文仿宋" w:cs="华文仿宋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华文仿宋" w:hAnsi="华文仿宋" w:eastAsia="华文仿宋" w:cs="华文仿宋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华文仿宋" w:hAnsi="华文仿宋" w:eastAsia="华文仿宋" w:cs="华文仿宋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华文仿宋" w:hAnsi="华文仿宋" w:eastAsia="华文仿宋" w:cs="华文仿宋"/>
                        <w:sz w:val="28"/>
                        <w:szCs w:val="28"/>
                      </w:rPr>
                      <w:t>15</w:t>
                    </w:r>
                    <w:r>
                      <w:rPr>
                        <w:rFonts w:hint="eastAsia" w:ascii="华文仿宋" w:hAnsi="华文仿宋" w:eastAsia="华文仿宋" w:cs="华文仿宋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9DE3BD"/>
    <w:multiLevelType w:val="singleLevel"/>
    <w:tmpl w:val="C59DE3BD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9320B48"/>
    <w:multiLevelType w:val="singleLevel"/>
    <w:tmpl w:val="E9320B4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TrueTypeFonts/>
  <w:bordersDoNotSurroundHeader w:val="0"/>
  <w:bordersDoNotSurroundFooter w:val="0"/>
  <w:documentProtection w:enforcement="0"/>
  <w:defaultTabStop w:val="420"/>
  <w:drawingGridHorizontalSpacing w:val="210"/>
  <w:drawingGridVerticalSpacing w:val="157"/>
  <w:displayHorizontalDrawingGridEvery w:val="1"/>
  <w:displayVerticalDrawingGridEvery w:val="2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EzMTc3YjllNTI5Y2UyNTk5ZWVjZGQyYjJmYTkwZjcifQ=="/>
    <w:docVar w:name="KSO_WPS_MARK_KEY" w:val="55841f92-a021-4380-99ac-9bd8fcfd3d41"/>
  </w:docVars>
  <w:rsids>
    <w:rsidRoot w:val="0CCB7736"/>
    <w:rsid w:val="00047FEF"/>
    <w:rsid w:val="000A3906"/>
    <w:rsid w:val="001776F1"/>
    <w:rsid w:val="006F0A16"/>
    <w:rsid w:val="00773328"/>
    <w:rsid w:val="00821883"/>
    <w:rsid w:val="00917857"/>
    <w:rsid w:val="00951882"/>
    <w:rsid w:val="00A755C2"/>
    <w:rsid w:val="00D06DD6"/>
    <w:rsid w:val="011D2710"/>
    <w:rsid w:val="016A347B"/>
    <w:rsid w:val="01B42948"/>
    <w:rsid w:val="01BF20E7"/>
    <w:rsid w:val="01E4322D"/>
    <w:rsid w:val="021138F7"/>
    <w:rsid w:val="02B50488"/>
    <w:rsid w:val="0338470A"/>
    <w:rsid w:val="034822A9"/>
    <w:rsid w:val="03D86621"/>
    <w:rsid w:val="04153D40"/>
    <w:rsid w:val="04EE6171"/>
    <w:rsid w:val="05315F6B"/>
    <w:rsid w:val="05395EA9"/>
    <w:rsid w:val="0616597F"/>
    <w:rsid w:val="06426ACC"/>
    <w:rsid w:val="07A62D33"/>
    <w:rsid w:val="086B5F82"/>
    <w:rsid w:val="09E6794E"/>
    <w:rsid w:val="0A067AB9"/>
    <w:rsid w:val="0A465AEA"/>
    <w:rsid w:val="0ABD557B"/>
    <w:rsid w:val="0BBB5A8D"/>
    <w:rsid w:val="0C104906"/>
    <w:rsid w:val="0C607C21"/>
    <w:rsid w:val="0CCB7736"/>
    <w:rsid w:val="0D9E0E8D"/>
    <w:rsid w:val="0E1F65D3"/>
    <w:rsid w:val="0E3E5716"/>
    <w:rsid w:val="0E6B257C"/>
    <w:rsid w:val="0EAB7397"/>
    <w:rsid w:val="0EF755B3"/>
    <w:rsid w:val="0F17035E"/>
    <w:rsid w:val="0F4E168D"/>
    <w:rsid w:val="0F5A991E"/>
    <w:rsid w:val="0F7A0392"/>
    <w:rsid w:val="0FAF3959"/>
    <w:rsid w:val="0FD26E31"/>
    <w:rsid w:val="1020625B"/>
    <w:rsid w:val="11404466"/>
    <w:rsid w:val="11837AA9"/>
    <w:rsid w:val="11963ADD"/>
    <w:rsid w:val="11EB0F5C"/>
    <w:rsid w:val="11F20483"/>
    <w:rsid w:val="12123C76"/>
    <w:rsid w:val="12831010"/>
    <w:rsid w:val="129038DB"/>
    <w:rsid w:val="13441D7E"/>
    <w:rsid w:val="135C1CDB"/>
    <w:rsid w:val="136F31F8"/>
    <w:rsid w:val="138750E0"/>
    <w:rsid w:val="1396506E"/>
    <w:rsid w:val="13D82A59"/>
    <w:rsid w:val="140E6961"/>
    <w:rsid w:val="15604228"/>
    <w:rsid w:val="15A620D3"/>
    <w:rsid w:val="16A3369E"/>
    <w:rsid w:val="16F5004B"/>
    <w:rsid w:val="17114A8B"/>
    <w:rsid w:val="176B77A7"/>
    <w:rsid w:val="178536BD"/>
    <w:rsid w:val="18952734"/>
    <w:rsid w:val="19516372"/>
    <w:rsid w:val="19575CC2"/>
    <w:rsid w:val="19A80228"/>
    <w:rsid w:val="19AF68C7"/>
    <w:rsid w:val="19E85A53"/>
    <w:rsid w:val="1A101464"/>
    <w:rsid w:val="1A4C1518"/>
    <w:rsid w:val="1AB71087"/>
    <w:rsid w:val="1AB74849"/>
    <w:rsid w:val="1AC52FF2"/>
    <w:rsid w:val="1AE6175D"/>
    <w:rsid w:val="1B742AA7"/>
    <w:rsid w:val="1BD5498B"/>
    <w:rsid w:val="1BF15B4E"/>
    <w:rsid w:val="1CA34935"/>
    <w:rsid w:val="1D5A640E"/>
    <w:rsid w:val="1E9351E5"/>
    <w:rsid w:val="1F7640EC"/>
    <w:rsid w:val="20176B8B"/>
    <w:rsid w:val="20D30097"/>
    <w:rsid w:val="20D76C5F"/>
    <w:rsid w:val="20E55C2B"/>
    <w:rsid w:val="21057490"/>
    <w:rsid w:val="214A230E"/>
    <w:rsid w:val="21B052C4"/>
    <w:rsid w:val="226C6BA7"/>
    <w:rsid w:val="22B43877"/>
    <w:rsid w:val="22CA430C"/>
    <w:rsid w:val="22DF2F05"/>
    <w:rsid w:val="22FF5445"/>
    <w:rsid w:val="23201E3D"/>
    <w:rsid w:val="2342170A"/>
    <w:rsid w:val="238D0E57"/>
    <w:rsid w:val="24256710"/>
    <w:rsid w:val="251E7983"/>
    <w:rsid w:val="25FE2B31"/>
    <w:rsid w:val="260D5D83"/>
    <w:rsid w:val="260E1D77"/>
    <w:rsid w:val="277A77CA"/>
    <w:rsid w:val="28043432"/>
    <w:rsid w:val="284A2254"/>
    <w:rsid w:val="28E30DCE"/>
    <w:rsid w:val="29165294"/>
    <w:rsid w:val="292F1467"/>
    <w:rsid w:val="29786927"/>
    <w:rsid w:val="297B51B4"/>
    <w:rsid w:val="29E40467"/>
    <w:rsid w:val="29F527E2"/>
    <w:rsid w:val="2A9A1E2C"/>
    <w:rsid w:val="2BF35971"/>
    <w:rsid w:val="2C487650"/>
    <w:rsid w:val="2C5A7AC4"/>
    <w:rsid w:val="2E4F43C0"/>
    <w:rsid w:val="2EC7368E"/>
    <w:rsid w:val="2EDC05D9"/>
    <w:rsid w:val="2F240CAA"/>
    <w:rsid w:val="2F5137B6"/>
    <w:rsid w:val="2FF62815"/>
    <w:rsid w:val="30FB4B41"/>
    <w:rsid w:val="31621165"/>
    <w:rsid w:val="31D50CD0"/>
    <w:rsid w:val="322E1E8E"/>
    <w:rsid w:val="323C5548"/>
    <w:rsid w:val="33235CE2"/>
    <w:rsid w:val="33A4019B"/>
    <w:rsid w:val="33F22F3B"/>
    <w:rsid w:val="34281B05"/>
    <w:rsid w:val="359F2200"/>
    <w:rsid w:val="35A42962"/>
    <w:rsid w:val="36AD0EA9"/>
    <w:rsid w:val="36FF783F"/>
    <w:rsid w:val="37450F88"/>
    <w:rsid w:val="375F1A7E"/>
    <w:rsid w:val="378B026E"/>
    <w:rsid w:val="37B47BE4"/>
    <w:rsid w:val="37D6106F"/>
    <w:rsid w:val="37F52D97"/>
    <w:rsid w:val="38241593"/>
    <w:rsid w:val="38856E40"/>
    <w:rsid w:val="38BE1DF3"/>
    <w:rsid w:val="38F862EB"/>
    <w:rsid w:val="39343807"/>
    <w:rsid w:val="39887BBC"/>
    <w:rsid w:val="3A0F7AD4"/>
    <w:rsid w:val="3A53023B"/>
    <w:rsid w:val="3AF42D2D"/>
    <w:rsid w:val="3B062751"/>
    <w:rsid w:val="3B3A041F"/>
    <w:rsid w:val="3BAE6BF9"/>
    <w:rsid w:val="3BEE0229"/>
    <w:rsid w:val="3C3568D7"/>
    <w:rsid w:val="3CCA47F2"/>
    <w:rsid w:val="3CDE0708"/>
    <w:rsid w:val="3D33006A"/>
    <w:rsid w:val="3D3954D4"/>
    <w:rsid w:val="3D5877DF"/>
    <w:rsid w:val="3D5C4FEC"/>
    <w:rsid w:val="3DAE53BC"/>
    <w:rsid w:val="3DC55CAA"/>
    <w:rsid w:val="3DD556CA"/>
    <w:rsid w:val="3DFE271A"/>
    <w:rsid w:val="3E5F4AE1"/>
    <w:rsid w:val="3EFC7AD7"/>
    <w:rsid w:val="3F450429"/>
    <w:rsid w:val="3FB6105E"/>
    <w:rsid w:val="3FBF3F86"/>
    <w:rsid w:val="3FF70715"/>
    <w:rsid w:val="3FFD550C"/>
    <w:rsid w:val="3FFF870E"/>
    <w:rsid w:val="4021030A"/>
    <w:rsid w:val="40226C80"/>
    <w:rsid w:val="40C451A5"/>
    <w:rsid w:val="40C671E5"/>
    <w:rsid w:val="41051ABE"/>
    <w:rsid w:val="4156470B"/>
    <w:rsid w:val="41943ACE"/>
    <w:rsid w:val="42521D88"/>
    <w:rsid w:val="425D4066"/>
    <w:rsid w:val="42605E1E"/>
    <w:rsid w:val="430118BA"/>
    <w:rsid w:val="43173FD4"/>
    <w:rsid w:val="43B27D8E"/>
    <w:rsid w:val="43D00200"/>
    <w:rsid w:val="44143822"/>
    <w:rsid w:val="44654A12"/>
    <w:rsid w:val="44E421C9"/>
    <w:rsid w:val="45320384"/>
    <w:rsid w:val="457C5F26"/>
    <w:rsid w:val="4716830A"/>
    <w:rsid w:val="47BF53CA"/>
    <w:rsid w:val="48B126BB"/>
    <w:rsid w:val="49CF255F"/>
    <w:rsid w:val="4A3239D7"/>
    <w:rsid w:val="4B2C5DCD"/>
    <w:rsid w:val="4B46D032"/>
    <w:rsid w:val="4B7D1173"/>
    <w:rsid w:val="4BBDFBDE"/>
    <w:rsid w:val="4BCF5C41"/>
    <w:rsid w:val="4C150E22"/>
    <w:rsid w:val="4C6A38FC"/>
    <w:rsid w:val="4CD520DA"/>
    <w:rsid w:val="4CE74BC3"/>
    <w:rsid w:val="4CEEB85C"/>
    <w:rsid w:val="4CF5000E"/>
    <w:rsid w:val="4CF74D38"/>
    <w:rsid w:val="4D6D6EEB"/>
    <w:rsid w:val="4DB17672"/>
    <w:rsid w:val="4DB27F04"/>
    <w:rsid w:val="4F5D15A2"/>
    <w:rsid w:val="4FCB46B2"/>
    <w:rsid w:val="4FFE57BD"/>
    <w:rsid w:val="50AC44C4"/>
    <w:rsid w:val="50EA6DB9"/>
    <w:rsid w:val="50FC089B"/>
    <w:rsid w:val="51453FF0"/>
    <w:rsid w:val="515661FD"/>
    <w:rsid w:val="51714DE5"/>
    <w:rsid w:val="51CA7471"/>
    <w:rsid w:val="521C2FA3"/>
    <w:rsid w:val="522529B2"/>
    <w:rsid w:val="524806C4"/>
    <w:rsid w:val="5301082D"/>
    <w:rsid w:val="5387476B"/>
    <w:rsid w:val="53910AF4"/>
    <w:rsid w:val="53FBDA3F"/>
    <w:rsid w:val="54F63F7F"/>
    <w:rsid w:val="555952B3"/>
    <w:rsid w:val="555E65E4"/>
    <w:rsid w:val="556B5A36"/>
    <w:rsid w:val="5599697B"/>
    <w:rsid w:val="55AF40BB"/>
    <w:rsid w:val="55E65FDC"/>
    <w:rsid w:val="5613734A"/>
    <w:rsid w:val="562D7E5B"/>
    <w:rsid w:val="564F3D12"/>
    <w:rsid w:val="56F72F7C"/>
    <w:rsid w:val="5717642E"/>
    <w:rsid w:val="57946554"/>
    <w:rsid w:val="57D80A00"/>
    <w:rsid w:val="586243BF"/>
    <w:rsid w:val="58FD3402"/>
    <w:rsid w:val="5968027A"/>
    <w:rsid w:val="5AAF7799"/>
    <w:rsid w:val="5AB04BD0"/>
    <w:rsid w:val="5B5C1753"/>
    <w:rsid w:val="5BE211F7"/>
    <w:rsid w:val="5BF510BE"/>
    <w:rsid w:val="5C6C4B26"/>
    <w:rsid w:val="5D03DFF6"/>
    <w:rsid w:val="5D9C3D56"/>
    <w:rsid w:val="5DD775C7"/>
    <w:rsid w:val="5E134100"/>
    <w:rsid w:val="5F7A1C50"/>
    <w:rsid w:val="5F959105"/>
    <w:rsid w:val="5FC69000"/>
    <w:rsid w:val="601C4AB5"/>
    <w:rsid w:val="604F2F3E"/>
    <w:rsid w:val="60624663"/>
    <w:rsid w:val="60BE691E"/>
    <w:rsid w:val="60F838FC"/>
    <w:rsid w:val="61444403"/>
    <w:rsid w:val="62265BDF"/>
    <w:rsid w:val="62E1699A"/>
    <w:rsid w:val="62FBC294"/>
    <w:rsid w:val="63123C13"/>
    <w:rsid w:val="637D5875"/>
    <w:rsid w:val="64147F0D"/>
    <w:rsid w:val="64B713E7"/>
    <w:rsid w:val="64D66362"/>
    <w:rsid w:val="65860217"/>
    <w:rsid w:val="659D5052"/>
    <w:rsid w:val="65F598D8"/>
    <w:rsid w:val="667E0AA1"/>
    <w:rsid w:val="66AE5CE5"/>
    <w:rsid w:val="66D4191C"/>
    <w:rsid w:val="677027A4"/>
    <w:rsid w:val="677D4ED4"/>
    <w:rsid w:val="67B37C7A"/>
    <w:rsid w:val="67F20A94"/>
    <w:rsid w:val="68FB17C3"/>
    <w:rsid w:val="695F12F9"/>
    <w:rsid w:val="69636C3A"/>
    <w:rsid w:val="696D83E8"/>
    <w:rsid w:val="69C60A20"/>
    <w:rsid w:val="69CF7B2C"/>
    <w:rsid w:val="69EE4FDB"/>
    <w:rsid w:val="69FEC155"/>
    <w:rsid w:val="6A0B0004"/>
    <w:rsid w:val="6A3273AF"/>
    <w:rsid w:val="6AC56475"/>
    <w:rsid w:val="6AD35263"/>
    <w:rsid w:val="6B8D38AE"/>
    <w:rsid w:val="6BA1010E"/>
    <w:rsid w:val="6BC80F42"/>
    <w:rsid w:val="6CE47E41"/>
    <w:rsid w:val="6CED5810"/>
    <w:rsid w:val="6CF92413"/>
    <w:rsid w:val="6DFE5E04"/>
    <w:rsid w:val="6E0D1F7B"/>
    <w:rsid w:val="6E796921"/>
    <w:rsid w:val="6E87203D"/>
    <w:rsid w:val="6F9278BB"/>
    <w:rsid w:val="6FB7D4E3"/>
    <w:rsid w:val="6FBE0EF0"/>
    <w:rsid w:val="6FFF1C22"/>
    <w:rsid w:val="70EC5DDE"/>
    <w:rsid w:val="71385A33"/>
    <w:rsid w:val="71572F19"/>
    <w:rsid w:val="719B7427"/>
    <w:rsid w:val="71E33685"/>
    <w:rsid w:val="71F326B3"/>
    <w:rsid w:val="724A6793"/>
    <w:rsid w:val="72647B59"/>
    <w:rsid w:val="7372FC32"/>
    <w:rsid w:val="73A56E44"/>
    <w:rsid w:val="73B12A87"/>
    <w:rsid w:val="741F26FA"/>
    <w:rsid w:val="74470DF8"/>
    <w:rsid w:val="744E1D52"/>
    <w:rsid w:val="74BD60BB"/>
    <w:rsid w:val="74CF0052"/>
    <w:rsid w:val="74FA3C0D"/>
    <w:rsid w:val="751D6EAE"/>
    <w:rsid w:val="75FD1676"/>
    <w:rsid w:val="7687113B"/>
    <w:rsid w:val="76C3247D"/>
    <w:rsid w:val="76EFC8B0"/>
    <w:rsid w:val="776ACBF9"/>
    <w:rsid w:val="77FF7A21"/>
    <w:rsid w:val="7951325E"/>
    <w:rsid w:val="799536BA"/>
    <w:rsid w:val="7B170752"/>
    <w:rsid w:val="7B382425"/>
    <w:rsid w:val="7B67F043"/>
    <w:rsid w:val="7B8F681B"/>
    <w:rsid w:val="7BC55225"/>
    <w:rsid w:val="7BFF9B5C"/>
    <w:rsid w:val="7C3B673F"/>
    <w:rsid w:val="7CED5089"/>
    <w:rsid w:val="7D8636B9"/>
    <w:rsid w:val="7DD96C0E"/>
    <w:rsid w:val="7E352599"/>
    <w:rsid w:val="7E474F7B"/>
    <w:rsid w:val="7E7F4A49"/>
    <w:rsid w:val="7E8F7AC1"/>
    <w:rsid w:val="7F2BE2DA"/>
    <w:rsid w:val="7F7F87CE"/>
    <w:rsid w:val="7FB79B09"/>
    <w:rsid w:val="7FE97AB9"/>
    <w:rsid w:val="7FF13FB3"/>
    <w:rsid w:val="7FF31D0E"/>
    <w:rsid w:val="7FFDD6B3"/>
    <w:rsid w:val="7FFFB476"/>
    <w:rsid w:val="8BDF47C4"/>
    <w:rsid w:val="97BCC380"/>
    <w:rsid w:val="9FF5AC62"/>
    <w:rsid w:val="9FFF52D8"/>
    <w:rsid w:val="A7F581DE"/>
    <w:rsid w:val="AEB56B76"/>
    <w:rsid w:val="AF9DF110"/>
    <w:rsid w:val="AFABB544"/>
    <w:rsid w:val="AFFDA29F"/>
    <w:rsid w:val="B5FEB829"/>
    <w:rsid w:val="B8EB831F"/>
    <w:rsid w:val="B97CA8A2"/>
    <w:rsid w:val="BD7D96FE"/>
    <w:rsid w:val="BDEC0853"/>
    <w:rsid w:val="BDFF1D6D"/>
    <w:rsid w:val="BEDF2C93"/>
    <w:rsid w:val="BFCF8B12"/>
    <w:rsid w:val="BFDE3C5E"/>
    <w:rsid w:val="BFF98747"/>
    <w:rsid w:val="BFFBFE8B"/>
    <w:rsid w:val="CD1D59DB"/>
    <w:rsid w:val="D3392114"/>
    <w:rsid w:val="D8BFEB7A"/>
    <w:rsid w:val="DA7C7C00"/>
    <w:rsid w:val="DBBAFFF2"/>
    <w:rsid w:val="DCEDDEBC"/>
    <w:rsid w:val="DD7F0B52"/>
    <w:rsid w:val="DF2D0D8F"/>
    <w:rsid w:val="DF5FFD2E"/>
    <w:rsid w:val="DF7CB467"/>
    <w:rsid w:val="DFB9F830"/>
    <w:rsid w:val="DFD16BC5"/>
    <w:rsid w:val="DFFDD5C9"/>
    <w:rsid w:val="E7C7ECFD"/>
    <w:rsid w:val="E993F613"/>
    <w:rsid w:val="EAF02C80"/>
    <w:rsid w:val="EAFDC676"/>
    <w:rsid w:val="EC7CC44F"/>
    <w:rsid w:val="EDFFCE85"/>
    <w:rsid w:val="EE4B6327"/>
    <w:rsid w:val="EFFEB24D"/>
    <w:rsid w:val="EFFFEA89"/>
    <w:rsid w:val="F3FFB581"/>
    <w:rsid w:val="F67CDAB7"/>
    <w:rsid w:val="F7FFE2AA"/>
    <w:rsid w:val="FA96002D"/>
    <w:rsid w:val="FAFB27C0"/>
    <w:rsid w:val="FAFD7633"/>
    <w:rsid w:val="FB1719BC"/>
    <w:rsid w:val="FB2CBFEE"/>
    <w:rsid w:val="FBF58250"/>
    <w:rsid w:val="FCABCEC9"/>
    <w:rsid w:val="FD2B24D7"/>
    <w:rsid w:val="FD3B6E6A"/>
    <w:rsid w:val="FDB340CE"/>
    <w:rsid w:val="FDEFECB8"/>
    <w:rsid w:val="FDFF90A7"/>
    <w:rsid w:val="FECB43AA"/>
    <w:rsid w:val="FEF02C5D"/>
    <w:rsid w:val="FEF9D4A3"/>
    <w:rsid w:val="FF5F60DE"/>
    <w:rsid w:val="FF5FC66C"/>
    <w:rsid w:val="FF7F1544"/>
    <w:rsid w:val="FF9F4BB4"/>
    <w:rsid w:val="FFBB7CF0"/>
    <w:rsid w:val="FFBFCA4A"/>
    <w:rsid w:val="FFDD4AC6"/>
    <w:rsid w:val="FFDEE716"/>
    <w:rsid w:val="FFF927C6"/>
    <w:rsid w:val="FFFB4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semiHidden="0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qFormat="1" w:unhideWhenUsed="0" w:uiPriority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qFormat="1" w:unhideWhenUsed="0" w:uiPriority="99" w:semiHidden="0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locked/>
    <w:uiPriority w:val="0"/>
    <w:pPr>
      <w:keepNext/>
      <w:keepLines/>
      <w:outlineLvl w:val="0"/>
    </w:pPr>
    <w:rPr>
      <w:rFonts w:eastAsia="黑体"/>
      <w:bCs/>
      <w:kern w:val="44"/>
      <w:szCs w:val="44"/>
    </w:rPr>
  </w:style>
  <w:style w:type="character" w:default="1" w:styleId="15">
    <w:name w:val="Default Paragraph Font"/>
    <w:semiHidden/>
    <w:qFormat/>
    <w:uiPriority w:val="99"/>
  </w:style>
  <w:style w:type="table" w:default="1" w:styleId="1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eastAsia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3">
    <w:name w:val="Body Text 2"/>
    <w:basedOn w:val="1"/>
    <w:qFormat/>
    <w:uiPriority w:val="99"/>
    <w:pPr>
      <w:spacing w:after="120" w:line="480" w:lineRule="auto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Times New Roman" w:hAnsi="Times New Roman" w:eastAsia="宋体" w:cs="Times New Roman"/>
    </w:rPr>
  </w:style>
  <w:style w:type="paragraph" w:styleId="6">
    <w:name w:val="Body Text Indent 2"/>
    <w:basedOn w:val="1"/>
    <w:qFormat/>
    <w:uiPriority w:val="0"/>
    <w:pPr>
      <w:spacing w:after="120" w:afterAutospacing="0" w:line="480" w:lineRule="auto"/>
      <w:ind w:left="420" w:leftChars="200"/>
    </w:pPr>
  </w:style>
  <w:style w:type="paragraph" w:styleId="7">
    <w:name w:val="footer"/>
    <w:basedOn w:val="1"/>
    <w:link w:val="1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footnote text"/>
    <w:basedOn w:val="1"/>
    <w:next w:val="1"/>
    <w:qFormat/>
    <w:uiPriority w:val="0"/>
    <w:pPr>
      <w:snapToGrid w:val="0"/>
      <w:jc w:val="left"/>
    </w:pPr>
    <w:rPr>
      <w:sz w:val="18"/>
      <w:szCs w:val="18"/>
    </w:rPr>
  </w:style>
  <w:style w:type="paragraph" w:styleId="10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1">
    <w:name w:val="Body Text First Indent"/>
    <w:basedOn w:val="2"/>
    <w:next w:val="1"/>
    <w:qFormat/>
    <w:uiPriority w:val="0"/>
    <w:pPr>
      <w:ind w:firstLine="420" w:firstLineChars="100"/>
    </w:pPr>
  </w:style>
  <w:style w:type="paragraph" w:styleId="12">
    <w:name w:val="Body Text First Indent 2"/>
    <w:basedOn w:val="5"/>
    <w:next w:val="11"/>
    <w:qFormat/>
    <w:uiPriority w:val="0"/>
    <w:pPr>
      <w:spacing w:before="100" w:beforeAutospacing="1" w:after="0"/>
      <w:ind w:left="0" w:firstLine="420" w:firstLineChars="200"/>
    </w:pPr>
    <w:rPr>
      <w:rFonts w:ascii="Calibri" w:hAnsi="Calibri" w:eastAsia="宋体" w:cs="Times New Roman"/>
    </w:rPr>
  </w:style>
  <w:style w:type="table" w:styleId="14">
    <w:name w:val="Table Grid"/>
    <w:basedOn w:val="13"/>
    <w:qFormat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6">
    <w:name w:val="page number"/>
    <w:basedOn w:val="15"/>
    <w:qFormat/>
    <w:uiPriority w:val="99"/>
    <w:rPr>
      <w:rFonts w:cs="Times New Roman"/>
    </w:rPr>
  </w:style>
  <w:style w:type="character" w:customStyle="1" w:styleId="17">
    <w:name w:val="Footer Char"/>
    <w:basedOn w:val="15"/>
    <w:link w:val="7"/>
    <w:semiHidden/>
    <w:qFormat/>
    <w:uiPriority w:val="99"/>
    <w:rPr>
      <w:sz w:val="18"/>
      <w:szCs w:val="18"/>
    </w:rPr>
  </w:style>
  <w:style w:type="character" w:customStyle="1" w:styleId="18">
    <w:name w:val="Header Char"/>
    <w:basedOn w:val="15"/>
    <w:link w:val="8"/>
    <w:semiHidden/>
    <w:qFormat/>
    <w:uiPriority w:val="99"/>
    <w:rPr>
      <w:sz w:val="18"/>
      <w:szCs w:val="18"/>
    </w:rPr>
  </w:style>
  <w:style w:type="paragraph" w:styleId="19">
    <w:name w:val="List Paragraph"/>
    <w:basedOn w:val="1"/>
    <w:qFormat/>
    <w:uiPriority w:val="99"/>
    <w:pPr>
      <w:ind w:firstLine="420" w:firstLineChars="200"/>
    </w:pPr>
    <w:rPr>
      <w:rFonts w:ascii="Calibri" w:hAnsi="Calibri"/>
      <w:szCs w:val="22"/>
    </w:rPr>
  </w:style>
  <w:style w:type="table" w:customStyle="1" w:styleId="2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1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22">
    <w:name w:val="BodyText"/>
    <w:basedOn w:val="1"/>
    <w:next w:val="23"/>
    <w:qFormat/>
    <w:uiPriority w:val="0"/>
    <w:pPr>
      <w:widowControl/>
      <w:spacing w:before="100" w:beforeAutospacing="1" w:after="120" w:line="560" w:lineRule="exact"/>
      <w:ind w:firstLine="640" w:firstLineChars="200"/>
      <w:textAlignment w:val="baseline"/>
    </w:pPr>
    <w:rPr>
      <w:rFonts w:eastAsia="仿宋_GB2312"/>
      <w:sz w:val="32"/>
      <w:szCs w:val="32"/>
    </w:rPr>
  </w:style>
  <w:style w:type="paragraph" w:customStyle="1" w:styleId="23">
    <w:name w:val="UserStyle_3"/>
    <w:basedOn w:val="1"/>
    <w:qFormat/>
    <w:uiPriority w:val="0"/>
    <w:pPr>
      <w:widowControl/>
      <w:pBdr>
        <w:top w:val="single" w:color="000000" w:sz="4" w:space="0"/>
        <w:left w:val="single" w:color="000000" w:sz="8" w:space="0"/>
        <w:bottom w:val="single" w:color="000000" w:sz="4" w:space="0"/>
        <w:right w:val="single" w:color="000000" w:sz="4" w:space="0"/>
      </w:pBdr>
      <w:spacing w:before="100" w:beforeAutospacing="1" w:after="100" w:afterAutospacing="1" w:line="560" w:lineRule="exact"/>
      <w:ind w:firstLine="640" w:firstLineChars="200"/>
      <w:jc w:val="center"/>
      <w:textAlignment w:val="baseline"/>
    </w:pPr>
    <w:rPr>
      <w:rFonts w:ascii="???-18030" w:hAnsi="???-18030" w:eastAsia="仿宋_GB2312"/>
      <w:kern w:val="0"/>
      <w:sz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12</Pages>
  <Words>4148</Words>
  <Characters>4703</Characters>
  <Lines>0</Lines>
  <Paragraphs>0</Paragraphs>
  <TotalTime>15</TotalTime>
  <ScaleCrop>false</ScaleCrop>
  <LinksUpToDate>false</LinksUpToDate>
  <CharactersWithSpaces>4784</CharactersWithSpaces>
  <Application>WPS Office_11.8.2.10605_F1E327BC-269C-435d-A152-05C5408002CA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2020-06-07T17:07:00Z</dcterms:created>
  <dc:creator>Administrator</dc:creator>
  <cp:lastModifiedBy>user</cp:lastModifiedBy>
  <cp:lastPrinted>2024-05-21T23:59:00Z</cp:lastPrinted>
  <dcterms:modified xsi:type="dcterms:W3CDTF">2024-06-06T11:31:09Z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2052-11.8.2.10605</vt:lpwstr>
  </property>
  <property fmtid="{D5CDD505-2E9C-101B-9397-08002B2CF9AE}" pid="3" name="KSOSaveFontToCloudKey">
    <vt:lpwstr>386772509_embed</vt:lpwstr>
  </property>
  <property fmtid="{D5CDD505-2E9C-101B-9397-08002B2CF9AE}" pid="4" name="ICV">
    <vt:lpwstr>9CC01C7BD4944ED0AB76D6B45FFD8790_13</vt:lpwstr>
  </property>
</Properties>
</file>