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jc w:val="center"/>
        <w:rPr>
          <w:rFonts w:hint="default" w:ascii="Times New Roman" w:hAnsi="Times New Roman" w:eastAsia="方正小标宋_GBK" w:cs="Times New Roman"/>
          <w:sz w:val="28"/>
          <w:szCs w:val="28"/>
        </w:rPr>
      </w:pPr>
    </w:p>
    <w:p>
      <w:pPr>
        <w:jc w:val="center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202</w:t>
      </w:r>
      <w:r>
        <w:rPr>
          <w:rFonts w:hint="eastAsia" w:ascii="宋体" w:hAnsi="宋体" w:cs="宋体"/>
          <w:b w:val="0"/>
          <w:bCs w:val="0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年度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长江洞庭湖水利事务中心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整体支出</w:t>
      </w:r>
    </w:p>
    <w:p>
      <w:pPr>
        <w:jc w:val="center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绩效自评报告</w:t>
      </w:r>
    </w:p>
    <w:p>
      <w:pPr>
        <w:jc w:val="center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楷体_GB2312" w:cs="Times New Roman"/>
          <w:b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center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jc w:val="both"/>
        <w:rPr>
          <w:rFonts w:hint="default" w:ascii="Times New Roman" w:hAnsi="Times New Roman" w:eastAsia="黑体" w:cs="Times New Roman"/>
          <w:sz w:val="28"/>
          <w:szCs w:val="28"/>
        </w:rPr>
      </w:pPr>
    </w:p>
    <w:p>
      <w:pPr>
        <w:spacing w:line="600" w:lineRule="exact"/>
        <w:jc w:val="center"/>
        <w:rPr>
          <w:rFonts w:hint="default" w:ascii="Times New Roman" w:hAnsi="Times New Roman" w:eastAsia="仿宋_GB2312" w:cs="Times New Roman"/>
          <w:sz w:val="28"/>
          <w:szCs w:val="28"/>
          <w:u w:val="single"/>
        </w:rPr>
      </w:pPr>
      <w:r>
        <w:rPr>
          <w:rFonts w:hint="default" w:ascii="Times New Roman" w:hAnsi="Times New Roman" w:eastAsia="仿宋_GB2312" w:cs="Times New Roman"/>
          <w:sz w:val="28"/>
          <w:szCs w:val="28"/>
        </w:rPr>
        <w:t>部门（单位）名称：</w:t>
      </w:r>
      <w:r>
        <w:rPr>
          <w:rFonts w:hint="default" w:ascii="Times New Roman" w:hAnsi="Times New Roman" w:eastAsia="仿宋_GB2312" w:cs="Times New Roman"/>
          <w:sz w:val="28"/>
          <w:szCs w:val="28"/>
          <w:u w:val="single"/>
        </w:rPr>
        <w:t>（盖章）</w:t>
      </w:r>
    </w:p>
    <w:p>
      <w:pPr>
        <w:spacing w:line="600" w:lineRule="exact"/>
        <w:jc w:val="center"/>
        <w:rPr>
          <w:rFonts w:hint="default" w:ascii="Times New Roman" w:hAnsi="Times New Roman" w:eastAsia="楷体_GB2312" w:cs="Times New Roman"/>
          <w:sz w:val="28"/>
          <w:szCs w:val="28"/>
        </w:rPr>
      </w:pPr>
      <w:r>
        <w:rPr>
          <w:rFonts w:hint="eastAsia" w:eastAsia="楷体_GB2312" w:cs="Times New Roman"/>
          <w:sz w:val="28"/>
          <w:szCs w:val="28"/>
          <w:lang w:val="en-US" w:eastAsia="zh-CN"/>
        </w:rPr>
        <w:t>2024</w:t>
      </w:r>
      <w:r>
        <w:rPr>
          <w:rFonts w:hint="default" w:ascii="Times New Roman" w:hAnsi="Times New Roman" w:eastAsia="楷体_GB2312" w:cs="Times New Roman"/>
          <w:sz w:val="28"/>
          <w:szCs w:val="28"/>
        </w:rPr>
        <w:t xml:space="preserve">年  </w:t>
      </w:r>
      <w:r>
        <w:rPr>
          <w:rFonts w:hint="eastAsia" w:eastAsia="楷体_GB2312" w:cs="Times New Roman"/>
          <w:sz w:val="28"/>
          <w:szCs w:val="28"/>
          <w:lang w:val="en-US" w:eastAsia="zh-CN"/>
        </w:rPr>
        <w:t>05</w:t>
      </w:r>
      <w:r>
        <w:rPr>
          <w:rFonts w:hint="default" w:ascii="Times New Roman" w:hAnsi="Times New Roman" w:eastAsia="楷体_GB2312" w:cs="Times New Roman"/>
          <w:sz w:val="28"/>
          <w:szCs w:val="28"/>
        </w:rPr>
        <w:t xml:space="preserve">月 </w:t>
      </w:r>
      <w:r>
        <w:rPr>
          <w:rFonts w:hint="eastAsia" w:eastAsia="楷体_GB2312" w:cs="Times New Roman"/>
          <w:sz w:val="28"/>
          <w:szCs w:val="28"/>
          <w:lang w:val="en-US" w:eastAsia="zh-CN"/>
        </w:rPr>
        <w:t>27</w:t>
      </w:r>
      <w:r>
        <w:rPr>
          <w:rFonts w:hint="default" w:ascii="Times New Roman" w:hAnsi="Times New Roman" w:eastAsia="楷体_GB2312" w:cs="Times New Roman"/>
          <w:sz w:val="28"/>
          <w:szCs w:val="28"/>
        </w:rPr>
        <w:t xml:space="preserve"> 日</w:t>
      </w:r>
    </w:p>
    <w:p>
      <w:pPr>
        <w:jc w:val="center"/>
        <w:rPr>
          <w:rFonts w:hint="default" w:ascii="Times New Roman" w:hAnsi="Times New Roman" w:eastAsia="仿宋_GB2312" w:cs="Times New Roman"/>
          <w:sz w:val="28"/>
          <w:szCs w:val="28"/>
        </w:rPr>
        <w:sectPr>
          <w:footerReference r:id="rId3" w:type="default"/>
          <w:pgSz w:w="11906" w:h="16838"/>
          <w:pgMar w:top="850" w:right="1020" w:bottom="850" w:left="102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2" w:charSpace="0"/>
        </w:sectPr>
      </w:pPr>
      <w:r>
        <w:rPr>
          <w:rFonts w:hint="default" w:ascii="Times New Roman" w:hAnsi="Times New Roman" w:eastAsia="仿宋_GB2312" w:cs="Times New Roman"/>
          <w:sz w:val="28"/>
          <w:szCs w:val="28"/>
        </w:rPr>
        <w:t>（此页为封面）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28"/>
          <w:szCs w:val="28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202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年度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长江洞庭湖水利事务中心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整体支出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28"/>
          <w:szCs w:val="28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default" w:ascii="Times New Roman" w:hAnsi="Times New Roman" w:eastAsia="仿宋_GB2312" w:cs="Times New Roman"/>
          <w:sz w:val="28"/>
          <w:szCs w:val="28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default" w:ascii="Times New Roman" w:hAnsi="Times New Roman" w:eastAsia="黑体" w:cs="Times New Roman"/>
          <w:sz w:val="28"/>
          <w:szCs w:val="28"/>
        </w:rPr>
        <w:t>部门（单位）基本情况</w:t>
      </w:r>
    </w:p>
    <w:p>
      <w:pPr>
        <w:pStyle w:val="7"/>
        <w:rPr>
          <w:rFonts w:hint="default"/>
          <w:sz w:val="28"/>
          <w:szCs w:val="28"/>
        </w:rPr>
      </w:pPr>
    </w:p>
    <w:p>
      <w:pPr>
        <w:pStyle w:val="7"/>
        <w:rPr>
          <w:rFonts w:hint="default"/>
          <w:sz w:val="28"/>
          <w:szCs w:val="28"/>
        </w:rPr>
      </w:pPr>
    </w:p>
    <w:p>
      <w:pPr>
        <w:numPr>
          <w:ilvl w:val="0"/>
          <w:numId w:val="0"/>
        </w:numPr>
        <w:autoSpaceDN w:val="0"/>
        <w:spacing w:line="320" w:lineRule="exact"/>
        <w:ind w:left="120" w:leftChars="0"/>
        <w:jc w:val="left"/>
        <w:textAlignment w:val="center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华容县长江洞庭湖水利事务中心属二级纯公益性事业单位，属财政</w:t>
      </w:r>
    </w:p>
    <w:p>
      <w:pPr>
        <w:numPr>
          <w:ilvl w:val="0"/>
          <w:numId w:val="0"/>
        </w:numPr>
        <w:autoSpaceDN w:val="0"/>
        <w:spacing w:line="320" w:lineRule="exact"/>
        <w:ind w:left="120" w:leftChars="0"/>
        <w:jc w:val="left"/>
        <w:textAlignment w:val="center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autoSpaceDN w:val="0"/>
        <w:spacing w:line="320" w:lineRule="exact"/>
        <w:jc w:val="left"/>
        <w:textAlignment w:val="center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全额拨款单位。人员编制总数：22名，退休人员：4名，实有在编人数：</w:t>
      </w:r>
    </w:p>
    <w:p>
      <w:pPr>
        <w:numPr>
          <w:ilvl w:val="0"/>
          <w:numId w:val="0"/>
        </w:numPr>
        <w:autoSpaceDN w:val="0"/>
        <w:spacing w:line="320" w:lineRule="exact"/>
        <w:jc w:val="left"/>
        <w:textAlignment w:val="center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autoSpaceDN w:val="0"/>
        <w:spacing w:line="320" w:lineRule="exact"/>
        <w:jc w:val="left"/>
        <w:textAlignment w:val="center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27名。主要职责：</w:t>
      </w:r>
    </w:p>
    <w:p>
      <w:pPr>
        <w:numPr>
          <w:ilvl w:val="0"/>
          <w:numId w:val="2"/>
        </w:numPr>
        <w:rPr>
          <w:rFonts w:hint="eastAsia" w:eastAsia="仿宋_GB2312"/>
          <w:kern w:val="0"/>
          <w:sz w:val="28"/>
          <w:szCs w:val="28"/>
          <w:lang w:val="en-US" w:eastAsia="zh-CN"/>
        </w:rPr>
      </w:pPr>
      <w:r>
        <w:rPr>
          <w:rFonts w:hint="eastAsia" w:eastAsia="仿宋_GB2312"/>
          <w:kern w:val="0"/>
          <w:sz w:val="28"/>
          <w:szCs w:val="28"/>
          <w:lang w:val="en-US" w:eastAsia="zh-CN"/>
        </w:rPr>
        <w:t>负责县域内江、湖、河道、湖泊的水生态环境保护与治理等事务性研究工作。</w:t>
      </w:r>
    </w:p>
    <w:p>
      <w:pPr>
        <w:numPr>
          <w:ilvl w:val="0"/>
          <w:numId w:val="3"/>
        </w:numPr>
        <w:rPr>
          <w:rFonts w:hint="eastAsia" w:eastAsia="仿宋_GB2312"/>
          <w:kern w:val="0"/>
          <w:sz w:val="28"/>
          <w:szCs w:val="28"/>
          <w:lang w:val="en-US" w:eastAsia="zh-CN"/>
        </w:rPr>
      </w:pPr>
      <w:r>
        <w:rPr>
          <w:rFonts w:hint="eastAsia" w:eastAsia="仿宋_GB2312"/>
          <w:kern w:val="0"/>
          <w:sz w:val="28"/>
          <w:szCs w:val="28"/>
          <w:lang w:val="en-US" w:eastAsia="zh-CN"/>
        </w:rPr>
        <w:t>负责县域内江、湖、河道、中小型水库、水土保持、农饮等相关规划编制和相关重大水利项目的前期运作、项目建设、运行管理等事务性工作。</w:t>
      </w:r>
    </w:p>
    <w:p>
      <w:pPr>
        <w:pStyle w:val="2"/>
        <w:numPr>
          <w:ilvl w:val="0"/>
          <w:numId w:val="1"/>
        </w:numPr>
        <w:ind w:left="0" w:leftChars="0"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一般公共预算支出情况</w:t>
      </w:r>
    </w:p>
    <w:p>
      <w:pPr>
        <w:pStyle w:val="14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  <w:t>（一）</w:t>
      </w:r>
      <w:r>
        <w:rPr>
          <w:rFonts w:hint="default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  <w:t>基本支出情况</w:t>
      </w:r>
    </w:p>
    <w:p>
      <w:pPr>
        <w:snapToGrid w:val="0"/>
        <w:spacing w:beforeAutospacing="0" w:afterAutospacing="0" w:line="520" w:lineRule="exact"/>
        <w:ind w:firstLine="560" w:firstLineChars="200"/>
        <w:rPr>
          <w:rFonts w:hint="default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当年收入支出预算执行基本情况为本年收入582.24万元、支出558.69万元，比上年收入399.96.万元增长了182.28万元，增幅45.60%，其中：一般公共预算财政拨款收入541.97万元，较比去年354.64万元增加187.33万元，增幅52.83%；其他收入40.27万元，比2022年45.32万元减少5.05万元。</w:t>
      </w:r>
    </w:p>
    <w:p>
      <w:pPr>
        <w:pStyle w:val="14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  <w:t>（二）、</w:t>
      </w:r>
      <w:r>
        <w:rPr>
          <w:rFonts w:hint="default" w:ascii="Times New Roman" w:hAnsi="Times New Roman" w:eastAsia="黑体" w:cs="Times New Roman"/>
          <w:kern w:val="2"/>
          <w:sz w:val="28"/>
          <w:szCs w:val="28"/>
          <w:lang w:val="en-US" w:eastAsia="zh-CN" w:bidi="ar-SA"/>
        </w:rPr>
        <w:t>项目支出情况</w:t>
      </w:r>
    </w:p>
    <w:p>
      <w:pPr>
        <w:pStyle w:val="14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 w:firstLine="840" w:firstLineChars="300"/>
        <w:jc w:val="both"/>
        <w:textAlignment w:val="auto"/>
        <w:rPr>
          <w:rFonts w:hint="eastAsia" w:ascii="Times New Roman" w:hAnsi="Times New Roman" w:eastAsia="黑体" w:cs="Times New Roman"/>
          <w:b w:val="0"/>
          <w:bCs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b w:val="0"/>
          <w:bCs w:val="0"/>
          <w:kern w:val="2"/>
          <w:sz w:val="28"/>
          <w:szCs w:val="28"/>
          <w:lang w:val="en-US" w:eastAsia="zh-CN" w:bidi="ar-SA"/>
        </w:rPr>
        <w:t>本年项目支出：381.11万元。比上年增加381.11万元。比上年增加100%主要原因是因为是增了工程项目。</w:t>
      </w:r>
    </w:p>
    <w:p>
      <w:pPr>
        <w:pStyle w:val="14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 w:firstLine="840" w:firstLineChars="300"/>
        <w:jc w:val="both"/>
        <w:textAlignment w:val="auto"/>
        <w:rPr>
          <w:rFonts w:hint="default" w:ascii="Times New Roman" w:hAnsi="Times New Roman" w:eastAsia="黑体" w:cs="Times New Roman"/>
          <w:b w:val="0"/>
          <w:bCs w:val="0"/>
          <w:kern w:val="2"/>
          <w:sz w:val="28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560" w:firstLine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政府性基金预算支出情况</w:t>
      </w:r>
    </w:p>
    <w:p>
      <w:pPr>
        <w:pStyle w:val="2"/>
        <w:rPr>
          <w:rFonts w:hint="default"/>
          <w:sz w:val="28"/>
          <w:szCs w:val="28"/>
          <w:lang w:val="en-US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无</w:t>
      </w:r>
    </w:p>
    <w:p>
      <w:pPr>
        <w:pStyle w:val="2"/>
        <w:rPr>
          <w:rFonts w:hint="default"/>
          <w:sz w:val="28"/>
          <w:szCs w:val="28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560" w:firstLine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国有资本经营预算支出情况</w:t>
      </w:r>
    </w:p>
    <w:p>
      <w:pPr>
        <w:pStyle w:val="2"/>
        <w:ind w:left="0" w:leftChars="0" w:firstLine="0" w:firstLineChars="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      无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560" w:firstLine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社会保险基金预算支出情况</w:t>
      </w:r>
    </w:p>
    <w:p>
      <w:pPr>
        <w:pStyle w:val="2"/>
        <w:rPr>
          <w:rFonts w:hint="default"/>
          <w:sz w:val="28"/>
          <w:szCs w:val="28"/>
          <w:lang w:val="en-US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无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560" w:firstLine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default" w:ascii="Times New Roman" w:hAnsi="Times New Roman" w:eastAsia="黑体" w:cs="Times New Roman"/>
          <w:sz w:val="28"/>
          <w:szCs w:val="28"/>
        </w:rPr>
        <w:t>部门整体支出绩效情况</w:t>
      </w:r>
    </w:p>
    <w:p>
      <w:pPr>
        <w:pStyle w:val="7"/>
        <w:numPr>
          <w:ilvl w:val="0"/>
          <w:numId w:val="0"/>
        </w:numPr>
        <w:rPr>
          <w:rFonts w:hint="default"/>
          <w:sz w:val="28"/>
          <w:szCs w:val="28"/>
        </w:rPr>
      </w:pPr>
    </w:p>
    <w:p>
      <w:pPr>
        <w:spacing w:line="560" w:lineRule="exact"/>
        <w:ind w:firstLine="560" w:firstLineChars="20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按上级部门要求使用支出绩效，没有违规违纪超范围使用。</w:t>
      </w:r>
    </w:p>
    <w:p>
      <w:pPr>
        <w:spacing w:line="560" w:lineRule="exact"/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" w:hAnsi="仿宋" w:eastAsia="仿宋" w:cs="仿宋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根据年初设定的绩效目标，绩效自评</w:t>
      </w:r>
      <w:r>
        <w:rPr>
          <w:rFonts w:hint="eastAsia" w:ascii="仿宋" w:hAnsi="仿宋" w:eastAsia="仿宋" w:cs="仿宋"/>
          <w:sz w:val="28"/>
          <w:szCs w:val="28"/>
        </w:rPr>
        <w:t>得分为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100</w:t>
      </w:r>
      <w:r>
        <w:rPr>
          <w:rFonts w:hint="eastAsia" w:ascii="仿宋" w:hAnsi="仿宋" w:eastAsia="仿宋" w:cs="仿宋"/>
          <w:sz w:val="28"/>
          <w:szCs w:val="28"/>
        </w:rPr>
        <w:t>分。绩效目标完成情况：一是完成了华容县325公里的一线防洪大堤和32.7公里长江干堤规范化管理实施工作。提升了资金使用效率。二是密切关注目标任务开展情况，确保实际工作切合绩效目标。三是从评价情况来看，长江洞庭湖水利事务中心根据年初工作规划和重点工作，围绕县委、县政府的工作部署，较好地完成了年度工作目标，同时加强预算收支的管理，建立健全内部管理制度，严格内部管理流程，严控三公经费，厉行节约压减一般性支出，部门整体支出管理得到了提升。</w:t>
      </w:r>
    </w:p>
    <w:p>
      <w:pPr>
        <w:pStyle w:val="14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280" w:firstLineChars="1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七、</w:t>
      </w:r>
      <w:r>
        <w:rPr>
          <w:rFonts w:hint="default" w:ascii="Times New Roman" w:hAnsi="Times New Roman" w:eastAsia="黑体" w:cs="Times New Roman"/>
          <w:sz w:val="28"/>
          <w:szCs w:val="28"/>
        </w:rPr>
        <w:t>存在的问题及原因分析</w:t>
      </w:r>
    </w:p>
    <w:p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预算执行监控力度不强，进一步规范财务核算，加强预算执行情况的监管力度；绩效管理制度体系薄弱，还要进一步完善，推进制度落实。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/>
        <w:jc w:val="both"/>
        <w:textAlignment w:val="auto"/>
        <w:rPr>
          <w:rFonts w:hint="default" w:ascii="Times New Roman" w:hAnsi="Times New Roman" w:eastAsia="黑体" w:cs="Times New Roman"/>
          <w:sz w:val="28"/>
          <w:szCs w:val="28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八、</w:t>
      </w:r>
      <w:r>
        <w:rPr>
          <w:rFonts w:hint="default" w:ascii="Times New Roman" w:hAnsi="Times New Roman" w:eastAsia="黑体" w:cs="Times New Roman"/>
          <w:sz w:val="28"/>
          <w:szCs w:val="28"/>
        </w:rPr>
        <w:t>下一步改进措施</w:t>
      </w:r>
    </w:p>
    <w:p>
      <w:pPr>
        <w:pStyle w:val="7"/>
        <w:numPr>
          <w:ilvl w:val="0"/>
          <w:numId w:val="0"/>
        </w:numPr>
        <w:ind w:leftChars="200"/>
        <w:rPr>
          <w:rFonts w:hint="default"/>
          <w:sz w:val="28"/>
          <w:szCs w:val="28"/>
        </w:rPr>
      </w:pPr>
    </w:p>
    <w:p>
      <w:pPr>
        <w:numPr>
          <w:ilvl w:val="0"/>
          <w:numId w:val="4"/>
        </w:numPr>
        <w:spacing w:line="560" w:lineRule="exact"/>
        <w:ind w:leftChars="200"/>
        <w:rPr>
          <w:rFonts w:hint="eastAsia" w:ascii="仿宋" w:hAnsi="仿宋" w:eastAsia="仿宋" w:cs="仿宋"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Cs/>
          <w:sz w:val="28"/>
          <w:szCs w:val="28"/>
          <w:lang w:val="en-US" w:eastAsia="zh-CN"/>
        </w:rPr>
        <w:t>切实加快预算执行进度，提升资金使用效率。</w:t>
      </w:r>
    </w:p>
    <w:p>
      <w:pPr>
        <w:numPr>
          <w:ilvl w:val="0"/>
          <w:numId w:val="4"/>
        </w:numPr>
        <w:spacing w:line="560" w:lineRule="exact"/>
        <w:ind w:leftChars="200"/>
        <w:rPr>
          <w:rFonts w:hint="eastAsia" w:ascii="仿宋" w:hAnsi="仿宋" w:eastAsia="仿宋" w:cs="仿宋"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Cs/>
          <w:sz w:val="28"/>
          <w:szCs w:val="28"/>
          <w:lang w:val="en-US" w:eastAsia="zh-CN"/>
        </w:rPr>
        <w:t>密切关注目标任务开展情况，确保实际工作切合绩效目标。</w:t>
      </w:r>
    </w:p>
    <w:p>
      <w:pPr>
        <w:rPr>
          <w:rFonts w:hint="default"/>
          <w:sz w:val="28"/>
          <w:szCs w:val="28"/>
        </w:rPr>
      </w:pPr>
    </w:p>
    <w:p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eastAsia" w:eastAsia="黑体" w:cs="Times New Roman"/>
          <w:sz w:val="28"/>
          <w:szCs w:val="28"/>
          <w:lang w:val="en-US" w:eastAsia="zh-CN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部门整体支出绩效自评拟应用和公开情况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1120" w:firstLineChars="400"/>
        <w:jc w:val="both"/>
        <w:textAlignment w:val="auto"/>
        <w:rPr>
          <w:rFonts w:hint="eastAsia" w:eastAsia="黑体" w:cs="Times New Roman"/>
          <w:sz w:val="28"/>
          <w:szCs w:val="28"/>
          <w:lang w:val="en-US" w:eastAsia="zh-CN"/>
        </w:rPr>
      </w:pPr>
      <w:r>
        <w:rPr>
          <w:rFonts w:hint="eastAsia" w:eastAsia="黑体" w:cs="Times New Roman"/>
          <w:sz w:val="28"/>
          <w:szCs w:val="28"/>
          <w:lang w:val="en-US" w:eastAsia="zh-CN"/>
        </w:rPr>
        <w:t>2023年</w:t>
      </w:r>
      <w:bookmarkStart w:id="0" w:name="_GoBack"/>
      <w:bookmarkEnd w:id="0"/>
      <w:r>
        <w:rPr>
          <w:rFonts w:hint="eastAsia" w:eastAsia="黑体" w:cs="Times New Roman"/>
          <w:sz w:val="28"/>
          <w:szCs w:val="28"/>
          <w:lang w:val="en-US" w:eastAsia="zh-CN"/>
        </w:rPr>
        <w:t>整体支出绩效自评拟应用和公开</w:t>
      </w:r>
    </w:p>
    <w:p>
      <w:pPr>
        <w:pStyle w:val="2"/>
        <w:rPr>
          <w:rFonts w:hint="eastAsia"/>
          <w:sz w:val="28"/>
          <w:szCs w:val="28"/>
          <w:lang w:val="en-US" w:eastAsia="zh-CN"/>
        </w:rPr>
      </w:pPr>
    </w:p>
    <w:p>
      <w:pPr>
        <w:pStyle w:val="2"/>
        <w:tabs>
          <w:tab w:val="left" w:pos="2721"/>
        </w:tabs>
        <w:rPr>
          <w:rFonts w:hint="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default" w:ascii="Times New Roman" w:hAnsi="Times New Roman" w:eastAsia="仿宋_GB2312" w:cs="Times New Roman"/>
          <w:sz w:val="28"/>
          <w:szCs w:val="28"/>
        </w:rPr>
      </w:pPr>
      <w:r>
        <w:rPr>
          <w:rFonts w:hint="default" w:ascii="Times New Roman" w:hAnsi="Times New Roman" w:eastAsia="黑体" w:cs="Times New Roman"/>
          <w:sz w:val="28"/>
          <w:szCs w:val="28"/>
        </w:rPr>
        <w:t>其他需要说明的情况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0"/>
        <w:rPr>
          <w:rFonts w:hint="default" w:ascii="仿宋_GB2312" w:eastAsia="仿宋_GB2312"/>
          <w:sz w:val="28"/>
          <w:szCs w:val="28"/>
          <w:lang w:val="en-US" w:eastAsia="zh-CN"/>
        </w:rPr>
        <w:sectPr>
          <w:pgSz w:w="11906" w:h="16838"/>
          <w:pgMar w:top="850" w:right="1020" w:bottom="850" w:left="102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</w:pPr>
    </w:p>
    <w:sectPr>
      <w:pgSz w:w="11906" w:h="16838"/>
      <w:pgMar w:top="850" w:right="1020" w:bottom="850" w:left="102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76005D7-7A70-4166-828C-350C1DC1496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C537CF2-8A39-4D62-BFF8-1CBC7EF7B8E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F9ECEAEE-5579-422C-B47C-F2676AF5EF3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BF09F44-14CB-4A52-B597-5CB9A399334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899480D-6585-44E2-82C5-96B81928B44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90DA1DD-6651-4238-8658-5431B6623BBE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93BC89AD-3C3C-4FC7-9C7C-321D466F95DA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682281E3-FBDC-4B61-BC2D-104877550247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369C2E8E-ABF7-496A-93F8-476C39276801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0" w:fontKey="{A012857F-63B1-428E-A857-99C1B3F65EB2}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  <w:embedRegular r:id="rId11" w:fontKey="{34BEC624-8BD3-4895-AE67-30DA4D5548FC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2" w:fontKey="{9DBC3B14-F5F0-4EF4-90D5-62BA1A3B882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right"/>
      <w:rPr>
        <w:rFonts w:ascii="仿宋_GB2312" w:eastAsia="仿宋_GB2312"/>
        <w:sz w:val="28"/>
        <w:szCs w:val="28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5"/>
                            <w:jc w:val="right"/>
                          </w:pP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  <w:lang w:val="zh-CN"/>
                            </w:rPr>
                            <w:t>1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jHpww4AgAAb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mMenDD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jc w:val="right"/>
                    </w:pP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  <w:lang w:val="zh-CN"/>
                      </w:rPr>
                      <w:t>1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19186D"/>
    <w:multiLevelType w:val="singleLevel"/>
    <w:tmpl w:val="8219186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A6017A25"/>
    <w:multiLevelType w:val="singleLevel"/>
    <w:tmpl w:val="A6017A25"/>
    <w:lvl w:ilvl="0" w:tentative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EA87B86D"/>
    <w:multiLevelType w:val="singleLevel"/>
    <w:tmpl w:val="EA87B86D"/>
    <w:lvl w:ilvl="0" w:tentative="0">
      <w:start w:val="1"/>
      <w:numFmt w:val="decimal"/>
      <w:suff w:val="nothing"/>
      <w:lvlText w:val="%1，"/>
      <w:lvlJc w:val="left"/>
    </w:lvl>
  </w:abstractNum>
  <w:abstractNum w:abstractNumId="3">
    <w:nsid w:val="5A9CD9AD"/>
    <w:multiLevelType w:val="singleLevel"/>
    <w:tmpl w:val="5A9CD9AD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780943DF"/>
    <w:multiLevelType w:val="singleLevel"/>
    <w:tmpl w:val="780943D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6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RhMWY5NjY0NGVmNzU5MTk1OWE1MTQ3ZGRlZjkyYTg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A755C2"/>
    <w:rsid w:val="013D543C"/>
    <w:rsid w:val="016A347B"/>
    <w:rsid w:val="020E39C0"/>
    <w:rsid w:val="021008F4"/>
    <w:rsid w:val="024A675E"/>
    <w:rsid w:val="02B50488"/>
    <w:rsid w:val="0338470A"/>
    <w:rsid w:val="034822A9"/>
    <w:rsid w:val="03D86621"/>
    <w:rsid w:val="04DD78F3"/>
    <w:rsid w:val="04EE6171"/>
    <w:rsid w:val="05395EA9"/>
    <w:rsid w:val="085E20B3"/>
    <w:rsid w:val="0ABD557B"/>
    <w:rsid w:val="0BBB5A8D"/>
    <w:rsid w:val="0C104906"/>
    <w:rsid w:val="0CCB7736"/>
    <w:rsid w:val="0D9E0E8D"/>
    <w:rsid w:val="0EAB7397"/>
    <w:rsid w:val="0EDA1396"/>
    <w:rsid w:val="0EF755B3"/>
    <w:rsid w:val="0F17035E"/>
    <w:rsid w:val="0F4E168D"/>
    <w:rsid w:val="11404466"/>
    <w:rsid w:val="11963ADD"/>
    <w:rsid w:val="11EB0F5C"/>
    <w:rsid w:val="11F20483"/>
    <w:rsid w:val="12CE20C9"/>
    <w:rsid w:val="136F31F8"/>
    <w:rsid w:val="138750E0"/>
    <w:rsid w:val="13AA1B4B"/>
    <w:rsid w:val="13C84D55"/>
    <w:rsid w:val="152359C3"/>
    <w:rsid w:val="15A620D3"/>
    <w:rsid w:val="16A3369E"/>
    <w:rsid w:val="178536BD"/>
    <w:rsid w:val="19516372"/>
    <w:rsid w:val="19575CC2"/>
    <w:rsid w:val="19A80228"/>
    <w:rsid w:val="1A101464"/>
    <w:rsid w:val="1AB74849"/>
    <w:rsid w:val="1AC52FF2"/>
    <w:rsid w:val="1ADF0EA6"/>
    <w:rsid w:val="1AE6175D"/>
    <w:rsid w:val="1B742AA7"/>
    <w:rsid w:val="1CA34935"/>
    <w:rsid w:val="1D5A640E"/>
    <w:rsid w:val="1E5512CD"/>
    <w:rsid w:val="1F7640EC"/>
    <w:rsid w:val="20D76C5F"/>
    <w:rsid w:val="21057490"/>
    <w:rsid w:val="214A230E"/>
    <w:rsid w:val="21B052C4"/>
    <w:rsid w:val="22FF5445"/>
    <w:rsid w:val="235615D2"/>
    <w:rsid w:val="238D0E57"/>
    <w:rsid w:val="24256710"/>
    <w:rsid w:val="251E7983"/>
    <w:rsid w:val="260D5D83"/>
    <w:rsid w:val="27C5145E"/>
    <w:rsid w:val="27E57396"/>
    <w:rsid w:val="280E15E5"/>
    <w:rsid w:val="284A2254"/>
    <w:rsid w:val="292F1467"/>
    <w:rsid w:val="29786927"/>
    <w:rsid w:val="297B51B4"/>
    <w:rsid w:val="29E40467"/>
    <w:rsid w:val="29F527E2"/>
    <w:rsid w:val="2BF35971"/>
    <w:rsid w:val="2C487650"/>
    <w:rsid w:val="2E4F43C0"/>
    <w:rsid w:val="2EC7368E"/>
    <w:rsid w:val="30FB4B41"/>
    <w:rsid w:val="31621165"/>
    <w:rsid w:val="323C5548"/>
    <w:rsid w:val="326F5017"/>
    <w:rsid w:val="335C45F7"/>
    <w:rsid w:val="33E03815"/>
    <w:rsid w:val="340025AB"/>
    <w:rsid w:val="37450F88"/>
    <w:rsid w:val="37D6106F"/>
    <w:rsid w:val="38F862EB"/>
    <w:rsid w:val="39016F96"/>
    <w:rsid w:val="39343807"/>
    <w:rsid w:val="39887BBC"/>
    <w:rsid w:val="3A53023B"/>
    <w:rsid w:val="3A865F28"/>
    <w:rsid w:val="3AC876BE"/>
    <w:rsid w:val="3AF42D2D"/>
    <w:rsid w:val="3B3A041F"/>
    <w:rsid w:val="3BAE6BF9"/>
    <w:rsid w:val="3C916C38"/>
    <w:rsid w:val="3CCA47F2"/>
    <w:rsid w:val="3CDE0708"/>
    <w:rsid w:val="3D4C5C29"/>
    <w:rsid w:val="3D5877DF"/>
    <w:rsid w:val="3DC55CAA"/>
    <w:rsid w:val="3DD556CA"/>
    <w:rsid w:val="3F450429"/>
    <w:rsid w:val="40226C80"/>
    <w:rsid w:val="4049425A"/>
    <w:rsid w:val="40C451A5"/>
    <w:rsid w:val="4156470B"/>
    <w:rsid w:val="41943ACE"/>
    <w:rsid w:val="425D4066"/>
    <w:rsid w:val="4277667F"/>
    <w:rsid w:val="43173FD4"/>
    <w:rsid w:val="440B50CC"/>
    <w:rsid w:val="44143822"/>
    <w:rsid w:val="44654A12"/>
    <w:rsid w:val="457C5F26"/>
    <w:rsid w:val="484D65EB"/>
    <w:rsid w:val="49CF255F"/>
    <w:rsid w:val="4B2C5DCD"/>
    <w:rsid w:val="4B7D1173"/>
    <w:rsid w:val="4C150E22"/>
    <w:rsid w:val="4C6A38FC"/>
    <w:rsid w:val="4CE74BC3"/>
    <w:rsid w:val="4CF5000E"/>
    <w:rsid w:val="4DB17672"/>
    <w:rsid w:val="4F186A71"/>
    <w:rsid w:val="505872A6"/>
    <w:rsid w:val="50AC44C4"/>
    <w:rsid w:val="50EA6DB9"/>
    <w:rsid w:val="510057F6"/>
    <w:rsid w:val="51656CA3"/>
    <w:rsid w:val="51CA7471"/>
    <w:rsid w:val="521C2FA3"/>
    <w:rsid w:val="522529B2"/>
    <w:rsid w:val="530D6098"/>
    <w:rsid w:val="53910AF4"/>
    <w:rsid w:val="544D6ABE"/>
    <w:rsid w:val="546D7508"/>
    <w:rsid w:val="555952B3"/>
    <w:rsid w:val="556B5A36"/>
    <w:rsid w:val="55AF40BB"/>
    <w:rsid w:val="56F72F7C"/>
    <w:rsid w:val="586243BF"/>
    <w:rsid w:val="58FD3402"/>
    <w:rsid w:val="5AAF7799"/>
    <w:rsid w:val="5B5C1753"/>
    <w:rsid w:val="5C927E64"/>
    <w:rsid w:val="5E134100"/>
    <w:rsid w:val="5EBB7745"/>
    <w:rsid w:val="5EEC07CD"/>
    <w:rsid w:val="5F7A1C50"/>
    <w:rsid w:val="601C4AB5"/>
    <w:rsid w:val="60BE691E"/>
    <w:rsid w:val="61444403"/>
    <w:rsid w:val="616A0199"/>
    <w:rsid w:val="62265BDF"/>
    <w:rsid w:val="62E1699A"/>
    <w:rsid w:val="63722F73"/>
    <w:rsid w:val="64147F0D"/>
    <w:rsid w:val="64D66362"/>
    <w:rsid w:val="65860217"/>
    <w:rsid w:val="667E0AA1"/>
    <w:rsid w:val="68FB17C3"/>
    <w:rsid w:val="695F12F9"/>
    <w:rsid w:val="69636C3A"/>
    <w:rsid w:val="69CF7B2C"/>
    <w:rsid w:val="6A0B0004"/>
    <w:rsid w:val="6BA1010E"/>
    <w:rsid w:val="6CE47E41"/>
    <w:rsid w:val="6CED5810"/>
    <w:rsid w:val="6CF92413"/>
    <w:rsid w:val="6DFE5E04"/>
    <w:rsid w:val="6E87203D"/>
    <w:rsid w:val="6F0A2DC7"/>
    <w:rsid w:val="6F9278BB"/>
    <w:rsid w:val="71572F19"/>
    <w:rsid w:val="719B7427"/>
    <w:rsid w:val="724A6793"/>
    <w:rsid w:val="741F26FA"/>
    <w:rsid w:val="74470DF8"/>
    <w:rsid w:val="75FD1676"/>
    <w:rsid w:val="799536BA"/>
    <w:rsid w:val="7A343ACC"/>
    <w:rsid w:val="7B170752"/>
    <w:rsid w:val="7B8F681B"/>
    <w:rsid w:val="7DD96C0E"/>
    <w:rsid w:val="7E474F7B"/>
    <w:rsid w:val="7E8F7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autoRedefine/>
    <w:semiHidden/>
    <w:qFormat/>
    <w:uiPriority w:val="99"/>
  </w:style>
  <w:style w:type="table" w:default="1" w:styleId="8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autoRedefine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paragraph" w:styleId="3">
    <w:name w:val="Body Text Indent"/>
    <w:basedOn w:val="1"/>
    <w:autoRedefine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5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table" w:styleId="9">
    <w:name w:val="Table Grid"/>
    <w:basedOn w:val="8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autoRedefine/>
    <w:qFormat/>
    <w:uiPriority w:val="99"/>
    <w:rPr>
      <w:rFonts w:cs="Times New Roman"/>
    </w:rPr>
  </w:style>
  <w:style w:type="character" w:customStyle="1" w:styleId="12">
    <w:name w:val="Footer Char"/>
    <w:basedOn w:val="10"/>
    <w:link w:val="5"/>
    <w:autoRedefine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6"/>
    <w:autoRedefine/>
    <w:semiHidden/>
    <w:qFormat/>
    <w:uiPriority w:val="99"/>
    <w:rPr>
      <w:sz w:val="18"/>
      <w:szCs w:val="18"/>
    </w:rPr>
  </w:style>
  <w:style w:type="paragraph" w:styleId="14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15">
    <w:name w:val="正文首行缩进 21"/>
    <w:basedOn w:val="16"/>
    <w:autoRedefine/>
    <w:qFormat/>
    <w:uiPriority w:val="0"/>
    <w:pPr>
      <w:spacing w:before="100" w:beforeAutospacing="1" w:after="0" w:afterAutospacing="0"/>
      <w:ind w:left="0" w:firstLine="420" w:firstLineChars="200"/>
    </w:pPr>
    <w:rPr>
      <w:rFonts w:ascii="Calibri" w:hAnsi="Calibri" w:eastAsia="宋体"/>
    </w:rPr>
  </w:style>
  <w:style w:type="paragraph" w:customStyle="1" w:styleId="16">
    <w:name w:val="正文文本缩进1"/>
    <w:basedOn w:val="1"/>
    <w:autoRedefine/>
    <w:qFormat/>
    <w:uiPriority w:val="0"/>
    <w:pPr>
      <w:spacing w:beforeAutospacing="0" w:after="120" w:afterAutospacing="0"/>
      <w:ind w:left="420" w:leftChars="200"/>
    </w:pPr>
    <w:rPr>
      <w:rFonts w:ascii="Times New Roman" w:hAnsi="Times New Roman" w:eastAsia="宋体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5</Pages>
  <Words>4354</Words>
  <Characters>4599</Characters>
  <Lines>0</Lines>
  <Paragraphs>0</Paragraphs>
  <TotalTime>19</TotalTime>
  <ScaleCrop>false</ScaleCrop>
  <LinksUpToDate>false</LinksUpToDate>
  <CharactersWithSpaces>4995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2020-06-04T01:07:00Z</dcterms:created>
  <dc:creator>Administrator</dc:creator>
  <cp:lastModifiedBy>沉默是金</cp:lastModifiedBy>
  <cp:lastPrinted>2023-06-29T01:04:00Z</cp:lastPrinted>
  <dcterms:modified xsi:type="dcterms:W3CDTF">2024-05-30T12:45:07Z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BCEA63DAF624456AADE85B6B06C14A45_13</vt:lpwstr>
  </property>
</Properties>
</file>