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黑体" w:hAnsi="黑体" w:eastAsia="黑体" w:cs="黑体"/>
          <w:spacing w:val="-4"/>
          <w:sz w:val="31"/>
          <w:szCs w:val="31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eastAsia="zh-CN"/>
        </w:rPr>
        <w:br w:type="page"/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2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ind w:left="0"/>
        <w:textAlignment w:val="auto"/>
        <w:rPr>
          <w:rFonts w:hint="eastAsia" w:ascii="黑体" w:hAnsi="黑体" w:eastAsia="黑体" w:cs="黑体"/>
          <w:spacing w:val="-4"/>
          <w:sz w:val="31"/>
          <w:szCs w:val="31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0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0"/>
          <w:sz w:val="44"/>
          <w:szCs w:val="44"/>
        </w:rPr>
        <w:t>2023年度部门整体支出绩效评价基础数据表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textAlignment w:val="auto"/>
      </w:pPr>
    </w:p>
    <w:tbl>
      <w:tblPr>
        <w:tblStyle w:val="16"/>
        <w:tblW w:w="9277" w:type="dxa"/>
        <w:jc w:val="center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419"/>
        <w:gridCol w:w="964"/>
        <w:gridCol w:w="965"/>
        <w:gridCol w:w="1"/>
        <w:gridCol w:w="985"/>
        <w:gridCol w:w="986"/>
        <w:gridCol w:w="978"/>
        <w:gridCol w:w="979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39" w:hRule="atLeast"/>
          <w:jc w:val="center"/>
        </w:trPr>
        <w:tc>
          <w:tcPr>
            <w:tcW w:w="3419" w:type="dxa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财政供养人员情况（人）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编制数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2023年实际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在职人数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控制率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22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21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95.45%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经费控制情况（万元）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2022年决算数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2023年预算数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2023年决算数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三公经费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：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1、公务用车购置和维护经费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其中：公车购置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1459" w:firstLineChars="695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公车运行维护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2、出国经费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1050" w:firstLineChars="5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3、公务接待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项目支出：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12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1、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XX项目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、专项资金（每个专项一行）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858" w:firstLineChars="409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事业发展资金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12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858" w:firstLineChars="409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公用经费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132.31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34.86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106.34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其中：办公经费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4.42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0.5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2.48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1478" w:firstLineChars="704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水费、电费、差旅费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1.9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1.1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1.2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1478" w:firstLineChars="704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会议费、培训费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0.46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2.64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0.59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政府采购金额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——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96.96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部门基本支出预算调整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——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08" w:hRule="atLeast"/>
          <w:jc w:val="center"/>
        </w:trPr>
        <w:tc>
          <w:tcPr>
            <w:tcW w:w="3419" w:type="dxa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楼堂馆所控制情况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（2023年完工项目）</w:t>
            </w:r>
          </w:p>
        </w:tc>
        <w:tc>
          <w:tcPr>
            <w:tcW w:w="9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批复规模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（㎡）</w:t>
            </w:r>
          </w:p>
        </w:tc>
        <w:tc>
          <w:tcPr>
            <w:tcW w:w="96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实际规模（㎡）</w:t>
            </w:r>
          </w:p>
        </w:tc>
        <w:tc>
          <w:tcPr>
            <w:tcW w:w="986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规模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控制率</w:t>
            </w:r>
          </w:p>
        </w:tc>
        <w:tc>
          <w:tcPr>
            <w:tcW w:w="98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预算投资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（万元）</w:t>
            </w:r>
          </w:p>
        </w:tc>
        <w:tc>
          <w:tcPr>
            <w:tcW w:w="97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实际投资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（万元）</w:t>
            </w:r>
          </w:p>
        </w:tc>
        <w:tc>
          <w:tcPr>
            <w:tcW w:w="97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投资概算控制率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96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986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98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97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97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0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厉行节约保障措施</w:t>
            </w:r>
          </w:p>
        </w:tc>
        <w:tc>
          <w:tcPr>
            <w:tcW w:w="5858" w:type="dxa"/>
            <w:gridSpan w:val="7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厉行节约原则，压缩运行成本，严格控制规预算指票差异。</w:t>
            </w:r>
          </w:p>
        </w:tc>
      </w:tr>
    </w:tbl>
    <w:p>
      <w:pPr>
        <w:rPr>
          <w:rFonts w:hint="eastAsia"/>
          <w:lang w:eastAsia="zh-CN"/>
        </w:rPr>
      </w:pPr>
      <w:r>
        <w:rPr>
          <w:rFonts w:hint="eastAsia"/>
        </w:rPr>
        <w:t>说明：“项目支出” 需要填报基本支出以外的所有项目支出情况，“公用经费”填报基本支出</w:t>
      </w:r>
      <w:r>
        <w:rPr>
          <w:rFonts w:hint="eastAsia"/>
          <w:lang w:eastAsia="zh-CN"/>
        </w:rPr>
        <w:t>中的一般商品和服务支出。</w:t>
      </w:r>
    </w:p>
    <w:p>
      <w:pPr>
        <w:pStyle w:val="2"/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r>
        <w:rPr>
          <w:rFonts w:hint="eastAsia"/>
        </w:rPr>
        <w:t xml:space="preserve">填表人：  </w:t>
      </w:r>
      <w:r>
        <w:rPr>
          <w:rFonts w:hint="eastAsia"/>
          <w:lang w:val="en-US" w:eastAsia="zh-CN"/>
        </w:rPr>
        <w:t>易亚华</w:t>
      </w:r>
      <w:r>
        <w:rPr>
          <w:rFonts w:hint="eastAsia"/>
        </w:rPr>
        <w:t xml:space="preserve">      填报日期：</w:t>
      </w:r>
      <w:r>
        <w:rPr>
          <w:rFonts w:hint="eastAsia"/>
          <w:lang w:val="en-US" w:eastAsia="zh-CN"/>
        </w:rPr>
        <w:t>2024.05.28</w:t>
      </w: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   联系电话：     单位负责人签字：</w:t>
      </w:r>
    </w:p>
    <w:p>
      <w:pPr>
        <w:rPr>
          <w:spacing w:val="-13"/>
          <w:sz w:val="22"/>
          <w:szCs w:val="22"/>
        </w:rPr>
      </w:pPr>
      <w:r>
        <w:rPr>
          <w:spacing w:val="-13"/>
          <w:sz w:val="22"/>
          <w:szCs w:val="22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default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3</w:t>
      </w:r>
    </w:p>
    <w:p>
      <w:pPr>
        <w:spacing w:line="251" w:lineRule="auto"/>
        <w:rPr>
          <w:rFonts w:ascii="Arial"/>
          <w:sz w:val="21"/>
        </w:rPr>
      </w:pPr>
    </w:p>
    <w:p>
      <w:pPr>
        <w:spacing w:line="251" w:lineRule="auto"/>
        <w:rPr>
          <w:rFonts w:ascii="Arial"/>
          <w:sz w:val="21"/>
        </w:rPr>
      </w:pPr>
    </w:p>
    <w:p>
      <w:pPr>
        <w:rPr>
          <w:rFonts w:ascii="Arial"/>
          <w:sz w:val="21"/>
        </w:rPr>
      </w:pPr>
    </w:p>
    <w:p>
      <w:pPr>
        <w:pStyle w:val="2"/>
      </w:pPr>
    </w:p>
    <w:p/>
    <w:p>
      <w:pPr>
        <w:spacing w:before="223" w:line="218" w:lineRule="auto"/>
        <w:ind w:left="1384"/>
        <w:rPr>
          <w:rFonts w:hint="eastAsia" w:ascii="宋体" w:hAnsi="宋体" w:eastAsia="宋体" w:cs="宋体"/>
          <w:b/>
          <w:bCs/>
          <w:spacing w:val="-1"/>
          <w:sz w:val="44"/>
          <w:szCs w:val="44"/>
          <w:lang w:eastAsia="zh-CN"/>
        </w:rPr>
      </w:pPr>
      <w:r>
        <w:rPr>
          <w:rFonts w:hint="eastAsia" w:ascii="宋体" w:hAnsi="宋体" w:eastAsia="宋体" w:cs="宋体"/>
          <w:b/>
          <w:bCs/>
          <w:spacing w:val="-1"/>
          <w:sz w:val="44"/>
          <w:szCs w:val="44"/>
        </w:rPr>
        <w:t>2023年度</w:t>
      </w:r>
      <w:r>
        <w:rPr>
          <w:rFonts w:hint="eastAsia" w:ascii="宋体" w:hAnsi="宋体" w:eastAsia="宋体" w:cs="宋体"/>
          <w:b/>
          <w:bCs/>
          <w:spacing w:val="-1"/>
          <w:sz w:val="44"/>
          <w:szCs w:val="44"/>
          <w:lang w:eastAsia="zh-CN"/>
        </w:rPr>
        <w:t>华容县</w:t>
      </w:r>
      <w:r>
        <w:rPr>
          <w:rFonts w:hint="eastAsia" w:ascii="宋体" w:hAnsi="宋体" w:cs="宋体"/>
          <w:b/>
          <w:bCs/>
          <w:spacing w:val="-1"/>
          <w:sz w:val="44"/>
          <w:szCs w:val="44"/>
          <w:lang w:val="en-US" w:eastAsia="zh-CN"/>
        </w:rPr>
        <w:t>城区排涝泵</w:t>
      </w:r>
      <w:r>
        <w:rPr>
          <w:rFonts w:hint="eastAsia" w:ascii="宋体" w:hAnsi="宋体" w:eastAsia="宋体" w:cs="宋体"/>
          <w:b/>
          <w:bCs/>
          <w:spacing w:val="-1"/>
          <w:sz w:val="44"/>
          <w:szCs w:val="44"/>
          <w:lang w:eastAsia="zh-CN"/>
        </w:rPr>
        <w:t>站</w:t>
      </w:r>
    </w:p>
    <w:p>
      <w:pPr>
        <w:spacing w:before="223" w:line="218" w:lineRule="auto"/>
        <w:ind w:firstLine="1759" w:firstLineChars="400"/>
        <w:rPr>
          <w:rFonts w:hint="eastAsia" w:ascii="宋体" w:hAnsi="宋体" w:eastAsia="宋体" w:cs="宋体"/>
          <w:b/>
          <w:bCs/>
          <w:sz w:val="44"/>
          <w:szCs w:val="44"/>
        </w:rPr>
      </w:pPr>
      <w:r>
        <w:rPr>
          <w:rFonts w:hint="eastAsia" w:ascii="宋体" w:hAnsi="宋体" w:eastAsia="宋体" w:cs="宋体"/>
          <w:b/>
          <w:bCs/>
          <w:spacing w:val="-1"/>
          <w:sz w:val="44"/>
          <w:szCs w:val="44"/>
        </w:rPr>
        <w:t>部门整体支出</w:t>
      </w:r>
      <w:r>
        <w:rPr>
          <w:rFonts w:hint="eastAsia" w:ascii="宋体" w:hAnsi="宋体" w:eastAsia="宋体" w:cs="宋体"/>
          <w:b/>
          <w:bCs/>
          <w:spacing w:val="-3"/>
          <w:sz w:val="44"/>
          <w:szCs w:val="44"/>
        </w:rPr>
        <w:t>绩效自评报告</w:t>
      </w:r>
    </w:p>
    <w:p>
      <w:pPr>
        <w:spacing w:line="243" w:lineRule="auto"/>
        <w:rPr>
          <w:rFonts w:hint="eastAsia" w:ascii="宋体" w:hAnsi="宋体" w:eastAsia="宋体" w:cs="宋体"/>
          <w:b/>
          <w:bCs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pStyle w:val="2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4" w:lineRule="auto"/>
        <w:rPr>
          <w:rFonts w:ascii="Arial"/>
          <w:sz w:val="21"/>
        </w:rPr>
      </w:pPr>
    </w:p>
    <w:p>
      <w:pPr>
        <w:spacing w:line="244" w:lineRule="auto"/>
        <w:rPr>
          <w:rFonts w:ascii="Arial"/>
          <w:sz w:val="21"/>
        </w:rPr>
      </w:pPr>
    </w:p>
    <w:p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line="221" w:lineRule="auto"/>
        <w:ind w:firstLine="60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10"/>
          <w:sz w:val="32"/>
          <w:szCs w:val="32"/>
        </w:rPr>
        <w:t>部门（单位）名称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</w:rPr>
        <w:t>：</w:t>
      </w:r>
      <w:r>
        <w:rPr>
          <w:rFonts w:hint="eastAsia" w:ascii="方正小标宋简体" w:hAnsi="方正小标宋简体" w:eastAsia="方正小标宋简体" w:cs="方正小标宋简体"/>
          <w:b w:val="0"/>
          <w:bCs w:val="0"/>
          <w:spacing w:val="-1"/>
          <w:sz w:val="36"/>
          <w:szCs w:val="36"/>
          <w:u w:val="single" w:color="auto"/>
          <w:lang w:eastAsia="zh-CN"/>
        </w:rPr>
        <w:t>华容县</w:t>
      </w:r>
      <w:r>
        <w:rPr>
          <w:rFonts w:hint="eastAsia" w:ascii="方正小标宋简体" w:hAnsi="方正小标宋简体" w:eastAsia="方正小标宋简体" w:cs="方正小标宋简体"/>
          <w:b w:val="0"/>
          <w:bCs w:val="0"/>
          <w:spacing w:val="-1"/>
          <w:sz w:val="36"/>
          <w:szCs w:val="36"/>
          <w:u w:val="single" w:color="auto"/>
          <w:lang w:val="en-US" w:eastAsia="zh-CN"/>
        </w:rPr>
        <w:t>城区排涝泵</w:t>
      </w:r>
      <w:r>
        <w:rPr>
          <w:rFonts w:hint="eastAsia" w:ascii="方正小标宋简体" w:hAnsi="方正小标宋简体" w:eastAsia="方正小标宋简体" w:cs="方正小标宋简体"/>
          <w:b w:val="0"/>
          <w:bCs w:val="0"/>
          <w:spacing w:val="-1"/>
          <w:sz w:val="36"/>
          <w:szCs w:val="36"/>
          <w:u w:val="single" w:color="auto"/>
          <w:lang w:eastAsia="zh-CN"/>
        </w:rPr>
        <w:t>站</w:t>
      </w:r>
      <w:r>
        <w:rPr>
          <w:rFonts w:hint="eastAsia" w:ascii="方正小标宋简体" w:hAnsi="方正小标宋简体" w:eastAsia="方正小标宋简体" w:cs="方正小标宋简体"/>
          <w:b w:val="0"/>
          <w:bCs w:val="0"/>
          <w:spacing w:val="-1"/>
          <w:sz w:val="36"/>
          <w:szCs w:val="36"/>
          <w:u w:val="single" w:color="auto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sz w:val="36"/>
          <w:szCs w:val="36"/>
          <w:u w:val="single" w:color="auto"/>
        </w:rPr>
        <w:t xml:space="preserve"> </w:t>
      </w:r>
    </w:p>
    <w:p>
      <w:pPr>
        <w:spacing w:before="228" w:line="222" w:lineRule="auto"/>
        <w:ind w:firstLine="3040" w:firstLineChars="10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8"/>
          <w:sz w:val="32"/>
          <w:szCs w:val="32"/>
          <w:lang w:val="en-US" w:eastAsia="zh-CN"/>
        </w:rPr>
        <w:t>2024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年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月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  <w:lang w:val="en-US" w:eastAsia="zh-CN"/>
        </w:rPr>
        <w:t>28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日</w:t>
      </w:r>
    </w:p>
    <w:p>
      <w:pPr>
        <w:spacing w:line="335" w:lineRule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pStyle w:val="4"/>
        <w:spacing w:before="102" w:line="224" w:lineRule="auto"/>
        <w:ind w:left="3216" w:firstLine="672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8"/>
          <w:sz w:val="32"/>
          <w:szCs w:val="32"/>
        </w:rPr>
        <w:t>（此页为封面）</w:t>
      </w:r>
    </w:p>
    <w:p>
      <w:r>
        <w:br w:type="page"/>
      </w:r>
    </w:p>
    <w:p>
      <w:pPr>
        <w:pStyle w:val="2"/>
        <w:sectPr>
          <w:footerReference r:id="rId3" w:type="default"/>
          <w:pgSz w:w="11905" w:h="16838"/>
          <w:pgMar w:top="1984" w:right="1701" w:bottom="1984" w:left="1701" w:header="850" w:footer="1587" w:gutter="0"/>
          <w:pgNumType w:fmt="numberInDash" w:start="7"/>
          <w:cols w:space="0" w:num="1"/>
          <w:rtlGutter w:val="0"/>
          <w:docGrid w:type="lines" w:linePitch="314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</w:pPr>
    </w:p>
    <w:p>
      <w:pPr>
        <w:pStyle w:val="2"/>
        <w:rPr>
          <w:rFonts w:hint="eastAsia"/>
        </w:rPr>
      </w:pPr>
    </w:p>
    <w:p>
      <w:pPr>
        <w:spacing w:before="223" w:line="218" w:lineRule="auto"/>
        <w:ind w:left="1384"/>
        <w:rPr>
          <w:rFonts w:hint="eastAsia" w:ascii="宋体" w:hAnsi="宋体" w:eastAsia="宋体" w:cs="宋体"/>
          <w:b/>
          <w:bCs/>
          <w:spacing w:val="-1"/>
          <w:sz w:val="44"/>
          <w:szCs w:val="44"/>
          <w:lang w:eastAsia="zh-CN"/>
        </w:rPr>
      </w:pPr>
      <w:r>
        <w:rPr>
          <w:rFonts w:hint="eastAsia" w:ascii="宋体" w:hAnsi="宋体" w:eastAsia="宋体" w:cs="宋体"/>
          <w:b/>
          <w:bCs/>
          <w:spacing w:val="6"/>
          <w:sz w:val="44"/>
          <w:szCs w:val="44"/>
        </w:rPr>
        <w:t>2023年度</w:t>
      </w:r>
      <w:r>
        <w:rPr>
          <w:rFonts w:hint="eastAsia" w:ascii="宋体" w:hAnsi="宋体" w:eastAsia="宋体" w:cs="宋体"/>
          <w:b/>
          <w:bCs/>
          <w:spacing w:val="-1"/>
          <w:sz w:val="44"/>
          <w:szCs w:val="44"/>
          <w:lang w:eastAsia="zh-CN"/>
        </w:rPr>
        <w:t>华容县</w:t>
      </w:r>
      <w:r>
        <w:rPr>
          <w:rFonts w:hint="eastAsia" w:ascii="宋体" w:hAnsi="宋体" w:cs="宋体"/>
          <w:b/>
          <w:bCs/>
          <w:spacing w:val="-1"/>
          <w:sz w:val="44"/>
          <w:szCs w:val="44"/>
          <w:lang w:val="en-US" w:eastAsia="zh-CN"/>
        </w:rPr>
        <w:t>城区排涝泵</w:t>
      </w:r>
      <w:r>
        <w:rPr>
          <w:rFonts w:hint="eastAsia" w:ascii="宋体" w:hAnsi="宋体" w:eastAsia="宋体" w:cs="宋体"/>
          <w:b/>
          <w:bCs/>
          <w:spacing w:val="-1"/>
          <w:sz w:val="44"/>
          <w:szCs w:val="44"/>
          <w:lang w:eastAsia="zh-CN"/>
        </w:rPr>
        <w:t>站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宋体" w:hAnsi="宋体" w:eastAsia="宋体" w:cs="宋体"/>
          <w:b/>
          <w:bCs/>
          <w:sz w:val="44"/>
          <w:szCs w:val="44"/>
        </w:rPr>
      </w:pPr>
      <w:r>
        <w:rPr>
          <w:rFonts w:hint="eastAsia" w:ascii="宋体" w:hAnsi="宋体" w:cs="宋体"/>
          <w:b/>
          <w:bCs/>
          <w:spacing w:val="6"/>
          <w:sz w:val="44"/>
          <w:szCs w:val="44"/>
          <w:lang w:val="en-US" w:eastAsia="zh-CN"/>
        </w:rPr>
        <w:t xml:space="preserve"> </w:t>
      </w:r>
      <w:r>
        <w:rPr>
          <w:rFonts w:hint="eastAsia" w:ascii="宋体" w:hAnsi="宋体" w:eastAsia="宋体" w:cs="宋体"/>
          <w:b/>
          <w:bCs/>
          <w:spacing w:val="6"/>
          <w:sz w:val="44"/>
          <w:szCs w:val="44"/>
        </w:rPr>
        <w:t>部门整体支出</w:t>
      </w:r>
      <w:r>
        <w:rPr>
          <w:rFonts w:hint="eastAsia" w:ascii="宋体" w:hAnsi="宋体" w:eastAsia="宋体" w:cs="宋体"/>
          <w:b/>
          <w:bCs/>
          <w:spacing w:val="7"/>
          <w:sz w:val="44"/>
          <w:szCs w:val="44"/>
        </w:rPr>
        <w:t>绩效自评报告</w:t>
      </w:r>
    </w:p>
    <w:p>
      <w:pPr>
        <w:spacing w:line="283" w:lineRule="auto"/>
        <w:rPr>
          <w:rFonts w:ascii="Arial"/>
          <w:sz w:val="21"/>
        </w:rPr>
      </w:pPr>
    </w:p>
    <w:p>
      <w:pPr>
        <w:spacing w:line="284" w:lineRule="auto"/>
        <w:rPr>
          <w:rFonts w:ascii="Arial"/>
          <w:sz w:val="21"/>
        </w:rPr>
      </w:pPr>
    </w:p>
    <w:p>
      <w:pPr>
        <w:pStyle w:val="2"/>
      </w:pPr>
    </w:p>
    <w:p>
      <w:pPr>
        <w:numPr>
          <w:ilvl w:val="0"/>
          <w:numId w:val="1"/>
        </w:numPr>
        <w:spacing w:before="101" w:line="228" w:lineRule="auto"/>
        <w:ind w:left="648"/>
        <w:rPr>
          <w:rFonts w:hint="eastAsia" w:ascii="黑体" w:hAnsi="黑体" w:eastAsia="黑体" w:cs="黑体"/>
          <w:spacing w:val="5"/>
          <w:sz w:val="32"/>
          <w:szCs w:val="32"/>
        </w:rPr>
      </w:pPr>
      <w:r>
        <w:rPr>
          <w:rFonts w:hint="eastAsia" w:ascii="黑体" w:hAnsi="黑体" w:eastAsia="黑体" w:cs="黑体"/>
          <w:spacing w:val="5"/>
          <w:sz w:val="32"/>
          <w:szCs w:val="32"/>
        </w:rPr>
        <w:t>部门基本情况</w:t>
      </w:r>
    </w:p>
    <w:p>
      <w:pPr>
        <w:snapToGrid w:val="0"/>
        <w:spacing w:line="520" w:lineRule="exact"/>
        <w:ind w:firstLine="560" w:firstLineChars="200"/>
        <w:rPr>
          <w:rFonts w:hint="eastAsia" w:ascii="新宋体" w:hAnsi="新宋体" w:eastAsia="新宋体" w:cs="新宋体"/>
          <w:bCs/>
          <w:sz w:val="28"/>
          <w:szCs w:val="28"/>
          <w:lang w:eastAsia="zh-CN"/>
        </w:rPr>
      </w:pP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>华容县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城区排涝泵</w:t>
      </w:r>
      <w:r>
        <w:rPr>
          <w:rFonts w:hint="eastAsia" w:ascii="新宋体" w:hAnsi="新宋体" w:eastAsia="新宋体" w:cs="新宋体"/>
          <w:bCs/>
          <w:sz w:val="28"/>
          <w:szCs w:val="28"/>
        </w:rPr>
        <w:t>站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共</w:t>
      </w:r>
      <w:r>
        <w:rPr>
          <w:rFonts w:hint="eastAsia" w:ascii="仿宋_GB2312" w:hAnsi="仿宋" w:eastAsia="仿宋_GB2312"/>
          <w:sz w:val="32"/>
          <w:szCs w:val="32"/>
          <w:lang w:eastAsia="zh-CN"/>
        </w:rPr>
        <w:t>有</w:t>
      </w:r>
      <w:r>
        <w:rPr>
          <w:rFonts w:hint="eastAsia" w:ascii="仿宋_GB2312" w:hAnsi="仿宋" w:eastAsia="仿宋_GB2312"/>
          <w:sz w:val="32"/>
          <w:szCs w:val="32"/>
          <w:lang w:val="en-US" w:eastAsia="zh-CN"/>
        </w:rPr>
        <w:t>4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处机埠，肚子湖机埠和环城泵站坐落在县城城区，麻浬泗机埠和老麻浬泗机埠坐落在麻浬泗社区，</w:t>
      </w: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>受益区辖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为华容县县城城区河西片及</w:t>
      </w: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>章华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镇五星港水系域区。总装机18台套，装机容量4665kw，抽排流量为34.69m</w:t>
      </w: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>³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/s。承担县城城区防洪、排涝和水系内的农田灌溉工作；负责泵站等机务管理、设备运行、设备检修工作；承担城区水工程调度，确保护城港调蓄能力和水环境的改善</w:t>
      </w: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>。</w:t>
      </w:r>
    </w:p>
    <w:p>
      <w:pPr>
        <w:snapToGrid w:val="0"/>
        <w:spacing w:line="520" w:lineRule="exact"/>
        <w:ind w:firstLine="560" w:firstLineChars="200"/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</w:pP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本单位</w:t>
      </w: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>隶属华容县水利局的二级事业单位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。经费来源：差额拨款。</w:t>
      </w:r>
    </w:p>
    <w:p>
      <w:pPr>
        <w:snapToGrid w:val="0"/>
        <w:spacing w:line="520" w:lineRule="exact"/>
        <w:ind w:firstLine="560" w:firstLineChars="200"/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</w:pP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2023年单位编制数22，年末实有在职人数21人，退休人员6人。</w:t>
      </w:r>
    </w:p>
    <w:p>
      <w:pPr>
        <w:rPr>
          <w:rFonts w:hint="eastAsia"/>
        </w:rPr>
      </w:pPr>
    </w:p>
    <w:p>
      <w:pPr>
        <w:spacing w:before="216" w:line="226" w:lineRule="auto"/>
        <w:ind w:left="648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pacing w:val="-2"/>
          <w:sz w:val="32"/>
          <w:szCs w:val="32"/>
        </w:rPr>
        <w:t>二、一般公共预算支出情况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textAlignment w:val="auto"/>
        <w:rPr>
          <w:rFonts w:hint="eastAsia" w:ascii="楷体_GB2312" w:hAnsi="楷体_GB2312" w:eastAsia="楷体_GB2312" w:cs="楷体_GB2312"/>
          <w:b/>
          <w:bCs/>
          <w:sz w:val="32"/>
          <w:szCs w:val="32"/>
        </w:rPr>
      </w:pPr>
      <w:r>
        <w:rPr>
          <w:rFonts w:hint="eastAsia" w:ascii="楷体_GB2312" w:hAnsi="楷体_GB2312" w:eastAsia="楷体_GB2312" w:cs="楷体_GB2312"/>
          <w:b/>
          <w:bCs/>
          <w:sz w:val="32"/>
          <w:szCs w:val="32"/>
        </w:rPr>
        <w:t>（一）基本支出情况</w:t>
      </w:r>
    </w:p>
    <w:p>
      <w:pPr>
        <w:pStyle w:val="15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left="0" w:leftChars="0" w:firstLine="840" w:firstLineChars="300"/>
        <w:jc w:val="both"/>
        <w:textAlignment w:val="auto"/>
        <w:rPr>
          <w:rFonts w:hint="eastAsia" w:ascii="宋体" w:hAnsi="宋体" w:cs="宋体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本年度总支</w:t>
      </w:r>
      <w:r>
        <w:rPr>
          <w:rFonts w:hint="eastAsia" w:ascii="宋体" w:hAnsi="宋体" w:cs="宋体"/>
          <w:bCs/>
          <w:kern w:val="2"/>
          <w:sz w:val="28"/>
          <w:szCs w:val="28"/>
          <w:lang w:val="en-US" w:eastAsia="zh-CN" w:bidi="ar-SA"/>
        </w:rPr>
        <w:t>出：393.87万元，其中人员经费支出：287.53万元，公用经费支出：106.34万元。</w:t>
      </w:r>
    </w:p>
    <w:p>
      <w:pPr>
        <w:pStyle w:val="2"/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textAlignment w:val="auto"/>
        <w:rPr>
          <w:rFonts w:hint="eastAsia" w:ascii="楷体_GB2312" w:hAnsi="楷体_GB2312" w:eastAsia="楷体_GB2312" w:cs="楷体_GB2312"/>
          <w:b/>
          <w:bCs/>
          <w:sz w:val="32"/>
          <w:szCs w:val="32"/>
        </w:rPr>
      </w:pPr>
      <w:r>
        <w:rPr>
          <w:rFonts w:hint="eastAsia" w:ascii="楷体_GB2312" w:hAnsi="楷体_GB2312" w:eastAsia="楷体_GB2312" w:cs="楷体_GB2312"/>
          <w:b/>
          <w:bCs/>
          <w:sz w:val="32"/>
          <w:szCs w:val="32"/>
        </w:rPr>
        <w:t>（二）项目支出情况</w:t>
      </w:r>
    </w:p>
    <w:p>
      <w:pPr>
        <w:spacing w:before="224" w:line="227" w:lineRule="auto"/>
        <w:ind w:left="649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三、政府性基金预算支出情况</w:t>
      </w:r>
    </w:p>
    <w:p>
      <w:pPr>
        <w:spacing w:before="219" w:line="600" w:lineRule="exact"/>
        <w:ind w:left="662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pacing w:val="7"/>
          <w:position w:val="21"/>
          <w:sz w:val="32"/>
          <w:szCs w:val="32"/>
        </w:rPr>
        <w:t>四、国有资本经营预算支出情况</w:t>
      </w:r>
    </w:p>
    <w:p>
      <w:pPr>
        <w:spacing w:line="227" w:lineRule="auto"/>
        <w:ind w:left="651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五、社会保险基金预算支出情况</w:t>
      </w:r>
    </w:p>
    <w:p>
      <w:pPr>
        <w:spacing w:before="219" w:line="226" w:lineRule="auto"/>
        <w:ind w:left="653"/>
        <w:rPr>
          <w:rFonts w:hint="eastAsia"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六、部门整体支出绩效情况</w:t>
      </w:r>
    </w:p>
    <w:p>
      <w:pPr>
        <w:snapToGrid w:val="0"/>
        <w:spacing w:line="520" w:lineRule="exact"/>
        <w:ind w:firstLine="560" w:firstLineChars="200"/>
        <w:rPr>
          <w:rFonts w:hint="eastAsia" w:ascii="新宋体" w:hAnsi="新宋体" w:eastAsia="新宋体" w:cs="新宋体"/>
          <w:bCs/>
          <w:sz w:val="28"/>
          <w:szCs w:val="28"/>
          <w:lang w:eastAsia="zh-CN"/>
        </w:rPr>
      </w:pP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 xml:space="preserve"> 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1，</w:t>
      </w: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>认真做好了年度设备维修保养工作，确保设备运行的完好率达到100%。</w:t>
      </w:r>
    </w:p>
    <w:p>
      <w:pPr>
        <w:snapToGrid w:val="0"/>
        <w:spacing w:line="520" w:lineRule="exact"/>
        <w:ind w:firstLine="560" w:firstLineChars="200"/>
        <w:rPr>
          <w:rFonts w:hint="eastAsia" w:ascii="新宋体" w:hAnsi="新宋体" w:eastAsia="新宋体" w:cs="新宋体"/>
          <w:bCs/>
          <w:sz w:val="28"/>
          <w:szCs w:val="28"/>
          <w:lang w:eastAsia="zh-CN"/>
        </w:rPr>
      </w:pP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 xml:space="preserve"> 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2，</w:t>
      </w: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>科学防汛，合理调度，及时排涝抗旱，切实保证了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排灌</w:t>
      </w: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>区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人</w:t>
      </w: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>民的生命财产安全，对当地经济的发展和社会稳定发挥了巨大作用。</w:t>
      </w:r>
    </w:p>
    <w:p>
      <w:pPr>
        <w:pStyle w:val="2"/>
        <w:rPr>
          <w:rFonts w:hint="eastAsia"/>
        </w:rPr>
      </w:pPr>
    </w:p>
    <w:p>
      <w:pPr>
        <w:numPr>
          <w:ilvl w:val="0"/>
          <w:numId w:val="2"/>
        </w:numPr>
        <w:spacing w:before="220" w:line="600" w:lineRule="exact"/>
        <w:ind w:left="641"/>
        <w:rPr>
          <w:rFonts w:hint="eastAsia" w:ascii="黑体" w:hAnsi="黑体" w:eastAsia="黑体" w:cs="黑体"/>
          <w:spacing w:val="9"/>
          <w:position w:val="21"/>
          <w:sz w:val="32"/>
          <w:szCs w:val="32"/>
        </w:rPr>
      </w:pPr>
      <w:r>
        <w:rPr>
          <w:rFonts w:hint="eastAsia" w:ascii="黑体" w:hAnsi="黑体" w:eastAsia="黑体" w:cs="黑体"/>
          <w:spacing w:val="9"/>
          <w:position w:val="21"/>
          <w:sz w:val="32"/>
          <w:szCs w:val="32"/>
        </w:rPr>
        <w:t>存在的问题及原因分析</w:t>
      </w:r>
    </w:p>
    <w:p>
      <w:pPr>
        <w:snapToGrid w:val="0"/>
        <w:spacing w:line="520" w:lineRule="exact"/>
        <w:ind w:firstLine="560" w:firstLineChars="200"/>
        <w:rPr>
          <w:rFonts w:hint="eastAsia" w:ascii="仿宋_GB2312" w:hAnsi="仿宋_GB2312" w:eastAsia="仿宋_GB2312" w:cs="仿宋_GB2312"/>
          <w:bCs/>
          <w:sz w:val="28"/>
          <w:szCs w:val="28"/>
          <w:lang w:eastAsia="zh-CN"/>
        </w:rPr>
      </w:pPr>
      <w:r>
        <w:rPr>
          <w:rFonts w:hint="eastAsia" w:ascii="仿宋_GB2312" w:hAnsi="仿宋_GB2312" w:eastAsia="仿宋_GB2312" w:cs="仿宋_GB2312"/>
          <w:bCs/>
          <w:sz w:val="28"/>
          <w:szCs w:val="28"/>
          <w:lang w:val="en-US" w:eastAsia="zh-CN"/>
        </w:rPr>
        <w:t>1，</w:t>
      </w:r>
      <w:r>
        <w:rPr>
          <w:rFonts w:hint="eastAsia" w:ascii="仿宋_GB2312" w:hAnsi="仿宋_GB2312" w:eastAsia="仿宋_GB2312" w:cs="仿宋_GB2312"/>
          <w:bCs/>
          <w:sz w:val="28"/>
          <w:szCs w:val="28"/>
        </w:rPr>
        <w:t>监督管理机制还有待加强</w:t>
      </w:r>
      <w:r>
        <w:rPr>
          <w:rFonts w:hint="eastAsia" w:ascii="仿宋_GB2312" w:hAnsi="仿宋_GB2312" w:eastAsia="仿宋_GB2312" w:cs="仿宋_GB2312"/>
          <w:bCs/>
          <w:sz w:val="28"/>
          <w:szCs w:val="28"/>
          <w:lang w:eastAsia="zh-CN"/>
        </w:rPr>
        <w:t>，</w:t>
      </w:r>
      <w:r>
        <w:rPr>
          <w:rFonts w:hint="eastAsia" w:ascii="仿宋_GB2312" w:hAnsi="仿宋_GB2312" w:eastAsia="仿宋_GB2312" w:cs="仿宋_GB2312"/>
          <w:bCs/>
          <w:sz w:val="28"/>
          <w:szCs w:val="28"/>
          <w:lang w:val="en-US" w:eastAsia="zh-CN"/>
        </w:rPr>
        <w:t>绩效目标管理有待提升。</w:t>
      </w:r>
      <w:r>
        <w:rPr>
          <w:rFonts w:hint="eastAsia" w:ascii="仿宋_GB2312" w:hAnsi="仿宋_GB2312" w:eastAsia="仿宋_GB2312" w:cs="仿宋_GB2312"/>
          <w:bCs/>
          <w:sz w:val="28"/>
          <w:szCs w:val="28"/>
          <w:lang w:eastAsia="zh-CN"/>
        </w:rPr>
        <w:t>部门预算管理有待加强。</w:t>
      </w:r>
    </w:p>
    <w:p>
      <w:pPr>
        <w:spacing w:line="560" w:lineRule="exact"/>
        <w:ind w:firstLine="560" w:firstLineChars="200"/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bCs/>
          <w:sz w:val="28"/>
          <w:szCs w:val="28"/>
          <w:lang w:val="en-US" w:eastAsia="zh-CN"/>
        </w:rPr>
        <w:t>2</w:t>
      </w: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，预算编制工作有待细化。预算编制不够明确和细化，预算编制的合理性需要提高，预算执行力度还要进一步加强。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eastAsia" w:eastAsia="黑体" w:cs="Times New Roman"/>
          <w:sz w:val="32"/>
          <w:szCs w:val="32"/>
          <w:lang w:eastAsia="zh-CN"/>
        </w:rPr>
      </w:pPr>
    </w:p>
    <w:p>
      <w:pPr>
        <w:pStyle w:val="2"/>
        <w:rPr>
          <w:rFonts w:hint="eastAsia"/>
        </w:rPr>
      </w:pPr>
    </w:p>
    <w:p>
      <w:pPr>
        <w:pStyle w:val="2"/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2"/>
        </w:numPr>
        <w:spacing w:line="227" w:lineRule="auto"/>
        <w:ind w:left="641" w:leftChars="0" w:firstLine="0" w:firstLineChars="0"/>
        <w:rPr>
          <w:rFonts w:hint="eastAsia"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下一步改进措施</w:t>
      </w:r>
    </w:p>
    <w:p>
      <w:pPr>
        <w:snapToGrid w:val="0"/>
        <w:spacing w:line="520" w:lineRule="exact"/>
        <w:ind w:firstLine="560" w:firstLineChars="200"/>
        <w:rPr>
          <w:rFonts w:hint="eastAsia" w:ascii="仿宋_GB2312" w:hAnsi="仿宋_GB2312" w:eastAsia="仿宋_GB2312" w:cs="仿宋_GB2312"/>
          <w:bCs/>
          <w:sz w:val="28"/>
          <w:szCs w:val="28"/>
        </w:rPr>
      </w:pPr>
      <w:r>
        <w:rPr>
          <w:rFonts w:hint="eastAsia" w:ascii="仿宋_GB2312" w:hAnsi="仿宋_GB2312" w:eastAsia="仿宋_GB2312" w:cs="仿宋_GB2312"/>
          <w:bCs/>
          <w:sz w:val="28"/>
          <w:szCs w:val="28"/>
        </w:rPr>
        <w:t>1</w:t>
      </w:r>
      <w:r>
        <w:rPr>
          <w:rFonts w:hint="eastAsia" w:ascii="仿宋_GB2312" w:hAnsi="仿宋_GB2312" w:eastAsia="仿宋_GB2312" w:cs="仿宋_GB2312"/>
          <w:bCs/>
          <w:sz w:val="28"/>
          <w:szCs w:val="28"/>
          <w:lang w:eastAsia="zh-CN"/>
        </w:rPr>
        <w:t>，</w:t>
      </w:r>
      <w:r>
        <w:rPr>
          <w:rFonts w:hint="eastAsia" w:ascii="仿宋_GB2312" w:hAnsi="仿宋_GB2312" w:eastAsia="仿宋_GB2312" w:cs="仿宋_GB2312"/>
          <w:bCs/>
          <w:sz w:val="28"/>
          <w:szCs w:val="28"/>
        </w:rPr>
        <w:t>加强预算绩效管理。进一步加强各单位的预算资金管理，减少预算资金使用的随意性，对预算的事前、事中、事后进行全过程控制，加大对预算编制与执行的监督管理力度，提高预算资金使用效率。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560" w:firstLineChars="200"/>
        <w:jc w:val="both"/>
        <w:textAlignment w:val="auto"/>
        <w:rPr>
          <w:rFonts w:hint="eastAsia" w:eastAsia="黑体" w:cs="Times New Roman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Cs/>
          <w:sz w:val="28"/>
          <w:szCs w:val="28"/>
          <w:lang w:val="en-US" w:eastAsia="zh-CN"/>
        </w:rPr>
        <w:t>2</w:t>
      </w:r>
      <w:r>
        <w:rPr>
          <w:rFonts w:hint="eastAsia" w:ascii="仿宋_GB2312" w:hAnsi="仿宋_GB2312" w:eastAsia="仿宋_GB2312" w:cs="仿宋_GB2312"/>
          <w:bCs/>
          <w:sz w:val="28"/>
          <w:szCs w:val="28"/>
        </w:rPr>
        <w:t>、细化预算编制工作，认真做好预算的编制。进一步加强预算管理意识，严格按照预算编制的相关制度和要求进行预算编制</w:t>
      </w:r>
      <w:r>
        <w:rPr>
          <w:rFonts w:hint="eastAsia" w:eastAsia="楷体_GB2312"/>
          <w:bCs/>
          <w:sz w:val="28"/>
          <w:szCs w:val="28"/>
        </w:rPr>
        <w:t>。</w:t>
      </w:r>
    </w:p>
    <w:p>
      <w:pPr>
        <w:pStyle w:val="2"/>
        <w:rPr>
          <w:rFonts w:hint="eastAsia"/>
        </w:rPr>
      </w:pPr>
    </w:p>
    <w:p>
      <w:pPr>
        <w:pStyle w:val="2"/>
        <w:numPr>
          <w:ilvl w:val="0"/>
          <w:numId w:val="0"/>
        </w:numPr>
        <w:ind w:left="641" w:leftChars="0"/>
        <w:rPr>
          <w:rFonts w:hint="eastAsia"/>
        </w:rPr>
      </w:pPr>
    </w:p>
    <w:p>
      <w:pPr>
        <w:spacing w:before="219" w:line="600" w:lineRule="exact"/>
        <w:ind w:left="650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pacing w:val="9"/>
          <w:position w:val="21"/>
          <w:sz w:val="32"/>
          <w:szCs w:val="32"/>
        </w:rPr>
        <w:t>九、部门整体支出绩效自评结果拟应用和公开</w:t>
      </w:r>
      <w:r>
        <w:rPr>
          <w:rFonts w:hint="eastAsia" w:ascii="黑体" w:hAnsi="黑体" w:eastAsia="黑体" w:cs="黑体"/>
          <w:spacing w:val="8"/>
          <w:position w:val="21"/>
          <w:sz w:val="32"/>
          <w:szCs w:val="32"/>
        </w:rPr>
        <w:t>情况</w:t>
      </w:r>
    </w:p>
    <w:p>
      <w:pPr>
        <w:spacing w:line="226" w:lineRule="auto"/>
        <w:ind w:left="647"/>
        <w:rPr>
          <w:rFonts w:hint="eastAsia" w:ascii="黑体" w:hAnsi="黑体" w:eastAsia="黑体" w:cs="黑体"/>
          <w:spacing w:val="-3"/>
          <w:sz w:val="32"/>
          <w:szCs w:val="32"/>
        </w:rPr>
      </w:pPr>
      <w:r>
        <w:rPr>
          <w:rFonts w:hint="eastAsia" w:ascii="黑体" w:hAnsi="黑体" w:eastAsia="黑体" w:cs="黑体"/>
          <w:spacing w:val="-3"/>
          <w:sz w:val="32"/>
          <w:szCs w:val="32"/>
        </w:rPr>
        <w:t>十、其他需要说明的情况</w:t>
      </w:r>
    </w:p>
    <w:p>
      <w:pPr>
        <w:rPr>
          <w:rFonts w:ascii="黑体" w:hAnsi="黑体" w:eastAsia="黑体" w:cs="黑体"/>
          <w:spacing w:val="-3"/>
          <w:sz w:val="31"/>
          <w:szCs w:val="31"/>
        </w:rPr>
      </w:pPr>
      <w:r>
        <w:rPr>
          <w:rFonts w:ascii="黑体" w:hAnsi="黑体" w:eastAsia="黑体" w:cs="黑体"/>
          <w:spacing w:val="-3"/>
          <w:sz w:val="31"/>
          <w:szCs w:val="31"/>
        </w:rPr>
        <w:br w:type="page"/>
      </w:r>
    </w:p>
    <w:p>
      <w:pPr>
        <w:jc w:val="both"/>
        <w:rPr>
          <w:rFonts w:hint="default" w:ascii="Times New Roman" w:hAnsi="Times New Roman" w:eastAsia="方正小标宋_GBK" w:cs="Times New Roman"/>
          <w:sz w:val="52"/>
          <w:szCs w:val="52"/>
        </w:rPr>
        <w:sectPr>
          <w:footerReference r:id="rId4" w:type="default"/>
          <w:pgSz w:w="11905" w:h="16838"/>
          <w:pgMar w:top="1984" w:right="1701" w:bottom="1984" w:left="1701" w:header="850" w:footer="992" w:gutter="0"/>
          <w:pgNumType w:fmt="numberInDash"/>
          <w:cols w:space="0" w:num="1"/>
          <w:rtlGutter w:val="0"/>
          <w:docGrid w:type="lines" w:linePitch="314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4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80" w:lineRule="exact"/>
        <w:textAlignment w:val="auto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  <w:t>2023年度部门整体支出绩效自评表</w:t>
      </w:r>
    </w:p>
    <w:p>
      <w:pPr>
        <w:spacing w:line="132" w:lineRule="exact"/>
      </w:pPr>
    </w:p>
    <w:tbl>
      <w:tblPr>
        <w:tblStyle w:val="16"/>
        <w:tblW w:w="8625" w:type="dxa"/>
        <w:jc w:val="center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819"/>
        <w:gridCol w:w="985"/>
        <w:gridCol w:w="966"/>
        <w:gridCol w:w="26"/>
        <w:gridCol w:w="994"/>
        <w:gridCol w:w="1061"/>
        <w:gridCol w:w="1004"/>
        <w:gridCol w:w="690"/>
        <w:gridCol w:w="716"/>
        <w:gridCol w:w="1364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1" w:hRule="atLeast"/>
          <w:jc w:val="center"/>
        </w:trPr>
        <w:tc>
          <w:tcPr>
            <w:tcW w:w="277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省级预算部门、单位名称</w:t>
            </w:r>
          </w:p>
        </w:tc>
        <w:tc>
          <w:tcPr>
            <w:tcW w:w="5855" w:type="dxa"/>
            <w:gridSpan w:val="7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华容县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城区排涝泵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站</w:t>
            </w:r>
            <w:bookmarkStart w:id="0" w:name="_GoBack"/>
            <w:bookmarkEnd w:id="0"/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20" w:hRule="atLeast"/>
          <w:jc w:val="center"/>
        </w:trPr>
        <w:tc>
          <w:tcPr>
            <w:tcW w:w="819" w:type="dxa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年度预算申请（万元）</w:t>
            </w:r>
          </w:p>
        </w:tc>
        <w:tc>
          <w:tcPr>
            <w:tcW w:w="195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020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年初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100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执行数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分值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执行率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自评得分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19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195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年度资金总额</w:t>
            </w:r>
          </w:p>
        </w:tc>
        <w:tc>
          <w:tcPr>
            <w:tcW w:w="1020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310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393.87</w:t>
            </w:r>
          </w:p>
        </w:tc>
        <w:tc>
          <w:tcPr>
            <w:tcW w:w="100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393.87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19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4032" w:type="dxa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58" w:firstLineChars="28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按收入性质分：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393.87</w:t>
            </w:r>
          </w:p>
        </w:tc>
        <w:tc>
          <w:tcPr>
            <w:tcW w:w="3774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按支出性质分：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393.87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19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4032" w:type="dxa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firstLine="210" w:firstLineChars="1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其中：一般公共预算：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392.91</w:t>
            </w:r>
          </w:p>
        </w:tc>
        <w:tc>
          <w:tcPr>
            <w:tcW w:w="3774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firstLine="210" w:firstLineChars="100"/>
              <w:jc w:val="left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其中：基本支出：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393.87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19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4032" w:type="dxa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840" w:firstLineChars="4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政府性基金拨款：</w:t>
            </w:r>
          </w:p>
        </w:tc>
        <w:tc>
          <w:tcPr>
            <w:tcW w:w="3774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项目支出：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19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4032" w:type="dxa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纳入专户管理的非税收入拨款：</w:t>
            </w:r>
          </w:p>
        </w:tc>
        <w:tc>
          <w:tcPr>
            <w:tcW w:w="3774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19" w:type="dxa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4032" w:type="dxa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840" w:firstLineChars="400"/>
              <w:jc w:val="left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其他资金：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0.96</w:t>
            </w:r>
          </w:p>
        </w:tc>
        <w:tc>
          <w:tcPr>
            <w:tcW w:w="3774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19" w:type="dxa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</w:t>
            </w: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总</w:t>
            </w:r>
            <w:r>
              <w:rPr>
                <w:rFonts w:hint="eastAsia" w:ascii="黑体" w:hAnsi="黑体" w:eastAsia="黑体" w:cs="黑体"/>
                <w:sz w:val="21"/>
                <w:szCs w:val="21"/>
              </w:rPr>
              <w:t>体目标</w:t>
            </w:r>
          </w:p>
        </w:tc>
        <w:tc>
          <w:tcPr>
            <w:tcW w:w="4032" w:type="dxa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预期目标</w:t>
            </w:r>
          </w:p>
        </w:tc>
        <w:tc>
          <w:tcPr>
            <w:tcW w:w="3774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实际完成情况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19" w:type="dxa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4032" w:type="dxa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1.加强排灌区各泵站的水利设施和机电设备的保养及维护，保证设备正常运行。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2.辖区各渠道捞草清障除杂及时到位，保障渠道通畅，改善水环境。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3.合理调度，按时完成各项指标任务，及时排涝抗旱，减少灾害损失。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ab/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ab/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ab/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ab/>
            </w:r>
          </w:p>
        </w:tc>
        <w:tc>
          <w:tcPr>
            <w:tcW w:w="3774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1.加强排灌区各泵站的水利设施和机电设备的保养及维护，保证设备正常运行。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2.辖区各渠道捞草清障除杂及时到位，保障渠道通畅，改善水环境。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3.合理调度，按时完成各项指标任务，及时排涝抗旱，减少灾害损失。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60" w:hRule="atLeast"/>
          <w:jc w:val="center"/>
        </w:trPr>
        <w:tc>
          <w:tcPr>
            <w:tcW w:w="819" w:type="dxa"/>
            <w:vMerge w:val="restar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985" w:type="dxa"/>
            <w:tcBorders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一级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</w:t>
            </w:r>
          </w:p>
        </w:tc>
        <w:tc>
          <w:tcPr>
            <w:tcW w:w="992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二级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</w:t>
            </w:r>
          </w:p>
        </w:tc>
        <w:tc>
          <w:tcPr>
            <w:tcW w:w="9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三级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指标值</w:t>
            </w:r>
          </w:p>
        </w:tc>
        <w:tc>
          <w:tcPr>
            <w:tcW w:w="100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完成值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分值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得分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偏差原因分析</w:t>
            </w:r>
            <w:r>
              <w:rPr>
                <w:rFonts w:hint="eastAsia" w:ascii="黑体" w:hAnsi="黑体" w:eastAsia="黑体" w:cs="黑体"/>
                <w:sz w:val="21"/>
                <w:szCs w:val="21"/>
              </w:rPr>
              <w:t>及改进措施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65" w:hRule="atLeast"/>
          <w:jc w:val="center"/>
        </w:trPr>
        <w:tc>
          <w:tcPr>
            <w:tcW w:w="819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出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(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992" w:type="dxa"/>
            <w:gridSpan w:val="2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数量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辖区各泵站全年安全运行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≥100%</w:t>
            </w:r>
          </w:p>
        </w:tc>
        <w:tc>
          <w:tcPr>
            <w:tcW w:w="100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≥100%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819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2" w:type="dxa"/>
            <w:gridSpan w:val="2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质量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机组设备维修养护及渠道捞草清障除杂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default" w:ascii="仿宋_GB2312" w:hAnsi="宋体" w:eastAsia="仿宋_GB2312" w:cs="仿宋_GB2312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全年</w:t>
            </w:r>
          </w:p>
        </w:tc>
        <w:tc>
          <w:tcPr>
            <w:tcW w:w="1004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default" w:ascii="仿宋_GB2312" w:hAnsi="宋体" w:eastAsia="仿宋_GB2312" w:cs="仿宋_GB2312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全年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819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2" w:type="dxa"/>
            <w:gridSpan w:val="2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时效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辖区各泵站调度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default" w:ascii="仿宋_GB2312" w:hAnsi="宋体" w:eastAsia="仿宋_GB2312" w:cs="仿宋_GB2312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≥90%</w:t>
            </w:r>
          </w:p>
        </w:tc>
        <w:tc>
          <w:tcPr>
            <w:tcW w:w="1004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仿宋_GB2312" w:hAnsi="宋体" w:eastAsia="仿宋_GB2312" w:cs="仿宋_GB2312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≥90%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19" w:type="dxa"/>
            <w:vMerge w:val="restar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98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（30分）</w:t>
            </w:r>
          </w:p>
        </w:tc>
        <w:tc>
          <w:tcPr>
            <w:tcW w:w="992" w:type="dxa"/>
            <w:gridSpan w:val="2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经济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提高排灌区内农业生产效率，确保农业增产增收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提升</w:t>
            </w:r>
          </w:p>
        </w:tc>
        <w:tc>
          <w:tcPr>
            <w:tcW w:w="100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提升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19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2" w:type="dxa"/>
            <w:gridSpan w:val="2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社会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保护排灌区内农业生产，确保广大人民的生命财产安全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提升</w:t>
            </w:r>
          </w:p>
        </w:tc>
        <w:tc>
          <w:tcPr>
            <w:tcW w:w="100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提升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19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2" w:type="dxa"/>
            <w:gridSpan w:val="2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生态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改善辖区水环境，保护受益区生态环境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default" w:ascii="仿宋_GB2312" w:hAnsi="宋体" w:eastAsia="仿宋_GB2312" w:cs="仿宋_GB2312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≥90%</w:t>
            </w:r>
          </w:p>
        </w:tc>
        <w:tc>
          <w:tcPr>
            <w:tcW w:w="100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default" w:ascii="仿宋_GB2312" w:hAnsi="宋体" w:eastAsia="仿宋_GB2312" w:cs="仿宋_GB2312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≥90%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19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2" w:type="dxa"/>
            <w:gridSpan w:val="2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可持续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影响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可持续影响辖区人民生产生活指标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提升</w:t>
            </w:r>
          </w:p>
        </w:tc>
        <w:tc>
          <w:tcPr>
            <w:tcW w:w="100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提升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19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（10分）</w:t>
            </w:r>
          </w:p>
        </w:tc>
        <w:tc>
          <w:tcPr>
            <w:tcW w:w="992" w:type="dxa"/>
            <w:gridSpan w:val="2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服务对象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94" w:type="dxa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提高灌区人民对我们服务的满意度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default" w:ascii="仿宋_GB2312" w:hAnsi="宋体" w:eastAsia="仿宋_GB2312" w:cs="仿宋_GB2312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≥90%</w:t>
            </w:r>
          </w:p>
        </w:tc>
        <w:tc>
          <w:tcPr>
            <w:tcW w:w="100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default" w:ascii="仿宋_GB2312" w:hAnsi="宋体" w:eastAsia="仿宋_GB2312" w:cs="仿宋_GB2312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≥90%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19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5" w:type="dxa"/>
            <w:vMerge w:val="restart"/>
            <w:tcBorders>
              <w:top w:val="single" w:color="auto" w:sz="4" w:space="0"/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成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（2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）</w:t>
            </w:r>
          </w:p>
        </w:tc>
        <w:tc>
          <w:tcPr>
            <w:tcW w:w="992" w:type="dxa"/>
            <w:gridSpan w:val="2"/>
            <w:tcBorders>
              <w:top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经济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994" w:type="dxa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控制预算指标差异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≤100%</w:t>
            </w:r>
          </w:p>
        </w:tc>
        <w:tc>
          <w:tcPr>
            <w:tcW w:w="100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≤100%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19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5" w:type="dxa"/>
            <w:vMerge w:val="continue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2" w:type="dxa"/>
            <w:gridSpan w:val="2"/>
            <w:tcBorders>
              <w:top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社会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994" w:type="dxa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人员及日常公用经费成本控制情况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/>
              </w:rPr>
              <w:t>下降</w:t>
            </w:r>
          </w:p>
        </w:tc>
        <w:tc>
          <w:tcPr>
            <w:tcW w:w="100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/>
              </w:rPr>
              <w:t>下降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19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5" w:type="dxa"/>
            <w:vMerge w:val="continue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2" w:type="dxa"/>
            <w:gridSpan w:val="2"/>
            <w:tcBorders>
              <w:top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生态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环境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994" w:type="dxa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辖区人民生态环境指标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default" w:ascii="仿宋_GB2312" w:hAnsi="宋体" w:eastAsia="仿宋_GB2312" w:cs="仿宋_GB2312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≥90%</w:t>
            </w:r>
          </w:p>
        </w:tc>
        <w:tc>
          <w:tcPr>
            <w:tcW w:w="1004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default" w:ascii="仿宋_GB2312" w:hAnsi="宋体" w:eastAsia="仿宋_GB2312" w:cs="仿宋_GB2312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≥90%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5855" w:type="dxa"/>
            <w:gridSpan w:val="7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总分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100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</w:tbl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 xml:space="preserve">填表人： </w:t>
      </w:r>
      <w:r>
        <w:rPr>
          <w:rFonts w:hint="eastAsia"/>
          <w:lang w:val="en-US" w:eastAsia="zh-CN"/>
        </w:rPr>
        <w:t>易亚华</w:t>
      </w:r>
      <w:r>
        <w:rPr>
          <w:rFonts w:hint="eastAsia"/>
        </w:rPr>
        <w:t xml:space="preserve">      填报日期： </w:t>
      </w:r>
      <w:r>
        <w:rPr>
          <w:rFonts w:hint="eastAsia"/>
          <w:lang w:val="en-US" w:eastAsia="zh-CN"/>
        </w:rPr>
        <w:t>2024.05.28</w:t>
      </w:r>
      <w:r>
        <w:rPr>
          <w:rFonts w:hint="eastAsia"/>
        </w:rPr>
        <w:t xml:space="preserve">        联系电话：     单位负责人签字：</w:t>
      </w:r>
    </w:p>
    <w:p>
      <w:pPr>
        <w:rPr>
          <w:rFonts w:hint="eastAsia"/>
        </w:rPr>
      </w:pPr>
      <w:r>
        <w:rPr>
          <w:rFonts w:hint="eastAsia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5</w:t>
      </w:r>
    </w:p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</w:p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</w:p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202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3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年度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  <w:t>华容县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城区排涝泵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  <w:t>站</w:t>
      </w:r>
    </w:p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  <w:t>事业发展资金项目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支出</w:t>
      </w:r>
    </w:p>
    <w:p>
      <w:pPr>
        <w:ind w:firstLine="2640" w:firstLineChars="600"/>
        <w:jc w:val="both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绩效自评报告</w:t>
      </w:r>
    </w:p>
    <w:p>
      <w:pPr>
        <w:jc w:val="center"/>
        <w:rPr>
          <w:rFonts w:hint="default" w:ascii="Times New Roman" w:hAnsi="Times New Roman" w:eastAsia="方正小标宋_GBK" w:cs="Times New Roman"/>
          <w:b/>
          <w:sz w:val="52"/>
          <w:szCs w:val="5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pStyle w:val="2"/>
        <w:rPr>
          <w:rFonts w:hint="default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both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line="221" w:lineRule="auto"/>
        <w:ind w:firstLine="60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10"/>
          <w:sz w:val="32"/>
          <w:szCs w:val="32"/>
        </w:rPr>
        <w:t>部门（单位）名称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</w:rPr>
        <w:t>：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u w:val="single"/>
          <w:lang w:eastAsia="zh-CN"/>
        </w:rPr>
        <w:t>华容县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u w:val="single"/>
          <w:lang w:val="en-US" w:eastAsia="zh-CN"/>
        </w:rPr>
        <w:t>城区排涝泵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u w:val="single"/>
          <w:lang w:eastAsia="zh-CN"/>
        </w:rPr>
        <w:t>站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  <w:lang w:val="en-US" w:eastAsia="zh-CN"/>
        </w:rPr>
        <w:t xml:space="preserve">  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</w:t>
      </w:r>
    </w:p>
    <w:p>
      <w:pPr>
        <w:spacing w:before="228" w:line="222" w:lineRule="auto"/>
        <w:ind w:firstLine="4560" w:firstLineChars="15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8"/>
          <w:sz w:val="32"/>
          <w:szCs w:val="32"/>
          <w:lang w:val="en-US" w:eastAsia="zh-CN"/>
        </w:rPr>
        <w:t>2024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年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月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  <w:lang w:val="en-US" w:eastAsia="zh-CN"/>
        </w:rPr>
        <w:t>28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日</w:t>
      </w:r>
    </w:p>
    <w:p>
      <w:pPr>
        <w:spacing w:line="335" w:lineRule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pStyle w:val="4"/>
        <w:spacing w:before="102" w:line="224" w:lineRule="auto"/>
        <w:ind w:left="3216"/>
        <w:rPr>
          <w:rFonts w:hint="eastAsia" w:ascii="仿宋_GB2312" w:hAnsi="仿宋_GB2312" w:eastAsia="仿宋_GB2312" w:cs="仿宋_GB2312"/>
          <w:spacing w:val="8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8"/>
          <w:sz w:val="32"/>
          <w:szCs w:val="32"/>
        </w:rPr>
        <w:t>（此页为封面）</w:t>
      </w:r>
    </w:p>
    <w:p>
      <w:pPr>
        <w:rPr>
          <w:rFonts w:hint="eastAsia" w:ascii="仿宋_GB2312" w:hAnsi="仿宋_GB2312" w:eastAsia="仿宋_GB2312" w:cs="仿宋_GB2312"/>
          <w:spacing w:val="8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8"/>
          <w:sz w:val="32"/>
          <w:szCs w:val="32"/>
        </w:rPr>
        <w:br w:type="page"/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202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3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年度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  <w:t>华容县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城区排涝泵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  <w:t>站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  <w:t>事业发展资金项目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支出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jc w:val="center"/>
        <w:textAlignment w:val="auto"/>
        <w:rPr>
          <w:rFonts w:hint="default" w:ascii="Times New Roman" w:hAnsi="Times New Roman" w:eastAsia="仿宋_GB2312" w:cs="Times New Roman"/>
          <w:sz w:val="32"/>
          <w:szCs w:val="32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绩效自评报告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00" w:firstLineChars="200"/>
        <w:textAlignment w:val="auto"/>
        <w:rPr>
          <w:rFonts w:hint="eastAsia" w:ascii="黑体" w:hAnsi="黑体" w:eastAsia="黑体" w:cs="黑体"/>
          <w:sz w:val="30"/>
          <w:szCs w:val="30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一、基本情况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一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项目概况。包括项目背景、主要内容及实施情况、资金投入和使用情况等。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二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项目绩效目标。包括总体目标和阶段性目标。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二、绩效评价工作开展情况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一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绩效评价目的、对象和范围。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二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绩效评价原则、评价指标体系</w:t>
      </w: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附表说明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、评价方法、评价标准等。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三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绩效评价工作过程。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 xml:space="preserve">三、综合评价情况及评价结论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四、绩效评价指标分析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一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项目决策情况。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二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项目过程情况。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三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项目产出情况。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四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项目效益情况。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五、主要经验及做法、存在的问题及原因分析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  <w:lang w:eastAsia="zh-CN"/>
        </w:rPr>
        <w:t>六</w:t>
      </w:r>
      <w:r>
        <w:rPr>
          <w:rFonts w:hint="eastAsia" w:ascii="黑体" w:hAnsi="黑体" w:eastAsia="黑体" w:cs="黑体"/>
          <w:sz w:val="32"/>
          <w:szCs w:val="32"/>
        </w:rPr>
        <w:t>、其他需要说明的问题</w:t>
      </w:r>
    </w:p>
    <w:p>
      <w:pPr>
        <w:rPr>
          <w:rFonts w:hint="eastAsia" w:ascii="黑体" w:hAnsi="黑体" w:eastAsia="黑体" w:cs="黑体"/>
          <w:sz w:val="30"/>
          <w:szCs w:val="30"/>
        </w:rPr>
      </w:pPr>
      <w:r>
        <w:rPr>
          <w:rFonts w:hint="eastAsia" w:ascii="黑体" w:hAnsi="黑体" w:eastAsia="黑体" w:cs="黑体"/>
          <w:sz w:val="30"/>
          <w:szCs w:val="30"/>
        </w:rPr>
        <w:br w:type="page"/>
      </w:r>
    </w:p>
    <w:p>
      <w:pPr>
        <w:spacing w:before="181" w:line="171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6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8" w:afterLines="50" w:line="580" w:lineRule="exact"/>
        <w:ind w:left="0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7"/>
          <w:sz w:val="44"/>
          <w:szCs w:val="44"/>
        </w:rPr>
        <w:t>2023年度项目支出绩效自评表</w:t>
      </w:r>
    </w:p>
    <w:tbl>
      <w:tblPr>
        <w:tblStyle w:val="16"/>
        <w:tblW w:w="8609" w:type="dxa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896"/>
        <w:gridCol w:w="896"/>
        <w:gridCol w:w="1126"/>
        <w:gridCol w:w="939"/>
        <w:gridCol w:w="990"/>
        <w:gridCol w:w="1135"/>
        <w:gridCol w:w="592"/>
        <w:gridCol w:w="749"/>
        <w:gridCol w:w="1286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2918" w:type="dxa"/>
            <w:gridSpan w:val="3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项目支出名称</w:t>
            </w:r>
          </w:p>
        </w:tc>
        <w:tc>
          <w:tcPr>
            <w:tcW w:w="5691" w:type="dxa"/>
            <w:gridSpan w:val="6"/>
            <w:vAlign w:val="center"/>
          </w:tcPr>
          <w:p>
            <w:pPr>
              <w:jc w:val="center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事业发展资金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896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主管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部门</w:t>
            </w:r>
          </w:p>
        </w:tc>
        <w:tc>
          <w:tcPr>
            <w:tcW w:w="3951" w:type="dxa"/>
            <w:gridSpan w:val="4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华容县水利局</w:t>
            </w:r>
          </w:p>
        </w:tc>
        <w:tc>
          <w:tcPr>
            <w:tcW w:w="1135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实施单位</w:t>
            </w:r>
          </w:p>
        </w:tc>
        <w:tc>
          <w:tcPr>
            <w:tcW w:w="2627" w:type="dxa"/>
            <w:gridSpan w:val="3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华容县</w:t>
            </w: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城区排涝泵</w:t>
            </w: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站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896" w:type="dxa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项目资金（万元）</w:t>
            </w:r>
          </w:p>
        </w:tc>
        <w:tc>
          <w:tcPr>
            <w:tcW w:w="2022" w:type="dxa"/>
            <w:gridSpan w:val="2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939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年初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990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1135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执行数</w:t>
            </w:r>
          </w:p>
        </w:tc>
        <w:tc>
          <w:tcPr>
            <w:tcW w:w="592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分值</w:t>
            </w:r>
          </w:p>
        </w:tc>
        <w:tc>
          <w:tcPr>
            <w:tcW w:w="749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执行率</w:t>
            </w:r>
          </w:p>
        </w:tc>
        <w:tc>
          <w:tcPr>
            <w:tcW w:w="1286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自评得分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896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2022" w:type="dxa"/>
            <w:gridSpan w:val="2"/>
            <w:vAlign w:val="center"/>
          </w:tcPr>
          <w:p>
            <w:pPr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年度资金总额</w:t>
            </w:r>
          </w:p>
        </w:tc>
        <w:tc>
          <w:tcPr>
            <w:tcW w:w="939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12</w:t>
            </w:r>
          </w:p>
        </w:tc>
        <w:tc>
          <w:tcPr>
            <w:tcW w:w="990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12</w:t>
            </w:r>
          </w:p>
        </w:tc>
        <w:tc>
          <w:tcPr>
            <w:tcW w:w="1135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12</w:t>
            </w:r>
          </w:p>
        </w:tc>
        <w:tc>
          <w:tcPr>
            <w:tcW w:w="59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</w:t>
            </w:r>
          </w:p>
        </w:tc>
        <w:tc>
          <w:tcPr>
            <w:tcW w:w="749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1286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896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2022" w:type="dxa"/>
            <w:gridSpan w:val="2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其中：当年财政拨款</w:t>
            </w:r>
          </w:p>
        </w:tc>
        <w:tc>
          <w:tcPr>
            <w:tcW w:w="939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12</w:t>
            </w:r>
          </w:p>
        </w:tc>
        <w:tc>
          <w:tcPr>
            <w:tcW w:w="990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12</w:t>
            </w:r>
          </w:p>
        </w:tc>
        <w:tc>
          <w:tcPr>
            <w:tcW w:w="1135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12</w:t>
            </w:r>
          </w:p>
        </w:tc>
        <w:tc>
          <w:tcPr>
            <w:tcW w:w="59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749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128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896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2022" w:type="dxa"/>
            <w:gridSpan w:val="2"/>
            <w:vAlign w:val="center"/>
          </w:tcPr>
          <w:p>
            <w:pPr>
              <w:ind w:left="0" w:leftChars="0" w:firstLine="619" w:firstLineChars="295"/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上年结转资金</w:t>
            </w:r>
          </w:p>
        </w:tc>
        <w:tc>
          <w:tcPr>
            <w:tcW w:w="939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35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49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28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896" w:type="dxa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2022" w:type="dxa"/>
            <w:gridSpan w:val="2"/>
            <w:vAlign w:val="center"/>
          </w:tcPr>
          <w:p>
            <w:pPr>
              <w:ind w:left="0" w:leftChars="0" w:firstLine="619" w:firstLineChars="295"/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其他资金</w:t>
            </w:r>
          </w:p>
        </w:tc>
        <w:tc>
          <w:tcPr>
            <w:tcW w:w="939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35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49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28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896" w:type="dxa"/>
            <w:vMerge w:val="restart"/>
            <w:tcBorders>
              <w:bottom w:val="nil"/>
            </w:tcBorders>
            <w:vAlign w:val="center"/>
          </w:tcPr>
          <w:p>
            <w:pPr>
              <w:jc w:val="left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年度总</w:t>
            </w:r>
          </w:p>
          <w:p>
            <w:pPr>
              <w:jc w:val="left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体</w:t>
            </w:r>
            <w:r>
              <w:rPr>
                <w:rFonts w:hint="eastAsia" w:ascii="黑体" w:hAnsi="黑体" w:eastAsia="黑体" w:cs="黑体"/>
                <w:sz w:val="21"/>
                <w:szCs w:val="21"/>
              </w:rPr>
              <w:t>目标</w:t>
            </w:r>
          </w:p>
        </w:tc>
        <w:tc>
          <w:tcPr>
            <w:tcW w:w="3951" w:type="dxa"/>
            <w:gridSpan w:val="4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预期目标</w:t>
            </w:r>
          </w:p>
        </w:tc>
        <w:tc>
          <w:tcPr>
            <w:tcW w:w="3762" w:type="dxa"/>
            <w:gridSpan w:val="4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实际完成情况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896" w:type="dxa"/>
            <w:vMerge w:val="continue"/>
            <w:tcBorders>
              <w:top w:val="nil"/>
            </w:tcBorders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951" w:type="dxa"/>
            <w:gridSpan w:val="4"/>
            <w:vAlign w:val="center"/>
          </w:tcPr>
          <w:tbl>
            <w:tblPr>
              <w:tblW w:w="6599" w:type="dxa"/>
              <w:tblInd w:w="-15" w:type="dxa"/>
              <w:shd w:val="clear"/>
              <w:tblLayout w:type="fixed"/>
              <w:tblCellMar>
                <w:top w:w="0" w:type="dxa"/>
                <w:left w:w="0" w:type="dxa"/>
                <w:bottom w:w="0" w:type="dxa"/>
                <w:right w:w="0" w:type="dxa"/>
              </w:tblCellMar>
            </w:tblPr>
            <w:tblGrid>
              <w:gridCol w:w="6599"/>
            </w:tblGrid>
            <w:tr>
              <w:tblPrEx>
                <w:shd w:val="clear"/>
                <w:tblLayout w:type="fixed"/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270" w:hRule="atLeast"/>
              </w:trPr>
              <w:tc>
                <w:tcPr>
                  <w:tcW w:w="6599" w:type="dxa"/>
                  <w:vMerge w:val="restart"/>
                  <w:tcBorders>
                    <w:top w:val="nil"/>
                    <w:left w:val="single" w:color="000000" w:sz="8" w:space="0"/>
                    <w:bottom w:val="single" w:color="000000" w:sz="8" w:space="0"/>
                    <w:right w:val="nil"/>
                  </w:tcBorders>
                  <w:shd w:val="clear"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keepNext w:val="0"/>
                    <w:keepLines w:val="0"/>
                    <w:widowControl/>
                    <w:suppressLineNumbers w:val="0"/>
                    <w:jc w:val="both"/>
                    <w:textAlignment w:val="center"/>
                    <w:rPr>
                      <w:rFonts w:hint="eastAsia" w:ascii="微软雅黑" w:hAnsi="微软雅黑" w:eastAsia="微软雅黑" w:cs="微软雅黑"/>
                      <w:i w:val="0"/>
                      <w:color w:val="000000"/>
                      <w:sz w:val="20"/>
                      <w:szCs w:val="20"/>
                      <w:u w:val="none"/>
                    </w:rPr>
                  </w:pPr>
                  <w:r>
                    <w:rPr>
                      <w:rFonts w:hint="eastAsia" w:ascii="微软雅黑" w:hAnsi="微软雅黑" w:eastAsia="微软雅黑" w:cs="微软雅黑"/>
                      <w:i w:val="0"/>
                      <w:color w:val="000000"/>
                      <w:sz w:val="20"/>
                      <w:szCs w:val="20"/>
                      <w:u w:val="none"/>
                    </w:rPr>
                    <w:t>1.加强排灌区各泵站的水利设施和机电设备的保养及维护，保证设备正常运行。</w:t>
                  </w:r>
                </w:p>
                <w:p>
                  <w:pPr>
                    <w:keepNext w:val="0"/>
                    <w:keepLines w:val="0"/>
                    <w:widowControl/>
                    <w:suppressLineNumbers w:val="0"/>
                    <w:jc w:val="both"/>
                    <w:textAlignment w:val="center"/>
                    <w:rPr>
                      <w:rFonts w:hint="eastAsia" w:ascii="微软雅黑" w:hAnsi="微软雅黑" w:eastAsia="微软雅黑" w:cs="微软雅黑"/>
                      <w:i w:val="0"/>
                      <w:color w:val="000000"/>
                      <w:sz w:val="20"/>
                      <w:szCs w:val="20"/>
                      <w:u w:val="none"/>
                    </w:rPr>
                  </w:pPr>
                  <w:r>
                    <w:rPr>
                      <w:rFonts w:hint="eastAsia" w:ascii="微软雅黑" w:hAnsi="微软雅黑" w:eastAsia="微软雅黑" w:cs="微软雅黑"/>
                      <w:i w:val="0"/>
                      <w:color w:val="000000"/>
                      <w:sz w:val="20"/>
                      <w:szCs w:val="20"/>
                      <w:u w:val="none"/>
                    </w:rPr>
                    <w:t>2.辖区各渠道捞草清障除杂及时到位，保障渠道通畅，改善水环境。</w:t>
                  </w:r>
                </w:p>
                <w:p>
                  <w:pPr>
                    <w:keepNext w:val="0"/>
                    <w:keepLines w:val="0"/>
                    <w:widowControl/>
                    <w:suppressLineNumbers w:val="0"/>
                    <w:jc w:val="both"/>
                    <w:textAlignment w:val="center"/>
                    <w:rPr>
                      <w:rFonts w:ascii="微软雅黑" w:hAnsi="微软雅黑" w:eastAsia="微软雅黑" w:cs="微软雅黑"/>
                      <w:i w:val="0"/>
                      <w:color w:val="000000"/>
                      <w:sz w:val="20"/>
                      <w:szCs w:val="20"/>
                      <w:u w:val="none"/>
                    </w:rPr>
                  </w:pPr>
                  <w:r>
                    <w:rPr>
                      <w:rFonts w:hint="eastAsia" w:ascii="微软雅黑" w:hAnsi="微软雅黑" w:eastAsia="微软雅黑" w:cs="微软雅黑"/>
                      <w:i w:val="0"/>
                      <w:color w:val="000000"/>
                      <w:sz w:val="20"/>
                      <w:szCs w:val="20"/>
                      <w:u w:val="none"/>
                    </w:rPr>
                    <w:t>3.合理调度，按时完成各项指标任务，及时排涝抗旱，减少灾害损失。</w:t>
                  </w:r>
                </w:p>
              </w:tc>
            </w:tr>
            <w:tr>
              <w:tblPrEx>
                <w:shd w:val="clear"/>
                <w:tblLayout w:type="fixed"/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270" w:hRule="atLeast"/>
              </w:trPr>
              <w:tc>
                <w:tcPr>
                  <w:tcW w:w="6599" w:type="dxa"/>
                  <w:vMerge w:val="continue"/>
                  <w:tcBorders>
                    <w:top w:val="nil"/>
                    <w:left w:val="single" w:color="000000" w:sz="8" w:space="0"/>
                    <w:bottom w:val="single" w:color="000000" w:sz="8" w:space="0"/>
                    <w:right w:val="nil"/>
                  </w:tcBorders>
                  <w:shd w:val="clear"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center"/>
                    <w:rPr>
                      <w:rFonts w:hint="eastAsia" w:ascii="微软雅黑" w:hAnsi="微软雅黑" w:eastAsia="微软雅黑" w:cs="微软雅黑"/>
                      <w:i w:val="0"/>
                      <w:color w:val="000000"/>
                      <w:sz w:val="20"/>
                      <w:szCs w:val="20"/>
                      <w:u w:val="none"/>
                    </w:rPr>
                  </w:pPr>
                </w:p>
              </w:tc>
            </w:tr>
            <w:tr>
              <w:tblPrEx>
                <w:tblLayout w:type="fixed"/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285" w:hRule="atLeast"/>
              </w:trPr>
              <w:tc>
                <w:tcPr>
                  <w:tcW w:w="6599" w:type="dxa"/>
                  <w:vMerge w:val="continue"/>
                  <w:tcBorders>
                    <w:top w:val="nil"/>
                    <w:left w:val="single" w:color="000000" w:sz="8" w:space="0"/>
                    <w:bottom w:val="single" w:color="000000" w:sz="8" w:space="0"/>
                    <w:right w:val="nil"/>
                  </w:tcBorders>
                  <w:shd w:val="clear"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center"/>
                    <w:rPr>
                      <w:rFonts w:hint="eastAsia" w:ascii="微软雅黑" w:hAnsi="微软雅黑" w:eastAsia="微软雅黑" w:cs="微软雅黑"/>
                      <w:i w:val="0"/>
                      <w:color w:val="000000"/>
                      <w:sz w:val="20"/>
                      <w:szCs w:val="20"/>
                      <w:u w:val="none"/>
                    </w:rPr>
                  </w:pPr>
                </w:p>
              </w:tc>
            </w:tr>
          </w:tbl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762" w:type="dxa"/>
            <w:gridSpan w:val="4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1.加强排灌区各泵站的水利设施和机电设备的保养及维护，保证设备正常运行。</w:t>
            </w:r>
          </w:p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2.辖区各渠道捞草清障除杂及时到位，保障渠道通畅，改善水环境。</w:t>
            </w:r>
          </w:p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3.合理调度，按时完成各项指标任务，及时排涝抗旱，减少灾害损失。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8" w:hRule="atLeast"/>
        </w:trPr>
        <w:tc>
          <w:tcPr>
            <w:tcW w:w="896" w:type="dxa"/>
            <w:vMerge w:val="restar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896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一级指标</w:t>
            </w:r>
          </w:p>
        </w:tc>
        <w:tc>
          <w:tcPr>
            <w:tcW w:w="1126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二级指标</w:t>
            </w:r>
          </w:p>
        </w:tc>
        <w:tc>
          <w:tcPr>
            <w:tcW w:w="939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三级指标</w:t>
            </w:r>
          </w:p>
        </w:tc>
        <w:tc>
          <w:tcPr>
            <w:tcW w:w="990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指标值</w:t>
            </w:r>
          </w:p>
        </w:tc>
        <w:tc>
          <w:tcPr>
            <w:tcW w:w="1135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完成值</w:t>
            </w:r>
          </w:p>
        </w:tc>
        <w:tc>
          <w:tcPr>
            <w:tcW w:w="592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分值</w:t>
            </w:r>
          </w:p>
        </w:tc>
        <w:tc>
          <w:tcPr>
            <w:tcW w:w="749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得分</w:t>
            </w:r>
          </w:p>
        </w:tc>
        <w:tc>
          <w:tcPr>
            <w:tcW w:w="1286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偏差原因分析及改进措施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896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896" w:type="dxa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产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出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(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1126" w:type="dxa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数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量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</w:tc>
        <w:tc>
          <w:tcPr>
            <w:tcW w:w="939" w:type="dxa"/>
            <w:vAlign w:val="center"/>
          </w:tcPr>
          <w:p>
            <w:pPr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负责城区13.58平方公里及4.75万亩农田排涝抗旱任务</w:t>
            </w:r>
          </w:p>
        </w:tc>
        <w:tc>
          <w:tcPr>
            <w:tcW w:w="990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4.75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万亩</w:t>
            </w:r>
          </w:p>
        </w:tc>
        <w:tc>
          <w:tcPr>
            <w:tcW w:w="1135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4.75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万亩</w:t>
            </w:r>
          </w:p>
        </w:tc>
        <w:tc>
          <w:tcPr>
            <w:tcW w:w="592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49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28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896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896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26" w:type="dxa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质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量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</w:tc>
        <w:tc>
          <w:tcPr>
            <w:tcW w:w="939" w:type="dxa"/>
            <w:vAlign w:val="center"/>
          </w:tcPr>
          <w:p>
            <w:pPr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做好日常调度，各泵站联合运行，确保排灌区广大人民的生命财产安全</w:t>
            </w:r>
          </w:p>
        </w:tc>
        <w:tc>
          <w:tcPr>
            <w:tcW w:w="990" w:type="dxa"/>
            <w:vAlign w:val="center"/>
          </w:tcPr>
          <w:p>
            <w:pPr>
              <w:ind w:firstLine="210" w:firstLineChars="100"/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≥90%</w:t>
            </w:r>
          </w:p>
        </w:tc>
        <w:tc>
          <w:tcPr>
            <w:tcW w:w="1135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≥90%</w:t>
            </w:r>
          </w:p>
        </w:tc>
        <w:tc>
          <w:tcPr>
            <w:tcW w:w="592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49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28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896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896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26" w:type="dxa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时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</w:tc>
        <w:tc>
          <w:tcPr>
            <w:tcW w:w="939" w:type="dxa"/>
            <w:vAlign w:val="center"/>
          </w:tcPr>
          <w:p>
            <w:pPr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各泵站合理调度，联合运行，按时完成各项指标任务。</w:t>
            </w:r>
          </w:p>
        </w:tc>
        <w:tc>
          <w:tcPr>
            <w:tcW w:w="990" w:type="dxa"/>
            <w:vAlign w:val="center"/>
          </w:tcPr>
          <w:p>
            <w:pPr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≥90%</w:t>
            </w:r>
          </w:p>
        </w:tc>
        <w:tc>
          <w:tcPr>
            <w:tcW w:w="1135" w:type="dxa"/>
            <w:vAlign w:val="center"/>
          </w:tcPr>
          <w:p>
            <w:pPr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≥90%</w:t>
            </w:r>
          </w:p>
        </w:tc>
        <w:tc>
          <w:tcPr>
            <w:tcW w:w="592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49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28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896" w:type="dxa"/>
            <w:vMerge w:val="restar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896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（30分）</w:t>
            </w:r>
          </w:p>
        </w:tc>
        <w:tc>
          <w:tcPr>
            <w:tcW w:w="1126" w:type="dxa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经济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39" w:type="dxa"/>
            <w:vAlign w:val="center"/>
          </w:tcPr>
          <w:p>
            <w:pPr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提高排灌区内农业生产，确保农田增产增收。</w:t>
            </w:r>
          </w:p>
        </w:tc>
        <w:tc>
          <w:tcPr>
            <w:tcW w:w="990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≥90%</w:t>
            </w:r>
          </w:p>
        </w:tc>
        <w:tc>
          <w:tcPr>
            <w:tcW w:w="1135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≥90%</w:t>
            </w:r>
          </w:p>
        </w:tc>
        <w:tc>
          <w:tcPr>
            <w:tcW w:w="592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49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28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896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9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26" w:type="dxa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社会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39" w:type="dxa"/>
            <w:vAlign w:val="center"/>
          </w:tcPr>
          <w:p>
            <w:pPr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确保排灌区不发生水灾旱灾，保护农业生产，保护灌区广大人民的生命财产安全</w:t>
            </w:r>
          </w:p>
        </w:tc>
        <w:tc>
          <w:tcPr>
            <w:tcW w:w="990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≥90%</w:t>
            </w:r>
          </w:p>
        </w:tc>
        <w:tc>
          <w:tcPr>
            <w:tcW w:w="1135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≥90%</w:t>
            </w:r>
          </w:p>
        </w:tc>
        <w:tc>
          <w:tcPr>
            <w:tcW w:w="592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49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28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896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9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26" w:type="dxa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生态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39" w:type="dxa"/>
            <w:vAlign w:val="center"/>
          </w:tcPr>
          <w:p>
            <w:pPr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合理调度水系，保护生态环境</w:t>
            </w:r>
          </w:p>
        </w:tc>
        <w:tc>
          <w:tcPr>
            <w:tcW w:w="990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≥90%</w:t>
            </w:r>
          </w:p>
        </w:tc>
        <w:tc>
          <w:tcPr>
            <w:tcW w:w="1135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≥90%</w:t>
            </w:r>
          </w:p>
        </w:tc>
        <w:tc>
          <w:tcPr>
            <w:tcW w:w="59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49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128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896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9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26" w:type="dxa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可持续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影响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39" w:type="dxa"/>
            <w:vAlign w:val="center"/>
          </w:tcPr>
          <w:p>
            <w:pPr>
              <w:jc w:val="both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990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1135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749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128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896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（10分）</w:t>
            </w:r>
          </w:p>
        </w:tc>
        <w:tc>
          <w:tcPr>
            <w:tcW w:w="1126" w:type="dxa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服务对象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39" w:type="dxa"/>
            <w:vAlign w:val="center"/>
          </w:tcPr>
          <w:p>
            <w:pPr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确保排灌区人民对我们服务的满意度</w:t>
            </w:r>
          </w:p>
        </w:tc>
        <w:tc>
          <w:tcPr>
            <w:tcW w:w="990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≥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90%</w:t>
            </w:r>
          </w:p>
        </w:tc>
        <w:tc>
          <w:tcPr>
            <w:tcW w:w="1135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≥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90%</w:t>
            </w:r>
          </w:p>
        </w:tc>
        <w:tc>
          <w:tcPr>
            <w:tcW w:w="592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49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28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896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96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成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（2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）</w:t>
            </w:r>
          </w:p>
        </w:tc>
        <w:tc>
          <w:tcPr>
            <w:tcW w:w="1126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经济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939" w:type="dxa"/>
            <w:tcBorders>
              <w:left w:val="single" w:color="auto" w:sz="4" w:space="0"/>
            </w:tcBorders>
            <w:vAlign w:val="center"/>
          </w:tcPr>
          <w:p>
            <w:pPr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控制预算指标差异率</w:t>
            </w:r>
          </w:p>
        </w:tc>
        <w:tc>
          <w:tcPr>
            <w:tcW w:w="990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≤12万元</w:t>
            </w:r>
          </w:p>
        </w:tc>
        <w:tc>
          <w:tcPr>
            <w:tcW w:w="1135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≤12万元</w:t>
            </w:r>
          </w:p>
        </w:tc>
        <w:tc>
          <w:tcPr>
            <w:tcW w:w="592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49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28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896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9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26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社会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939" w:type="dxa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确保排灌区农田排涝抗旱成本</w:t>
            </w:r>
          </w:p>
        </w:tc>
        <w:tc>
          <w:tcPr>
            <w:tcW w:w="990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≤0.5万元/人</w:t>
            </w:r>
          </w:p>
        </w:tc>
        <w:tc>
          <w:tcPr>
            <w:tcW w:w="1135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≤0.5万元/人</w:t>
            </w:r>
          </w:p>
        </w:tc>
        <w:tc>
          <w:tcPr>
            <w:tcW w:w="592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49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28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896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9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26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生态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环境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939" w:type="dxa"/>
            <w:tcBorders>
              <w:left w:val="single" w:color="auto" w:sz="4" w:space="0"/>
            </w:tcBorders>
            <w:vAlign w:val="center"/>
          </w:tcPr>
          <w:p>
            <w:pPr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合理调度，水环境破坏率</w:t>
            </w:r>
          </w:p>
        </w:tc>
        <w:tc>
          <w:tcPr>
            <w:tcW w:w="990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/>
              </w:rPr>
              <w:t>＜10%</w:t>
            </w:r>
          </w:p>
        </w:tc>
        <w:tc>
          <w:tcPr>
            <w:tcW w:w="1135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/>
              </w:rPr>
              <w:t>＜10%</w:t>
            </w:r>
          </w:p>
        </w:tc>
        <w:tc>
          <w:tcPr>
            <w:tcW w:w="59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49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128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982" w:type="dxa"/>
            <w:gridSpan w:val="6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总分</w:t>
            </w:r>
          </w:p>
        </w:tc>
        <w:tc>
          <w:tcPr>
            <w:tcW w:w="59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100</w:t>
            </w:r>
          </w:p>
        </w:tc>
        <w:tc>
          <w:tcPr>
            <w:tcW w:w="749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</w:t>
            </w:r>
          </w:p>
        </w:tc>
        <w:tc>
          <w:tcPr>
            <w:tcW w:w="128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</w:tbl>
    <w:p>
      <w:pPr>
        <w:rPr>
          <w:rFonts w:hint="eastAsia"/>
        </w:rPr>
      </w:pPr>
      <w:r>
        <w:rPr>
          <w:rFonts w:hint="eastAsia"/>
        </w:rPr>
        <w:t>备注：每个一级项目支出一张表。如，业务工作经费，运行维护经费，其他事业发展类资金各一张表。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 xml:space="preserve">填表人：  </w:t>
      </w:r>
      <w:r>
        <w:rPr>
          <w:rFonts w:hint="eastAsia"/>
          <w:lang w:val="en-US" w:eastAsia="zh-CN"/>
        </w:rPr>
        <w:t>易亚华</w:t>
      </w:r>
      <w:r>
        <w:rPr>
          <w:rFonts w:hint="eastAsia"/>
        </w:rPr>
        <w:t xml:space="preserve">      填报日期：  </w:t>
      </w:r>
      <w:r>
        <w:rPr>
          <w:rFonts w:hint="eastAsia"/>
          <w:lang w:val="en-US" w:eastAsia="zh-CN"/>
        </w:rPr>
        <w:t>2024.05.28</w:t>
      </w:r>
      <w:r>
        <w:rPr>
          <w:rFonts w:hint="eastAsia"/>
        </w:rPr>
        <w:t xml:space="preserve">      联系电话：      单位负责人签字：</w:t>
      </w:r>
    </w:p>
    <w:p>
      <w:pPr>
        <w:rPr>
          <w:sz w:val="22"/>
          <w:szCs w:val="22"/>
        </w:rPr>
      </w:pPr>
      <w:r>
        <w:rPr>
          <w:sz w:val="22"/>
          <w:szCs w:val="22"/>
        </w:rPr>
        <w:br w:type="page"/>
      </w:r>
    </w:p>
    <w:p>
      <w:pPr>
        <w:pStyle w:val="2"/>
        <w:sectPr>
          <w:footerReference r:id="rId5" w:type="default"/>
          <w:pgSz w:w="11905" w:h="16838"/>
          <w:pgMar w:top="1984" w:right="1701" w:bottom="1984" w:left="1701" w:header="850" w:footer="1587" w:gutter="0"/>
          <w:pgNumType w:fmt="numberInDash"/>
          <w:cols w:space="0" w:num="1"/>
          <w:rtlGutter w:val="0"/>
          <w:docGrid w:type="lines" w:linePitch="314" w:charSpace="0"/>
        </w:sectPr>
      </w:pPr>
    </w:p>
    <w:p>
      <w:pPr>
        <w:spacing w:before="181" w:line="171" w:lineRule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附表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7</w:t>
      </w:r>
    </w:p>
    <w:p>
      <w:pPr>
        <w:keepNext w:val="0"/>
        <w:keepLines w:val="0"/>
        <w:pageBreakBefore w:val="0"/>
        <w:kinsoku/>
        <w:overflowPunct/>
        <w:topLinePunct w:val="0"/>
        <w:autoSpaceDE/>
        <w:bidi w:val="0"/>
        <w:spacing w:line="560" w:lineRule="exact"/>
        <w:jc w:val="center"/>
        <w:rPr>
          <w:rFonts w:eastAsia="方正小标宋_GBK"/>
          <w:sz w:val="36"/>
          <w:szCs w:val="36"/>
        </w:rPr>
      </w:pPr>
      <w:r>
        <w:rPr>
          <w:rFonts w:eastAsia="方正小标宋_GBK"/>
          <w:sz w:val="36"/>
          <w:szCs w:val="36"/>
        </w:rPr>
        <w:t>绩效评价结果征求意见的反馈函</w:t>
      </w:r>
    </w:p>
    <w:p>
      <w:pPr>
        <w:keepNext w:val="0"/>
        <w:keepLines w:val="0"/>
        <w:pageBreakBefore w:val="0"/>
        <w:kinsoku/>
        <w:overflowPunct/>
        <w:topLinePunct w:val="0"/>
        <w:autoSpaceDE/>
        <w:bidi w:val="0"/>
        <w:spacing w:line="560" w:lineRule="exact"/>
        <w:jc w:val="center"/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t>（重点绩效评价项目用）</w:t>
      </w:r>
    </w:p>
    <w:p>
      <w:pPr>
        <w:keepNext w:val="0"/>
        <w:keepLines w:val="0"/>
        <w:pageBreakBefore w:val="0"/>
        <w:kinsoku/>
        <w:overflowPunct/>
        <w:topLinePunct w:val="0"/>
        <w:autoSpaceDE/>
        <w:bidi w:val="0"/>
        <w:spacing w:line="560" w:lineRule="exact"/>
        <w:rPr>
          <w:rFonts w:eastAsia="仿宋_GB2312"/>
          <w:sz w:val="28"/>
          <w:szCs w:val="28"/>
        </w:rPr>
      </w:pPr>
      <w:r>
        <w:rPr>
          <w:rFonts w:eastAsia="仿宋_GB2312"/>
          <w:sz w:val="28"/>
          <w:szCs w:val="28"/>
          <w:u w:val="single"/>
        </w:rPr>
        <w:t xml:space="preserve">    </w:t>
      </w:r>
      <w:r>
        <w:rPr>
          <w:rFonts w:hint="eastAsia" w:eastAsia="仿宋_GB2312"/>
          <w:sz w:val="28"/>
          <w:szCs w:val="28"/>
          <w:u w:val="single"/>
          <w:lang w:val="en-US" w:eastAsia="zh-CN"/>
        </w:rPr>
        <w:t xml:space="preserve">    </w:t>
      </w:r>
      <w:r>
        <w:rPr>
          <w:rFonts w:eastAsia="仿宋_GB2312"/>
          <w:sz w:val="28"/>
          <w:szCs w:val="28"/>
          <w:u w:val="single"/>
        </w:rPr>
        <w:t xml:space="preserve">    </w:t>
      </w:r>
      <w:r>
        <w:rPr>
          <w:rFonts w:hint="eastAsia" w:eastAsia="仿宋_GB2312"/>
          <w:sz w:val="28"/>
          <w:szCs w:val="28"/>
          <w:u w:val="single"/>
          <w:lang w:val="en-US" w:eastAsia="zh-CN"/>
        </w:rPr>
        <w:t xml:space="preserve">   </w:t>
      </w:r>
      <w:r>
        <w:rPr>
          <w:rFonts w:eastAsia="仿宋_GB2312"/>
          <w:sz w:val="28"/>
          <w:szCs w:val="28"/>
          <w:u w:val="single"/>
        </w:rPr>
        <w:t xml:space="preserve">   </w:t>
      </w:r>
      <w:r>
        <w:rPr>
          <w:rFonts w:eastAsia="仿宋_GB2312"/>
          <w:sz w:val="28"/>
          <w:szCs w:val="28"/>
        </w:rPr>
        <w:t>：</w:t>
      </w:r>
    </w:p>
    <w:p>
      <w:pPr>
        <w:keepNext w:val="0"/>
        <w:keepLines w:val="0"/>
        <w:pageBreakBefore w:val="0"/>
        <w:kinsoku/>
        <w:overflowPunct/>
        <w:topLinePunct w:val="0"/>
        <w:autoSpaceDE/>
        <w:bidi w:val="0"/>
        <w:spacing w:line="560" w:lineRule="exact"/>
        <w:ind w:firstLine="640" w:firstLineChars="200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按照相关规定和绩效评价要求，根据贵单位的绩效自评报告和绩效评价工作组的现场评价情况，形成绩效评价报告。现将《×××绩效评价报告》反馈贵单位，请于    年     月   日前提出书面意见或说明，逾期未复，视为无异议。</w:t>
      </w:r>
    </w:p>
    <w:tbl>
      <w:tblPr>
        <w:tblStyle w:val="9"/>
        <w:tblW w:w="8920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92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7" w:hRule="atLeast"/>
          <w:jc w:val="center"/>
        </w:trPr>
        <w:tc>
          <w:tcPr>
            <w:tcW w:w="8920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560"/>
              <w:jc w:val="center"/>
              <w:rPr>
                <w:rFonts w:hint="default" w:eastAsia="黑体"/>
                <w:sz w:val="28"/>
                <w:szCs w:val="28"/>
              </w:rPr>
            </w:pPr>
            <w:r>
              <w:rPr>
                <w:rFonts w:hint="default" w:eastAsia="楷体_GB2312"/>
                <w:sz w:val="28"/>
                <w:szCs w:val="28"/>
              </w:rPr>
              <w:t>项目实施单位意见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3" w:hRule="atLeast"/>
          <w:jc w:val="center"/>
        </w:trPr>
        <w:tc>
          <w:tcPr>
            <w:tcW w:w="8920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140" w:firstLineChars="50"/>
              <w:rPr>
                <w:rFonts w:hint="default" w:eastAsia="黑体"/>
                <w:sz w:val="28"/>
                <w:szCs w:val="28"/>
              </w:rPr>
            </w:pPr>
            <w:r>
              <w:rPr>
                <w:rFonts w:hint="default" w:eastAsia="黑体"/>
                <w:sz w:val="28"/>
                <w:szCs w:val="28"/>
              </w:rPr>
              <w:t>一、对报告中“评价结论”的意见</w:t>
            </w:r>
          </w:p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560"/>
              <w:rPr>
                <w:rFonts w:hint="default"/>
                <w:sz w:val="28"/>
                <w:szCs w:val="28"/>
              </w:rPr>
            </w:pPr>
          </w:p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560"/>
              <w:rPr>
                <w:rFonts w:hint="default"/>
                <w:sz w:val="28"/>
                <w:szCs w:val="28"/>
              </w:rPr>
            </w:pPr>
          </w:p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140" w:firstLineChars="50"/>
              <w:rPr>
                <w:rFonts w:hint="default" w:eastAsia="黑体"/>
                <w:sz w:val="28"/>
                <w:szCs w:val="28"/>
              </w:rPr>
            </w:pPr>
            <w:r>
              <w:rPr>
                <w:rFonts w:hint="default" w:eastAsia="黑体"/>
                <w:sz w:val="28"/>
                <w:szCs w:val="28"/>
              </w:rPr>
              <w:t>二、对报告中“问题”和“建议”的意见</w:t>
            </w:r>
          </w:p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560"/>
              <w:rPr>
                <w:rFonts w:hint="default"/>
                <w:sz w:val="28"/>
                <w:szCs w:val="28"/>
              </w:rPr>
            </w:pPr>
          </w:p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560"/>
              <w:rPr>
                <w:rFonts w:hint="default"/>
                <w:sz w:val="28"/>
                <w:szCs w:val="28"/>
              </w:rPr>
            </w:pPr>
          </w:p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560"/>
              <w:rPr>
                <w:rFonts w:hint="default"/>
                <w:sz w:val="28"/>
                <w:szCs w:val="28"/>
              </w:rPr>
            </w:pPr>
          </w:p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140" w:firstLineChars="50"/>
              <w:rPr>
                <w:rFonts w:hint="default" w:eastAsia="黑体"/>
                <w:sz w:val="28"/>
                <w:szCs w:val="28"/>
              </w:rPr>
            </w:pPr>
            <w:r>
              <w:rPr>
                <w:rFonts w:hint="default" w:eastAsia="黑体"/>
                <w:sz w:val="28"/>
                <w:szCs w:val="28"/>
              </w:rPr>
              <w:t>三、</w:t>
            </w:r>
            <w:r>
              <w:rPr>
                <w:rFonts w:hint="eastAsia" w:eastAsia="黑体"/>
                <w:sz w:val="28"/>
                <w:szCs w:val="28"/>
                <w:lang w:eastAsia="zh-CN"/>
              </w:rPr>
              <w:t>其他意见</w:t>
            </w:r>
            <w:r>
              <w:rPr>
                <w:rFonts w:hint="default" w:eastAsia="黑体"/>
                <w:sz w:val="28"/>
                <w:szCs w:val="28"/>
              </w:rPr>
              <w:t>或建议</w:t>
            </w:r>
          </w:p>
          <w:p>
            <w:pPr>
              <w:keepNext w:val="0"/>
              <w:keepLines w:val="0"/>
              <w:pageBreakBefore w:val="0"/>
              <w:suppressLineNumbers w:val="0"/>
              <w:kinsoku/>
              <w:wordWrap w:val="0"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1280"/>
              <w:jc w:val="right"/>
              <w:rPr>
                <w:rFonts w:hint="default" w:eastAsia="仿宋_GB2312"/>
                <w:sz w:val="28"/>
                <w:szCs w:val="28"/>
              </w:rPr>
            </w:pPr>
          </w:p>
          <w:p>
            <w:pPr>
              <w:pStyle w:val="2"/>
              <w:keepNext w:val="0"/>
              <w:keepLines w:val="0"/>
              <w:suppressLineNumbers w:val="0"/>
              <w:wordWrap/>
              <w:spacing w:before="0" w:beforeAutospacing="0" w:after="0" w:afterAutospacing="0"/>
              <w:ind w:left="0" w:right="0"/>
              <w:rPr>
                <w:rFonts w:hint="default" w:eastAsia="仿宋_GB2312"/>
                <w:sz w:val="28"/>
                <w:szCs w:val="28"/>
              </w:rPr>
            </w:pP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eastAsia="仿宋_GB2312"/>
                <w:sz w:val="28"/>
                <w:szCs w:val="28"/>
              </w:rPr>
            </w:pPr>
          </w:p>
          <w:p>
            <w:pPr>
              <w:pStyle w:val="2"/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</w:rPr>
            </w:pPr>
          </w:p>
          <w:p>
            <w:pPr>
              <w:keepNext w:val="0"/>
              <w:keepLines w:val="0"/>
              <w:pageBreakBefore w:val="0"/>
              <w:suppressLineNumbers w:val="0"/>
              <w:kinsoku/>
              <w:wordWrap w:val="0"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1280"/>
              <w:jc w:val="right"/>
              <w:rPr>
                <w:rFonts w:hint="default" w:eastAsia="仿宋_GB2312"/>
                <w:sz w:val="28"/>
                <w:szCs w:val="28"/>
              </w:rPr>
            </w:pPr>
            <w:r>
              <w:rPr>
                <w:rFonts w:hint="eastAsia" w:eastAsia="仿宋_GB2312"/>
                <w:sz w:val="28"/>
                <w:szCs w:val="28"/>
                <w:lang w:eastAsia="zh-CN"/>
              </w:rPr>
              <w:t>单</w:t>
            </w:r>
            <w:r>
              <w:rPr>
                <w:rFonts w:hint="default" w:eastAsia="仿宋_GB2312"/>
                <w:sz w:val="28"/>
                <w:szCs w:val="28"/>
              </w:rPr>
              <w:t>位（盖章）</w:t>
            </w:r>
          </w:p>
          <w:p>
            <w:pPr>
              <w:keepNext w:val="0"/>
              <w:keepLines w:val="0"/>
              <w:pageBreakBefore w:val="0"/>
              <w:suppressLineNumbers w:val="0"/>
              <w:kinsoku/>
              <w:wordWrap w:val="0"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1280"/>
              <w:jc w:val="right"/>
              <w:rPr>
                <w:rFonts w:hint="default"/>
                <w:sz w:val="28"/>
                <w:szCs w:val="28"/>
              </w:rPr>
            </w:pPr>
            <w:r>
              <w:rPr>
                <w:rFonts w:hint="default" w:eastAsia="仿宋_GB2312"/>
                <w:sz w:val="28"/>
                <w:szCs w:val="28"/>
              </w:rPr>
              <w:t>年   月   日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黑体" w:hAnsi="宋体" w:eastAsia="黑体" w:cs="黑体"/>
          <w:color w:val="000000"/>
          <w:kern w:val="0"/>
          <w:sz w:val="32"/>
          <w:szCs w:val="32"/>
          <w:lang w:bidi="ar"/>
        </w:rPr>
      </w:pPr>
      <w:r>
        <w:rPr>
          <w:rFonts w:hint="eastAsia" w:ascii="黑体" w:hAnsi="宋体" w:eastAsia="黑体" w:cs="黑体"/>
          <w:color w:val="000000"/>
          <w:kern w:val="0"/>
          <w:sz w:val="32"/>
          <w:szCs w:val="32"/>
          <w:lang w:bidi="ar"/>
        </w:rPr>
        <w:br w:type="page"/>
      </w:r>
    </w:p>
    <w:p>
      <w:pPr>
        <w:spacing w:before="181" w:line="171" w:lineRule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附表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8</w:t>
      </w:r>
    </w:p>
    <w:p>
      <w:pPr>
        <w:keepNext w:val="0"/>
        <w:keepLines w:val="0"/>
        <w:pageBreakBefore w:val="0"/>
        <w:kinsoku/>
        <w:overflowPunct/>
        <w:topLinePunct w:val="0"/>
        <w:autoSpaceDE/>
        <w:bidi w:val="0"/>
        <w:spacing w:line="560" w:lineRule="exact"/>
        <w:jc w:val="center"/>
        <w:rPr>
          <w:rFonts w:eastAsia="方正小标宋_GBK"/>
          <w:sz w:val="36"/>
          <w:szCs w:val="36"/>
        </w:rPr>
      </w:pPr>
      <w:r>
        <w:rPr>
          <w:rFonts w:eastAsia="方正小标宋_GBK"/>
          <w:sz w:val="36"/>
          <w:szCs w:val="36"/>
        </w:rPr>
        <w:t>绩效评价结果整改报告书</w:t>
      </w:r>
    </w:p>
    <w:p>
      <w:pPr>
        <w:keepNext w:val="0"/>
        <w:keepLines w:val="0"/>
        <w:pageBreakBefore w:val="0"/>
        <w:kinsoku/>
        <w:overflowPunct/>
        <w:topLinePunct w:val="0"/>
        <w:autoSpaceDE/>
        <w:bidi w:val="0"/>
        <w:spacing w:line="560" w:lineRule="exact"/>
        <w:jc w:val="center"/>
        <w:rPr>
          <w:sz w:val="28"/>
          <w:szCs w:val="28"/>
        </w:rPr>
      </w:pPr>
      <w:r>
        <w:rPr>
          <w:rFonts w:eastAsia="楷体_GB2312"/>
          <w:sz w:val="32"/>
          <w:szCs w:val="32"/>
        </w:rPr>
        <w:t>（参考格式）</w:t>
      </w:r>
    </w:p>
    <w:tbl>
      <w:tblPr>
        <w:tblStyle w:val="9"/>
        <w:tblW w:w="8600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27"/>
        <w:gridCol w:w="677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  <w:jc w:val="center"/>
        </w:trPr>
        <w:tc>
          <w:tcPr>
            <w:tcW w:w="1827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/>
              <w:jc w:val="center"/>
              <w:rPr>
                <w:rFonts w:hint="default" w:ascii="黑体" w:hAnsi="黑体" w:eastAsia="黑体"/>
                <w:sz w:val="24"/>
                <w:szCs w:val="24"/>
              </w:rPr>
            </w:pPr>
            <w:r>
              <w:rPr>
                <w:rFonts w:hint="default" w:ascii="黑体" w:hAnsi="黑体" w:eastAsia="黑体"/>
                <w:sz w:val="24"/>
                <w:szCs w:val="24"/>
              </w:rPr>
              <w:t>预算支出名称</w:t>
            </w:r>
          </w:p>
        </w:tc>
        <w:tc>
          <w:tcPr>
            <w:tcW w:w="6773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560"/>
              <w:rPr>
                <w:rFonts w:hint="default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  <w:jc w:val="center"/>
        </w:trPr>
        <w:tc>
          <w:tcPr>
            <w:tcW w:w="1827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/>
              <w:jc w:val="center"/>
              <w:rPr>
                <w:rFonts w:hint="default" w:ascii="黑体" w:hAnsi="黑体" w:eastAsia="黑体"/>
                <w:sz w:val="24"/>
                <w:szCs w:val="24"/>
              </w:rPr>
            </w:pPr>
            <w:r>
              <w:rPr>
                <w:rFonts w:hint="default" w:ascii="黑体" w:hAnsi="黑体" w:eastAsia="黑体"/>
                <w:sz w:val="24"/>
                <w:szCs w:val="24"/>
              </w:rPr>
              <w:t>评价内容</w:t>
            </w:r>
          </w:p>
        </w:tc>
        <w:tc>
          <w:tcPr>
            <w:tcW w:w="6773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560"/>
              <w:rPr>
                <w:rFonts w:hint="default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  <w:jc w:val="center"/>
        </w:trPr>
        <w:tc>
          <w:tcPr>
            <w:tcW w:w="1827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/>
              <w:jc w:val="center"/>
              <w:rPr>
                <w:rFonts w:hint="default" w:ascii="黑体" w:hAnsi="黑体" w:eastAsia="黑体"/>
                <w:sz w:val="24"/>
                <w:szCs w:val="24"/>
              </w:rPr>
            </w:pPr>
            <w:r>
              <w:rPr>
                <w:rFonts w:hint="default" w:ascii="黑体" w:hAnsi="黑体" w:eastAsia="黑体"/>
                <w:sz w:val="24"/>
                <w:szCs w:val="24"/>
              </w:rPr>
              <w:t>联系人及电话</w:t>
            </w:r>
          </w:p>
        </w:tc>
        <w:tc>
          <w:tcPr>
            <w:tcW w:w="6773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560"/>
              <w:rPr>
                <w:rFonts w:hint="default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89" w:hRule="atLeast"/>
          <w:jc w:val="center"/>
        </w:trPr>
        <w:tc>
          <w:tcPr>
            <w:tcW w:w="8600" w:type="dxa"/>
            <w:gridSpan w:val="2"/>
            <w:noWrap w:val="0"/>
            <w:vAlign w:val="top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-27" w:rightChars="-13"/>
              <w:jc w:val="center"/>
              <w:rPr>
                <w:rFonts w:hint="default"/>
                <w:sz w:val="24"/>
                <w:szCs w:val="24"/>
              </w:rPr>
            </w:pPr>
            <w:r>
              <w:rPr>
                <w:rFonts w:hint="default"/>
                <w:sz w:val="32"/>
                <w:szCs w:val="32"/>
              </w:rPr>
              <w:t>整改情况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0" w:hRule="atLeast"/>
          <w:jc w:val="center"/>
        </w:trPr>
        <w:tc>
          <w:tcPr>
            <w:tcW w:w="1827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-27" w:rightChars="-13"/>
              <w:jc w:val="center"/>
              <w:rPr>
                <w:rFonts w:hint="eastAsia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sz w:val="24"/>
                <w:szCs w:val="24"/>
              </w:rPr>
              <w:t>单位意见</w:t>
            </w:r>
          </w:p>
        </w:tc>
        <w:tc>
          <w:tcPr>
            <w:tcW w:w="6773" w:type="dxa"/>
            <w:noWrap w:val="0"/>
            <w:vAlign w:val="bottom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-27" w:rightChars="-13"/>
              <w:jc w:val="center"/>
              <w:rPr>
                <w:rFonts w:hint="eastAsia" w:ascii="Times New Roman" w:hAnsi="Times New Roman" w:eastAsia="宋体" w:cs="Times New Roman"/>
                <w:sz w:val="24"/>
                <w:szCs w:val="24"/>
              </w:rPr>
            </w:pPr>
          </w:p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-27" w:rightChars="-13"/>
              <w:jc w:val="both"/>
              <w:rPr>
                <w:rFonts w:hint="eastAsia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sz w:val="24"/>
                <w:szCs w:val="24"/>
              </w:rPr>
              <w:t xml:space="preserve">单位负责人签名：   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</w:rPr>
              <w:t xml:space="preserve">单位（盖章）：  </w:t>
            </w:r>
            <w:r>
              <w:rPr>
                <w:rFonts w:hint="eastAsia" w:cs="Times New Roman"/>
                <w:sz w:val="24"/>
                <w:szCs w:val="24"/>
                <w:lang w:val="en-US" w:eastAsia="zh-CN"/>
              </w:rPr>
              <w:t xml:space="preserve">  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</w:rPr>
              <w:t xml:space="preserve"> 年    月    日</w:t>
            </w:r>
          </w:p>
        </w:tc>
      </w:tr>
    </w:tbl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jc w:val="both"/>
        <w:textAlignment w:val="auto"/>
        <w:rPr>
          <w:rFonts w:hint="eastAsia" w:ascii="黑体" w:hAnsi="黑体" w:eastAsia="黑体" w:cs="黑体"/>
          <w:sz w:val="21"/>
          <w:szCs w:val="21"/>
          <w:lang w:val="en-US" w:eastAsia="zh-CN"/>
        </w:rPr>
      </w:pPr>
      <w:r>
        <w:rPr>
          <w:rFonts w:hint="eastAsia" w:ascii="宋体" w:hAnsi="宋体" w:cs="宋体"/>
          <w:b/>
          <w:sz w:val="21"/>
          <w:szCs w:val="21"/>
        </w:rPr>
        <w:t>注</w:t>
      </w:r>
      <w:r>
        <w:rPr>
          <w:rFonts w:hint="eastAsia" w:ascii="宋体" w:hAnsi="宋体" w:cs="宋体"/>
          <w:bCs/>
          <w:sz w:val="21"/>
          <w:szCs w:val="21"/>
        </w:rPr>
        <w:t>：绩效评价结果整改报告书应在收到绩效评价结果反馈意见后</w:t>
      </w:r>
      <w:r>
        <w:rPr>
          <w:rFonts w:hint="eastAsia" w:ascii="宋体" w:hAnsi="宋体" w:cs="宋体"/>
          <w:bCs/>
          <w:sz w:val="21"/>
          <w:szCs w:val="21"/>
          <w:lang w:val="en-US" w:eastAsia="zh-CN"/>
        </w:rPr>
        <w:t>30</w:t>
      </w:r>
      <w:r>
        <w:rPr>
          <w:rFonts w:hint="eastAsia" w:ascii="宋体" w:hAnsi="宋体" w:cs="宋体"/>
          <w:bCs/>
          <w:sz w:val="21"/>
          <w:szCs w:val="21"/>
        </w:rPr>
        <w:t>天</w:t>
      </w:r>
      <w:r>
        <w:rPr>
          <w:rFonts w:hint="eastAsia" w:ascii="宋体" w:hAnsi="宋体" w:cs="宋体"/>
          <w:bCs/>
          <w:sz w:val="21"/>
          <w:szCs w:val="21"/>
          <w:lang w:eastAsia="zh-CN"/>
        </w:rPr>
        <w:t>内</w:t>
      </w:r>
      <w:r>
        <w:rPr>
          <w:rFonts w:hint="eastAsia" w:ascii="宋体" w:hAnsi="宋体" w:cs="宋体"/>
          <w:bCs/>
          <w:sz w:val="21"/>
          <w:szCs w:val="21"/>
        </w:rPr>
        <w:t>交</w:t>
      </w:r>
      <w:r>
        <w:rPr>
          <w:rFonts w:hint="eastAsia" w:ascii="宋体" w:hAnsi="宋体" w:cs="宋体"/>
          <w:bCs/>
          <w:sz w:val="21"/>
          <w:szCs w:val="21"/>
          <w:lang w:eastAsia="zh-CN"/>
        </w:rPr>
        <w:t>县</w:t>
      </w:r>
      <w:r>
        <w:rPr>
          <w:rFonts w:hint="eastAsia" w:ascii="宋体" w:hAnsi="宋体" w:cs="宋体"/>
          <w:bCs/>
          <w:sz w:val="21"/>
          <w:szCs w:val="21"/>
        </w:rPr>
        <w:t>财政局绩效管理股。</w:t>
      </w:r>
    </w:p>
    <w:sectPr>
      <w:footerReference r:id="rId6" w:type="default"/>
      <w:pgSz w:w="11905" w:h="16838"/>
      <w:pgMar w:top="1984" w:right="1701" w:bottom="1984" w:left="1701" w:header="850" w:footer="1587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0" w:num="1"/>
      <w:rtlGutter w:val="0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67A7A561-DF84-4A2C-934E-778BFBBCD5D9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5FEF2ADE-A8AE-43DD-86E1-0032BD778FEA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65FBEF23-7C99-4DED-BBE1-197499E5BAE8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0ADF523B-2000-4B25-8D12-7259AEE3C9F2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14ADF91E-B954-4087-B8F9-AE919CC42775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D0BFF617-B58E-4DF3-B679-4195C3F046FB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7" w:fontKey="{548E39AC-5B99-4546-906E-92AFC908DD3C}"/>
  </w:font>
  <w:font w:name="仿宋_GB2312">
    <w:panose1 w:val="02010609030101010101"/>
    <w:charset w:val="86"/>
    <w:family w:val="auto"/>
    <w:pitch w:val="default"/>
    <w:sig w:usb0="00000000" w:usb1="00000000" w:usb2="00000000" w:usb3="00000000" w:csb0="00000000" w:csb1="00000000"/>
    <w:embedRegular r:id="rId8" w:fontKey="{716539BF-A836-4630-B93F-88542B937CC7}"/>
  </w:font>
  <w:font w:name="方正小标宋简体">
    <w:panose1 w:val="03000509000000000000"/>
    <w:charset w:val="86"/>
    <w:family w:val="auto"/>
    <w:pitch w:val="default"/>
    <w:sig w:usb0="00000000" w:usb1="00000000" w:usb2="00000000" w:usb3="00000000" w:csb0="00000000" w:csb1="00000000"/>
    <w:embedRegular r:id="rId9" w:fontKey="{3FD9A144-B352-481E-A73C-49F2ED6ABC53}"/>
  </w:font>
  <w:font w:name="华文仿宋">
    <w:panose1 w:val="02010600040101010101"/>
    <w:charset w:val="86"/>
    <w:family w:val="auto"/>
    <w:pitch w:val="default"/>
    <w:sig w:usb0="00000000" w:usb1="00000000" w:usb2="00000000" w:usb3="00000000" w:csb0="00000000" w:csb1="00000000"/>
    <w:embedRegular r:id="rId10" w:fontKey="{07A428A6-E489-423B-AA3E-921651E21E99}"/>
  </w:font>
  <w:font w:name="新宋体">
    <w:panose1 w:val="02010609030101010101"/>
    <w:charset w:val="86"/>
    <w:family w:val="auto"/>
    <w:pitch w:val="default"/>
    <w:sig w:usb0="00000283" w:usb1="288F0000" w:usb2="00000006" w:usb3="00000000" w:csb0="00040001" w:csb1="00000000"/>
    <w:embedRegular r:id="rId11" w:fontKey="{359F57C7-7607-406C-BC9E-2162EF84AB69}"/>
  </w:font>
  <w:font w:name="楷体_GB2312">
    <w:altName w:val="楷体"/>
    <w:panose1 w:val="02010609030101010101"/>
    <w:charset w:val="86"/>
    <w:family w:val="auto"/>
    <w:pitch w:val="default"/>
    <w:sig w:usb0="00000000" w:usb1="00000000" w:usb2="00000000" w:usb3="00000000" w:csb0="00040000" w:csb1="00000000"/>
    <w:embedRegular r:id="rId12" w:fontKey="{06C02CBA-BB4F-4FF9-BA8E-353E0F4B2F6D}"/>
  </w:font>
  <w:font w:name="方正小标宋_GBK">
    <w:panose1 w:val="03000509000000000000"/>
    <w:charset w:val="86"/>
    <w:family w:val="script"/>
    <w:pitch w:val="default"/>
    <w:sig w:usb0="00000000" w:usb1="00000000" w:usb2="00000000" w:usb3="00000000" w:csb0="00000000" w:csb1="00000000"/>
    <w:embedRegular r:id="rId13" w:fontKey="{E60B9DEE-8DAA-424B-AE08-07AC403141DE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  <w:embedRegular r:id="rId14" w:fontKey="{BE010B3B-20F3-445A-AA85-BF6F23BDACC2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5" w:fontKey="{EE4AA5E0-D6B0-4928-92E6-FFEAB1AA9659}"/>
  </w:font>
  <w:font w:name="仿宋_GB2312">
    <w:panose1 w:val="02010609030101010101"/>
    <w:charset w:val="00"/>
    <w:family w:val="auto"/>
    <w:pitch w:val="default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jc w:val="center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t>7</w: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s0lY7tAAAAAFAQAADwAAAAAAAAABACAA&#10;AAAiAAAAZHJzL2Rvd25yZXYueG1sUEsBAhQAFAAAAAgAh07iQI3F45UVAgAAFQQAAA4AAAAAAAAA&#10;AQAgAAAAHwEAAGRycy9lMm9Eb2MueG1sUEsFBgAAAAAGAAYAWQEAAKY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</w:pP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begin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instrText xml:space="preserve"> PAGE  \* MERGEFORMAT </w:instrTex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separate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t>7</w: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ind w:left="8576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1" name="文本框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t>10</w: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s0lY7tAAAAAFAQAADwAAAAAAAAABACAAAAAi&#10;AAAAZHJzL2Rvd25yZXYueG1sUEsBAhQAFAAAAAgAh07iQM9tdHoSAgAAFQQAAA4AAAAAAAAAAQAg&#10;AAAAHwEAAGRycy9lMm9Eb2MueG1sUEsFBgAAAAAGAAYAWQEAAKM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t>10</w: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ind w:left="574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3" name="文本框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t>12</w: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CzSVju0AAAAAUBAAAPAAAAAAAAAAEAIAAA&#10;ACIAAABkcnMvZG93bnJldi54bWxQSwECFAAUAAAACACHTuJACjsqfhQCAAAVBAAADgAAAAAAAAAB&#10;ACAAAAAfAQAAZHJzL2Uyb0RvYy54bWxQSwUGAAAAAAYABgBZAQAAp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</w:pP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begin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instrText xml:space="preserve"> PAGE  \* MERGEFORMAT </w:instrTex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separate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t>12</w: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ind w:left="574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t>15</w: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2336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CzSVju0AAAAAUBAAAPAAAAAAAAAAEAIAAA&#10;ACIAAABkcnMvZG93bnJldi54bWxQSwECFAAUAAAACACHTuJAB2hfnRQCAAAVBAAADgAAAAAAAAAB&#10;ACAAAAAfAQAAZHJzL2Uyb0RvYy54bWxQSwUGAAAAAAYABgBZAQAAp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t>15</w: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02AF1FE"/>
    <w:multiLevelType w:val="singleLevel"/>
    <w:tmpl w:val="502AF1FE"/>
    <w:lvl w:ilvl="0" w:tentative="0">
      <w:start w:val="7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60BF850F"/>
    <w:multiLevelType w:val="singleLevel"/>
    <w:tmpl w:val="60BF850F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bordersDoNotSurroundHeader w:val="0"/>
  <w:bordersDoNotSurroundFooter w:val="0"/>
  <w:documentProtection w:enforcement="0"/>
  <w:defaultTabStop w:val="420"/>
  <w:drawingGridHorizontalSpacing w:val="210"/>
  <w:drawingGridVerticalSpacing w:val="157"/>
  <w:displayHorizontalDrawingGridEvery w:val="1"/>
  <w:displayVerticalDrawingGridEvery w:val="1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lkMTMzNTdkMzk4M2E1NGRiYTkyNDIzZGZlODA4NDAifQ=="/>
  </w:docVars>
  <w:rsids>
    <w:rsidRoot w:val="0CCB7736"/>
    <w:rsid w:val="00047FEF"/>
    <w:rsid w:val="000A3906"/>
    <w:rsid w:val="001776F1"/>
    <w:rsid w:val="006F0A16"/>
    <w:rsid w:val="00773328"/>
    <w:rsid w:val="00821883"/>
    <w:rsid w:val="00917857"/>
    <w:rsid w:val="00951882"/>
    <w:rsid w:val="00A755C2"/>
    <w:rsid w:val="00D06DD6"/>
    <w:rsid w:val="011D2710"/>
    <w:rsid w:val="016A347B"/>
    <w:rsid w:val="01B42948"/>
    <w:rsid w:val="01BF20E7"/>
    <w:rsid w:val="01E4322D"/>
    <w:rsid w:val="021138F7"/>
    <w:rsid w:val="0281019D"/>
    <w:rsid w:val="02A12432"/>
    <w:rsid w:val="02B50488"/>
    <w:rsid w:val="0338470A"/>
    <w:rsid w:val="034822A9"/>
    <w:rsid w:val="03D86621"/>
    <w:rsid w:val="04EE6171"/>
    <w:rsid w:val="05315F6B"/>
    <w:rsid w:val="05395EA9"/>
    <w:rsid w:val="0616597F"/>
    <w:rsid w:val="06426ACC"/>
    <w:rsid w:val="074D07AE"/>
    <w:rsid w:val="07A62D33"/>
    <w:rsid w:val="086B5F82"/>
    <w:rsid w:val="09E6794E"/>
    <w:rsid w:val="0A067AB9"/>
    <w:rsid w:val="0ABD557B"/>
    <w:rsid w:val="0BBB5A8D"/>
    <w:rsid w:val="0C104906"/>
    <w:rsid w:val="0C607C21"/>
    <w:rsid w:val="0CCB7736"/>
    <w:rsid w:val="0D9E0E8D"/>
    <w:rsid w:val="0E1F65D3"/>
    <w:rsid w:val="0E3E5716"/>
    <w:rsid w:val="0E6B257C"/>
    <w:rsid w:val="0EAB7397"/>
    <w:rsid w:val="0EE76DB1"/>
    <w:rsid w:val="0EF755B3"/>
    <w:rsid w:val="0F17035E"/>
    <w:rsid w:val="0F4E168D"/>
    <w:rsid w:val="0F7A0392"/>
    <w:rsid w:val="0FAF3959"/>
    <w:rsid w:val="0FD26E31"/>
    <w:rsid w:val="1020625B"/>
    <w:rsid w:val="11404466"/>
    <w:rsid w:val="11837AA9"/>
    <w:rsid w:val="11963ADD"/>
    <w:rsid w:val="11EB0F5C"/>
    <w:rsid w:val="11F20483"/>
    <w:rsid w:val="12123C76"/>
    <w:rsid w:val="12831010"/>
    <w:rsid w:val="129038DB"/>
    <w:rsid w:val="12DC6638"/>
    <w:rsid w:val="13441D7E"/>
    <w:rsid w:val="136F31F8"/>
    <w:rsid w:val="138750E0"/>
    <w:rsid w:val="1396506E"/>
    <w:rsid w:val="13C2793D"/>
    <w:rsid w:val="13D82A59"/>
    <w:rsid w:val="140E6961"/>
    <w:rsid w:val="15604228"/>
    <w:rsid w:val="15A620D3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9C4614"/>
    <w:rsid w:val="1BD5498B"/>
    <w:rsid w:val="1BF15B4E"/>
    <w:rsid w:val="1CA34935"/>
    <w:rsid w:val="1D5A640E"/>
    <w:rsid w:val="1E9351E5"/>
    <w:rsid w:val="1F7640EC"/>
    <w:rsid w:val="1FCB794D"/>
    <w:rsid w:val="20176B8B"/>
    <w:rsid w:val="20D30097"/>
    <w:rsid w:val="20D76C5F"/>
    <w:rsid w:val="20E55C2B"/>
    <w:rsid w:val="21057490"/>
    <w:rsid w:val="214A230E"/>
    <w:rsid w:val="21B052C4"/>
    <w:rsid w:val="22B43877"/>
    <w:rsid w:val="22CA430C"/>
    <w:rsid w:val="22DF2F05"/>
    <w:rsid w:val="22FF5445"/>
    <w:rsid w:val="23201E3D"/>
    <w:rsid w:val="2342170A"/>
    <w:rsid w:val="238D0E57"/>
    <w:rsid w:val="24256710"/>
    <w:rsid w:val="24FB390E"/>
    <w:rsid w:val="251E7983"/>
    <w:rsid w:val="25FE2B31"/>
    <w:rsid w:val="260D5D83"/>
    <w:rsid w:val="260E1D77"/>
    <w:rsid w:val="277A77CA"/>
    <w:rsid w:val="28043432"/>
    <w:rsid w:val="284A2254"/>
    <w:rsid w:val="29165294"/>
    <w:rsid w:val="292F1467"/>
    <w:rsid w:val="29786927"/>
    <w:rsid w:val="297B51B4"/>
    <w:rsid w:val="29E40467"/>
    <w:rsid w:val="29F527E2"/>
    <w:rsid w:val="2A9A1E2C"/>
    <w:rsid w:val="2AD20EF5"/>
    <w:rsid w:val="2BF35971"/>
    <w:rsid w:val="2C487650"/>
    <w:rsid w:val="2C5A7AC4"/>
    <w:rsid w:val="2E4F43C0"/>
    <w:rsid w:val="2E620C1B"/>
    <w:rsid w:val="2EC7368E"/>
    <w:rsid w:val="2EDC05D9"/>
    <w:rsid w:val="2F240CAA"/>
    <w:rsid w:val="2F5137B6"/>
    <w:rsid w:val="2FF62815"/>
    <w:rsid w:val="30A0671D"/>
    <w:rsid w:val="30FB4B41"/>
    <w:rsid w:val="31621165"/>
    <w:rsid w:val="31DA3958"/>
    <w:rsid w:val="322E1E8E"/>
    <w:rsid w:val="323C5548"/>
    <w:rsid w:val="33235CE2"/>
    <w:rsid w:val="33B0531F"/>
    <w:rsid w:val="33F22F3B"/>
    <w:rsid w:val="344D25F9"/>
    <w:rsid w:val="359F2200"/>
    <w:rsid w:val="35A42962"/>
    <w:rsid w:val="361756D0"/>
    <w:rsid w:val="36AD0EA9"/>
    <w:rsid w:val="36FF783F"/>
    <w:rsid w:val="37450F88"/>
    <w:rsid w:val="375F1A7E"/>
    <w:rsid w:val="378B026E"/>
    <w:rsid w:val="37B47BE4"/>
    <w:rsid w:val="37C54602"/>
    <w:rsid w:val="37D6106F"/>
    <w:rsid w:val="37F52D97"/>
    <w:rsid w:val="38241593"/>
    <w:rsid w:val="38856E40"/>
    <w:rsid w:val="38BE1DF3"/>
    <w:rsid w:val="38F862EB"/>
    <w:rsid w:val="39343807"/>
    <w:rsid w:val="39887BBC"/>
    <w:rsid w:val="3A0F7AD4"/>
    <w:rsid w:val="3A53023B"/>
    <w:rsid w:val="3AF42D2D"/>
    <w:rsid w:val="3B062751"/>
    <w:rsid w:val="3B3A041F"/>
    <w:rsid w:val="3BAE6BF9"/>
    <w:rsid w:val="3BEE0229"/>
    <w:rsid w:val="3C3568D7"/>
    <w:rsid w:val="3CCA47F2"/>
    <w:rsid w:val="3CDE0708"/>
    <w:rsid w:val="3D33006A"/>
    <w:rsid w:val="3D3954D4"/>
    <w:rsid w:val="3D5877DF"/>
    <w:rsid w:val="3DAE53BC"/>
    <w:rsid w:val="3DC55CAA"/>
    <w:rsid w:val="3DD556CA"/>
    <w:rsid w:val="3DFE271A"/>
    <w:rsid w:val="3E5F4AE1"/>
    <w:rsid w:val="3F450429"/>
    <w:rsid w:val="3FB6105E"/>
    <w:rsid w:val="3FBF3F86"/>
    <w:rsid w:val="3FF70715"/>
    <w:rsid w:val="3FFD550C"/>
    <w:rsid w:val="4021030A"/>
    <w:rsid w:val="40226C80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4143822"/>
    <w:rsid w:val="44654A12"/>
    <w:rsid w:val="44E421C9"/>
    <w:rsid w:val="45320384"/>
    <w:rsid w:val="457C5F26"/>
    <w:rsid w:val="4716830A"/>
    <w:rsid w:val="47B47DE2"/>
    <w:rsid w:val="47BF53CA"/>
    <w:rsid w:val="48B126BB"/>
    <w:rsid w:val="49CF255F"/>
    <w:rsid w:val="4A3239D7"/>
    <w:rsid w:val="4B2C5DCD"/>
    <w:rsid w:val="4B46D032"/>
    <w:rsid w:val="4B7D1173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B17672"/>
    <w:rsid w:val="4DB27F04"/>
    <w:rsid w:val="4F5D15A2"/>
    <w:rsid w:val="4F71079D"/>
    <w:rsid w:val="4F9E617D"/>
    <w:rsid w:val="4FCB46B2"/>
    <w:rsid w:val="4FFE57BD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87476B"/>
    <w:rsid w:val="53910AF4"/>
    <w:rsid w:val="53910D21"/>
    <w:rsid w:val="53FBDA3F"/>
    <w:rsid w:val="54F63F7F"/>
    <w:rsid w:val="553104EC"/>
    <w:rsid w:val="555952B3"/>
    <w:rsid w:val="555E65E4"/>
    <w:rsid w:val="556B5A36"/>
    <w:rsid w:val="5599697B"/>
    <w:rsid w:val="55AF40BB"/>
    <w:rsid w:val="55CF474B"/>
    <w:rsid w:val="55E65FDC"/>
    <w:rsid w:val="5613734A"/>
    <w:rsid w:val="562D7E5B"/>
    <w:rsid w:val="564F3D12"/>
    <w:rsid w:val="56F72F7C"/>
    <w:rsid w:val="5717642E"/>
    <w:rsid w:val="57946554"/>
    <w:rsid w:val="57D80A00"/>
    <w:rsid w:val="586243BF"/>
    <w:rsid w:val="58FD3402"/>
    <w:rsid w:val="5968027A"/>
    <w:rsid w:val="59AC01B2"/>
    <w:rsid w:val="5AAF7799"/>
    <w:rsid w:val="5AB04BD0"/>
    <w:rsid w:val="5B5C1753"/>
    <w:rsid w:val="5BE211F7"/>
    <w:rsid w:val="5BF510BE"/>
    <w:rsid w:val="5C6C4B26"/>
    <w:rsid w:val="5C6D13C8"/>
    <w:rsid w:val="5CAC0B94"/>
    <w:rsid w:val="5D03DFF6"/>
    <w:rsid w:val="5D9C3D56"/>
    <w:rsid w:val="5DD775C7"/>
    <w:rsid w:val="5E134100"/>
    <w:rsid w:val="5F7A1C50"/>
    <w:rsid w:val="5FC69000"/>
    <w:rsid w:val="601C4AB5"/>
    <w:rsid w:val="602F09E7"/>
    <w:rsid w:val="604F2F3E"/>
    <w:rsid w:val="60BE691E"/>
    <w:rsid w:val="60F838FC"/>
    <w:rsid w:val="61444403"/>
    <w:rsid w:val="62265BDF"/>
    <w:rsid w:val="62E1699A"/>
    <w:rsid w:val="62FBC294"/>
    <w:rsid w:val="630A7ABC"/>
    <w:rsid w:val="63123C13"/>
    <w:rsid w:val="637D5875"/>
    <w:rsid w:val="64147F0D"/>
    <w:rsid w:val="64B713E7"/>
    <w:rsid w:val="64D66362"/>
    <w:rsid w:val="65860217"/>
    <w:rsid w:val="659D5052"/>
    <w:rsid w:val="667E0AA1"/>
    <w:rsid w:val="66AE5CE5"/>
    <w:rsid w:val="66D4191C"/>
    <w:rsid w:val="677027A4"/>
    <w:rsid w:val="67B37C7A"/>
    <w:rsid w:val="67D676C0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1732C2"/>
    <w:rsid w:val="6B8254BB"/>
    <w:rsid w:val="6B8D38AE"/>
    <w:rsid w:val="6BA1010E"/>
    <w:rsid w:val="6BC80F42"/>
    <w:rsid w:val="6CE47E41"/>
    <w:rsid w:val="6CED5810"/>
    <w:rsid w:val="6CF92413"/>
    <w:rsid w:val="6DFE5E04"/>
    <w:rsid w:val="6E0D1F7B"/>
    <w:rsid w:val="6E796921"/>
    <w:rsid w:val="6E87203D"/>
    <w:rsid w:val="6F6B6B73"/>
    <w:rsid w:val="6F9278BB"/>
    <w:rsid w:val="6FB7D4E3"/>
    <w:rsid w:val="6FBE0EF0"/>
    <w:rsid w:val="6FFF1C22"/>
    <w:rsid w:val="70EC5DDE"/>
    <w:rsid w:val="71572F19"/>
    <w:rsid w:val="719B7427"/>
    <w:rsid w:val="71E33685"/>
    <w:rsid w:val="71F326B3"/>
    <w:rsid w:val="724A6793"/>
    <w:rsid w:val="72647B59"/>
    <w:rsid w:val="7372FC32"/>
    <w:rsid w:val="73A56E44"/>
    <w:rsid w:val="73B12A87"/>
    <w:rsid w:val="741F26FA"/>
    <w:rsid w:val="74470DF8"/>
    <w:rsid w:val="744E1D52"/>
    <w:rsid w:val="74BD60BB"/>
    <w:rsid w:val="74C81A7E"/>
    <w:rsid w:val="74CF0052"/>
    <w:rsid w:val="74FA3C0D"/>
    <w:rsid w:val="751D6EAE"/>
    <w:rsid w:val="75FD1676"/>
    <w:rsid w:val="7687113B"/>
    <w:rsid w:val="76C3247D"/>
    <w:rsid w:val="76EFC8B0"/>
    <w:rsid w:val="776ACBF9"/>
    <w:rsid w:val="77FF7A21"/>
    <w:rsid w:val="7951325E"/>
    <w:rsid w:val="799536BA"/>
    <w:rsid w:val="7B170752"/>
    <w:rsid w:val="7B382425"/>
    <w:rsid w:val="7B8F681B"/>
    <w:rsid w:val="7BC55225"/>
    <w:rsid w:val="7BFF9B5C"/>
    <w:rsid w:val="7C2F3D4F"/>
    <w:rsid w:val="7C3B673F"/>
    <w:rsid w:val="7CED5089"/>
    <w:rsid w:val="7D8636B9"/>
    <w:rsid w:val="7DD96C0E"/>
    <w:rsid w:val="7E352599"/>
    <w:rsid w:val="7E474F7B"/>
    <w:rsid w:val="7E7F4A49"/>
    <w:rsid w:val="7E8F7AC1"/>
    <w:rsid w:val="7F2BE2DA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qFormat="1" w:unhideWhenUsed="0" w:uiPriority="0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qFormat="1" w:unhideWhenUsed="0" w:uiPriority="0" w:semiHidden="0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qFormat/>
    <w:locked/>
    <w:uiPriority w:val="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11">
    <w:name w:val="Default Paragraph Font"/>
    <w:semiHidden/>
    <w:qFormat/>
    <w:uiPriority w:val="99"/>
  </w:style>
  <w:style w:type="table" w:default="1" w:styleId="9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eastAsia="Times New Roman" w:cs="Times New Roman"/>
      <w:sz w:val="20"/>
      <w:szCs w:val="20"/>
    </w:rPr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note text"/>
    <w:basedOn w:val="1"/>
    <w:next w:val="1"/>
    <w:qFormat/>
    <w:uiPriority w:val="0"/>
    <w:pPr>
      <w:snapToGrid w:val="0"/>
      <w:jc w:val="left"/>
    </w:pPr>
    <w:rPr>
      <w:sz w:val="18"/>
      <w:szCs w:val="18"/>
    </w:rPr>
  </w:style>
  <w:style w:type="paragraph" w:styleId="4">
    <w:name w:val="Body Text"/>
    <w:basedOn w:val="1"/>
    <w:semiHidden/>
    <w:qFormat/>
    <w:uiPriority w:val="0"/>
    <w:rPr>
      <w:rFonts w:ascii="仿宋" w:hAnsi="仿宋" w:eastAsia="仿宋" w:cs="仿宋"/>
      <w:sz w:val="31"/>
      <w:szCs w:val="31"/>
      <w:lang w:val="en-US" w:eastAsia="en-US" w:bidi="ar-SA"/>
    </w:rPr>
  </w:style>
  <w:style w:type="paragraph" w:styleId="5">
    <w:name w:val="Body Text Indent"/>
    <w:basedOn w:val="1"/>
    <w:qFormat/>
    <w:uiPriority w:val="0"/>
    <w:pPr>
      <w:spacing w:after="120"/>
      <w:ind w:left="420" w:leftChars="200"/>
    </w:pPr>
    <w:rPr>
      <w:rFonts w:ascii="Times New Roman" w:hAnsi="Times New Roman" w:eastAsia="宋体" w:cs="Times New Roman"/>
    </w:rPr>
  </w:style>
  <w:style w:type="paragraph" w:styleId="6">
    <w:name w:val="footer"/>
    <w:basedOn w:val="1"/>
    <w:link w:val="13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4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8">
    <w:name w:val="Body Text First Indent 2"/>
    <w:basedOn w:val="5"/>
    <w:qFormat/>
    <w:uiPriority w:val="0"/>
    <w:pPr>
      <w:spacing w:before="100" w:beforeAutospacing="1" w:after="0"/>
      <w:ind w:left="0" w:firstLine="420" w:firstLineChars="200"/>
    </w:pPr>
    <w:rPr>
      <w:rFonts w:ascii="Calibri" w:hAnsi="Calibri" w:eastAsia="宋体" w:cs="Times New Roman"/>
    </w:rPr>
  </w:style>
  <w:style w:type="table" w:styleId="10">
    <w:name w:val="Table Grid"/>
    <w:basedOn w:val="9"/>
    <w:qFormat/>
    <w:uiPriority w:val="9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styleId="12">
    <w:name w:val="page number"/>
    <w:basedOn w:val="11"/>
    <w:qFormat/>
    <w:uiPriority w:val="99"/>
    <w:rPr>
      <w:rFonts w:cs="Times New Roman"/>
    </w:rPr>
  </w:style>
  <w:style w:type="character" w:customStyle="1" w:styleId="13">
    <w:name w:val="Footer Char"/>
    <w:basedOn w:val="11"/>
    <w:link w:val="6"/>
    <w:semiHidden/>
    <w:qFormat/>
    <w:uiPriority w:val="99"/>
    <w:rPr>
      <w:sz w:val="18"/>
      <w:szCs w:val="18"/>
    </w:rPr>
  </w:style>
  <w:style w:type="character" w:customStyle="1" w:styleId="14">
    <w:name w:val="Header Char"/>
    <w:basedOn w:val="11"/>
    <w:link w:val="7"/>
    <w:semiHidden/>
    <w:qFormat/>
    <w:uiPriority w:val="99"/>
    <w:rPr>
      <w:sz w:val="18"/>
      <w:szCs w:val="18"/>
    </w:rPr>
  </w:style>
  <w:style w:type="paragraph" w:styleId="15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table" w:customStyle="1" w:styleId="16">
    <w:name w:val="Table Normal"/>
    <w:semiHidden/>
    <w:unhideWhenUsed/>
    <w:qFormat/>
    <w:uiPriority w:val="0"/>
    <w:tblPr>
      <w:tblLayout w:type="fixed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7">
    <w:name w:val="Table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customXml" Target="../customXml/item1.xml"/><Relationship Id="rId7" Type="http://schemas.openxmlformats.org/officeDocument/2006/relationships/theme" Target="theme/theme1.xml"/><Relationship Id="rId6" Type="http://schemas.openxmlformats.org/officeDocument/2006/relationships/footer" Target="footer4.xml"/><Relationship Id="rId5" Type="http://schemas.openxmlformats.org/officeDocument/2006/relationships/footer" Target="footer3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5" Type="http://schemas.openxmlformats.org/officeDocument/2006/relationships/font" Target="fonts/font15.odttf"/><Relationship Id="rId14" Type="http://schemas.openxmlformats.org/officeDocument/2006/relationships/font" Target="fonts/font14.odttf"/><Relationship Id="rId13" Type="http://schemas.openxmlformats.org/officeDocument/2006/relationships/font" Target="fonts/font13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14</Pages>
  <Words>3228</Words>
  <Characters>3521</Characters>
  <Lines>0</Lines>
  <Paragraphs>0</Paragraphs>
  <TotalTime>12</TotalTime>
  <ScaleCrop>false</ScaleCrop>
  <LinksUpToDate>false</LinksUpToDate>
  <CharactersWithSpaces>3685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2020-06-06T01:07:00Z</dcterms:created>
  <dc:creator>Administrator</dc:creator>
  <cp:lastModifiedBy>Administrator</cp:lastModifiedBy>
  <cp:lastPrinted>2024-05-20T07:59:00Z</cp:lastPrinted>
  <dcterms:modified xsi:type="dcterms:W3CDTF">2024-05-28T07:05:51Z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  <property fmtid="{D5CDD505-2E9C-101B-9397-08002B2CF9AE}" pid="3" name="KSOSaveFontToCloudKey">
    <vt:lpwstr>386772509_embed</vt:lpwstr>
  </property>
  <property fmtid="{D5CDD505-2E9C-101B-9397-08002B2CF9AE}" pid="4" name="ICV">
    <vt:lpwstr>884A5748EDDA43F3A89CD26D17407F93</vt:lpwstr>
  </property>
</Properties>
</file>