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5F79A4">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04DFDF58">
      <w:pPr>
        <w:pStyle w:val="13"/>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lang w:val="en-US" w:eastAsia="zh-CN"/>
        </w:rPr>
        <w:t>华容县国营石山矶电排站</w:t>
      </w:r>
    </w:p>
    <w:p w14:paraId="47CCBC3A">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4391F792">
      <w:pPr>
        <w:pStyle w:val="13"/>
        <w:spacing w:line="500" w:lineRule="exact"/>
        <w:jc w:val="both"/>
        <w:rPr>
          <w:b/>
          <w:sz w:val="36"/>
          <w:szCs w:val="28"/>
        </w:rPr>
      </w:pPr>
    </w:p>
    <w:p w14:paraId="2BB5B5FF">
      <w:pPr>
        <w:pStyle w:val="13"/>
        <w:spacing w:line="500" w:lineRule="exact"/>
        <w:jc w:val="center"/>
        <w:rPr>
          <w:b/>
          <w:sz w:val="36"/>
          <w:szCs w:val="28"/>
        </w:rPr>
      </w:pPr>
      <w:r>
        <w:rPr>
          <w:rFonts w:hint="eastAsia"/>
          <w:b/>
          <w:sz w:val="36"/>
          <w:szCs w:val="28"/>
        </w:rPr>
        <w:t>目录</w:t>
      </w:r>
    </w:p>
    <w:p w14:paraId="204D0CB7">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华容县国营石山矶电排站</w:t>
      </w:r>
      <w:r>
        <w:rPr>
          <w:rFonts w:hint="eastAsia" w:ascii="黑体" w:hAnsi="黑体" w:eastAsia="黑体" w:cs="黑体"/>
          <w:b w:val="0"/>
          <w:bCs/>
          <w:sz w:val="28"/>
          <w:szCs w:val="28"/>
        </w:rPr>
        <w:t>概况</w:t>
      </w:r>
    </w:p>
    <w:p w14:paraId="39D7224F">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24FE91E8">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15713A0F">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39730158">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60C28AA0">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056AAA13">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43D1DBB1">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6ADA366C">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5EF1CCAB">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113C68C5">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179579FF">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1D3F4CE8">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5233B31A">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57AF245E">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19A5336B">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0B491F1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6C1D5D2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0CE4CBF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4BDDDCB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40988DC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6CD6B94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7DD1A3B2">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九、国有资本经营预算财政拨款支出决算情况</w:t>
      </w:r>
    </w:p>
    <w:p w14:paraId="32140C2B">
      <w:pPr>
        <w:autoSpaceDE w:val="0"/>
        <w:autoSpaceDN w:val="0"/>
        <w:adjustRightInd w:val="0"/>
        <w:spacing w:line="500" w:lineRule="exact"/>
        <w:ind w:firstLine="700" w:firstLineChars="250"/>
        <w:jc w:val="left"/>
        <w:rPr>
          <w:rFonts w:hint="eastAsia"/>
          <w:lang w:eastAsia="zh-CN"/>
        </w:rPr>
      </w:pPr>
      <w:r>
        <w:rPr>
          <w:rFonts w:hint="eastAsia" w:ascii="仿宋_GB2312" w:hAnsi="仿宋_GB2312" w:eastAsia="仿宋_GB2312" w:cs="仿宋_GB2312"/>
          <w:color w:val="000000"/>
          <w:kern w:val="0"/>
          <w:sz w:val="28"/>
          <w:szCs w:val="28"/>
          <w:lang w:eastAsia="zh-CN"/>
        </w:rPr>
        <w:t>十、关于机关运行经费支出说明</w:t>
      </w:r>
    </w:p>
    <w:p w14:paraId="75DD041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十一、一般性支出情况说明</w:t>
      </w:r>
    </w:p>
    <w:p w14:paraId="2128C41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十二、关于政府采购支出说明</w:t>
      </w:r>
    </w:p>
    <w:p w14:paraId="1DB1C6C4">
      <w:pPr>
        <w:pStyle w:val="13"/>
        <w:spacing w:line="500" w:lineRule="exact"/>
        <w:ind w:firstLine="700" w:firstLineChars="25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十三、关于国有资产占用情况说明</w:t>
      </w:r>
    </w:p>
    <w:p w14:paraId="121D072D">
      <w:pPr>
        <w:pStyle w:val="13"/>
        <w:spacing w:line="500" w:lineRule="exact"/>
        <w:ind w:firstLine="700" w:firstLineChars="25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十四、关于2023年度预算绩效情况的说明</w:t>
      </w:r>
    </w:p>
    <w:p w14:paraId="173A76FA">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67842282">
      <w:pPr>
        <w:pStyle w:val="13"/>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230EEFBD">
      <w:pPr>
        <w:pStyle w:val="13"/>
        <w:spacing w:line="500" w:lineRule="exact"/>
        <w:rPr>
          <w:rFonts w:hint="eastAsia" w:ascii="黑体" w:hAnsi="黑体" w:eastAsia="黑体" w:cs="黑体"/>
          <w:b w:val="0"/>
          <w:bCs/>
          <w:sz w:val="28"/>
          <w:szCs w:val="28"/>
        </w:rPr>
      </w:pPr>
    </w:p>
    <w:p w14:paraId="3191F6D6">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 xml:space="preserve">第一部分 </w:t>
      </w:r>
    </w:p>
    <w:p w14:paraId="0C6B35A4">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lang w:val="en-US" w:eastAsia="zh-CN"/>
        </w:rPr>
        <w:t>华容县国营石山矶电排站</w:t>
      </w:r>
      <w:r>
        <w:rPr>
          <w:rFonts w:hint="eastAsia" w:ascii="方正小标宋_GBK" w:hAnsi="方正小标宋_GBK" w:eastAsia="方正小标宋_GBK" w:cs="方正小标宋_GBK"/>
          <w:sz w:val="48"/>
          <w:szCs w:val="48"/>
        </w:rPr>
        <w:t>概况</w:t>
      </w:r>
    </w:p>
    <w:p w14:paraId="0DE25160">
      <w:pPr>
        <w:pStyle w:val="14"/>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23252F40">
      <w:pPr>
        <w:widowControl/>
        <w:spacing w:line="600" w:lineRule="exact"/>
        <w:ind w:firstLine="640" w:firstLineChars="200"/>
        <w:rPr>
          <w:rFonts w:hint="eastAsia" w:ascii="Times New Roman" w:hAnsi="Times New Roman" w:eastAsia="仿宋_GB2312" w:cs="仿宋_GB2312"/>
          <w:bCs/>
          <w:kern w:val="0"/>
          <w:sz w:val="32"/>
          <w:szCs w:val="32"/>
          <w:lang w:val="zh-CN" w:eastAsia="zh-CN"/>
        </w:rPr>
      </w:pPr>
      <w:r>
        <w:rPr>
          <w:rFonts w:hint="eastAsia" w:ascii="Times New Roman" w:hAnsi="Times New Roman" w:eastAsia="仿宋_GB2312" w:cs="仿宋_GB2312"/>
          <w:bCs/>
          <w:kern w:val="0"/>
          <w:sz w:val="32"/>
          <w:szCs w:val="32"/>
          <w:lang w:val="zh-CN" w:eastAsia="zh-CN"/>
        </w:rPr>
        <w:t>①负责机务管理、设备运行、设备检修，确保排灌适时开机。</w:t>
      </w:r>
    </w:p>
    <w:p w14:paraId="3FB90B0E">
      <w:pPr>
        <w:widowControl/>
        <w:spacing w:line="600" w:lineRule="exact"/>
        <w:ind w:firstLine="640" w:firstLineChars="200"/>
        <w:rPr>
          <w:rFonts w:hint="eastAsia" w:ascii="Times New Roman" w:hAnsi="Times New Roman" w:eastAsia="仿宋_GB2312" w:cs="仿宋_GB2312"/>
          <w:bCs/>
          <w:kern w:val="0"/>
          <w:sz w:val="32"/>
          <w:szCs w:val="32"/>
          <w:lang w:val="zh-CN" w:eastAsia="zh-CN"/>
        </w:rPr>
      </w:pPr>
      <w:r>
        <w:rPr>
          <w:rFonts w:hint="eastAsia" w:ascii="Times New Roman" w:hAnsi="Times New Roman" w:eastAsia="仿宋_GB2312" w:cs="仿宋_GB2312"/>
          <w:bCs/>
          <w:kern w:val="0"/>
          <w:sz w:val="32"/>
          <w:szCs w:val="32"/>
          <w:lang w:val="zh-CN" w:eastAsia="zh-CN"/>
        </w:rPr>
        <w:t>②负责排区工程管理、掌握雨情、水情，搞好排灌调度，确保工程安全，充分发挥工程效益。</w:t>
      </w:r>
    </w:p>
    <w:p w14:paraId="0E4A6706">
      <w:pPr>
        <w:widowControl/>
        <w:spacing w:line="600" w:lineRule="exact"/>
        <w:ind w:firstLine="640" w:firstLineChars="200"/>
        <w:rPr>
          <w:rFonts w:hint="eastAsia" w:ascii="Times New Roman" w:hAnsi="Times New Roman" w:eastAsia="仿宋_GB2312" w:cs="仿宋_GB2312"/>
          <w:bCs/>
          <w:kern w:val="0"/>
          <w:sz w:val="32"/>
          <w:szCs w:val="32"/>
          <w:lang w:val="zh-CN" w:eastAsia="zh-CN"/>
        </w:rPr>
      </w:pPr>
      <w:r>
        <w:rPr>
          <w:rFonts w:hint="eastAsia" w:ascii="Times New Roman" w:hAnsi="Times New Roman" w:eastAsia="仿宋_GB2312" w:cs="仿宋_GB2312"/>
          <w:bCs/>
          <w:kern w:val="0"/>
          <w:sz w:val="32"/>
          <w:szCs w:val="32"/>
          <w:lang w:val="zh-CN" w:eastAsia="zh-CN"/>
        </w:rPr>
        <w:t>③掌握本区域排灌工程运行情况，熟悉排灌工程的规划、设计、施工和管理运行等资料，以及历年检修与改造的有关情况。</w:t>
      </w:r>
    </w:p>
    <w:p w14:paraId="4C52BAA5">
      <w:pPr>
        <w:widowControl/>
        <w:spacing w:line="600" w:lineRule="exact"/>
        <w:ind w:firstLine="640" w:firstLineChars="200"/>
        <w:rPr>
          <w:rFonts w:hint="eastAsia" w:ascii="Times New Roman" w:hAnsi="Times New Roman" w:eastAsia="仿宋_GB2312" w:cs="仿宋_GB2312"/>
          <w:bCs/>
          <w:kern w:val="0"/>
          <w:sz w:val="32"/>
          <w:szCs w:val="32"/>
          <w:lang w:val="zh-CN" w:eastAsia="zh-CN"/>
        </w:rPr>
      </w:pPr>
      <w:r>
        <w:rPr>
          <w:rFonts w:hint="eastAsia" w:ascii="Times New Roman" w:hAnsi="Times New Roman" w:eastAsia="仿宋_GB2312" w:cs="仿宋_GB2312"/>
          <w:bCs/>
          <w:kern w:val="0"/>
          <w:sz w:val="32"/>
          <w:szCs w:val="32"/>
          <w:lang w:val="zh-CN" w:eastAsia="zh-CN"/>
        </w:rPr>
        <w:t>④进行工程检查观测、维护管理，随时掌握排灌工程运行动态，消除设备工程故障。</w:t>
      </w:r>
    </w:p>
    <w:p w14:paraId="2C4AC1E5">
      <w:pPr>
        <w:widowControl/>
        <w:spacing w:line="600" w:lineRule="exact"/>
        <w:ind w:firstLine="640" w:firstLineChars="200"/>
        <w:rPr>
          <w:rFonts w:hint="eastAsia" w:ascii="Times New Roman" w:hAnsi="Times New Roman" w:eastAsia="仿宋_GB2312" w:cs="仿宋_GB2312"/>
          <w:bCs/>
          <w:kern w:val="0"/>
          <w:sz w:val="32"/>
          <w:szCs w:val="32"/>
          <w:lang w:val="zh-CN" w:eastAsia="zh-CN"/>
        </w:rPr>
      </w:pPr>
      <w:r>
        <w:rPr>
          <w:rFonts w:hint="eastAsia" w:ascii="Times New Roman" w:hAnsi="Times New Roman" w:eastAsia="仿宋_GB2312" w:cs="仿宋_GB2312"/>
          <w:bCs/>
          <w:kern w:val="0"/>
          <w:sz w:val="32"/>
          <w:szCs w:val="32"/>
          <w:lang w:val="zh-CN" w:eastAsia="zh-CN"/>
        </w:rPr>
        <w:t>⑤协调和处理好排区水事纠纷。</w:t>
      </w:r>
    </w:p>
    <w:p w14:paraId="177C4635">
      <w:pPr>
        <w:widowControl/>
        <w:spacing w:line="600" w:lineRule="exact"/>
        <w:ind w:firstLine="640" w:firstLineChars="200"/>
        <w:rPr>
          <w:rFonts w:hint="eastAsia" w:ascii="Times New Roman" w:hAnsi="Times New Roman" w:eastAsia="仿宋_GB2312" w:cs="仿宋_GB2312"/>
          <w:bCs/>
          <w:kern w:val="0"/>
          <w:sz w:val="32"/>
          <w:szCs w:val="32"/>
          <w:lang w:val="zh-CN" w:eastAsia="zh-CN"/>
        </w:rPr>
      </w:pPr>
      <w:r>
        <w:rPr>
          <w:rFonts w:hint="eastAsia" w:ascii="Times New Roman" w:hAnsi="Times New Roman" w:eastAsia="仿宋_GB2312" w:cs="仿宋_GB2312"/>
          <w:bCs/>
          <w:kern w:val="0"/>
          <w:sz w:val="32"/>
          <w:szCs w:val="32"/>
          <w:lang w:val="zh-CN" w:eastAsia="zh-CN"/>
        </w:rPr>
        <w:t>⑥开展机电排灌工程技术革新。</w:t>
      </w:r>
    </w:p>
    <w:p w14:paraId="23F2D800">
      <w:pPr>
        <w:widowControl/>
        <w:spacing w:line="600" w:lineRule="exact"/>
        <w:rPr>
          <w:rFonts w:hint="eastAsia" w:ascii="黑体" w:hAnsi="黑体" w:eastAsia="黑体" w:cs="黑体"/>
          <w:b w:val="0"/>
          <w:bCs/>
          <w:kern w:val="0"/>
          <w:sz w:val="32"/>
          <w:szCs w:val="32"/>
          <w:highlight w:val="none"/>
        </w:rPr>
      </w:pPr>
      <w:r>
        <w:rPr>
          <w:rFonts w:hint="eastAsia" w:ascii="黑体" w:hAnsi="黑体" w:eastAsia="黑体" w:cs="黑体"/>
          <w:b w:val="0"/>
          <w:bCs/>
          <w:kern w:val="0"/>
          <w:sz w:val="32"/>
          <w:szCs w:val="32"/>
        </w:rPr>
        <w:t>二、机构设置及决算单位构成</w:t>
      </w:r>
    </w:p>
    <w:p w14:paraId="0863A01A">
      <w:pPr>
        <w:numPr>
          <w:ilvl w:val="0"/>
          <w:numId w:val="0"/>
        </w:numPr>
        <w:rPr>
          <w:rFonts w:hint="eastAsia"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（一）内设机构设置。</w:t>
      </w:r>
      <w:r>
        <w:rPr>
          <w:rFonts w:hint="eastAsia" w:ascii="Times New Roman" w:hAnsi="Times New Roman" w:eastAsia="仿宋_GB2312" w:cs="仿宋_GB2312"/>
          <w:bCs/>
          <w:kern w:val="0"/>
          <w:sz w:val="32"/>
          <w:szCs w:val="32"/>
          <w:highlight w:val="none"/>
          <w:lang w:val="en-US" w:eastAsia="zh-CN"/>
        </w:rPr>
        <w:t>华容县国营石山矶电排站</w:t>
      </w:r>
      <w:r>
        <w:rPr>
          <w:rFonts w:hint="eastAsia" w:ascii="Times New Roman" w:hAnsi="Times New Roman" w:eastAsia="仿宋_GB2312" w:cs="仿宋_GB2312"/>
          <w:bCs/>
          <w:kern w:val="0"/>
          <w:sz w:val="32"/>
          <w:szCs w:val="32"/>
          <w:highlight w:val="none"/>
        </w:rPr>
        <w:t>内设机构包括</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办公室、机电股、生产技术股、石山矶大泵站、涛湖泵站、鲇市泵站、董家铺泵站、宋市泵站。</w:t>
      </w:r>
    </w:p>
    <w:p w14:paraId="41D81E5B">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val="en-US" w:eastAsia="zh-CN"/>
        </w:rPr>
        <w:t>华容县国营石山矶电排站</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val="en-US" w:eastAsia="zh-CN"/>
        </w:rPr>
        <w:t>华容县国营石山矶电排站</w:t>
      </w:r>
      <w:r>
        <w:rPr>
          <w:rFonts w:hint="eastAsia" w:ascii="Times New Roman" w:hAnsi="Times New Roman" w:eastAsia="仿宋_GB2312" w:cs="仿宋_GB2312"/>
          <w:bCs/>
          <w:kern w:val="0"/>
          <w:sz w:val="32"/>
          <w:szCs w:val="32"/>
        </w:rPr>
        <w:t>本级本级</w:t>
      </w:r>
      <w:r>
        <w:rPr>
          <w:rFonts w:hint="eastAsia" w:ascii="Times New Roman" w:hAnsi="Times New Roman" w:eastAsia="仿宋_GB2312" w:cs="仿宋_GB2312"/>
          <w:bCs/>
          <w:kern w:val="0"/>
          <w:sz w:val="32"/>
          <w:szCs w:val="32"/>
          <w:lang w:eastAsia="zh-CN"/>
        </w:rPr>
        <w:t>决算，没有下属单位。</w:t>
      </w:r>
    </w:p>
    <w:p w14:paraId="63054FCC">
      <w:pPr>
        <w:jc w:val="left"/>
        <w:rPr>
          <w:rFonts w:ascii="仿宋_GB2312" w:eastAsia="仿宋_GB2312" w:hAnsiTheme="minorEastAsia"/>
          <w:sz w:val="28"/>
          <w:szCs w:val="32"/>
        </w:rPr>
      </w:pPr>
    </w:p>
    <w:p w14:paraId="14AE5409">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第二部分</w:t>
      </w:r>
    </w:p>
    <w:p w14:paraId="4617D705">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部门决算表</w:t>
      </w:r>
    </w:p>
    <w:p w14:paraId="31367F7A">
      <w:pPr>
        <w:pStyle w:val="13"/>
        <w:jc w:val="center"/>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详见附件表格</w:t>
      </w:r>
    </w:p>
    <w:p w14:paraId="1CE5003A">
      <w:pPr>
        <w:pStyle w:val="13"/>
        <w:jc w:val="center"/>
        <w:rPr>
          <w:rFonts w:hint="eastAsia" w:ascii="方正小标宋_GBK" w:hAnsi="方正小标宋_GBK" w:eastAsia="方正小标宋_GBK" w:cs="方正小标宋_GBK"/>
          <w:sz w:val="48"/>
          <w:szCs w:val="48"/>
        </w:rPr>
      </w:pPr>
    </w:p>
    <w:p w14:paraId="5E0BE498">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第三部分</w:t>
      </w:r>
    </w:p>
    <w:p w14:paraId="077E68F4">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202</w:t>
      </w:r>
      <w:r>
        <w:rPr>
          <w:rFonts w:hint="eastAsia" w:ascii="方正小标宋_GBK" w:hAnsi="方正小标宋_GBK" w:eastAsia="方正小标宋_GBK" w:cs="方正小标宋_GBK"/>
          <w:sz w:val="48"/>
          <w:szCs w:val="48"/>
          <w:lang w:val="en-US" w:eastAsia="zh-CN"/>
        </w:rPr>
        <w:t>3</w:t>
      </w:r>
      <w:r>
        <w:rPr>
          <w:rFonts w:hint="eastAsia" w:ascii="方正小标宋_GBK" w:hAnsi="方正小标宋_GBK" w:eastAsia="方正小标宋_GBK" w:cs="方正小标宋_GBK"/>
          <w:sz w:val="48"/>
          <w:szCs w:val="48"/>
        </w:rPr>
        <w:t>年度部门决算情况说明</w:t>
      </w:r>
    </w:p>
    <w:p w14:paraId="02FC9B80">
      <w:pPr>
        <w:widowControl/>
        <w:jc w:val="left"/>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071F9DB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630.89</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43.52</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6.45</w:t>
      </w:r>
      <w:r>
        <w:rPr>
          <w:rFonts w:hint="eastAsia" w:ascii="Times New Roman" w:hAnsi="Times New Roman" w:eastAsia="仿宋_GB2312"/>
          <w:sz w:val="32"/>
          <w:szCs w:val="32"/>
        </w:rPr>
        <w:t>%，</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val="en-US" w:eastAsia="zh-CN"/>
        </w:rPr>
        <w:t>2022年-2023年我单位调出2人，2023年年初在职死亡1人，相关人员经费和公用经费减少。</w:t>
      </w:r>
    </w:p>
    <w:p w14:paraId="796748D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7F9AB3B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630.89</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625.12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99.10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2.84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0.45</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r>
        <w:rPr>
          <w:rFonts w:hint="eastAsia" w:ascii="Times New Roman" w:hAnsi="Times New Roman" w:eastAsia="仿宋_GB2312" w:cs="黑体"/>
          <w:color w:val="auto"/>
          <w:kern w:val="0"/>
          <w:sz w:val="32"/>
          <w:szCs w:val="32"/>
          <w:lang w:val="en-US" w:eastAsia="zh-CN" w:bidi="ar-SA"/>
        </w:rPr>
        <w:t>上年结转和结余2.92万元，</w:t>
      </w:r>
      <w:r>
        <w:rPr>
          <w:rFonts w:hint="eastAsia" w:ascii="Times New Roman" w:hAnsi="Times New Roman" w:eastAsia="仿宋_GB2312"/>
          <w:sz w:val="32"/>
          <w:szCs w:val="32"/>
          <w:lang w:val="en-US" w:eastAsia="zh-CN"/>
        </w:rPr>
        <w:t>0.45</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12C9BD7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70E151F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630.89</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630.89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6E03A6C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4DD20152">
      <w:pPr>
        <w:pStyle w:val="13"/>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highlight w:val="yellow"/>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628.05</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30.33</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4.61</w:t>
      </w:r>
      <w:r>
        <w:rPr>
          <w:rFonts w:hint="eastAsia" w:ascii="Times New Roman" w:hAnsi="Times New Roman" w:eastAsia="仿宋_GB2312"/>
          <w:sz w:val="32"/>
          <w:szCs w:val="32"/>
        </w:rPr>
        <w:t>%，</w:t>
      </w:r>
      <w:r>
        <w:rPr>
          <w:rFonts w:hint="eastAsia" w:ascii="Times New Roman" w:hAnsi="Times New Roman" w:eastAsia="仿宋_GB2312"/>
          <w:sz w:val="32"/>
          <w:szCs w:val="32"/>
          <w:highlight w:val="none"/>
        </w:rPr>
        <w:t>主要是因为</w:t>
      </w:r>
      <w:r>
        <w:rPr>
          <w:rFonts w:hint="eastAsia" w:ascii="仿宋_GB2312" w:hAnsi="仿宋" w:eastAsia="仿宋_GB2312"/>
          <w:sz w:val="32"/>
          <w:szCs w:val="32"/>
          <w:lang w:val="en-US" w:eastAsia="zh-CN"/>
        </w:rPr>
        <w:t>2023年我单位调出2人，相关人员经费和公用经费减少。</w:t>
      </w:r>
    </w:p>
    <w:p w14:paraId="3124AA4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0343CD0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2C3AA0C6">
      <w:pPr>
        <w:pStyle w:val="13"/>
        <w:keepNext w:val="0"/>
        <w:keepLines w:val="0"/>
        <w:pageBreakBefore w:val="0"/>
        <w:widowControl w:val="0"/>
        <w:kinsoku/>
        <w:wordWrap/>
        <w:overflowPunct/>
        <w:topLinePunct w:val="0"/>
        <w:bidi w:val="0"/>
        <w:snapToGrid/>
        <w:spacing w:line="600" w:lineRule="exact"/>
        <w:ind w:firstLine="960" w:firstLineChars="300"/>
        <w:textAlignment w:val="auto"/>
        <w:rPr>
          <w:rFonts w:ascii="Times New Roman" w:hAnsi="Times New Roman" w:eastAsia="仿宋_GB2312"/>
          <w:sz w:val="32"/>
          <w:szCs w:val="32"/>
          <w:highlight w:val="yellow"/>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年度财政拨款支出</w:t>
      </w:r>
      <w:r>
        <w:rPr>
          <w:rFonts w:hint="eastAsia" w:ascii="Times New Roman" w:hAnsi="Times New Roman" w:eastAsia="仿宋_GB2312"/>
          <w:sz w:val="32"/>
          <w:szCs w:val="32"/>
          <w:highlight w:val="none"/>
          <w:lang w:val="en-US" w:eastAsia="zh-CN"/>
        </w:rPr>
        <w:t>628.05</w:t>
      </w:r>
      <w:r>
        <w:rPr>
          <w:rFonts w:hint="eastAsia" w:ascii="Times New Roman" w:hAnsi="Times New Roman" w:eastAsia="仿宋_GB2312"/>
          <w:sz w:val="32"/>
          <w:szCs w:val="32"/>
          <w:highlight w:val="none"/>
        </w:rPr>
        <w:t>万元，占本年支出合计的</w:t>
      </w:r>
      <w:r>
        <w:rPr>
          <w:rFonts w:hint="eastAsia" w:ascii="Times New Roman" w:hAnsi="Times New Roman" w:eastAsia="仿宋_GB2312"/>
          <w:sz w:val="32"/>
          <w:szCs w:val="32"/>
          <w:highlight w:val="none"/>
          <w:lang w:val="en-US" w:eastAsia="zh-CN"/>
        </w:rPr>
        <w:t>99.55</w:t>
      </w:r>
      <w:r>
        <w:rPr>
          <w:rFonts w:hint="eastAsia" w:ascii="Times New Roman" w:hAnsi="Times New Roman" w:eastAsia="仿宋_GB2312"/>
          <w:sz w:val="32"/>
          <w:szCs w:val="32"/>
          <w:highlight w:val="none"/>
        </w:rPr>
        <w:t>%，与上年相比，财政拨款支出减少</w:t>
      </w:r>
      <w:r>
        <w:rPr>
          <w:rFonts w:hint="eastAsia" w:ascii="Times New Roman" w:hAnsi="Times New Roman" w:eastAsia="仿宋_GB2312"/>
          <w:sz w:val="32"/>
          <w:szCs w:val="32"/>
          <w:highlight w:val="none"/>
          <w:lang w:val="en-US" w:eastAsia="zh-CN"/>
        </w:rPr>
        <w:t>27.00</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4.18</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val="en-US" w:eastAsia="zh-CN"/>
        </w:rPr>
        <w:t>2022年-2023年我单位调出2人，2023年年初在职死亡1人</w:t>
      </w:r>
      <w:r>
        <w:rPr>
          <w:rFonts w:hint="eastAsia" w:ascii="仿宋_GB2312" w:hAnsi="仿宋" w:eastAsia="仿宋_GB2312"/>
          <w:sz w:val="32"/>
          <w:szCs w:val="32"/>
          <w:lang w:val="en-US" w:eastAsia="zh-CN"/>
        </w:rPr>
        <w:t>，相关人员经费和公用经费减少。</w:t>
      </w:r>
    </w:p>
    <w:p w14:paraId="0BDA339F">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p>
    <w:p w14:paraId="63D793CC">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rPr>
        <w:t>（二）一般公共预算财政拨款支出决算结构情况</w:t>
      </w:r>
    </w:p>
    <w:p w14:paraId="2D0EF22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年度财政拨款支出</w:t>
      </w:r>
      <w:r>
        <w:rPr>
          <w:rFonts w:hint="eastAsia" w:ascii="Times New Roman" w:hAnsi="Times New Roman" w:eastAsia="仿宋_GB2312"/>
          <w:sz w:val="32"/>
          <w:szCs w:val="32"/>
          <w:highlight w:val="none"/>
          <w:lang w:val="en-US" w:eastAsia="zh-CN"/>
        </w:rPr>
        <w:t>628.05</w:t>
      </w:r>
      <w:r>
        <w:rPr>
          <w:rFonts w:hint="eastAsia" w:ascii="Times New Roman" w:hAnsi="Times New Roman" w:eastAsia="仿宋_GB2312"/>
          <w:sz w:val="32"/>
          <w:szCs w:val="32"/>
          <w:highlight w:val="none"/>
        </w:rPr>
        <w:t>万元，主要用于以下方面：</w:t>
      </w:r>
      <w:r>
        <w:rPr>
          <w:rFonts w:hint="eastAsia" w:ascii="Times New Roman" w:hAnsi="Times New Roman" w:eastAsia="仿宋_GB2312"/>
          <w:sz w:val="32"/>
          <w:szCs w:val="32"/>
          <w:lang w:eastAsia="zh-CN"/>
        </w:rPr>
        <w:t>城乡社区支出</w:t>
      </w:r>
      <w:r>
        <w:rPr>
          <w:rFonts w:hint="eastAsia" w:ascii="Times New Roman" w:hAnsi="Times New Roman" w:eastAsia="仿宋_GB2312"/>
          <w:sz w:val="32"/>
          <w:szCs w:val="32"/>
        </w:rPr>
        <w:t>（类）支出</w:t>
      </w:r>
      <w:r>
        <w:rPr>
          <w:rFonts w:hint="eastAsia" w:ascii="Times New Roman" w:hAnsi="Times New Roman" w:eastAsia="仿宋_GB2312"/>
          <w:sz w:val="32"/>
          <w:szCs w:val="32"/>
          <w:lang w:val="en-US" w:eastAsia="zh-CN"/>
        </w:rPr>
        <w:t>50.00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7.96</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农林水支出</w:t>
      </w:r>
      <w:r>
        <w:rPr>
          <w:rFonts w:hint="eastAsia" w:ascii="Times New Roman" w:hAnsi="Times New Roman" w:eastAsia="仿宋_GB2312"/>
          <w:sz w:val="32"/>
          <w:szCs w:val="32"/>
        </w:rPr>
        <w:t>（类）支出</w:t>
      </w:r>
      <w:r>
        <w:rPr>
          <w:rFonts w:hint="eastAsia" w:ascii="Times New Roman" w:hAnsi="Times New Roman" w:eastAsia="仿宋_GB2312"/>
          <w:sz w:val="32"/>
          <w:szCs w:val="32"/>
          <w:lang w:val="en-US" w:eastAsia="zh-CN"/>
        </w:rPr>
        <w:t>577.05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91.88</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lang w:eastAsia="zh-CN"/>
        </w:rPr>
        <w:t>粮油物资储备支出（类）支出</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0.16</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7D75FE2B">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rPr>
        <w:t>（三）一般公共预算财政拨款支出决算具体情况</w:t>
      </w:r>
    </w:p>
    <w:p w14:paraId="498C4E0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年度财政拨款支出年初预算数为</w:t>
      </w:r>
      <w:r>
        <w:rPr>
          <w:rFonts w:hint="eastAsia" w:ascii="Times New Roman" w:hAnsi="Times New Roman" w:eastAsia="仿宋_GB2312"/>
          <w:sz w:val="32"/>
          <w:szCs w:val="32"/>
          <w:highlight w:val="none"/>
          <w:lang w:val="en-US" w:eastAsia="zh-CN"/>
        </w:rPr>
        <w:t>509.75</w:t>
      </w:r>
      <w:r>
        <w:rPr>
          <w:rFonts w:hint="eastAsia" w:ascii="Times New Roman" w:hAnsi="Times New Roman" w:eastAsia="仿宋_GB2312"/>
          <w:sz w:val="32"/>
          <w:szCs w:val="32"/>
          <w:highlight w:val="none"/>
        </w:rPr>
        <w:t>万元，支出决算数为</w:t>
      </w:r>
      <w:r>
        <w:rPr>
          <w:rFonts w:hint="eastAsia" w:ascii="Times New Roman" w:hAnsi="Times New Roman" w:eastAsia="仿宋_GB2312"/>
          <w:sz w:val="32"/>
          <w:szCs w:val="32"/>
          <w:lang w:val="en-US" w:eastAsia="zh-CN"/>
        </w:rPr>
        <w:t>628.05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123.20</w:t>
      </w:r>
      <w:r>
        <w:rPr>
          <w:rFonts w:hint="eastAsia" w:ascii="Times New Roman" w:hAnsi="Times New Roman" w:eastAsia="仿宋_GB2312"/>
          <w:sz w:val="32"/>
          <w:szCs w:val="32"/>
        </w:rPr>
        <w:t>%，其中：</w:t>
      </w:r>
    </w:p>
    <w:p w14:paraId="38A3E4F6">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1、</w:t>
      </w:r>
      <w:r>
        <w:rPr>
          <w:rFonts w:hint="eastAsia" w:ascii="Times New Roman" w:hAnsi="Times New Roman" w:eastAsia="仿宋_GB2312"/>
          <w:sz w:val="32"/>
          <w:szCs w:val="32"/>
          <w:highlight w:val="none"/>
          <w:lang w:eastAsia="zh-CN"/>
        </w:rPr>
        <w:t>城乡社区支出</w:t>
      </w:r>
      <w:r>
        <w:rPr>
          <w:rFonts w:hint="eastAsia" w:ascii="Times New Roman" w:hAnsi="Times New Roman" w:eastAsia="仿宋_GB2312"/>
          <w:sz w:val="32"/>
          <w:szCs w:val="32"/>
          <w:highlight w:val="none"/>
        </w:rPr>
        <w:t>（类）</w:t>
      </w:r>
      <w:r>
        <w:rPr>
          <w:rFonts w:hint="eastAsia" w:ascii="Times New Roman" w:hAnsi="Times New Roman" w:eastAsia="仿宋_GB2312"/>
          <w:sz w:val="32"/>
          <w:szCs w:val="32"/>
          <w:highlight w:val="none"/>
          <w:lang w:eastAsia="zh-CN"/>
        </w:rPr>
        <w:t>其他城乡社区支出</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eastAsia="zh-CN"/>
        </w:rPr>
        <w:t>其他城乡社区支出</w:t>
      </w:r>
      <w:r>
        <w:rPr>
          <w:rFonts w:hint="eastAsia" w:ascii="Times New Roman" w:hAnsi="Times New Roman" w:eastAsia="仿宋_GB2312"/>
          <w:sz w:val="32"/>
          <w:szCs w:val="32"/>
          <w:highlight w:val="none"/>
        </w:rPr>
        <w:t>（项）。</w:t>
      </w:r>
    </w:p>
    <w:p w14:paraId="4BED1967">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50.00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由于年初预算为</w:t>
      </w:r>
      <w:r>
        <w:rPr>
          <w:rFonts w:hint="eastAsia" w:ascii="Times New Roman" w:hAnsi="Times New Roman" w:eastAsia="仿宋_GB2312"/>
          <w:sz w:val="32"/>
          <w:szCs w:val="32"/>
          <w:highlight w:val="none"/>
          <w:lang w:val="en-US" w:eastAsia="zh-CN"/>
        </w:rPr>
        <w:t>0，无法计算百分比，</w:t>
      </w:r>
      <w:r>
        <w:rPr>
          <w:rFonts w:hint="eastAsia" w:ascii="Times New Roman" w:hAnsi="Times New Roman" w:eastAsia="仿宋_GB2312"/>
          <w:sz w:val="32"/>
          <w:szCs w:val="32"/>
          <w:highlight w:val="none"/>
        </w:rPr>
        <w:t>决算数大于年初预算数的主要原因是：</w:t>
      </w:r>
      <w:r>
        <w:rPr>
          <w:rFonts w:hint="eastAsia" w:ascii="Times New Roman" w:hAnsi="Times New Roman" w:eastAsia="仿宋_GB2312"/>
          <w:sz w:val="32"/>
          <w:szCs w:val="32"/>
          <w:highlight w:val="none"/>
          <w:lang w:eastAsia="zh-CN"/>
        </w:rPr>
        <w:t>业务工作任务增加，调整预算，财政追拨其他城乡社区支出经费。</w:t>
      </w:r>
    </w:p>
    <w:p w14:paraId="340BD69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w:t>
      </w:r>
      <w:r>
        <w:rPr>
          <w:rFonts w:hint="eastAsia" w:ascii="Times New Roman" w:hAnsi="Times New Roman" w:eastAsia="仿宋_GB2312"/>
          <w:sz w:val="32"/>
          <w:szCs w:val="32"/>
          <w:highlight w:val="none"/>
          <w:lang w:eastAsia="zh-CN"/>
        </w:rPr>
        <w:t>农林水支出</w:t>
      </w:r>
      <w:r>
        <w:rPr>
          <w:rFonts w:hint="eastAsia" w:ascii="Times New Roman" w:hAnsi="Times New Roman" w:eastAsia="仿宋_GB2312"/>
          <w:sz w:val="32"/>
          <w:szCs w:val="32"/>
          <w:highlight w:val="none"/>
        </w:rPr>
        <w:t>（类）</w:t>
      </w:r>
      <w:r>
        <w:rPr>
          <w:rFonts w:hint="eastAsia" w:ascii="Times New Roman" w:hAnsi="Times New Roman" w:eastAsia="仿宋_GB2312"/>
          <w:sz w:val="32"/>
          <w:szCs w:val="32"/>
          <w:highlight w:val="none"/>
          <w:lang w:eastAsia="zh-CN"/>
        </w:rPr>
        <w:t>水利</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eastAsia="zh-CN"/>
        </w:rPr>
        <w:t>水利工程运行与维护</w:t>
      </w:r>
      <w:r>
        <w:rPr>
          <w:rFonts w:hint="eastAsia" w:ascii="Times New Roman" w:hAnsi="Times New Roman" w:eastAsia="仿宋_GB2312"/>
          <w:sz w:val="32"/>
          <w:szCs w:val="32"/>
          <w:highlight w:val="none"/>
        </w:rPr>
        <w:t>（项）。</w:t>
      </w:r>
    </w:p>
    <w:p w14:paraId="3098FCCF">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25.00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，由于年初预算为</w:t>
      </w:r>
      <w:r>
        <w:rPr>
          <w:rFonts w:hint="eastAsia" w:ascii="Times New Roman" w:hAnsi="Times New Roman" w:eastAsia="仿宋_GB2312"/>
          <w:sz w:val="32"/>
          <w:szCs w:val="32"/>
          <w:highlight w:val="none"/>
          <w:lang w:val="en-US" w:eastAsia="zh-CN"/>
        </w:rPr>
        <w:t>0，无法计算百分比</w:t>
      </w:r>
      <w:r>
        <w:rPr>
          <w:rFonts w:hint="eastAsia" w:ascii="Times New Roman" w:hAnsi="Times New Roman" w:eastAsia="仿宋_GB2312"/>
          <w:sz w:val="32"/>
          <w:szCs w:val="32"/>
          <w:highlight w:val="none"/>
        </w:rPr>
        <w:t>，决算数大于年初预算数的主要原因是：</w:t>
      </w:r>
      <w:r>
        <w:rPr>
          <w:rFonts w:hint="eastAsia" w:ascii="Times New Roman" w:hAnsi="Times New Roman" w:eastAsia="仿宋_GB2312"/>
          <w:sz w:val="32"/>
          <w:szCs w:val="32"/>
          <w:highlight w:val="none"/>
          <w:lang w:eastAsia="zh-CN"/>
        </w:rPr>
        <w:t>业务工作任务增加，调整预算，财政追拨水利工程运行与维护经费。</w:t>
      </w:r>
    </w:p>
    <w:p w14:paraId="1A3B5BE8">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农林水支出</w:t>
      </w:r>
      <w:r>
        <w:rPr>
          <w:rFonts w:hint="eastAsia" w:ascii="Times New Roman" w:hAnsi="Times New Roman" w:eastAsia="仿宋_GB2312"/>
          <w:sz w:val="32"/>
          <w:szCs w:val="32"/>
          <w:highlight w:val="none"/>
        </w:rPr>
        <w:t>（类）</w:t>
      </w:r>
      <w:r>
        <w:rPr>
          <w:rFonts w:hint="eastAsia" w:ascii="Times New Roman" w:hAnsi="Times New Roman" w:eastAsia="仿宋_GB2312"/>
          <w:sz w:val="32"/>
          <w:szCs w:val="32"/>
          <w:highlight w:val="none"/>
          <w:lang w:eastAsia="zh-CN"/>
        </w:rPr>
        <w:t>水利</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eastAsia="zh-CN"/>
        </w:rPr>
        <w:t>其他水利支出</w:t>
      </w:r>
      <w:r>
        <w:rPr>
          <w:rFonts w:hint="eastAsia" w:ascii="Times New Roman" w:hAnsi="Times New Roman" w:eastAsia="仿宋_GB2312"/>
          <w:sz w:val="32"/>
          <w:szCs w:val="32"/>
          <w:highlight w:val="none"/>
        </w:rPr>
        <w:t>（项）。</w:t>
      </w:r>
    </w:p>
    <w:p w14:paraId="54CC7D0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509.75</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552.05</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108.30</w:t>
      </w:r>
      <w:r>
        <w:rPr>
          <w:rFonts w:hint="eastAsia" w:ascii="Times New Roman" w:hAnsi="Times New Roman" w:eastAsia="仿宋_GB2312"/>
          <w:sz w:val="32"/>
          <w:szCs w:val="32"/>
          <w:highlight w:val="none"/>
        </w:rPr>
        <w:t>%，决算数大于年初预算数的主要原因是：</w:t>
      </w:r>
      <w:r>
        <w:rPr>
          <w:rFonts w:hint="eastAsia" w:ascii="Times New Roman" w:hAnsi="Times New Roman" w:eastAsia="仿宋_GB2312"/>
          <w:sz w:val="32"/>
          <w:szCs w:val="32"/>
          <w:highlight w:val="none"/>
          <w:lang w:eastAsia="zh-CN"/>
        </w:rPr>
        <w:t>业务工作任务增加，调整预算，财政追拨其他水利支出经费。</w:t>
      </w:r>
    </w:p>
    <w:p w14:paraId="2574AB9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4</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粮油物质储备</w:t>
      </w:r>
      <w:r>
        <w:rPr>
          <w:rFonts w:hint="eastAsia" w:ascii="Times New Roman" w:hAnsi="Times New Roman" w:eastAsia="仿宋_GB2312"/>
          <w:sz w:val="32"/>
          <w:szCs w:val="32"/>
          <w:highlight w:val="none"/>
          <w:lang w:eastAsia="zh-CN"/>
        </w:rPr>
        <w:t>支出</w:t>
      </w:r>
      <w:r>
        <w:rPr>
          <w:rFonts w:hint="eastAsia" w:ascii="Times New Roman" w:hAnsi="Times New Roman" w:eastAsia="仿宋_GB2312"/>
          <w:sz w:val="32"/>
          <w:szCs w:val="32"/>
          <w:highlight w:val="none"/>
        </w:rPr>
        <w:t>（类）</w:t>
      </w:r>
      <w:r>
        <w:rPr>
          <w:rFonts w:hint="eastAsia" w:ascii="Times New Roman" w:hAnsi="Times New Roman" w:eastAsia="仿宋_GB2312"/>
          <w:sz w:val="32"/>
          <w:szCs w:val="32"/>
          <w:highlight w:val="none"/>
          <w:lang w:val="en-US" w:eastAsia="zh-CN"/>
        </w:rPr>
        <w:t>粮油物质事务</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val="en-US" w:eastAsia="zh-CN"/>
        </w:rPr>
        <w:t>粮油物质事务</w:t>
      </w:r>
      <w:r>
        <w:rPr>
          <w:rFonts w:hint="eastAsia" w:ascii="Times New Roman" w:hAnsi="Times New Roman" w:eastAsia="仿宋_GB2312"/>
          <w:sz w:val="32"/>
          <w:szCs w:val="32"/>
          <w:highlight w:val="none"/>
          <w:lang w:eastAsia="zh-CN"/>
        </w:rPr>
        <w:t>支出</w:t>
      </w:r>
      <w:r>
        <w:rPr>
          <w:rFonts w:hint="eastAsia" w:ascii="Times New Roman" w:hAnsi="Times New Roman" w:eastAsia="仿宋_GB2312"/>
          <w:sz w:val="32"/>
          <w:szCs w:val="32"/>
          <w:highlight w:val="none"/>
        </w:rPr>
        <w:t>（项）。</w:t>
      </w:r>
    </w:p>
    <w:p w14:paraId="4A97FB81">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由于年初预算为</w:t>
      </w:r>
      <w:r>
        <w:rPr>
          <w:rFonts w:hint="eastAsia" w:ascii="Times New Roman" w:hAnsi="Times New Roman" w:eastAsia="仿宋_GB2312"/>
          <w:sz w:val="32"/>
          <w:szCs w:val="32"/>
          <w:highlight w:val="none"/>
          <w:lang w:val="en-US" w:eastAsia="zh-CN"/>
        </w:rPr>
        <w:t>0，无法计算百分比</w:t>
      </w:r>
      <w:r>
        <w:rPr>
          <w:rFonts w:hint="eastAsia" w:ascii="Times New Roman" w:hAnsi="Times New Roman" w:eastAsia="仿宋_GB2312"/>
          <w:sz w:val="32"/>
          <w:szCs w:val="32"/>
          <w:highlight w:val="none"/>
        </w:rPr>
        <w:t>，决算数大于年初预算数的主要原因是：</w:t>
      </w:r>
      <w:r>
        <w:rPr>
          <w:rFonts w:hint="eastAsia" w:ascii="Times New Roman" w:hAnsi="Times New Roman" w:eastAsia="仿宋_GB2312"/>
          <w:sz w:val="32"/>
          <w:szCs w:val="32"/>
          <w:highlight w:val="none"/>
          <w:lang w:eastAsia="zh-CN"/>
        </w:rPr>
        <w:t>业务工作任务增加，调整预算，财政追拨</w:t>
      </w:r>
      <w:r>
        <w:rPr>
          <w:rFonts w:hint="eastAsia" w:ascii="Times New Roman" w:hAnsi="Times New Roman" w:eastAsia="仿宋_GB2312"/>
          <w:sz w:val="32"/>
          <w:szCs w:val="32"/>
          <w:highlight w:val="none"/>
          <w:lang w:val="en-US" w:eastAsia="zh-CN"/>
        </w:rPr>
        <w:t>粮油物质事务</w:t>
      </w:r>
      <w:r>
        <w:rPr>
          <w:rFonts w:hint="eastAsia" w:ascii="Times New Roman" w:hAnsi="Times New Roman" w:eastAsia="仿宋_GB2312"/>
          <w:sz w:val="32"/>
          <w:szCs w:val="32"/>
          <w:highlight w:val="none"/>
          <w:lang w:eastAsia="zh-CN"/>
        </w:rPr>
        <w:t>支出经费。</w:t>
      </w:r>
    </w:p>
    <w:p w14:paraId="6A6E48D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highlight w:val="none"/>
          <w:lang w:val="en-US" w:eastAsia="zh-CN"/>
        </w:rPr>
      </w:pPr>
    </w:p>
    <w:p w14:paraId="10F8FEDB">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p>
    <w:p w14:paraId="1281011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2CD325C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highlight w:val="none"/>
          <w:lang w:val="en-US" w:eastAsia="zh-CN"/>
        </w:rPr>
        <w:t>628.05</w:t>
      </w:r>
      <w:r>
        <w:rPr>
          <w:rFonts w:hint="eastAsia" w:ascii="Times New Roman" w:hAnsi="Times New Roman" w:eastAsia="仿宋_GB2312"/>
          <w:sz w:val="32"/>
          <w:szCs w:val="32"/>
        </w:rPr>
        <w:t>万元，其中：</w:t>
      </w:r>
    </w:p>
    <w:p w14:paraId="0745BC9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FF0000"/>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493.44</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78.57</w:t>
      </w:r>
      <w:r>
        <w:rPr>
          <w:rFonts w:hint="eastAsia" w:ascii="Times New Roman" w:hAnsi="Times New Roman" w:eastAsia="仿宋_GB2312"/>
          <w:sz w:val="32"/>
          <w:szCs w:val="32"/>
        </w:rPr>
        <w:t>%,主要包括基本工资、津贴补贴、奖金、伙食补助费</w:t>
      </w:r>
      <w:r>
        <w:rPr>
          <w:rFonts w:hint="eastAsia" w:ascii="Times New Roman" w:hAnsi="Times New Roman" w:eastAsia="仿宋_GB2312"/>
          <w:sz w:val="32"/>
          <w:szCs w:val="32"/>
          <w:lang w:val="zh-CN"/>
        </w:rPr>
        <w:t>、绩效工资、机关事业单位基本养老保险缴费、职业年金缴费、职工基本医疗保险缴费、其他社会保障缴费、住房公积金、医疗费、其他工资福利支出、离休费、退休费、抚恤金、生活补助、医疗费补助、奖励金、其他对个人和家庭的补助</w:t>
      </w:r>
      <w:r>
        <w:rPr>
          <w:rFonts w:hint="eastAsia" w:ascii="Times New Roman" w:hAnsi="Times New Roman" w:eastAsia="仿宋_GB2312"/>
          <w:sz w:val="32"/>
          <w:szCs w:val="32"/>
          <w:lang w:eastAsia="zh-CN"/>
        </w:rPr>
        <w:t>。</w:t>
      </w:r>
    </w:p>
    <w:p w14:paraId="25335183">
      <w:pPr>
        <w:keepNext/>
        <w:keepLines/>
        <w:ind w:firstLine="643"/>
        <w:jc w:val="left"/>
        <w:rPr>
          <w:rFonts w:hint="eastAsia" w:ascii="宋体" w:hAnsi="宋体" w:eastAsia="宋体"/>
          <w:color w:val="auto"/>
          <w:kern w:val="0"/>
          <w:sz w:val="32"/>
          <w:szCs w:val="24"/>
          <w:highlight w:val="white"/>
          <w:lang w:val="en-US"/>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134.61</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21.43</w:t>
      </w:r>
      <w:r>
        <w:rPr>
          <w:rFonts w:hint="eastAsia" w:ascii="Times New Roman" w:hAnsi="Times New Roman" w:eastAsia="仿宋_GB2312"/>
          <w:sz w:val="32"/>
          <w:szCs w:val="32"/>
        </w:rPr>
        <w:t>%，主要包括办公费、印刷费、咨询费、手续费</w:t>
      </w:r>
      <w:r>
        <w:rPr>
          <w:rFonts w:hint="eastAsia" w:ascii="Times New Roman" w:hAnsi="Times New Roman" w:eastAsia="仿宋_GB2312"/>
          <w:sz w:val="32"/>
          <w:szCs w:val="32"/>
          <w:lang w:val="en-US"/>
        </w:rPr>
        <w:t>、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无形资产购置、其他资本性支出、赠与。</w:t>
      </w:r>
    </w:p>
    <w:p w14:paraId="77F7F85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FF0000"/>
          <w:sz w:val="32"/>
          <w:szCs w:val="32"/>
        </w:rPr>
      </w:pPr>
    </w:p>
    <w:p w14:paraId="5AB9FE6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FF0000"/>
          <w:sz w:val="32"/>
          <w:szCs w:val="32"/>
        </w:rPr>
      </w:pPr>
      <w:r>
        <w:rPr>
          <w:rFonts w:hint="eastAsia" w:ascii="黑体" w:hAnsi="黑体" w:eastAsia="黑体" w:cs="黑体"/>
          <w:b w:val="0"/>
          <w:bCs/>
          <w:sz w:val="32"/>
          <w:szCs w:val="32"/>
        </w:rPr>
        <w:t>七、财政拨款三公经费支出决算情况说明</w:t>
      </w:r>
    </w:p>
    <w:p w14:paraId="5BDC4A4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36B6D6C6">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rPr>
        <w:t>“三</w:t>
      </w:r>
      <w:r>
        <w:rPr>
          <w:rFonts w:hint="eastAsia" w:ascii="Times New Roman" w:hAnsi="Times New Roman" w:eastAsia="仿宋_GB2312"/>
          <w:sz w:val="32"/>
          <w:szCs w:val="32"/>
          <w:highlight w:val="none"/>
        </w:rPr>
        <w:t>公”经费财政拨款支出预算为</w:t>
      </w:r>
      <w:r>
        <w:rPr>
          <w:rFonts w:hint="eastAsia" w:ascii="Times New Roman" w:hAnsi="Times New Roman" w:eastAsia="仿宋_GB2312"/>
          <w:sz w:val="32"/>
          <w:szCs w:val="32"/>
          <w:highlight w:val="none"/>
          <w:lang w:val="en-US" w:eastAsia="zh-CN"/>
        </w:rPr>
        <w:t>0.19</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0.19</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从严控制“三公”经费开支，</w:t>
      </w:r>
      <w:r>
        <w:rPr>
          <w:rFonts w:hint="eastAsia" w:ascii="Times New Roman" w:hAnsi="Times New Roman" w:eastAsia="仿宋_GB2312"/>
          <w:sz w:val="32"/>
          <w:szCs w:val="32"/>
          <w:highlight w:val="none"/>
        </w:rPr>
        <w:t>与上年相比减少</w:t>
      </w:r>
      <w:r>
        <w:rPr>
          <w:rFonts w:hint="eastAsia" w:ascii="Times New Roman" w:hAnsi="Times New Roman" w:eastAsia="仿宋_GB2312"/>
          <w:sz w:val="32"/>
          <w:szCs w:val="32"/>
          <w:highlight w:val="none"/>
          <w:lang w:val="en-US" w:eastAsia="zh-CN"/>
        </w:rPr>
        <w:t>0.1</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34.48</w:t>
      </w:r>
      <w:r>
        <w:rPr>
          <w:rFonts w:hint="eastAsia" w:ascii="Times New Roman" w:hAnsi="Times New Roman" w:eastAsia="仿宋_GB2312"/>
          <w:sz w:val="32"/>
          <w:szCs w:val="32"/>
          <w:highlight w:val="none"/>
        </w:rPr>
        <w:t>%,减少的主要原因是</w:t>
      </w:r>
      <w:r>
        <w:rPr>
          <w:rFonts w:hint="eastAsia" w:ascii="Times New Roman" w:hAnsi="Times New Roman" w:eastAsia="仿宋_GB2312"/>
          <w:sz w:val="32"/>
          <w:szCs w:val="32"/>
          <w:highlight w:val="none"/>
          <w:lang w:eastAsia="zh-CN"/>
        </w:rPr>
        <w:t>认真厉行节约要求，从严控制“三公”经费开支，</w:t>
      </w:r>
      <w:r>
        <w:rPr>
          <w:rFonts w:hint="eastAsia" w:ascii="Times New Roman" w:hAnsi="Times New Roman" w:eastAsia="仿宋_GB2312"/>
          <w:sz w:val="32"/>
          <w:szCs w:val="32"/>
          <w:highlight w:val="none"/>
        </w:rPr>
        <w:t>其中：</w:t>
      </w:r>
    </w:p>
    <w:p w14:paraId="3787CC7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因公出国（境）费支出预算为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由于年初预算为</w:t>
      </w:r>
      <w:r>
        <w:rPr>
          <w:rFonts w:hint="eastAsia" w:ascii="Times New Roman" w:hAnsi="Times New Roman" w:eastAsia="仿宋_GB2312"/>
          <w:sz w:val="32"/>
          <w:szCs w:val="32"/>
          <w:highlight w:val="none"/>
          <w:lang w:val="en-US" w:eastAsia="zh-CN"/>
        </w:rPr>
        <w:t>0，无法计算百分比，</w:t>
      </w:r>
      <w:r>
        <w:rPr>
          <w:rFonts w:hint="eastAsia" w:ascii="Times New Roman" w:hAnsi="Times New Roman" w:eastAsia="仿宋_GB2312"/>
          <w:sz w:val="32"/>
          <w:szCs w:val="32"/>
          <w:highlight w:val="none"/>
        </w:rPr>
        <w:t>与上年相比</w:t>
      </w:r>
      <w:r>
        <w:rPr>
          <w:rFonts w:hint="eastAsia" w:ascii="Times New Roman" w:hAnsi="Times New Roman" w:eastAsia="仿宋_GB2312"/>
          <w:sz w:val="32"/>
          <w:szCs w:val="32"/>
          <w:highlight w:val="none"/>
          <w:lang w:eastAsia="zh-CN"/>
        </w:rPr>
        <w:t>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，减少</w:t>
      </w:r>
      <w:r>
        <w:rPr>
          <w:rFonts w:hint="eastAsia" w:ascii="Times New Roman" w:hAnsi="Times New Roman" w:eastAsia="仿宋_GB2312"/>
          <w:sz w:val="32"/>
          <w:szCs w:val="32"/>
          <w:highlight w:val="none"/>
          <w:lang w:val="en-US" w:eastAsia="zh-CN"/>
        </w:rPr>
        <w:t>0%。</w:t>
      </w:r>
    </w:p>
    <w:p w14:paraId="20F8978C">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公务接待费支出预算为</w:t>
      </w:r>
      <w:r>
        <w:rPr>
          <w:rFonts w:hint="eastAsia" w:ascii="Times New Roman" w:hAnsi="Times New Roman" w:eastAsia="仿宋_GB2312"/>
          <w:sz w:val="32"/>
          <w:szCs w:val="32"/>
          <w:highlight w:val="none"/>
          <w:lang w:val="en-US" w:eastAsia="zh-CN"/>
        </w:rPr>
        <w:t>0.19</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0.19</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从严控制“三公”经费开支，</w:t>
      </w:r>
      <w:r>
        <w:rPr>
          <w:rFonts w:hint="eastAsia" w:ascii="Times New Roman" w:hAnsi="Times New Roman" w:eastAsia="仿宋_GB2312"/>
          <w:sz w:val="32"/>
          <w:szCs w:val="32"/>
          <w:highlight w:val="none"/>
        </w:rPr>
        <w:t>与上年相比减少</w:t>
      </w:r>
      <w:r>
        <w:rPr>
          <w:rFonts w:hint="eastAsia" w:ascii="Times New Roman" w:hAnsi="Times New Roman" w:eastAsia="仿宋_GB2312"/>
          <w:sz w:val="32"/>
          <w:szCs w:val="32"/>
          <w:highlight w:val="none"/>
          <w:lang w:val="en-US" w:eastAsia="zh-CN"/>
        </w:rPr>
        <w:t>0.1</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34.48</w:t>
      </w:r>
      <w:r>
        <w:rPr>
          <w:rFonts w:hint="eastAsia" w:ascii="Times New Roman" w:hAnsi="Times New Roman" w:eastAsia="仿宋_GB2312"/>
          <w:sz w:val="32"/>
          <w:szCs w:val="32"/>
          <w:highlight w:val="none"/>
        </w:rPr>
        <w:t>%,减少的主要原因是</w:t>
      </w:r>
      <w:r>
        <w:rPr>
          <w:rFonts w:hint="eastAsia" w:ascii="Times New Roman" w:hAnsi="Times New Roman" w:eastAsia="仿宋_GB2312"/>
          <w:sz w:val="32"/>
          <w:szCs w:val="32"/>
          <w:highlight w:val="none"/>
          <w:lang w:eastAsia="zh-CN"/>
        </w:rPr>
        <w:t>厉行节约要求，从严控制“三公”经费开支</w:t>
      </w:r>
      <w:r>
        <w:rPr>
          <w:rFonts w:hint="eastAsia" w:ascii="Times New Roman" w:hAnsi="Times New Roman" w:eastAsia="仿宋_GB2312"/>
          <w:sz w:val="32"/>
          <w:szCs w:val="32"/>
          <w:highlight w:val="none"/>
        </w:rPr>
        <w:t>。</w:t>
      </w:r>
    </w:p>
    <w:p w14:paraId="4A238CE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公务用车购置费支出预算为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由于年初预算为</w:t>
      </w:r>
      <w:r>
        <w:rPr>
          <w:rFonts w:hint="eastAsia" w:ascii="Times New Roman" w:hAnsi="Times New Roman" w:eastAsia="仿宋_GB2312"/>
          <w:sz w:val="32"/>
          <w:szCs w:val="32"/>
          <w:highlight w:val="none"/>
          <w:lang w:val="en-US" w:eastAsia="zh-CN"/>
        </w:rPr>
        <w:t>0，无法计算百分比，</w:t>
      </w:r>
      <w:r>
        <w:rPr>
          <w:rFonts w:hint="eastAsia" w:ascii="Times New Roman" w:hAnsi="Times New Roman" w:eastAsia="仿宋_GB2312"/>
          <w:sz w:val="32"/>
          <w:szCs w:val="32"/>
          <w:highlight w:val="none"/>
        </w:rPr>
        <w:t>与上年相比</w:t>
      </w:r>
      <w:r>
        <w:rPr>
          <w:rFonts w:hint="eastAsia" w:ascii="Times New Roman" w:hAnsi="Times New Roman" w:eastAsia="仿宋_GB2312"/>
          <w:sz w:val="32"/>
          <w:szCs w:val="32"/>
          <w:highlight w:val="none"/>
          <w:lang w:eastAsia="zh-CN"/>
        </w:rPr>
        <w:t>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，减少</w:t>
      </w:r>
      <w:r>
        <w:rPr>
          <w:rFonts w:hint="eastAsia" w:ascii="Times New Roman" w:hAnsi="Times New Roman" w:eastAsia="仿宋_GB2312"/>
          <w:sz w:val="32"/>
          <w:szCs w:val="32"/>
          <w:highlight w:val="none"/>
          <w:lang w:val="en-US" w:eastAsia="zh-CN"/>
        </w:rPr>
        <w:t>0%。</w:t>
      </w:r>
    </w:p>
    <w:p w14:paraId="0DCF200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公务用车运行维护费支出预算为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由于年初预算为</w:t>
      </w:r>
      <w:r>
        <w:rPr>
          <w:rFonts w:hint="eastAsia" w:ascii="Times New Roman" w:hAnsi="Times New Roman" w:eastAsia="仿宋_GB2312"/>
          <w:sz w:val="32"/>
          <w:szCs w:val="32"/>
          <w:highlight w:val="none"/>
          <w:lang w:val="en-US" w:eastAsia="zh-CN"/>
        </w:rPr>
        <w:t>0，无法计算百分比，</w:t>
      </w:r>
      <w:r>
        <w:rPr>
          <w:rFonts w:hint="eastAsia" w:ascii="Times New Roman" w:hAnsi="Times New Roman" w:eastAsia="仿宋_GB2312"/>
          <w:sz w:val="32"/>
          <w:szCs w:val="32"/>
          <w:highlight w:val="none"/>
        </w:rPr>
        <w:t>与上年相比</w:t>
      </w:r>
      <w:r>
        <w:rPr>
          <w:rFonts w:hint="eastAsia" w:ascii="Times New Roman" w:hAnsi="Times New Roman" w:eastAsia="仿宋_GB2312"/>
          <w:sz w:val="32"/>
          <w:szCs w:val="32"/>
          <w:highlight w:val="none"/>
          <w:lang w:eastAsia="zh-CN"/>
        </w:rPr>
        <w:t>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，减少</w:t>
      </w:r>
      <w:r>
        <w:rPr>
          <w:rFonts w:hint="eastAsia" w:ascii="Times New Roman" w:hAnsi="Times New Roman" w:eastAsia="仿宋_GB2312"/>
          <w:sz w:val="32"/>
          <w:szCs w:val="32"/>
          <w:highlight w:val="none"/>
          <w:lang w:val="en-US" w:eastAsia="zh-CN"/>
        </w:rPr>
        <w:t>0%。</w:t>
      </w:r>
    </w:p>
    <w:p w14:paraId="091EC84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p>
    <w:p w14:paraId="37EE9D3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highlight w:val="none"/>
        </w:rPr>
      </w:pPr>
      <w:r>
        <w:rPr>
          <w:rFonts w:hint="eastAsia" w:ascii="楷体" w:hAnsi="楷体" w:eastAsia="楷体" w:cs="楷体"/>
          <w:b/>
          <w:bCs w:val="0"/>
          <w:sz w:val="32"/>
          <w:szCs w:val="32"/>
          <w:highlight w:val="none"/>
        </w:rPr>
        <w:t>（二）“三公”经费财政拨款支出决算具体情况说明</w:t>
      </w:r>
    </w:p>
    <w:p w14:paraId="42830BCF">
      <w:pPr>
        <w:pStyle w:val="13"/>
        <w:keepNext w:val="0"/>
        <w:keepLines w:val="0"/>
        <w:pageBreakBefore w:val="0"/>
        <w:widowControl w:val="0"/>
        <w:kinsoku/>
        <w:wordWrap/>
        <w:overflowPunct/>
        <w:topLinePunct w:val="0"/>
        <w:bidi w:val="0"/>
        <w:snapToGrid/>
        <w:spacing w:line="600" w:lineRule="exact"/>
        <w:ind w:firstLine="960" w:firstLineChars="3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rPr>
        <w:t>2</w:t>
      </w: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年度“三公”经费财政拨款支出决算中，公务接待费支出决算</w:t>
      </w:r>
      <w:r>
        <w:rPr>
          <w:rFonts w:hint="eastAsia" w:ascii="Times New Roman" w:hAnsi="Times New Roman" w:eastAsia="仿宋_GB2312"/>
          <w:sz w:val="32"/>
          <w:szCs w:val="32"/>
          <w:highlight w:val="none"/>
          <w:lang w:val="en-US" w:eastAsia="zh-CN"/>
        </w:rPr>
        <w:t>0.19</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 xml:space="preserve"> </w:t>
      </w:r>
      <w:r>
        <w:rPr>
          <w:rFonts w:hint="eastAsia" w:ascii="Times New Roman" w:hAnsi="Times New Roman" w:eastAsia="仿宋_GB2312"/>
          <w:sz w:val="32"/>
          <w:szCs w:val="32"/>
          <w:highlight w:val="none"/>
        </w:rPr>
        <w:t>因公出国（境）费支出决算</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 xml:space="preserve"> </w:t>
      </w:r>
      <w:r>
        <w:rPr>
          <w:rFonts w:hint="eastAsia" w:ascii="Times New Roman" w:hAnsi="Times New Roman" w:eastAsia="仿宋_GB2312"/>
          <w:sz w:val="32"/>
          <w:szCs w:val="32"/>
          <w:highlight w:val="none"/>
        </w:rPr>
        <w:t>公务用车购置费及运行维护费支出决算</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%。其中：</w:t>
      </w:r>
    </w:p>
    <w:p w14:paraId="3A5162E8">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highlight w:val="none"/>
          <w:lang w:val="en-US" w:eastAsia="zh-CN"/>
        </w:rPr>
      </w:pPr>
      <w:r>
        <w:rPr>
          <w:rFonts w:hint="eastAsia" w:ascii="Times New Roman" w:hAnsi="Times New Roman" w:eastAsia="仿宋_GB2312"/>
          <w:sz w:val="32"/>
          <w:szCs w:val="32"/>
          <w:highlight w:val="none"/>
          <w:lang w:val="en-US" w:eastAsia="zh-CN"/>
        </w:rPr>
        <w:t>1、</w:t>
      </w:r>
      <w:r>
        <w:rPr>
          <w:rFonts w:hint="eastAsia" w:ascii="Times New Roman" w:hAnsi="Times New Roman" w:eastAsia="仿宋_GB2312"/>
          <w:sz w:val="32"/>
          <w:szCs w:val="32"/>
          <w:highlight w:val="none"/>
        </w:rPr>
        <w:t>因公出国（境）费支出决算为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万元，全年安排因公出国（境）团组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个，累计</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人次。</w:t>
      </w:r>
    </w:p>
    <w:p w14:paraId="227CE5D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2、公务接待费支出决算为</w:t>
      </w:r>
      <w:r>
        <w:rPr>
          <w:rFonts w:hint="eastAsia" w:ascii="Times New Roman" w:hAnsi="Times New Roman" w:eastAsia="仿宋_GB2312"/>
          <w:sz w:val="32"/>
          <w:szCs w:val="32"/>
          <w:highlight w:val="none"/>
          <w:lang w:val="en-US" w:eastAsia="zh-CN"/>
        </w:rPr>
        <w:t>0.19</w:t>
      </w:r>
      <w:r>
        <w:rPr>
          <w:rFonts w:hint="eastAsia" w:ascii="Times New Roman" w:hAnsi="Times New Roman" w:eastAsia="仿宋_GB2312"/>
          <w:sz w:val="32"/>
          <w:szCs w:val="32"/>
          <w:highlight w:val="none"/>
        </w:rPr>
        <w:t>万元，全年共接待来访团组</w:t>
      </w:r>
      <w:r>
        <w:rPr>
          <w:rFonts w:hint="eastAsia" w:ascii="Times New Roman" w:hAnsi="Times New Roman" w:eastAsia="仿宋_GB2312"/>
          <w:sz w:val="32"/>
          <w:szCs w:val="32"/>
          <w:highlight w:val="none"/>
          <w:lang w:val="en-US" w:eastAsia="zh-CN"/>
        </w:rPr>
        <w:t>1</w:t>
      </w:r>
      <w:r>
        <w:rPr>
          <w:rFonts w:hint="eastAsia" w:ascii="Times New Roman" w:hAnsi="Times New Roman" w:eastAsia="仿宋_GB2312"/>
          <w:sz w:val="32"/>
          <w:szCs w:val="32"/>
          <w:highlight w:val="none"/>
        </w:rPr>
        <w:t>个、来宾</w:t>
      </w:r>
      <w:r>
        <w:rPr>
          <w:rFonts w:hint="eastAsia" w:ascii="Times New Roman" w:hAnsi="Times New Roman" w:eastAsia="仿宋_GB2312"/>
          <w:sz w:val="32"/>
          <w:szCs w:val="32"/>
          <w:highlight w:val="none"/>
          <w:lang w:val="en-US" w:eastAsia="zh-CN"/>
        </w:rPr>
        <w:t>10</w:t>
      </w:r>
      <w:r>
        <w:rPr>
          <w:rFonts w:hint="eastAsia" w:ascii="Times New Roman" w:hAnsi="Times New Roman" w:eastAsia="仿宋_GB2312"/>
          <w:sz w:val="32"/>
          <w:szCs w:val="32"/>
          <w:highlight w:val="none"/>
        </w:rPr>
        <w:t>人次，主要是</w:t>
      </w:r>
      <w:r>
        <w:rPr>
          <w:rFonts w:hint="eastAsia" w:ascii="Times New Roman" w:hAnsi="Times New Roman" w:eastAsia="仿宋_GB2312"/>
          <w:sz w:val="32"/>
          <w:szCs w:val="32"/>
          <w:highlight w:val="none"/>
          <w:lang w:val="en-US" w:eastAsia="zh-CN"/>
        </w:rPr>
        <w:t>省市标准化泵站管理考核团队</w:t>
      </w:r>
      <w:r>
        <w:rPr>
          <w:rFonts w:hint="eastAsia" w:ascii="Times New Roman" w:hAnsi="Times New Roman" w:eastAsia="仿宋_GB2312"/>
          <w:sz w:val="32"/>
          <w:szCs w:val="32"/>
          <w:highlight w:val="none"/>
        </w:rPr>
        <w:t>发生的接待支出。</w:t>
      </w:r>
    </w:p>
    <w:p w14:paraId="2E1422A5">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3、公务用车购置费及运行维护费支出决算为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万元，其中：公务用车购置费</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，本</w:t>
      </w:r>
      <w:r>
        <w:rPr>
          <w:rFonts w:hint="eastAsia" w:ascii="Times New Roman" w:hAnsi="Times New Roman" w:eastAsia="仿宋_GB2312"/>
          <w:sz w:val="32"/>
          <w:szCs w:val="32"/>
          <w:highlight w:val="none"/>
        </w:rPr>
        <w:t>单位更新公务用车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公务用车运行维护费</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万元，截止202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年12月31日，我单位开支财政拨款的公务用车保有量为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w:t>
      </w:r>
    </w:p>
    <w:p w14:paraId="5121B690">
      <w:pPr>
        <w:pStyle w:val="8"/>
        <w:rPr>
          <w:rFonts w:hint="eastAsia"/>
          <w:lang w:val="en-US" w:eastAsia="zh-CN"/>
        </w:rPr>
      </w:pPr>
    </w:p>
    <w:p w14:paraId="0983F80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346E710B">
      <w:pPr>
        <w:spacing w:beforeLines="0" w:afterLines="0"/>
        <w:ind w:firstLine="640"/>
        <w:rPr>
          <w:rFonts w:hint="eastAsia" w:ascii="Times New Roman" w:hAnsi="Times New Roman" w:eastAsia="仿宋_GB2312"/>
          <w:sz w:val="32"/>
          <w:szCs w:val="32"/>
          <w:lang w:val="zh-CN"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2023年</w:t>
      </w:r>
      <w:r>
        <w:rPr>
          <w:rFonts w:hint="eastAsia" w:ascii="Times New Roman" w:hAnsi="Times New Roman" w:eastAsia="仿宋_GB2312"/>
          <w:sz w:val="32"/>
          <w:szCs w:val="32"/>
          <w:lang w:val="zh-CN" w:eastAsia="zh-CN"/>
        </w:rPr>
        <w:t>本单位没有使用政府性基金预算财政拨款安排的收支。</w:t>
      </w:r>
    </w:p>
    <w:p w14:paraId="49D0DAEC">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FF0000"/>
          <w:sz w:val="32"/>
          <w:szCs w:val="32"/>
        </w:rPr>
      </w:pPr>
    </w:p>
    <w:p w14:paraId="339C95E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lang w:eastAsia="zh-CN"/>
        </w:rPr>
      </w:pPr>
      <w:r>
        <w:rPr>
          <w:rFonts w:hint="eastAsia" w:ascii="Times New Roman" w:hAnsi="Times New Roman" w:eastAsia="仿宋_GB2312"/>
          <w:b/>
          <w:color w:val="auto"/>
          <w:sz w:val="32"/>
          <w:szCs w:val="32"/>
          <w:lang w:eastAsia="zh-CN"/>
        </w:rPr>
        <w:t>九、国有资本经营预算财政拨款支出决算情况</w:t>
      </w:r>
    </w:p>
    <w:p w14:paraId="4562CC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ascii="Calibri" w:hAnsi="Calibri" w:eastAsia="宋体" w:cs="Times New Roman"/>
          <w:kern w:val="0"/>
          <w:sz w:val="24"/>
          <w:szCs w:val="24"/>
          <w:lang w:val="en-US" w:eastAsia="zh-CN" w:bidi="ar"/>
        </w:rPr>
      </w:pPr>
      <w:r>
        <w:rPr>
          <w:rFonts w:hint="eastAsia" w:ascii="仿宋" w:hAnsi="仿宋" w:eastAsia="仿宋" w:cs="仿宋"/>
          <w:color w:val="000000"/>
          <w:kern w:val="0"/>
          <w:sz w:val="32"/>
          <w:szCs w:val="32"/>
          <w:lang w:val="en-US" w:eastAsia="zh-CN" w:bidi="ar-SA"/>
        </w:rPr>
        <w:t>2023年本单位没有使用国有资本经营预算安排的支出。</w:t>
      </w:r>
    </w:p>
    <w:p w14:paraId="50E3375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lang w:eastAsia="zh-CN"/>
        </w:rPr>
      </w:pPr>
      <w:bookmarkStart w:id="0" w:name="_GoBack"/>
      <w:bookmarkEnd w:id="0"/>
    </w:p>
    <w:p w14:paraId="4778FD0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lang w:eastAsia="zh-CN"/>
        </w:rPr>
      </w:pPr>
      <w:r>
        <w:rPr>
          <w:rFonts w:hint="eastAsia" w:ascii="Times New Roman" w:hAnsi="Times New Roman" w:eastAsia="仿宋_GB2312"/>
          <w:b/>
          <w:color w:val="auto"/>
          <w:sz w:val="32"/>
          <w:szCs w:val="32"/>
          <w:lang w:eastAsia="zh-CN"/>
        </w:rPr>
        <w:t>十、关于机关运行经费支出说明</w:t>
      </w:r>
    </w:p>
    <w:p w14:paraId="0F7DEF39">
      <w:pPr>
        <w:keepNext/>
        <w:keepLines/>
        <w:spacing w:beforeLines="0" w:afterLines="0"/>
        <w:ind w:firstLine="640"/>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本单位是非参公管理的事业单位，</w:t>
      </w:r>
      <w:r>
        <w:rPr>
          <w:rFonts w:hint="eastAsia" w:ascii="Times New Roman" w:hAnsi="Times New Roman" w:eastAsia="仿宋_GB2312"/>
          <w:sz w:val="32"/>
          <w:szCs w:val="32"/>
          <w:lang w:val="en-US" w:eastAsia="zh-CN"/>
        </w:rPr>
        <w:t>无机关运行经费支出。</w:t>
      </w:r>
      <w:r>
        <w:rPr>
          <w:rFonts w:hint="eastAsia" w:ascii="Times New Roman" w:hAnsi="Times New Roman" w:eastAsia="仿宋_GB2312"/>
          <w:sz w:val="32"/>
          <w:szCs w:val="32"/>
          <w:lang w:eastAsia="zh-CN"/>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lang w:eastAsia="zh-CN"/>
        </w:rPr>
        <w:t>年度机关运行经费支出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eastAsia="zh-CN"/>
        </w:rPr>
        <w:t>万元。</w:t>
      </w:r>
    </w:p>
    <w:p w14:paraId="6A5A581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eastAsia="zh-CN"/>
        </w:rPr>
      </w:pPr>
      <w:r>
        <w:rPr>
          <w:rFonts w:hint="eastAsia" w:hAnsi="黑体" w:cs="黑体"/>
          <w:b w:val="0"/>
          <w:bCs/>
          <w:sz w:val="32"/>
          <w:szCs w:val="32"/>
          <w:lang w:eastAsia="zh-CN"/>
        </w:rPr>
        <w:t>十一、一般性支出情况说明</w:t>
      </w:r>
    </w:p>
    <w:p w14:paraId="64A1256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FF0000"/>
          <w:kern w:val="0"/>
          <w:sz w:val="32"/>
          <w:szCs w:val="32"/>
          <w:highlight w:val="yellow"/>
          <w:lang w:val="en-US" w:eastAsia="zh-CN" w:bidi="ar-SA"/>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年本部门开支会议费</w:t>
      </w:r>
      <w:r>
        <w:rPr>
          <w:rFonts w:hint="eastAsia" w:ascii="Times New Roman" w:hAnsi="Times New Roman" w:eastAsia="仿宋_GB2312"/>
          <w:sz w:val="32"/>
          <w:szCs w:val="32"/>
          <w:highlight w:val="none"/>
          <w:lang w:val="en-US" w:eastAsia="zh-CN"/>
        </w:rPr>
        <w:t>0.2</w:t>
      </w:r>
      <w:r>
        <w:rPr>
          <w:rFonts w:hint="eastAsia" w:ascii="Times New Roman" w:hAnsi="Times New Roman" w:eastAsia="仿宋_GB2312"/>
          <w:sz w:val="32"/>
          <w:szCs w:val="32"/>
          <w:highlight w:val="none"/>
        </w:rPr>
        <w:t>万元，用于召开</w:t>
      </w:r>
      <w:r>
        <w:rPr>
          <w:rFonts w:hint="eastAsia" w:ascii="Times New Roman" w:hAnsi="Times New Roman" w:eastAsia="仿宋_GB2312"/>
          <w:sz w:val="32"/>
          <w:szCs w:val="32"/>
          <w:highlight w:val="none"/>
          <w:lang w:val="en-US" w:eastAsia="zh-CN"/>
        </w:rPr>
        <w:t>党员</w:t>
      </w:r>
      <w:r>
        <w:rPr>
          <w:rFonts w:hint="eastAsia" w:ascii="Times New Roman" w:hAnsi="Times New Roman" w:eastAsia="仿宋_GB2312"/>
          <w:sz w:val="32"/>
          <w:szCs w:val="32"/>
          <w:highlight w:val="none"/>
        </w:rPr>
        <w:t>会议，人数</w:t>
      </w:r>
      <w:r>
        <w:rPr>
          <w:rFonts w:hint="eastAsia" w:ascii="Times New Roman" w:hAnsi="Times New Roman" w:eastAsia="仿宋_GB2312"/>
          <w:sz w:val="32"/>
          <w:szCs w:val="32"/>
          <w:highlight w:val="none"/>
          <w:lang w:val="en-US" w:eastAsia="zh-CN"/>
        </w:rPr>
        <w:t>40</w:t>
      </w:r>
      <w:r>
        <w:rPr>
          <w:rFonts w:hint="eastAsia" w:ascii="Times New Roman" w:hAnsi="Times New Roman" w:eastAsia="仿宋_GB2312"/>
          <w:sz w:val="32"/>
          <w:szCs w:val="32"/>
          <w:highlight w:val="none"/>
        </w:rPr>
        <w:t>人</w:t>
      </w:r>
      <w:r>
        <w:rPr>
          <w:rFonts w:hint="eastAsia" w:ascii="Times New Roman" w:hAnsi="Times New Roman" w:eastAsia="仿宋_GB2312"/>
          <w:sz w:val="32"/>
          <w:szCs w:val="32"/>
          <w:highlight w:val="none"/>
          <w:lang w:val="en-US" w:eastAsia="zh-CN"/>
        </w:rPr>
        <w:t>次</w:t>
      </w:r>
      <w:r>
        <w:rPr>
          <w:rFonts w:hint="eastAsia" w:ascii="Times New Roman" w:hAnsi="Times New Roman" w:eastAsia="仿宋_GB2312"/>
          <w:sz w:val="32"/>
          <w:szCs w:val="32"/>
          <w:highlight w:val="none"/>
        </w:rPr>
        <w:t>，内容为</w:t>
      </w:r>
      <w:r>
        <w:rPr>
          <w:rFonts w:hint="eastAsia" w:ascii="Times New Roman" w:hAnsi="Times New Roman" w:eastAsia="仿宋_GB2312"/>
          <w:sz w:val="32"/>
          <w:szCs w:val="32"/>
          <w:highlight w:val="none"/>
          <w:lang w:val="en-US" w:eastAsia="zh-CN"/>
        </w:rPr>
        <w:t>迎“七一”建党庆祝大会及党员学习大会</w:t>
      </w:r>
      <w:r>
        <w:rPr>
          <w:rFonts w:hint="eastAsia" w:ascii="Times New Roman" w:hAnsi="Times New Roman" w:eastAsia="仿宋_GB2312"/>
          <w:sz w:val="32"/>
          <w:szCs w:val="32"/>
          <w:highlight w:val="none"/>
        </w:rPr>
        <w:t>；开支培训费</w:t>
      </w:r>
      <w:r>
        <w:rPr>
          <w:rFonts w:hint="eastAsia" w:ascii="Times New Roman" w:hAnsi="Times New Roman" w:eastAsia="仿宋_GB2312"/>
          <w:sz w:val="32"/>
          <w:szCs w:val="32"/>
          <w:highlight w:val="none"/>
          <w:lang w:val="en-US" w:eastAsia="zh-CN"/>
        </w:rPr>
        <w:t>1.22</w:t>
      </w:r>
      <w:r>
        <w:rPr>
          <w:rFonts w:hint="eastAsia" w:ascii="Times New Roman" w:hAnsi="Times New Roman" w:eastAsia="仿宋_GB2312"/>
          <w:sz w:val="32"/>
          <w:szCs w:val="32"/>
          <w:highlight w:val="none"/>
        </w:rPr>
        <w:t>万元，用于开展</w:t>
      </w:r>
      <w:r>
        <w:rPr>
          <w:rFonts w:hint="eastAsia" w:ascii="Times New Roman" w:hAnsi="Times New Roman" w:eastAsia="仿宋_GB2312"/>
          <w:sz w:val="32"/>
          <w:szCs w:val="32"/>
          <w:highlight w:val="none"/>
          <w:lang w:val="en-US" w:eastAsia="zh-CN"/>
        </w:rPr>
        <w:t>职工继续教育</w:t>
      </w:r>
      <w:r>
        <w:rPr>
          <w:rFonts w:hint="eastAsia" w:ascii="Times New Roman" w:hAnsi="Times New Roman" w:eastAsia="仿宋_GB2312"/>
          <w:sz w:val="32"/>
          <w:szCs w:val="32"/>
          <w:highlight w:val="none"/>
        </w:rPr>
        <w:t>培训，人数</w:t>
      </w:r>
      <w:r>
        <w:rPr>
          <w:rFonts w:hint="eastAsia" w:ascii="Times New Roman" w:hAnsi="Times New Roman" w:eastAsia="仿宋_GB2312"/>
          <w:sz w:val="32"/>
          <w:szCs w:val="32"/>
          <w:highlight w:val="none"/>
          <w:lang w:val="en-US" w:eastAsia="zh-CN"/>
        </w:rPr>
        <w:t>32</w:t>
      </w:r>
      <w:r>
        <w:rPr>
          <w:rFonts w:hint="eastAsia" w:ascii="Times New Roman" w:hAnsi="Times New Roman" w:eastAsia="仿宋_GB2312"/>
          <w:sz w:val="32"/>
          <w:szCs w:val="32"/>
          <w:highlight w:val="none"/>
        </w:rPr>
        <w:t>人，内容为</w:t>
      </w:r>
      <w:r>
        <w:rPr>
          <w:rFonts w:hint="eastAsia" w:ascii="Times New Roman" w:hAnsi="Times New Roman" w:eastAsia="仿宋_GB2312"/>
          <w:sz w:val="32"/>
          <w:szCs w:val="32"/>
          <w:highlight w:val="none"/>
          <w:lang w:val="en-US" w:eastAsia="zh-CN"/>
        </w:rPr>
        <w:t>每年度职工继续教育</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没</w:t>
      </w:r>
      <w:r>
        <w:rPr>
          <w:rFonts w:hint="eastAsia" w:ascii="Times New Roman" w:hAnsi="Times New Roman" w:eastAsia="仿宋_GB2312"/>
          <w:sz w:val="32"/>
          <w:szCs w:val="32"/>
          <w:highlight w:val="none"/>
        </w:rPr>
        <w:t>举办节庆、晚会、论坛、赛事活动，开支</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p>
    <w:p w14:paraId="661E25F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eastAsia="zh-CN"/>
        </w:rPr>
      </w:pPr>
      <w:r>
        <w:rPr>
          <w:rFonts w:hint="eastAsia" w:hAnsi="黑体" w:cs="黑体"/>
          <w:b w:val="0"/>
          <w:bCs/>
          <w:sz w:val="32"/>
          <w:szCs w:val="32"/>
          <w:lang w:eastAsia="zh-CN"/>
        </w:rPr>
        <w:t>十二、关于政府采购支出说明</w:t>
      </w:r>
    </w:p>
    <w:p w14:paraId="5E5B1362">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sz w:val="32"/>
          <w:szCs w:val="32"/>
          <w:highlight w:val="none"/>
        </w:rPr>
        <w:t>本部门202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年度政府采购支出总额</w:t>
      </w:r>
      <w:r>
        <w:rPr>
          <w:rFonts w:hint="eastAsia" w:ascii="Times New Roman" w:hAnsi="Times New Roman" w:eastAsia="仿宋_GB2312"/>
          <w:sz w:val="32"/>
          <w:szCs w:val="32"/>
          <w:highlight w:val="none"/>
          <w:lang w:val="en-US" w:eastAsia="zh-CN"/>
        </w:rPr>
        <w:t>126.99</w:t>
      </w:r>
      <w:r>
        <w:rPr>
          <w:rFonts w:hint="eastAsia" w:ascii="Times New Roman" w:hAnsi="Times New Roman" w:eastAsia="仿宋_GB2312"/>
          <w:sz w:val="32"/>
          <w:szCs w:val="32"/>
          <w:highlight w:val="none"/>
        </w:rPr>
        <w:t>万元，其中：政府采购货物支出</w:t>
      </w:r>
      <w:r>
        <w:rPr>
          <w:rFonts w:hint="eastAsia" w:ascii="Times New Roman" w:hAnsi="Times New Roman" w:eastAsia="仿宋_GB2312"/>
          <w:sz w:val="32"/>
          <w:szCs w:val="32"/>
          <w:highlight w:val="none"/>
          <w:lang w:val="en-US" w:eastAsia="zh-CN"/>
        </w:rPr>
        <w:t>3.48</w:t>
      </w:r>
      <w:r>
        <w:rPr>
          <w:rFonts w:hint="eastAsia" w:ascii="Times New Roman" w:hAnsi="Times New Roman" w:eastAsia="仿宋_GB2312"/>
          <w:sz w:val="32"/>
          <w:szCs w:val="32"/>
          <w:highlight w:val="none"/>
        </w:rPr>
        <w:t>万元、政府采购工程支出</w:t>
      </w:r>
      <w:r>
        <w:rPr>
          <w:rFonts w:hint="eastAsia" w:ascii="Times New Roman" w:hAnsi="Times New Roman" w:eastAsia="仿宋_GB2312"/>
          <w:sz w:val="32"/>
          <w:szCs w:val="32"/>
          <w:highlight w:val="none"/>
          <w:lang w:val="en-US" w:eastAsia="zh-CN"/>
        </w:rPr>
        <w:t>78.17</w:t>
      </w:r>
      <w:r>
        <w:rPr>
          <w:rFonts w:hint="eastAsia" w:ascii="Times New Roman" w:hAnsi="Times New Roman" w:eastAsia="仿宋_GB2312"/>
          <w:sz w:val="32"/>
          <w:szCs w:val="32"/>
          <w:highlight w:val="none"/>
        </w:rPr>
        <w:t>万元、政府采购服务支出</w:t>
      </w:r>
      <w:r>
        <w:rPr>
          <w:rFonts w:hint="eastAsia" w:ascii="Times New Roman" w:hAnsi="Times New Roman" w:eastAsia="仿宋_GB2312"/>
          <w:sz w:val="32"/>
          <w:szCs w:val="32"/>
          <w:highlight w:val="none"/>
          <w:lang w:val="en-US" w:eastAsia="zh-CN"/>
        </w:rPr>
        <w:t>45.34</w:t>
      </w:r>
      <w:r>
        <w:rPr>
          <w:rFonts w:hint="eastAsia" w:ascii="Times New Roman" w:hAnsi="Times New Roman" w:eastAsia="仿宋_GB2312"/>
          <w:sz w:val="32"/>
          <w:szCs w:val="32"/>
          <w:highlight w:val="none"/>
        </w:rPr>
        <w:t>万元。授予中小企业合同金额</w:t>
      </w:r>
      <w:r>
        <w:rPr>
          <w:rFonts w:hint="eastAsia" w:ascii="Times New Roman" w:hAnsi="Times New Roman" w:eastAsia="仿宋_GB2312"/>
          <w:sz w:val="32"/>
          <w:szCs w:val="32"/>
          <w:highlight w:val="none"/>
          <w:lang w:val="en-US" w:eastAsia="zh-CN"/>
        </w:rPr>
        <w:t>126.99</w:t>
      </w:r>
      <w:r>
        <w:rPr>
          <w:rFonts w:hint="eastAsia" w:ascii="Times New Roman" w:hAnsi="Times New Roman" w:eastAsia="仿宋_GB2312"/>
          <w:sz w:val="32"/>
          <w:szCs w:val="32"/>
          <w:highlight w:val="none"/>
        </w:rPr>
        <w:t>万元，占政府采购支出总额的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%，其中：授予小微企业合同金额</w:t>
      </w:r>
      <w:r>
        <w:rPr>
          <w:rFonts w:hint="eastAsia" w:ascii="Times New Roman" w:hAnsi="Times New Roman" w:eastAsia="仿宋_GB2312"/>
          <w:sz w:val="32"/>
          <w:szCs w:val="32"/>
          <w:highlight w:val="none"/>
          <w:lang w:val="en-US" w:eastAsia="zh-CN"/>
        </w:rPr>
        <w:t>3.48</w:t>
      </w:r>
      <w:r>
        <w:rPr>
          <w:rFonts w:hint="eastAsia" w:ascii="Times New Roman" w:hAnsi="Times New Roman" w:eastAsia="仿宋_GB2312"/>
          <w:sz w:val="32"/>
          <w:szCs w:val="32"/>
          <w:highlight w:val="none"/>
        </w:rPr>
        <w:t>万元，</w:t>
      </w:r>
      <w:r>
        <w:rPr>
          <w:rFonts w:hint="eastAsia" w:ascii="Times New Roman" w:hAnsi="Times New Roman" w:eastAsia="仿宋_GB2312"/>
          <w:color w:val="auto"/>
          <w:sz w:val="32"/>
          <w:szCs w:val="32"/>
          <w:highlight w:val="none"/>
        </w:rPr>
        <w:t>占</w:t>
      </w:r>
      <w:r>
        <w:rPr>
          <w:rFonts w:hint="eastAsia" w:ascii="Times New Roman" w:hAnsi="Times New Roman" w:eastAsia="仿宋_GB2312"/>
          <w:color w:val="auto"/>
          <w:sz w:val="32"/>
          <w:szCs w:val="32"/>
          <w:highlight w:val="none"/>
          <w:lang w:eastAsia="zh-CN"/>
        </w:rPr>
        <w:t>授予中小企业合同金额</w:t>
      </w:r>
      <w:r>
        <w:rPr>
          <w:rFonts w:hint="eastAsia" w:ascii="Times New Roman" w:hAnsi="Times New Roman" w:eastAsia="仿宋_GB2312"/>
          <w:color w:val="auto"/>
          <w:sz w:val="32"/>
          <w:szCs w:val="32"/>
          <w:highlight w:val="none"/>
        </w:rPr>
        <w:t>的</w:t>
      </w:r>
      <w:r>
        <w:rPr>
          <w:rFonts w:hint="eastAsia" w:ascii="Times New Roman" w:hAnsi="Times New Roman" w:eastAsia="仿宋_GB2312"/>
          <w:color w:val="auto"/>
          <w:sz w:val="32"/>
          <w:szCs w:val="32"/>
          <w:highlight w:val="none"/>
          <w:lang w:val="en-US" w:eastAsia="zh-CN"/>
        </w:rPr>
        <w:t>2.74</w:t>
      </w:r>
      <w:r>
        <w:rPr>
          <w:rFonts w:hint="eastAsia" w:ascii="Times New Roman" w:hAnsi="Times New Roman" w:eastAsia="仿宋_GB2312"/>
          <w:color w:val="auto"/>
          <w:sz w:val="32"/>
          <w:szCs w:val="32"/>
          <w:highlight w:val="none"/>
        </w:rPr>
        <w:t>%。货物采购授予中小企业合同金额占货物支出金额的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%，工程采购授予中小企业合同金额占工程支出金额的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%，服务采购授予中小企业合同金额占服务支出金额的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w:t>
      </w:r>
    </w:p>
    <w:p w14:paraId="78059DA0">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lang w:eastAsia="zh-CN"/>
        </w:rPr>
      </w:pPr>
      <w:r>
        <w:rPr>
          <w:rFonts w:hint="eastAsia" w:hAnsi="黑体" w:cs="黑体"/>
          <w:b w:val="0"/>
          <w:bCs/>
          <w:color w:val="auto"/>
          <w:sz w:val="32"/>
          <w:szCs w:val="32"/>
          <w:lang w:eastAsia="zh-CN"/>
        </w:rPr>
        <w:t>十三、关于国有资产占用情况说明</w:t>
      </w:r>
    </w:p>
    <w:p w14:paraId="21949DDD">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68EF8D79">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p>
    <w:p w14:paraId="6022E100">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lang w:eastAsia="zh-CN"/>
        </w:rPr>
      </w:pPr>
      <w:r>
        <w:rPr>
          <w:rFonts w:hint="eastAsia" w:hAnsi="黑体" w:cs="黑体"/>
          <w:b w:val="0"/>
          <w:bCs/>
          <w:color w:val="auto"/>
          <w:sz w:val="32"/>
          <w:szCs w:val="32"/>
          <w:lang w:eastAsia="zh-CN"/>
        </w:rPr>
        <w:t>十四、关于2023年度预算绩效情况的说明</w:t>
      </w:r>
    </w:p>
    <w:p w14:paraId="45368FE4">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119582AE">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960" w:firstLineChars="300"/>
        <w:jc w:val="left"/>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2023年，本单位根据预算绩效管理要求，在财政部门的指导下积极推进预算绩效管理工作，我单位以实现绩效目标为导向，以财政支出绩效评价为手段，提高财政资金使用效益，扎实有效推进了本单位的预算绩效管理工作，并取得了一定的成效。</w:t>
      </w:r>
    </w:p>
    <w:p w14:paraId="7673AC93">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p>
    <w:p w14:paraId="19A6A312">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319D6CA4">
      <w:pPr>
        <w:widowControl w:val="0"/>
        <w:autoSpaceDE w:val="0"/>
        <w:autoSpaceDN w:val="0"/>
        <w:adjustRightInd w:val="0"/>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楷体" w:hAnsi="楷体" w:eastAsia="楷体" w:cs="楷体"/>
          <w:b/>
          <w:bCs/>
          <w:sz w:val="32"/>
          <w:szCs w:val="32"/>
          <w:lang w:val="en-US" w:eastAsia="zh-CN"/>
        </w:rPr>
        <w:t xml:space="preserve"> </w:t>
      </w:r>
      <w:r>
        <w:rPr>
          <w:rFonts w:hint="eastAsia" w:ascii="Times New Roman" w:hAnsi="Times New Roman" w:eastAsia="仿宋_GB2312" w:cs="黑体"/>
          <w:color w:val="000000"/>
          <w:kern w:val="0"/>
          <w:sz w:val="32"/>
          <w:szCs w:val="32"/>
          <w:lang w:val="en-US" w:eastAsia="zh-CN" w:bidi="ar-SA"/>
        </w:rPr>
        <w:t>根据预算绩效管理要求，我单位组织开展了本年度整体支出绩效评价，涉及一般公共预算支出</w:t>
      </w:r>
      <w:r>
        <w:rPr>
          <w:rFonts w:hint="eastAsia" w:ascii="Times New Roman" w:hAnsi="Times New Roman" w:eastAsia="仿宋_GB2312"/>
          <w:sz w:val="32"/>
          <w:szCs w:val="32"/>
          <w:highlight w:val="none"/>
          <w:lang w:val="en-US" w:eastAsia="zh-CN"/>
        </w:rPr>
        <w:t>628.05</w:t>
      </w:r>
      <w:r>
        <w:rPr>
          <w:rFonts w:hint="eastAsia" w:ascii="Times New Roman" w:hAnsi="Times New Roman" w:eastAsia="仿宋_GB2312" w:cs="黑体"/>
          <w:color w:val="000000"/>
          <w:kern w:val="0"/>
          <w:sz w:val="32"/>
          <w:szCs w:val="32"/>
          <w:lang w:val="en-US" w:eastAsia="zh-CN" w:bidi="ar-SA"/>
        </w:rPr>
        <w:t>万元，政府性基金预算支出0万元。从评价情况来看，按照年初目标任务，加强排灌区5处泵站的水利设施和机电设备的保养及维护。通过日常维护和冬季大维修， 及时维修保养设备，保证设备正常运行。同时各泵站做好日常调度，联合运行按时完成各项指标任务，及时排涝抗旱，减少灾害损失，确保排灌区内农业生产，确保排灌区广大人民的生命财产安全。</w:t>
      </w:r>
    </w:p>
    <w:p w14:paraId="136CBC8D">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22CD5BB5">
      <w:pPr>
        <w:pStyle w:val="13"/>
        <w:keepNext w:val="0"/>
        <w:keepLines w:val="0"/>
        <w:pageBreakBefore w:val="0"/>
        <w:widowControl w:val="0"/>
        <w:numPr>
          <w:ilvl w:val="0"/>
          <w:numId w:val="0"/>
        </w:numPr>
        <w:kinsoku/>
        <w:wordWrap/>
        <w:overflowPunct/>
        <w:topLinePunct w:val="0"/>
        <w:autoSpaceDE w:val="0"/>
        <w:autoSpaceDN w:val="0"/>
        <w:bidi w:val="0"/>
        <w:adjustRightInd w:val="0"/>
        <w:snapToGrid/>
        <w:spacing w:line="580" w:lineRule="exact"/>
        <w:ind w:leftChars="200" w:firstLine="640" w:firstLineChars="200"/>
        <w:jc w:val="left"/>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本单位绩效管理工作还存在绩效目标编制不够全面，绩效指标量化不够，预算执行监控力度不强，在今后的工作中需要进一步加以改进和完善。需要进一步规范财务核算，加强预算执行情况的监管力度；绩效管理制度体系薄弱，需要进一步完善，推进制度落实。</w:t>
      </w:r>
    </w:p>
    <w:p w14:paraId="77247F7F">
      <w:pPr>
        <w:pStyle w:val="13"/>
        <w:jc w:val="both"/>
        <w:rPr>
          <w:sz w:val="72"/>
          <w:szCs w:val="72"/>
        </w:rPr>
      </w:pPr>
    </w:p>
    <w:p w14:paraId="7E7848C0">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第四部分</w:t>
      </w:r>
    </w:p>
    <w:p w14:paraId="3C51925C">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名词解释</w:t>
      </w:r>
    </w:p>
    <w:p w14:paraId="697CD697">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财政拨款收入：指本级财政当年拨付的资金。</w:t>
      </w:r>
    </w:p>
    <w:p w14:paraId="1B3C1249">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政府性基金预算财政拨款收入：指本级财政当年拨付的政府性基金预算资金。</w:t>
      </w:r>
    </w:p>
    <w:p w14:paraId="59D34A22">
      <w:pPr>
        <w:keepNext/>
        <w:keepLines/>
        <w:ind w:firstLine="64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其他收入：指除上述“财政拨款收入”、“上级补助收入”、“事业收入”、“经营收入”、“附属单位上缴收入”等以外的收入。</w:t>
      </w:r>
    </w:p>
    <w:p w14:paraId="0E701499">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上年结转和结余：指以前年度尚未完成、结转到本年按有关规定继续使用的资金。</w:t>
      </w:r>
    </w:p>
    <w:p w14:paraId="2D68477B">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年末结转和结余资金：指本年度或以前年度预算安排、因客观条件发生变化无法按原计划实施，需要延迟到以后年度按有关规定继续使用的资金。</w:t>
      </w:r>
    </w:p>
    <w:p w14:paraId="2217D043">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1608CEB9">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农林水支出（类）：是指用于农林水事务支出，包括保障机构正常运转、完成日常和特定的工作任务或事业发展目标的支出。</w:t>
      </w:r>
    </w:p>
    <w:p w14:paraId="2907FBD3">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城乡社区支出（类）：是指用于城乡社区事务支出，包括保障机构正常运转、完成日常和特定的工作任务或事业发展目标的支出。</w:t>
      </w:r>
    </w:p>
    <w:p w14:paraId="31CB6507">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粮油物资储备支出（类）：是指用于粮油物资储备方面的支出，包括保障机构正常运转、完成日常和特定的工作任务或事业发展目标的支出。</w:t>
      </w:r>
    </w:p>
    <w:p w14:paraId="5676C1F2">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其他支出（类）：是指用于反映除上述项目以外其他不能划分到具体功能科目中的支出项目，包括保障机构正常运转、完成日常和特定的工作任务或事业发展目标的支出。</w:t>
      </w:r>
    </w:p>
    <w:p w14:paraId="15660B70">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基本支出：指保障机构正常运转、完成支日常工作任务而发生的人员支出和公用支出。</w:t>
      </w:r>
    </w:p>
    <w:p w14:paraId="0B2D585C">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项目支出：指在基本支出之外为完成特定行政任务和事业发展目标所发生的支出。</w:t>
      </w:r>
    </w:p>
    <w:p w14:paraId="600BC59C">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三公”经费：指用财政拨款安排的因公出国（境）费、公务用车购置及运行费和公务接待费。其中，因公出国（境）费反映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58A0A085">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政府采购 ：是指国家各级政府为从事日常的政务活动或为了满足公共服务的目的，利用国家财政性资金和政府借款购买货物、工程和服务的行为。</w:t>
      </w:r>
    </w:p>
    <w:p w14:paraId="39F71EC4">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工资福利支出：反映单位开支的在职职工和编制外长期聘用人员的各类劳动报酬，以及为上述人员缴纳的各项社会保险费等。</w:t>
      </w:r>
    </w:p>
    <w:p w14:paraId="7FCC725B">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基本工资：反映按规定发放的基本工资，包括公务员的职务工资、级别工资；机关工人的岗位工资、技术等级工资；事业单位工作人员的岗位工资、薪级工资；各类学校毕业生试用期(见习期)工资、新参加工作工人学徒期、熟练期工资；军队（武警）军官、文职干部的职务（专业技术等级）工资、军衔（级别）工资、基础工资和军龄工资；军队士官的军衔等级工资、基础工资和军龄工资等。</w:t>
      </w:r>
    </w:p>
    <w:p w14:paraId="25851F0F">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津贴补贴：反映经国家批准建立的机关事业单位艰苦边远地区津贴、机关工作人员地区附加津贴、机关工作人员岗位津贴、事业单位工作人员特殊岗位津贴补贴等。</w:t>
      </w:r>
    </w:p>
    <w:p w14:paraId="09E48C55">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奖金：反映机关工作人员年终一次性奖金。</w:t>
      </w:r>
    </w:p>
    <w:p w14:paraId="3B0782E8">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伙食补助费：反映单位发给职工的伙食补助费，如误餐补助等。</w:t>
      </w:r>
    </w:p>
    <w:p w14:paraId="5F4FDF8D">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绩效工资：反映事业单位工作人员的绩效工资。</w:t>
      </w:r>
    </w:p>
    <w:p w14:paraId="31320E5A">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机关事业单位基本养老保险缴费：反映机关事业单位缴纳的基本养老保险费。由单位代扣的工作人员基本养老保险缴费，不在此科目反映。</w:t>
      </w:r>
    </w:p>
    <w:p w14:paraId="40DD90E3">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职工基本医疗保险缴费：反映单位为职工缴纳的基本医疗保险费。</w:t>
      </w:r>
    </w:p>
    <w:p w14:paraId="075D3846">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其他社会保障缴费：反映单位为职工缴纳的基本医疗、失业、工伤、生育等社会保险费，残疾人就业保障金，军队（含武警）为军人缴纳的伤亡、退役医疗等社会保险费。</w:t>
      </w:r>
    </w:p>
    <w:p w14:paraId="073DC78C">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住房公积金：反映行政事业单位按人力资源和社会保障部、财政部规定的基本工资和津贴补贴以及规定比例为职工缴纳的住房公积金。</w:t>
      </w:r>
    </w:p>
    <w:p w14:paraId="5C95F943">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其他工资福利支出：反映上述项目未包括的人员支出，如各种加班工资、病假两个月以上期间的人员工资、编制外长期聘用人员，公务员及参照和依照公务员制度管理的单位工作人员转入企业工作并按规定参加企业职工基本养老保险后给予的一次性补贴等。</w:t>
      </w:r>
    </w:p>
    <w:p w14:paraId="699A663D">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商品和服务支出：反映单位购买商品和服务的支出（不包括用于购置固定资产的支出、战略性和应急储备支出）。</w:t>
      </w:r>
    </w:p>
    <w:p w14:paraId="71FF3CEE">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办公费：反映单位购买按财务会计制度规定不符合固定资产确认标准的日常办公用品、书报杂志等支出。</w:t>
      </w:r>
    </w:p>
    <w:p w14:paraId="6200BA29">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印刷费：反映单位的印刷费支出。</w:t>
      </w:r>
    </w:p>
    <w:p w14:paraId="119DC2EC">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邮电费：反映单位开支的信函、包裹、货物等物品的邮寄费及电话费、电报费、传真费、网络通讯费等。</w:t>
      </w:r>
    </w:p>
    <w:p w14:paraId="17D415E4">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差旅费：反映单位工作人员出差发生的城市间交通费、住宿费、伙食补贴费和市内交通费。</w:t>
      </w:r>
    </w:p>
    <w:p w14:paraId="44F940BC">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维修(护)费：反映单位日常开支的固定资产（不包括车船等交通工具）修理和维护费用，网络信息系统运行与维护费用，以及按规定提取的修购基金。</w:t>
      </w:r>
    </w:p>
    <w:p w14:paraId="564DC543">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会议费：反映会议中按规定开支的住宿费、伙食费、会议室租金、交通费、文件印刷费、医药费等。</w:t>
      </w:r>
    </w:p>
    <w:p w14:paraId="302990F0">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培训费：反映除因公出国（境）培训费以外的各类培训支出。</w:t>
      </w:r>
    </w:p>
    <w:p w14:paraId="66C176AC">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公务接待费：反映单位按规定开支的各类公务接待（含外宾接待）费用。</w:t>
      </w:r>
    </w:p>
    <w:p w14:paraId="0C6F1A48">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专用材料费：反映单位购买日常专用材料的支出。具体包括药品及医疗耗材，农用材料，兽医用品，实验室用品，专用服装，消耗性体育用品，专用工具和仪器，艺术部门专用材料和用品，广播电视台发射台发射机的电力、材料等方面的支出。</w:t>
      </w:r>
    </w:p>
    <w:p w14:paraId="06EFC48F">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劳务费：反映支付给单位和个人的劳务费用，如临时聘用人员、钟点工工资，稿费、翻译费，评审费等。</w:t>
      </w:r>
    </w:p>
    <w:p w14:paraId="62F186DE">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工会经费：反映单位按规定提取的工会经费。</w:t>
      </w:r>
    </w:p>
    <w:p w14:paraId="240B43A8">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其他交通费用：反映单位除公务用车运行维护费以外的其他交通费用。如公务交通补贴，租车费用、出租车费用，飞机、船舶等的燃料费、维修费、保险费等。</w:t>
      </w:r>
    </w:p>
    <w:p w14:paraId="66D88CB9">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其他商品和服务支出：反映上述科目未包括的日常公用支出。如行政赔偿费和诉讼费、国内组织的会员费、来访费、广告宣传、其他劳务费及离休人员特需费、公用经费等。</w:t>
      </w:r>
    </w:p>
    <w:p w14:paraId="70D55FF4">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对个人和家庭的补助：反映政府用于对个人和家庭的补助支出。</w:t>
      </w:r>
    </w:p>
    <w:p w14:paraId="0A69AD9B">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抚恤金：反映按规定开支的烈士遗属、牺牲病故人员遗属的一次性和定期抚恤金，伤残人员的抚恤金，离退休人员等其他人员的各项抚恤金。</w:t>
      </w:r>
    </w:p>
    <w:p w14:paraId="379CB0E1">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奖励金：反映政府各部门的奖励支出，如对个体私营经济的奖励、计划生育目标责任奖励、独生子女父母奖励等。</w:t>
      </w:r>
    </w:p>
    <w:p w14:paraId="544DD06A">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其他对个人和家庭的补助支出：反映未包括在上述科目的对个人和家庭的补助支出，</w:t>
      </w:r>
    </w:p>
    <w:p w14:paraId="6E91718D">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办公设备购置：反映用于购置并按财务会计制度规定纳入固定资产核算范围的办公家具和办公设备的支出，以及按规定提取的修购基金。</w:t>
      </w:r>
    </w:p>
    <w:p w14:paraId="69E1642D">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 办公用房物业管理费、 公务用车运行维护费以及其他费用。</w:t>
      </w:r>
    </w:p>
    <w:p w14:paraId="0747DB12">
      <w:pPr>
        <w:pStyle w:val="13"/>
        <w:jc w:val="center"/>
        <w:rPr>
          <w:rFonts w:hint="eastAsia" w:ascii="方正小标宋_GBK" w:hAnsi="方正小标宋_GBK" w:eastAsia="方正小标宋_GBK" w:cs="方正小标宋_GBK"/>
          <w:sz w:val="48"/>
          <w:szCs w:val="48"/>
        </w:rPr>
      </w:pPr>
    </w:p>
    <w:p w14:paraId="58472F54">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w:t>
      </w:r>
      <w:r>
        <w:rPr>
          <w:rFonts w:hint="eastAsia" w:ascii="方正小标宋_GBK" w:hAnsi="方正小标宋_GBK" w:eastAsia="方正小标宋_GBK" w:cs="方正小标宋_GBK"/>
          <w:sz w:val="48"/>
          <w:szCs w:val="48"/>
          <w:lang w:eastAsia="zh-CN"/>
        </w:rPr>
        <w:t>五</w:t>
      </w:r>
      <w:r>
        <w:rPr>
          <w:rFonts w:hint="eastAsia" w:ascii="方正小标宋_GBK" w:hAnsi="方正小标宋_GBK" w:eastAsia="方正小标宋_GBK" w:cs="方正小标宋_GBK"/>
          <w:sz w:val="48"/>
          <w:szCs w:val="48"/>
        </w:rPr>
        <w:t>部分</w:t>
      </w:r>
    </w:p>
    <w:p w14:paraId="20CAC6BB">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lang w:eastAsia="zh-CN"/>
        </w:rPr>
        <w:t>附</w:t>
      </w:r>
      <w:r>
        <w:rPr>
          <w:rFonts w:hint="eastAsia" w:ascii="方正小标宋_GBK" w:hAnsi="方正小标宋_GBK" w:eastAsia="方正小标宋_GBK" w:cs="方正小标宋_GBK"/>
          <w:sz w:val="48"/>
          <w:szCs w:val="48"/>
          <w:lang w:val="en-US" w:eastAsia="zh-CN"/>
        </w:rPr>
        <w:t xml:space="preserve"> </w:t>
      </w:r>
      <w:r>
        <w:rPr>
          <w:rFonts w:hint="eastAsia" w:ascii="方正小标宋_GBK" w:hAnsi="方正小标宋_GBK" w:eastAsia="方正小标宋_GBK" w:cs="方正小标宋_GBK"/>
          <w:sz w:val="48"/>
          <w:szCs w:val="48"/>
          <w:lang w:eastAsia="zh-CN"/>
        </w:rPr>
        <w:t>件</w:t>
      </w:r>
    </w:p>
    <w:p w14:paraId="51890AA0">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Times New Roman" w:hAnsi="Times New Roman" w:eastAsia="仿宋_GB2312" w:cs="仿宋_GB2312"/>
          <w:bCs/>
          <w:kern w:val="0"/>
          <w:sz w:val="32"/>
          <w:szCs w:val="32"/>
          <w:lang w:val="en-US" w:eastAsia="zh-CN"/>
        </w:rPr>
        <w:t>华容县国营石山矶电排站</w:t>
      </w:r>
      <w:r>
        <w:rPr>
          <w:rFonts w:hint="eastAsia" w:ascii="Times New Roman" w:hAnsi="Times New Roman" w:eastAsia="仿宋_GB2312"/>
          <w:sz w:val="32"/>
          <w:szCs w:val="32"/>
          <w:lang w:val="en-US" w:eastAsia="zh-CN"/>
        </w:rPr>
        <w:t>2023年度部门决算公开表格</w:t>
      </w:r>
    </w:p>
    <w:p w14:paraId="142AD935">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eastAsia="zh-CN"/>
        </w:rPr>
        <w:t>二、</w:t>
      </w:r>
      <w:r>
        <w:rPr>
          <w:rFonts w:hint="eastAsia" w:ascii="Times New Roman" w:hAnsi="Times New Roman" w:eastAsia="仿宋_GB2312"/>
          <w:sz w:val="32"/>
          <w:szCs w:val="32"/>
          <w:lang w:val="en-US" w:eastAsia="zh-CN"/>
        </w:rPr>
        <w:t>2023年度</w:t>
      </w:r>
      <w:r>
        <w:rPr>
          <w:rFonts w:hint="eastAsia" w:ascii="Times New Roman" w:hAnsi="Times New Roman" w:eastAsia="仿宋_GB2312" w:cs="仿宋_GB2312"/>
          <w:bCs/>
          <w:kern w:val="0"/>
          <w:sz w:val="32"/>
          <w:szCs w:val="32"/>
          <w:lang w:val="en-US" w:eastAsia="zh-CN"/>
        </w:rPr>
        <w:t>华容县国营石山矶电排站</w:t>
      </w:r>
      <w:r>
        <w:rPr>
          <w:rFonts w:hint="eastAsia" w:ascii="Times New Roman" w:hAnsi="Times New Roman" w:eastAsia="仿宋_GB2312"/>
          <w:sz w:val="32"/>
          <w:szCs w:val="32"/>
          <w:lang w:val="en-US" w:eastAsia="zh-CN"/>
        </w:rPr>
        <w:t>整体支出绩效自评报告。</w:t>
      </w:r>
    </w:p>
    <w:p w14:paraId="1D69B426">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2A1AD4D9">
      <w:pPr>
        <w:pStyle w:val="13"/>
        <w:jc w:val="center"/>
        <w:rPr>
          <w:sz w:val="72"/>
          <w:szCs w:val="72"/>
        </w:rPr>
      </w:pPr>
    </w:p>
    <w:p w14:paraId="5DEA802A">
      <w:pPr>
        <w:pStyle w:val="13"/>
        <w:jc w:val="center"/>
        <w:rPr>
          <w:sz w:val="72"/>
          <w:szCs w:val="72"/>
        </w:rPr>
      </w:pPr>
    </w:p>
    <w:p w14:paraId="63B329A1">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xMTdkOWYyZjk4MTY2YjZlNzAyYTY0ODZmNjVmM2YifQ=="/>
    <w:docVar w:name="KSO_WPS_MARK_KEY" w:val="7a81dccc-1fea-492e-b29a-3017a7ac785e"/>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A65F0"/>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74192A"/>
    <w:rsid w:val="1158573E"/>
    <w:rsid w:val="1D97DEFF"/>
    <w:rsid w:val="1DFF72E5"/>
    <w:rsid w:val="1EFC6F07"/>
    <w:rsid w:val="24170DE9"/>
    <w:rsid w:val="2FDF85B8"/>
    <w:rsid w:val="2FFFEE04"/>
    <w:rsid w:val="33DE65C2"/>
    <w:rsid w:val="34DF85B0"/>
    <w:rsid w:val="3B8F36BC"/>
    <w:rsid w:val="4213164F"/>
    <w:rsid w:val="447A76B4"/>
    <w:rsid w:val="47E732D5"/>
    <w:rsid w:val="48513FB2"/>
    <w:rsid w:val="491FF225"/>
    <w:rsid w:val="4E395582"/>
    <w:rsid w:val="4FC20464"/>
    <w:rsid w:val="4FFD214C"/>
    <w:rsid w:val="56FF23A7"/>
    <w:rsid w:val="5777D4F5"/>
    <w:rsid w:val="589040A4"/>
    <w:rsid w:val="58C2257F"/>
    <w:rsid w:val="59DD8326"/>
    <w:rsid w:val="5C201A66"/>
    <w:rsid w:val="5DEF592A"/>
    <w:rsid w:val="5FC6BB1E"/>
    <w:rsid w:val="5FF720F1"/>
    <w:rsid w:val="61BE5876"/>
    <w:rsid w:val="67AF5D43"/>
    <w:rsid w:val="67FF5C0B"/>
    <w:rsid w:val="687C2AED"/>
    <w:rsid w:val="6D281506"/>
    <w:rsid w:val="6DE3687C"/>
    <w:rsid w:val="6EFC0924"/>
    <w:rsid w:val="6FB74722"/>
    <w:rsid w:val="6FEF8B7E"/>
    <w:rsid w:val="71A6591B"/>
    <w:rsid w:val="72037CF5"/>
    <w:rsid w:val="72F47EE7"/>
    <w:rsid w:val="737D59BA"/>
    <w:rsid w:val="77C37683"/>
    <w:rsid w:val="79FF515B"/>
    <w:rsid w:val="7C0D61A0"/>
    <w:rsid w:val="7CB65C1E"/>
    <w:rsid w:val="7E9E1962"/>
    <w:rsid w:val="7E9F11B4"/>
    <w:rsid w:val="7F37EC1E"/>
    <w:rsid w:val="7F7DCD9D"/>
    <w:rsid w:val="7F88341A"/>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widowControl/>
      <w:spacing w:after="120"/>
      <w:ind w:left="420" w:leftChars="200"/>
      <w:jc w:val="left"/>
    </w:pPr>
    <w:rPr>
      <w:rFonts w:ascii="宋体" w:hAnsi="宋体" w:eastAsia="宋体" w:cs="宋体"/>
      <w:kern w:val="0"/>
      <w:sz w:val="24"/>
    </w:rPr>
  </w:style>
  <w:style w:type="paragraph" w:styleId="4">
    <w:name w:val="annotation text"/>
    <w:basedOn w:val="1"/>
    <w:semiHidden/>
    <w:unhideWhenUsed/>
    <w:qFormat/>
    <w:uiPriority w:val="99"/>
    <w:pPr>
      <w:jc w:val="left"/>
    </w:p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2"/>
    <w:semiHidden/>
    <w:qFormat/>
    <w:uiPriority w:val="0"/>
    <w:pPr>
      <w:snapToGrid w:val="0"/>
      <w:jc w:val="left"/>
    </w:pPr>
    <w:rPr>
      <w:sz w:val="18"/>
      <w:szCs w:val="18"/>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15</Pages>
  <Words>6943</Words>
  <Characters>7341</Characters>
  <Lines>63</Lines>
  <Paragraphs>18</Paragraphs>
  <TotalTime>0</TotalTime>
  <ScaleCrop>false</ScaleCrop>
  <LinksUpToDate>false</LinksUpToDate>
  <CharactersWithSpaces>7364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cp:lastPrinted>2024-08-08T10:20:00Z</cp:lastPrinted>
  <dcterms:modified xsi:type="dcterms:W3CDTF">2025-12-16T12:59:09Z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EA488EF09E024D2A972FD637B1694D73</vt:lpwstr>
  </property>
  <property fmtid="{D5CDD505-2E9C-101B-9397-08002B2CF9AE}" pid="4" name="KSOTemplateDocerSaveRecord">
    <vt:lpwstr>eyJoZGlkIjoiYWNjNTk2OTRjYzEzNTI3Yzk4MDU3ZTg2ZjlhODM2NDAiLCJ1c2VySWQiOiIxNDkyNDM0OTU4In0=</vt:lpwstr>
  </property>
</Properties>
</file>