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AB8AE">
      <w:pPr>
        <w:pStyle w:val="16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202</w:t>
      </w: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年度</w:t>
      </w:r>
    </w:p>
    <w:p w14:paraId="065F9728">
      <w:pPr>
        <w:pStyle w:val="16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北汊水库</w:t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部门决算</w:t>
      </w:r>
    </w:p>
    <w:p w14:paraId="715178A9">
      <w:pPr>
        <w:pStyle w:val="16"/>
        <w:spacing w:line="500" w:lineRule="exact"/>
        <w:jc w:val="both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目录</w:t>
      </w:r>
    </w:p>
    <w:p w14:paraId="59489C2A">
      <w:pPr>
        <w:pStyle w:val="16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第一部分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hAnsi="黑体" w:cs="黑体"/>
          <w:b w:val="0"/>
          <w:bCs/>
          <w:sz w:val="28"/>
          <w:szCs w:val="28"/>
          <w:lang w:val="en-US" w:eastAsia="zh-CN"/>
        </w:rPr>
        <w:t>北汊水库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概况</w:t>
      </w:r>
    </w:p>
    <w:p w14:paraId="1CAEE6AF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一、部门职责</w:t>
      </w:r>
    </w:p>
    <w:p w14:paraId="7EC2D3B0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二、机构设置</w:t>
      </w:r>
    </w:p>
    <w:p w14:paraId="38A4E1B5">
      <w:pPr>
        <w:pStyle w:val="16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第二部分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部门决算表</w:t>
      </w:r>
    </w:p>
    <w:p w14:paraId="59C686C3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一、收入支出决算总表</w:t>
      </w:r>
    </w:p>
    <w:p w14:paraId="243E6696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二、收入决算表</w:t>
      </w:r>
    </w:p>
    <w:p w14:paraId="3DDDF5CA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三、支出决算表</w:t>
      </w:r>
    </w:p>
    <w:p w14:paraId="76EC9DA5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四、财政拨款收入支出决算总表</w:t>
      </w:r>
    </w:p>
    <w:p w14:paraId="6FE1534E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五、一般公共预算财政拨款支出决算表</w:t>
      </w:r>
    </w:p>
    <w:p w14:paraId="26DB8749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六、一般公共预算财政拨款基本支出决算明细表</w:t>
      </w:r>
    </w:p>
    <w:p w14:paraId="5D57B89C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七、政府性基金预算财政拨款收入支出决算表</w:t>
      </w:r>
    </w:p>
    <w:p w14:paraId="31FDDF8C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八、国有资本经营预算财政拨款支出决算表</w:t>
      </w:r>
    </w:p>
    <w:p w14:paraId="133DE2AA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九、财政拨款“三公”经费支出决算表</w:t>
      </w:r>
    </w:p>
    <w:p w14:paraId="57A3230C">
      <w:pPr>
        <w:pStyle w:val="16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第三部分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部门决算情况说明</w:t>
      </w:r>
    </w:p>
    <w:p w14:paraId="0531DA6A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一、收入支出决算总体情况说明</w:t>
      </w:r>
    </w:p>
    <w:p w14:paraId="730076B5">
      <w:pPr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二、收入决算情况说明</w:t>
      </w:r>
    </w:p>
    <w:p w14:paraId="20B513D3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三、支出决算情况说明</w:t>
      </w:r>
    </w:p>
    <w:p w14:paraId="32255139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四、财政拨款收入支出决算总体情况说明</w:t>
      </w:r>
    </w:p>
    <w:p w14:paraId="03FC4FD2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五、一般公共预算财政拨款支出决算情况说明</w:t>
      </w:r>
    </w:p>
    <w:p w14:paraId="17D4B7BA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六、一般公共预算财政拨款基本支出决算情况说明</w:t>
      </w:r>
    </w:p>
    <w:p w14:paraId="50686D41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七、财政拨款三公经费支出决算情况说明</w:t>
      </w:r>
    </w:p>
    <w:p w14:paraId="46FDC491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八、政府性基金预算收入支出决算情况</w:t>
      </w:r>
    </w:p>
    <w:p w14:paraId="5F47C1DF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九、国有资本经营预算财政拨款支出决算情况</w:t>
      </w:r>
    </w:p>
    <w:p w14:paraId="1322F8EB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十、关于机关运行经费支出说明</w:t>
      </w:r>
    </w:p>
    <w:p w14:paraId="661FB273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十一、一般性支出情况说明</w:t>
      </w:r>
    </w:p>
    <w:p w14:paraId="75CE1F47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十二、关于政府采购支出说明</w:t>
      </w:r>
    </w:p>
    <w:p w14:paraId="63E28F8B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十三、关于国有资产占用情况说明</w:t>
      </w:r>
    </w:p>
    <w:p w14:paraId="4E939A34">
      <w:pPr>
        <w:pStyle w:val="16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十四、关于2023年度预算绩效情况的说明</w:t>
      </w:r>
    </w:p>
    <w:p w14:paraId="7510989B">
      <w:pPr>
        <w:pStyle w:val="16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第四部分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名词解释</w:t>
      </w:r>
    </w:p>
    <w:p w14:paraId="46E02664">
      <w:pPr>
        <w:pStyle w:val="16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</w:t>
      </w:r>
      <w:r>
        <w:rPr>
          <w:rFonts w:hint="eastAsia" w:hAnsi="黑体" w:cs="黑体"/>
          <w:b w:val="0"/>
          <w:bCs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hAnsi="黑体" w:cs="黑体"/>
          <w:b w:val="0"/>
          <w:bCs/>
          <w:sz w:val="28"/>
          <w:szCs w:val="28"/>
          <w:lang w:eastAsia="zh-CN"/>
        </w:rPr>
        <w:t>附件</w:t>
      </w:r>
    </w:p>
    <w:p w14:paraId="43D9B65B">
      <w:pPr>
        <w:pStyle w:val="16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 w14:paraId="371D85AD">
      <w:pPr>
        <w:pStyle w:val="16"/>
        <w:jc w:val="center"/>
        <w:rPr>
          <w:rFonts w:hint="eastAsia"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 xml:space="preserve">第一部分 </w:t>
      </w:r>
    </w:p>
    <w:p w14:paraId="1CFB0DD1">
      <w:pPr>
        <w:pStyle w:val="16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  <w:lang w:val="en-US" w:eastAsia="zh-CN"/>
        </w:rPr>
        <w:t>北汊水库</w:t>
      </w: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概况</w:t>
      </w:r>
    </w:p>
    <w:p w14:paraId="58E0528D">
      <w:pPr>
        <w:pStyle w:val="17"/>
        <w:numPr>
          <w:ilvl w:val="0"/>
          <w:numId w:val="1"/>
        </w:numPr>
        <w:ind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部门职责</w:t>
      </w:r>
    </w:p>
    <w:p w14:paraId="0B1297FC">
      <w:pPr>
        <w:ind w:firstLine="800" w:firstLineChars="25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调蓄抗旱，减轻灾害损失。</w:t>
      </w:r>
    </w:p>
    <w:p w14:paraId="023365A9">
      <w:pPr>
        <w:ind w:firstLine="800" w:firstLineChars="250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1ED15CF2">
      <w:pPr>
        <w:widowControl/>
        <w:spacing w:line="600" w:lineRule="exact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二、机构设置及决算单位构成</w:t>
      </w:r>
    </w:p>
    <w:p w14:paraId="76D3B65E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（一）内设机构设置。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本单位隶属华容县水利局二级单位，当年无变动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是独立核算的事业单位。</w:t>
      </w:r>
    </w:p>
    <w:p w14:paraId="436A7395">
      <w:pPr>
        <w:widowControl/>
        <w:spacing w:line="600" w:lineRule="exact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</w:p>
    <w:p w14:paraId="4ED838DE">
      <w:pPr>
        <w:widowControl/>
        <w:spacing w:line="600" w:lineRule="exact"/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（二）决算单位构成。202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年部门决算公开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仅本单位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  <w:t>。</w:t>
      </w:r>
    </w:p>
    <w:p w14:paraId="62D2015A">
      <w:pPr>
        <w:jc w:val="left"/>
        <w:rPr>
          <w:rFonts w:ascii="仿宋_GB2312" w:eastAsia="仿宋_GB2312" w:hAnsiTheme="minorEastAsia"/>
          <w:sz w:val="28"/>
          <w:szCs w:val="32"/>
        </w:rPr>
      </w:pPr>
    </w:p>
    <w:p w14:paraId="159431AD">
      <w:pPr>
        <w:pStyle w:val="16"/>
        <w:jc w:val="center"/>
        <w:rPr>
          <w:rFonts w:hint="eastAsia"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第二部分</w:t>
      </w:r>
    </w:p>
    <w:p w14:paraId="241A0E40">
      <w:pPr>
        <w:pStyle w:val="16"/>
        <w:jc w:val="center"/>
        <w:rPr>
          <w:rFonts w:hint="eastAsia"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部门决算表</w:t>
      </w:r>
    </w:p>
    <w:p w14:paraId="1A94CDC0">
      <w:pPr>
        <w:pStyle w:val="16"/>
        <w:jc w:val="center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  <w:t>详见附件表格</w:t>
      </w:r>
    </w:p>
    <w:p w14:paraId="3007070F">
      <w:pPr>
        <w:pStyle w:val="16"/>
        <w:jc w:val="center"/>
        <w:rPr>
          <w:rFonts w:hint="eastAsia" w:ascii="方正小标宋_GBK" w:hAnsi="方正小标宋_GBK" w:eastAsia="方正小标宋_GBK" w:cs="方正小标宋_GBK"/>
          <w:sz w:val="48"/>
          <w:szCs w:val="48"/>
        </w:rPr>
      </w:pPr>
    </w:p>
    <w:p w14:paraId="431A68B2">
      <w:pPr>
        <w:pStyle w:val="16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第三部分</w:t>
      </w:r>
    </w:p>
    <w:p w14:paraId="3C09BEBD">
      <w:pPr>
        <w:pStyle w:val="16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年度部门决算情况说明</w:t>
      </w:r>
    </w:p>
    <w:p w14:paraId="6B237455">
      <w:pPr>
        <w:widowControl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一、收入支出决算总体情况说明</w:t>
      </w:r>
    </w:p>
    <w:p w14:paraId="3CDCEF4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入合计246.4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与上年相比减少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122.6</w:t>
      </w:r>
      <w:r>
        <w:rPr>
          <w:rFonts w:hint="eastAsia" w:ascii="Times New Roman" w:hAnsi="Times New Roman" w:eastAsia="仿宋_GB2312"/>
          <w:sz w:val="32"/>
          <w:szCs w:val="32"/>
        </w:rPr>
        <w:t>万元，减少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33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主要是因为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2023年局拨项目款减少。2023年支出合计281.08万元，与上年相比减少60.4万元，减少18%.主要是因为项目开支减少。</w:t>
      </w:r>
    </w:p>
    <w:p w14:paraId="43DAE66D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二、收入决算情况说明</w:t>
      </w:r>
    </w:p>
    <w:p w14:paraId="145426F1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年度收入合计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246.4</w:t>
      </w:r>
      <w:r>
        <w:rPr>
          <w:rFonts w:hint="eastAsia" w:ascii="Times New Roman" w:hAnsi="Times New Roman" w:eastAsia="仿宋_GB2312"/>
          <w:sz w:val="32"/>
          <w:szCs w:val="32"/>
        </w:rPr>
        <w:t>万元，其中：财政拨款收入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225.91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91.68</w:t>
      </w:r>
      <w:r>
        <w:rPr>
          <w:rFonts w:hint="eastAsia" w:ascii="Times New Roman" w:hAnsi="Times New Roman" w:eastAsia="仿宋_GB2312"/>
          <w:sz w:val="32"/>
          <w:szCs w:val="32"/>
        </w:rPr>
        <w:t>%；上级补助收入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%；事业收入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%；经营收入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%；附属单位上缴收入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%；其他收入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20.49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8.32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78BBC59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三、支出决算情况说明</w:t>
      </w:r>
    </w:p>
    <w:p w14:paraId="302F497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年度支出合计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281.08</w:t>
      </w:r>
      <w:r>
        <w:rPr>
          <w:rFonts w:hint="eastAsia" w:ascii="Times New Roman" w:hAnsi="Times New Roman" w:eastAsia="仿宋_GB2312"/>
          <w:sz w:val="32"/>
          <w:szCs w:val="32"/>
        </w:rPr>
        <w:t>万元，其中：基本支出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201.52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71.69</w:t>
      </w:r>
      <w:r>
        <w:rPr>
          <w:rFonts w:hint="eastAsia" w:ascii="Times New Roman" w:hAnsi="Times New Roman" w:eastAsia="仿宋_GB2312"/>
          <w:sz w:val="32"/>
          <w:szCs w:val="32"/>
        </w:rPr>
        <w:t>%；项目支出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79.56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28.31</w:t>
      </w:r>
      <w:r>
        <w:rPr>
          <w:rFonts w:hint="eastAsia" w:ascii="Times New Roman" w:hAnsi="Times New Roman" w:eastAsia="仿宋_GB2312"/>
          <w:sz w:val="32"/>
          <w:szCs w:val="32"/>
        </w:rPr>
        <w:t>%；上缴上级支出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%；经营支出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%；对附属单位补助支出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5D6F20B4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四、财政拨款收入支出决算总体情况说明</w:t>
      </w:r>
    </w:p>
    <w:p w14:paraId="759C899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入</w:t>
      </w:r>
      <w:r>
        <w:rPr>
          <w:rFonts w:hint="eastAsia" w:ascii="Times New Roman" w:hAnsi="Times New Roman" w:eastAsia="仿宋_GB2312"/>
          <w:sz w:val="32"/>
          <w:szCs w:val="32"/>
        </w:rPr>
        <w:t>总计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225.91</w:t>
      </w:r>
      <w:r>
        <w:rPr>
          <w:rFonts w:hint="eastAsia" w:ascii="Times New Roman" w:hAnsi="Times New Roman" w:eastAsia="仿宋_GB2312"/>
          <w:sz w:val="32"/>
          <w:szCs w:val="32"/>
        </w:rPr>
        <w:t>万元，与上年相比，增加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了2.9</w:t>
      </w:r>
      <w:r>
        <w:rPr>
          <w:rFonts w:hint="eastAsia" w:ascii="Times New Roman" w:hAnsi="Times New Roman" w:eastAsia="仿宋_GB2312"/>
          <w:sz w:val="32"/>
          <w:szCs w:val="32"/>
        </w:rPr>
        <w:t>万元,增长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了1.3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主要是因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为绩效预算增加了。</w:t>
      </w:r>
    </w:p>
    <w:p w14:paraId="4A6837D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五、一般公共预算财政拨款支出决算情况说明</w:t>
      </w:r>
    </w:p>
    <w:p w14:paraId="2950E324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（一）一般公共预算财政拨款支出决算总体情况</w:t>
      </w:r>
    </w:p>
    <w:p w14:paraId="3135B7C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225.91</w:t>
      </w:r>
      <w:r>
        <w:rPr>
          <w:rFonts w:hint="eastAsia" w:ascii="Times New Roman" w:hAnsi="Times New Roman" w:eastAsia="仿宋_GB2312"/>
          <w:sz w:val="32"/>
          <w:szCs w:val="32"/>
        </w:rPr>
        <w:t>万元，占本年支出合计的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80.37</w:t>
      </w:r>
      <w:r>
        <w:rPr>
          <w:rFonts w:hint="eastAsia" w:ascii="Times New Roman" w:hAnsi="Times New Roman" w:eastAsia="仿宋_GB2312"/>
          <w:sz w:val="32"/>
          <w:szCs w:val="32"/>
        </w:rPr>
        <w:t>%，与上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年相比，财政拨款支出增加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2.9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万元，增长</w:t>
      </w:r>
      <w:r>
        <w:rPr>
          <w:rFonts w:hint="eastAsia"/>
          <w:highlight w:val="none"/>
          <w:lang w:val="en-US" w:eastAsia="zh-CN"/>
        </w:rPr>
        <w:t>1.3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职工福利开支增加了。</w:t>
      </w:r>
    </w:p>
    <w:p w14:paraId="71EDCC7D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480" w:firstLineChars="15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（二）一般公共预算财政拨款支出决算结构情况</w:t>
      </w:r>
    </w:p>
    <w:p w14:paraId="51DE1C7A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225.91</w:t>
      </w:r>
      <w:r>
        <w:rPr>
          <w:rFonts w:hint="eastAsia" w:ascii="Times New Roman" w:hAnsi="Times New Roman" w:eastAsia="仿宋_GB2312"/>
          <w:sz w:val="32"/>
          <w:szCs w:val="32"/>
        </w:rPr>
        <w:t>万元，主要用于以下方面：一般公共服务（类）支出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225.91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%；教育（类）支出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%;</w:t>
      </w:r>
    </w:p>
    <w:p w14:paraId="261C885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（三）一般公共预算财政拨款支出决算具体情况</w:t>
      </w:r>
    </w:p>
    <w:p w14:paraId="5BCCD0D1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年初预算数为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196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</w:rPr>
        <w:t>，支出决算数为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225.91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115.26</w:t>
      </w:r>
      <w:r>
        <w:rPr>
          <w:rFonts w:hint="eastAsia" w:ascii="Times New Roman" w:hAnsi="Times New Roman" w:eastAsia="仿宋_GB2312"/>
          <w:sz w:val="32"/>
          <w:szCs w:val="32"/>
        </w:rPr>
        <w:t>%，其中：</w:t>
      </w:r>
    </w:p>
    <w:p w14:paraId="086E9C72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1、一般公共服务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基本支出类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2FCC68D7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189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218.91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115.83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%，决算数大于年初预算数的主要原因是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财政拨款增加，职工绩效福利开支增加等。</w:t>
      </w:r>
    </w:p>
    <w:p w14:paraId="0D667183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2、一般公共服务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项目类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6AB09EEE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.</w:t>
      </w:r>
    </w:p>
    <w:p w14:paraId="1DA2B183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六、一般公共预算财政拨款基本支出决算情况说明</w:t>
      </w:r>
    </w:p>
    <w:p w14:paraId="6147301D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195.91</w:t>
      </w:r>
      <w:r>
        <w:rPr>
          <w:rFonts w:hint="eastAsia" w:ascii="Times New Roman" w:hAnsi="Times New Roman" w:eastAsia="仿宋_GB2312"/>
          <w:sz w:val="32"/>
          <w:szCs w:val="32"/>
        </w:rPr>
        <w:t>万元，其中：</w:t>
      </w:r>
    </w:p>
    <w:p w14:paraId="73BAC492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人员经费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179.76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91.75</w:t>
      </w:r>
      <w:r>
        <w:rPr>
          <w:rFonts w:hint="eastAsia" w:ascii="Times New Roman" w:hAnsi="Times New Roman" w:eastAsia="仿宋_GB2312"/>
          <w:sz w:val="32"/>
          <w:szCs w:val="32"/>
        </w:rPr>
        <w:t>%,主要包括基本工资、津贴补贴、奖金、伙食补助费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绩效工资，机关事业单位基本养老保险费，职工基本医疗保险费，其他社会保障缴费，住房公积金，对个人和家庭的补助，抚恤金，其他对个人和家庭的补助。</w:t>
      </w:r>
    </w:p>
    <w:p w14:paraId="1D418ADD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公用经费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14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7.15</w:t>
      </w:r>
      <w:r>
        <w:rPr>
          <w:rFonts w:hint="eastAsia" w:ascii="Times New Roman" w:hAnsi="Times New Roman" w:eastAsia="仿宋_GB2312"/>
          <w:sz w:val="32"/>
          <w:szCs w:val="32"/>
        </w:rPr>
        <w:t>%，主要包括办公费、印刷费、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水费，电费，维修费，接待费，工会费及其他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0CF0DEC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七、财政拨款三公经费支出决算情况说明</w:t>
      </w:r>
    </w:p>
    <w:p w14:paraId="5863378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（一）“三公”经费财政拨款支出决算总体情况说明</w:t>
      </w:r>
    </w:p>
    <w:p w14:paraId="23281A2B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“三公”经费财政拨款支出预算为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1.64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54.6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%，决算数小于预算数的主要原因是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历行节约，精简行政开支。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与上年相比减少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0.14万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元，减少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8.02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%,减少</w:t>
      </w:r>
      <w:r>
        <w:rPr>
          <w:rFonts w:hint="eastAsia" w:ascii="Times New Roman" w:hAnsi="Times New Roman" w:eastAsia="仿宋_GB2312"/>
          <w:sz w:val="32"/>
          <w:szCs w:val="32"/>
        </w:rPr>
        <w:t>的主要原因是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节简开支</w:t>
      </w:r>
      <w:r>
        <w:rPr>
          <w:rFonts w:hint="eastAsia" w:ascii="Times New Roman" w:hAnsi="Times New Roman" w:eastAsia="仿宋_GB2312"/>
          <w:sz w:val="32"/>
          <w:szCs w:val="32"/>
        </w:rPr>
        <w:t>。其中：</w:t>
      </w:r>
    </w:p>
    <w:p w14:paraId="09BC2CAE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因公出国（境）费支出预算为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单位无此项开支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55253D9A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公务接待费支出预算为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1.64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54.6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%，决算数小于预算数的主要原因是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历行节约，精简行政开支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，与上年相比减少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8.02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%,减少的主要原</w:t>
      </w:r>
      <w:r>
        <w:rPr>
          <w:rFonts w:hint="eastAsia" w:ascii="Times New Roman" w:hAnsi="Times New Roman" w:eastAsia="仿宋_GB2312"/>
          <w:sz w:val="32"/>
          <w:szCs w:val="32"/>
        </w:rPr>
        <w:t>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节简开支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41415C2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公务用车购置费支出预算为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单位无此项预算和开支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4A95FA5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公务用车运行维护费支出预算为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单位无此项预算和开支。</w:t>
      </w:r>
    </w:p>
    <w:p w14:paraId="31FB2BB2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（二）“三公”经费财政拨款支出决算具体情况说明</w:t>
      </w:r>
    </w:p>
    <w:p w14:paraId="648AFDA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年度“三公”经费财政拨款支出决算中，公务接待费支出决算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1.64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%,因公出国（境）费支出决算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%,公务用车购置费及运行维护费支出决算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%。其中：</w:t>
      </w:r>
    </w:p>
    <w:p w14:paraId="723B6E3E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/>
          <w:sz w:val="32"/>
          <w:szCs w:val="32"/>
        </w:rPr>
        <w:t>因公出国（境）费支出决算为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万元，全年安排因公出国（境）团组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个，累计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人次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55CF095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/>
          <w:bCs/>
          <w:i/>
          <w:color w:val="auto"/>
          <w:sz w:val="32"/>
          <w:szCs w:val="32"/>
        </w:rPr>
      </w:pPr>
    </w:p>
    <w:p w14:paraId="48312724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sz w:val="32"/>
          <w:szCs w:val="32"/>
          <w:lang w:val="en-US"/>
        </w:rPr>
      </w:pPr>
      <w:r>
        <w:rPr>
          <w:rFonts w:hint="eastAsia" w:ascii="Times New Roman" w:hAnsi="Times New Roman" w:eastAsia="仿宋_GB2312"/>
          <w:sz w:val="32"/>
          <w:szCs w:val="32"/>
        </w:rPr>
        <w:t>2、公务接待费支出决算为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1.64</w:t>
      </w:r>
      <w:r>
        <w:rPr>
          <w:rFonts w:hint="eastAsia" w:ascii="Times New Roman" w:hAnsi="Times New Roman" w:eastAsia="仿宋_GB2312"/>
          <w:sz w:val="32"/>
          <w:szCs w:val="32"/>
        </w:rPr>
        <w:t>万元，全年共接待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仿宋_GB2312"/>
          <w:sz w:val="32"/>
          <w:szCs w:val="32"/>
        </w:rPr>
        <w:t>个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批次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接待180人次，主要是接待检查和安全生产。</w:t>
      </w:r>
    </w:p>
    <w:p w14:paraId="3D1D860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/>
          <w:bCs/>
          <w:i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</w:rPr>
        <w:t>3、公务用车购置费及运行维护费支出决算为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万元，其中：公务用车购置费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公务用车运行维护费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万元，截止202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年12月31日，我单位开支财政拨款的公务用车保有量为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辆。</w:t>
      </w:r>
    </w:p>
    <w:p w14:paraId="0F5BF53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八、政府性基金预算收入支出决算情况</w:t>
      </w:r>
    </w:p>
    <w:p w14:paraId="57A123DD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年度政府性基金预算财政拨款收入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万元；年初结转和结余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万元；支出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万元，其中基本支出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万元，项目支出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万元；年末结转和结余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万元。具体情况如下：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本单位2023年无政府性基金收之。</w:t>
      </w:r>
    </w:p>
    <w:p w14:paraId="781B2ED1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yellow"/>
        </w:rPr>
      </w:pPr>
    </w:p>
    <w:p w14:paraId="2D4F7E8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color w:val="FF0000"/>
          <w:sz w:val="32"/>
          <w:szCs w:val="32"/>
        </w:rPr>
      </w:pPr>
    </w:p>
    <w:p w14:paraId="34EDD8C1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lang w:eastAsia="zh-CN"/>
        </w:rPr>
        <w:t>九、国有资本经营预算财政拨款支出决算情况</w:t>
      </w:r>
    </w:p>
    <w:p w14:paraId="097EDD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2023年本单位没有使用国有资本经营预算安排的支出。</w:t>
      </w:r>
    </w:p>
    <w:p w14:paraId="451216DE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lang w:eastAsia="zh-CN"/>
        </w:rPr>
        <w:t>十、关于机关运行经费支出说明</w:t>
      </w:r>
    </w:p>
    <w:p w14:paraId="2A4DEC8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本单位属于事业单位，</w:t>
      </w:r>
      <w:r>
        <w:rPr>
          <w:rFonts w:hint="eastAsia" w:ascii="Times New Roman" w:hAnsi="Times New Roman" w:eastAsia="仿宋_GB2312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年度机关运行经费支出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6F4B023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hAnsi="黑体" w:cs="黑体"/>
          <w:b w:val="0"/>
          <w:bCs/>
          <w:sz w:val="32"/>
          <w:szCs w:val="32"/>
          <w:lang w:eastAsia="zh-CN"/>
        </w:rPr>
        <w:t>十一、一般性支出情况说明</w:t>
      </w:r>
    </w:p>
    <w:p w14:paraId="715BAEC1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i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年本部门开支会议费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付</w:t>
      </w:r>
      <w:r>
        <w:rPr>
          <w:rFonts w:hint="eastAsia" w:ascii="Times New Roman" w:hAnsi="Times New Roman" w:eastAsia="仿宋_GB2312"/>
          <w:sz w:val="32"/>
          <w:szCs w:val="32"/>
        </w:rPr>
        <w:t>培训费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1.12</w:t>
      </w:r>
      <w:r>
        <w:rPr>
          <w:rFonts w:hint="eastAsia" w:ascii="Times New Roman" w:hAnsi="Times New Roman" w:eastAsia="仿宋_GB2312"/>
          <w:sz w:val="32"/>
          <w:szCs w:val="32"/>
        </w:rPr>
        <w:t>万元，用于开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展职工继续教育</w:t>
      </w:r>
      <w:r>
        <w:rPr>
          <w:rFonts w:hint="eastAsia" w:ascii="Times New Roman" w:hAnsi="Times New Roman" w:eastAsia="仿宋_GB2312"/>
          <w:sz w:val="32"/>
          <w:szCs w:val="32"/>
        </w:rPr>
        <w:t>培训，人数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/>
          <w:sz w:val="32"/>
          <w:szCs w:val="32"/>
        </w:rPr>
        <w:t>人，内容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为职工继续教育培训。</w:t>
      </w:r>
    </w:p>
    <w:p w14:paraId="51CF9744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hAnsi="黑体" w:cs="黑体"/>
          <w:b w:val="0"/>
          <w:bCs/>
          <w:sz w:val="32"/>
          <w:szCs w:val="32"/>
          <w:lang w:eastAsia="zh-CN"/>
        </w:rPr>
        <w:t>十二、关于政府采购支出说明</w:t>
      </w:r>
    </w:p>
    <w:p w14:paraId="15CDE49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年度政府采购支出总额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82.83381</w:t>
      </w:r>
      <w:r>
        <w:rPr>
          <w:rFonts w:hint="eastAsia" w:ascii="Times New Roman" w:hAnsi="Times New Roman" w:eastAsia="仿宋_GB2312"/>
          <w:sz w:val="32"/>
          <w:szCs w:val="32"/>
        </w:rPr>
        <w:t>万元，其中：政府采购货物支出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0.67021</w:t>
      </w:r>
      <w:r>
        <w:rPr>
          <w:rFonts w:hint="eastAsia" w:ascii="Times New Roman" w:hAnsi="Times New Roman" w:eastAsia="仿宋_GB2312"/>
          <w:sz w:val="32"/>
          <w:szCs w:val="32"/>
        </w:rPr>
        <w:t>万元、政府采购工程支出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11.22</w:t>
      </w:r>
      <w:r>
        <w:rPr>
          <w:rFonts w:hint="eastAsia" w:ascii="Times New Roman" w:hAnsi="Times New Roman" w:eastAsia="仿宋_GB2312"/>
          <w:sz w:val="32"/>
          <w:szCs w:val="32"/>
        </w:rPr>
        <w:t>万元、政府采购服务支出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70.9436</w:t>
      </w:r>
      <w:r>
        <w:rPr>
          <w:rFonts w:hint="eastAsia" w:ascii="Times New Roman" w:hAnsi="Times New Roman" w:eastAsia="仿宋_GB2312"/>
          <w:sz w:val="32"/>
          <w:szCs w:val="32"/>
        </w:rPr>
        <w:t>万元。授予中小企业合同金额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82.83381</w:t>
      </w:r>
      <w:r>
        <w:rPr>
          <w:rFonts w:hint="eastAsia" w:ascii="Times New Roman" w:hAnsi="Times New Roman" w:eastAsia="仿宋_GB2312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%，其中：授予小微企业合同金额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71.61381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授予中小企业合同金额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%。货物采购授予中小企业合同金额占货物支出金额的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%，工程采购授予中小企业合同金额占工程支出金额的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%，服务采购授予中小企业合同金额占服务支出金额的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78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</w:t>
      </w:r>
    </w:p>
    <w:p w14:paraId="71A1CCF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十三、关于国有资产占用情况说明</w:t>
      </w:r>
    </w:p>
    <w:p w14:paraId="5B300B5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截至202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年12月31日，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部门（单位）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共有车辆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辆，其中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，副部（省）级及以上领导用车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主要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负责人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机要通信用车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辆、应急保障用车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辆、执法执勤用车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辆、特种专业技术用车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离退休干部服务用车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辆、其他用车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辆，位价值100万元以上设备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（不含车辆）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台（套）。</w:t>
      </w:r>
    </w:p>
    <w:p w14:paraId="6D00335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十四、关于2023年度预算绩效情况的说明</w:t>
      </w:r>
    </w:p>
    <w:p w14:paraId="61F5AA99">
      <w:pPr>
        <w:snapToGrid/>
        <w:spacing w:beforeLines="0" w:afterLines="0" w:line="520" w:lineRule="exact"/>
        <w:ind w:firstLine="640" w:firstLineChars="0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（一）绩效管理工作开展情况</w:t>
      </w:r>
    </w:p>
    <w:p w14:paraId="671144CF">
      <w:pPr>
        <w:snapToGrid/>
        <w:spacing w:beforeLines="0" w:afterLines="0" w:line="520" w:lineRule="exact"/>
        <w:ind w:firstLine="640" w:firstLineChars="0"/>
        <w:rPr>
          <w:rFonts w:hint="eastAsia" w:ascii="仿宋" w:hAnsi="仿宋" w:eastAsia="仿宋" w:cs="Times New Roman"/>
          <w:color w:val="auto"/>
          <w:sz w:val="32"/>
          <w:szCs w:val="24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今年，我们加大了对本</w:t>
      </w:r>
      <w:r>
        <w:rPr>
          <w:rFonts w:hint="eastAsia" w:ascii="仿宋" w:hAnsi="仿宋" w:eastAsia="仿宋" w:cs="Times New Roman"/>
          <w:color w:val="auto"/>
          <w:sz w:val="32"/>
          <w:szCs w:val="24"/>
          <w:lang w:eastAsia="zh-CN"/>
        </w:rPr>
        <w:t>单位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财务工作的管理力度，开展了会计法执行情况检查、内部控制基础性建设工作、资产清查、债务清理、三公经费使用情况自查等，为单位规范化管理起到了很好的作用。</w:t>
      </w:r>
    </w:p>
    <w:p w14:paraId="6E001EEC">
      <w:pPr>
        <w:spacing w:beforeLines="0" w:afterLines="0" w:line="520" w:lineRule="exact"/>
        <w:ind w:firstLine="640"/>
        <w:rPr>
          <w:rFonts w:hint="eastAsia" w:ascii="仿宋" w:hAnsi="仿宋" w:eastAsia="仿宋"/>
          <w:sz w:val="32"/>
          <w:lang w:val="en-US"/>
        </w:rPr>
      </w:pPr>
    </w:p>
    <w:p w14:paraId="4F6B758D">
      <w:pPr>
        <w:spacing w:beforeLines="0" w:afterLines="0" w:line="520" w:lineRule="exact"/>
        <w:ind w:firstLine="64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1.将决算数据的分析利用与预算编制相结合，促进预算编制更加科学合理；</w:t>
      </w:r>
    </w:p>
    <w:p w14:paraId="7F0846FD">
      <w:pPr>
        <w:spacing w:beforeLines="0" w:afterLines="0" w:line="520" w:lineRule="exact"/>
        <w:ind w:firstLine="64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2.将决算数据的分析利用与预算执行管理相结合，提升日常监督的针对性；</w:t>
      </w:r>
    </w:p>
    <w:p w14:paraId="777E9377">
      <w:pPr>
        <w:spacing w:beforeLines="0" w:afterLines="0" w:line="520" w:lineRule="exact"/>
        <w:ind w:firstLine="640"/>
        <w:rPr>
          <w:rFonts w:hint="eastAsia" w:ascii="仿宋" w:hAnsi="仿宋" w:eastAsia="仿宋" w:cs="Times New Roman"/>
          <w:sz w:val="32"/>
        </w:rPr>
      </w:pPr>
      <w:r>
        <w:rPr>
          <w:rFonts w:hint="eastAsia" w:ascii="仿宋" w:hAnsi="仿宋" w:eastAsia="仿宋"/>
          <w:sz w:val="32"/>
          <w:lang w:val="en-US" w:eastAsia="zh-CN"/>
        </w:rPr>
        <w:t>3.将决算数据的分析利用与加强预算单位财务管理相结合，进一步严肃各项财经纪律。</w:t>
      </w:r>
    </w:p>
    <w:p w14:paraId="17323FFF">
      <w:pPr>
        <w:spacing w:beforeLines="0" w:afterLines="0" w:line="520" w:lineRule="exact"/>
        <w:ind w:firstLine="640"/>
        <w:rPr>
          <w:rFonts w:hint="eastAsia" w:ascii="仿宋" w:hAnsi="仿宋" w:eastAsia="仿宋"/>
          <w:sz w:val="32"/>
          <w:lang w:val="en-US" w:eastAsia="zh-CN"/>
        </w:rPr>
      </w:pPr>
    </w:p>
    <w:p w14:paraId="6F77B7CD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1960A8AE">
      <w:pPr>
        <w:pStyle w:val="1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部门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（单位）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整体支出绩效情况</w:t>
      </w:r>
    </w:p>
    <w:p w14:paraId="615C9B56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北汊水库2023年职工工资福利绩效发放到位，一年来干部职工组织多次集中学习，培训了防汛值班队伍，进行了防汛应急预案的演练，确保了水库安全度汛。</w:t>
      </w:r>
    </w:p>
    <w:p w14:paraId="0BE693F4">
      <w:pPr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年初按照制定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重点工作目标任务，全力推行“工作项目化、项目清单化、清单责任化、责任节点化”，明确责任领导和责任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人员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，细化每月目标任务，做到每月通报进度、每季分析情况，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半年汇总，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有力推进了单位工作的开展。</w:t>
      </w:r>
    </w:p>
    <w:p w14:paraId="429D022F">
      <w:pPr>
        <w:ind w:firstLine="640" w:firstLineChars="200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1、加强理论武装，夯实思想基础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。</w:t>
      </w:r>
    </w:p>
    <w:p w14:paraId="5FA1F5DB">
      <w:pPr>
        <w:ind w:firstLine="640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、坚持全面从严，建设廉洁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支部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。</w:t>
      </w:r>
    </w:p>
    <w:p w14:paraId="2B3BD19C">
      <w:pPr>
        <w:numPr>
          <w:ilvl w:val="0"/>
          <w:numId w:val="3"/>
        </w:numPr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抓好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意识形态工作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，凝聚正能量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。</w:t>
      </w:r>
    </w:p>
    <w:p w14:paraId="7463F6E9">
      <w:pPr>
        <w:ind w:firstLine="640" w:firstLineChars="200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、踔厉奋发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持续跟进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水库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项目建设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。</w:t>
      </w:r>
    </w:p>
    <w:p w14:paraId="318A6068"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实干笃行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办好民生实事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。</w:t>
      </w:r>
    </w:p>
    <w:p w14:paraId="557C74A0">
      <w:pPr>
        <w:ind w:firstLine="640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多举多措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守好安全生产底线。</w:t>
      </w:r>
    </w:p>
    <w:p w14:paraId="63ED0A9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color w:val="FF0000"/>
          <w:sz w:val="32"/>
          <w:szCs w:val="32"/>
        </w:rPr>
      </w:pPr>
    </w:p>
    <w:p w14:paraId="21B7DD3C">
      <w:pPr>
        <w:pStyle w:val="16"/>
        <w:keepNext w:val="0"/>
        <w:keepLines w:val="0"/>
        <w:pageBreakBefore w:val="0"/>
        <w:widowControl w:val="0"/>
        <w:tabs>
          <w:tab w:val="left" w:pos="155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color w:val="FF0000"/>
          <w:sz w:val="32"/>
          <w:szCs w:val="32"/>
          <w:lang w:eastAsia="zh-CN"/>
        </w:rPr>
      </w:pPr>
    </w:p>
    <w:p w14:paraId="3BF6DB8C">
      <w:pPr>
        <w:pStyle w:val="1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存在的问题及原因分析</w:t>
      </w:r>
    </w:p>
    <w:p w14:paraId="08D7CE0D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</w:p>
    <w:p w14:paraId="3636B16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1.进一步规范财务核算，加强预算执行情况的监管力度。</w:t>
      </w:r>
    </w:p>
    <w:p w14:paraId="2EAFC2B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2.加强学习，提高职工的业务水平。</w:t>
      </w:r>
    </w:p>
    <w:p w14:paraId="112EE2E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3.进一步完善绩效管理体系，推进制度落实。</w:t>
      </w:r>
    </w:p>
    <w:p w14:paraId="0366700E">
      <w:pPr>
        <w:pStyle w:val="16"/>
        <w:jc w:val="both"/>
        <w:rPr>
          <w:sz w:val="72"/>
          <w:szCs w:val="72"/>
        </w:rPr>
      </w:pPr>
    </w:p>
    <w:p w14:paraId="7B75273C">
      <w:pPr>
        <w:pStyle w:val="16"/>
        <w:jc w:val="center"/>
        <w:rPr>
          <w:rFonts w:hint="eastAsia"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第四部分</w:t>
      </w:r>
    </w:p>
    <w:p w14:paraId="10AE161D">
      <w:pPr>
        <w:pStyle w:val="16"/>
        <w:jc w:val="center"/>
        <w:rPr>
          <w:rFonts w:hint="eastAsia"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名词解释</w:t>
      </w:r>
    </w:p>
    <w:p w14:paraId="7F39839A">
      <w:pPr>
        <w:snapToGrid w:val="0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1.支出增长率，衡量行政单位支出的增长水平。计算公式为：</w:t>
      </w:r>
    </w:p>
    <w:p w14:paraId="4E38F369">
      <w:pPr>
        <w:snapToGrid w:val="0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支出增长率＝(本期支出总额÷上期支出总额-1)×100%</w:t>
      </w:r>
    </w:p>
    <w:p w14:paraId="0F2C4EA6">
      <w:pPr>
        <w:snapToGrid w:val="0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2.当年预算支出完成率，衡量行政单位当年支出总预算及分项预算完成的程度。计算公式为：</w:t>
      </w:r>
    </w:p>
    <w:p w14:paraId="3F20364F">
      <w:pPr>
        <w:snapToGrid w:val="0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当年预算支出完成率＝年终执行数÷全年预算数×100%</w:t>
      </w:r>
    </w:p>
    <w:p w14:paraId="3957FF12">
      <w:pPr>
        <w:snapToGrid w:val="0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年终执行数不含上年结转和结余支出数。</w:t>
      </w:r>
    </w:p>
    <w:p w14:paraId="683BE63F">
      <w:pPr>
        <w:snapToGrid w:val="0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3.人均开支，衡量行政单位人均年消耗经费水平。计算公式为：</w:t>
      </w:r>
    </w:p>
    <w:p w14:paraId="47A1189C">
      <w:pPr>
        <w:snapToGrid w:val="0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人均开支＝本期支出数÷本期平均在职人员数×100%</w:t>
      </w:r>
    </w:p>
    <w:p w14:paraId="3F85B135">
      <w:pPr>
        <w:snapToGrid w:val="0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4.项目支出占总支出的比率，衡量行政单位的支出结构。计算公式为：</w:t>
      </w:r>
    </w:p>
    <w:p w14:paraId="0D86CAF7">
      <w:pPr>
        <w:snapToGrid w:val="0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项目支出比率=本期项目支出数÷本期支出总数×100%</w:t>
      </w:r>
    </w:p>
    <w:p w14:paraId="327612E5">
      <w:pPr>
        <w:widowControl/>
        <w:ind w:firstLine="640" w:firstLineChars="200"/>
        <w:jc w:val="left"/>
        <w:rPr>
          <w:rFonts w:hint="default" w:cs="黑体" w:asciiTheme="minorEastAsia" w:hAnsiTheme="minorEastAsia" w:eastAsiaTheme="minorEastAsia"/>
          <w:color w:val="000000"/>
          <w:kern w:val="0"/>
          <w:sz w:val="32"/>
          <w:szCs w:val="32"/>
          <w:lang w:val="en-US" w:eastAsia="zh-CN" w:bidi="ar-SA"/>
        </w:rPr>
      </w:pPr>
    </w:p>
    <w:p w14:paraId="210CFCDB">
      <w:pPr>
        <w:pStyle w:val="16"/>
        <w:jc w:val="center"/>
        <w:rPr>
          <w:rFonts w:hint="eastAsia"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第</w:t>
      </w:r>
      <w:r>
        <w:rPr>
          <w:rFonts w:hint="eastAsia" w:ascii="方正小标宋_GBK" w:hAnsi="方正小标宋_GBK" w:eastAsia="方正小标宋_GBK" w:cs="方正小标宋_GBK"/>
          <w:sz w:val="48"/>
          <w:szCs w:val="48"/>
          <w:lang w:eastAsia="zh-CN"/>
        </w:rPr>
        <w:t>五</w:t>
      </w: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部分</w:t>
      </w:r>
    </w:p>
    <w:p w14:paraId="7D548DAD">
      <w:pPr>
        <w:pStyle w:val="16"/>
        <w:jc w:val="center"/>
        <w:rPr>
          <w:rFonts w:hint="eastAsia"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  <w:lang w:eastAsia="zh-CN"/>
        </w:rPr>
        <w:t>附</w:t>
      </w:r>
      <w:r>
        <w:rPr>
          <w:rFonts w:hint="eastAsia" w:ascii="方正小标宋_GBK" w:hAnsi="方正小标宋_GBK" w:eastAsia="方正小标宋_GBK" w:cs="方正小标宋_GBK"/>
          <w:sz w:val="48"/>
          <w:szCs w:val="48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8"/>
          <w:szCs w:val="48"/>
          <w:lang w:eastAsia="zh-CN"/>
        </w:rPr>
        <w:t>件</w:t>
      </w:r>
    </w:p>
    <w:p w14:paraId="57B4468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一、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华容县部门（单位）2023年度部门决算公开表格</w:t>
      </w:r>
    </w:p>
    <w:p w14:paraId="47F20D9A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2023年度部门(单位)整体支出绩效自评报告。</w:t>
      </w:r>
    </w:p>
    <w:p w14:paraId="6937439F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bookmarkStart w:id="0" w:name="_GoBack"/>
      <w:bookmarkEnd w:id="0"/>
    </w:p>
    <w:p w14:paraId="4300F3EC">
      <w:pPr>
        <w:pStyle w:val="16"/>
        <w:jc w:val="center"/>
        <w:rPr>
          <w:sz w:val="72"/>
          <w:szCs w:val="72"/>
        </w:rPr>
      </w:pPr>
    </w:p>
    <w:p w14:paraId="0580B5BB">
      <w:pPr>
        <w:pStyle w:val="16"/>
        <w:jc w:val="center"/>
        <w:rPr>
          <w:sz w:val="72"/>
          <w:szCs w:val="72"/>
        </w:rPr>
      </w:pPr>
    </w:p>
    <w:p w14:paraId="1A9C1772">
      <w:pPr>
        <w:jc w:val="left"/>
        <w:rPr>
          <w:rFonts w:cs="黑体" w:asciiTheme="minorEastAsia" w:hAnsiTheme="minorEastAsia"/>
          <w:color w:val="000000"/>
          <w:kern w:val="0"/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BE2A7"/>
    <w:multiLevelType w:val="singleLevel"/>
    <w:tmpl w:val="DBFBE2A7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373518C1"/>
    <w:multiLevelType w:val="multilevel"/>
    <w:tmpl w:val="373518C1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93E578"/>
    <w:multiLevelType w:val="singleLevel"/>
    <w:tmpl w:val="4893E57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  <w:docVar w:name="KSO_WPS_MARK_KEY" w:val="7a81dccc-1fea-492e-b29a-3017a7ac785e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A341BD8"/>
    <w:rsid w:val="195650B8"/>
    <w:rsid w:val="1B9019AB"/>
    <w:rsid w:val="1D97DEFF"/>
    <w:rsid w:val="1DFF72E5"/>
    <w:rsid w:val="1EFC6F07"/>
    <w:rsid w:val="203F794F"/>
    <w:rsid w:val="22107C6A"/>
    <w:rsid w:val="2E8C5F2F"/>
    <w:rsid w:val="2FDF85B8"/>
    <w:rsid w:val="2FFFEE04"/>
    <w:rsid w:val="34DF85B0"/>
    <w:rsid w:val="3B8F36BC"/>
    <w:rsid w:val="3F1613CE"/>
    <w:rsid w:val="48362CCA"/>
    <w:rsid w:val="491FF225"/>
    <w:rsid w:val="4E395582"/>
    <w:rsid w:val="4FFD214C"/>
    <w:rsid w:val="50DF1E38"/>
    <w:rsid w:val="548445B3"/>
    <w:rsid w:val="5777D4F5"/>
    <w:rsid w:val="583B5136"/>
    <w:rsid w:val="59DD8326"/>
    <w:rsid w:val="5DEF592A"/>
    <w:rsid w:val="5FC6BB1E"/>
    <w:rsid w:val="5FF720F1"/>
    <w:rsid w:val="651C45CD"/>
    <w:rsid w:val="67AF5D43"/>
    <w:rsid w:val="67FF5C0B"/>
    <w:rsid w:val="6D281506"/>
    <w:rsid w:val="6E740B5A"/>
    <w:rsid w:val="6EFC0924"/>
    <w:rsid w:val="6FB74722"/>
    <w:rsid w:val="6FEF8B7E"/>
    <w:rsid w:val="71A6591B"/>
    <w:rsid w:val="737D59BA"/>
    <w:rsid w:val="77C37683"/>
    <w:rsid w:val="78E01A1D"/>
    <w:rsid w:val="79FF515B"/>
    <w:rsid w:val="7D3F393D"/>
    <w:rsid w:val="7E9E1962"/>
    <w:rsid w:val="7E9F11B4"/>
    <w:rsid w:val="7F37EC1E"/>
    <w:rsid w:val="7F7DCD9D"/>
    <w:rsid w:val="7F970A6F"/>
    <w:rsid w:val="7FC1FFF3"/>
    <w:rsid w:val="7FC69637"/>
    <w:rsid w:val="7FDF8620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next w:val="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">
    <w:name w:val="正文首行缩进1"/>
    <w:basedOn w:val="1"/>
    <w:qFormat/>
    <w:uiPriority w:val="0"/>
    <w:pPr>
      <w:spacing w:after="120"/>
      <w:ind w:firstLine="100" w:firstLineChars="100"/>
    </w:pPr>
  </w:style>
  <w:style w:type="paragraph" w:styleId="5">
    <w:name w:val="Body Text Indent"/>
    <w:basedOn w:val="1"/>
    <w:next w:val="6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6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paragraph" w:styleId="7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next w:val="6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11">
    <w:name w:val="Body Text First Indent"/>
    <w:basedOn w:val="3"/>
    <w:next w:val="1"/>
    <w:qFormat/>
    <w:uiPriority w:val="0"/>
    <w:pPr>
      <w:adjustRightInd w:val="0"/>
      <w:snapToGrid w:val="0"/>
      <w:spacing w:after="0" w:line="360" w:lineRule="auto"/>
      <w:ind w:firstLine="100" w:firstLineChars="100"/>
    </w:pPr>
    <w:rPr>
      <w:rFonts w:eastAsia="宋体"/>
      <w:sz w:val="28"/>
      <w:szCs w:val="20"/>
    </w:rPr>
  </w:style>
  <w:style w:type="character" w:customStyle="1" w:styleId="14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8"/>
    <w:qFormat/>
    <w:uiPriority w:val="99"/>
    <w:rPr>
      <w:sz w:val="18"/>
      <w:szCs w:val="18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19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3689</Words>
  <Characters>4076</Characters>
  <Lines>63</Lines>
  <Paragraphs>18</Paragraphs>
  <TotalTime>0</TotalTime>
  <ScaleCrop>false</ScaleCrop>
  <LinksUpToDate>false</LinksUpToDate>
  <CharactersWithSpaces>4092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2020-07-08T02:32:00Z</dcterms:created>
  <dc:creator>李航 null</dc:creator>
  <cp:lastModifiedBy>李天乐</cp:lastModifiedBy>
  <cp:lastPrinted>2024-08-08T10:20:00Z</cp:lastPrinted>
  <dcterms:modified xsi:type="dcterms:W3CDTF">2025-12-16T12:52:29Z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D2218ED0463D49EAAFF7A8F75F253BB9_13</vt:lpwstr>
  </property>
  <property fmtid="{D5CDD505-2E9C-101B-9397-08002B2CF9AE}" pid="4" name="KSOTemplateDocerSaveRecord">
    <vt:lpwstr>eyJoZGlkIjoiYWNjNTk2OTRjYzEzNTI3Yzk4MDU3ZTg2ZjlhODM2NDAiLCJ1c2VySWQiOiIxNDkyNDM0OTU4In0=</vt:lpwstr>
  </property>
</Properties>
</file>