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EEECE1" w:themeColor="background2"/>
  <w:body>
    <w:p w14:paraId="6BA2E64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rPr>
        <w:t>202</w:t>
      </w:r>
      <w:r>
        <w:rPr>
          <w:rFonts w:hint="eastAsia" w:ascii="方正小标宋_GBK" w:hAnsi="方正小标宋_GBK" w:eastAsia="方正小标宋_GBK" w:cs="方正小标宋_GBK"/>
          <w:sz w:val="84"/>
          <w:szCs w:val="84"/>
          <w:lang w:val="en-US" w:eastAsia="zh-CN"/>
        </w:rPr>
        <w:t>3</w:t>
      </w:r>
      <w:r>
        <w:rPr>
          <w:rFonts w:hint="eastAsia" w:ascii="方正小标宋_GBK" w:hAnsi="方正小标宋_GBK" w:eastAsia="方正小标宋_GBK" w:cs="方正小标宋_GBK"/>
          <w:sz w:val="84"/>
          <w:szCs w:val="84"/>
        </w:rPr>
        <w:t>年度</w:t>
      </w:r>
    </w:p>
    <w:p w14:paraId="3E85B691">
      <w:pPr>
        <w:pStyle w:val="13"/>
        <w:jc w:val="center"/>
        <w:rPr>
          <w:rFonts w:hint="eastAsia" w:ascii="方正小标宋_GBK" w:hAnsi="方正小标宋_GBK" w:eastAsia="方正小标宋_GBK" w:cs="方正小标宋_GBK"/>
          <w:sz w:val="84"/>
          <w:szCs w:val="84"/>
        </w:rPr>
      </w:pPr>
      <w:r>
        <w:rPr>
          <w:rFonts w:hint="eastAsia" w:ascii="方正小标宋_GBK" w:hAnsi="方正小标宋_GBK" w:eastAsia="方正小标宋_GBK" w:cs="方正小标宋_GBK"/>
          <w:sz w:val="84"/>
          <w:szCs w:val="84"/>
          <w:lang w:val="en-US" w:eastAsia="zh-CN"/>
        </w:rPr>
        <w:t>华容县长江洞庭湖水利事务中心</w:t>
      </w:r>
      <w:r>
        <w:rPr>
          <w:rFonts w:hint="eastAsia" w:ascii="方正小标宋_GBK" w:hAnsi="方正小标宋_GBK" w:eastAsia="方正小标宋_GBK" w:cs="方正小标宋_GBK"/>
          <w:sz w:val="84"/>
          <w:szCs w:val="84"/>
        </w:rPr>
        <w:t>部门决算</w:t>
      </w:r>
    </w:p>
    <w:p w14:paraId="2E15E088">
      <w:pPr>
        <w:pStyle w:val="13"/>
        <w:spacing w:line="500" w:lineRule="exact"/>
        <w:jc w:val="both"/>
        <w:rPr>
          <w:b/>
          <w:sz w:val="36"/>
          <w:szCs w:val="28"/>
        </w:rPr>
      </w:pPr>
    </w:p>
    <w:p w14:paraId="4A7A36B8">
      <w:pPr>
        <w:pStyle w:val="13"/>
        <w:spacing w:line="500" w:lineRule="exact"/>
        <w:jc w:val="center"/>
        <w:rPr>
          <w:b/>
          <w:sz w:val="36"/>
          <w:szCs w:val="28"/>
        </w:rPr>
      </w:pPr>
      <w:r>
        <w:rPr>
          <w:rFonts w:hint="eastAsia"/>
          <w:b/>
          <w:sz w:val="36"/>
          <w:szCs w:val="28"/>
        </w:rPr>
        <w:t>目录</w:t>
      </w:r>
    </w:p>
    <w:p w14:paraId="67341C50">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第一部分</w:t>
      </w:r>
      <w:r>
        <w:rPr>
          <w:rFonts w:hint="eastAsia" w:ascii="仿宋_GB2312" w:hAnsi="仿宋_GB2312" w:eastAsia="仿宋_GB2312" w:cs="仿宋_GB2312"/>
          <w:sz w:val="28"/>
          <w:szCs w:val="28"/>
          <w:lang w:val="en-US" w:eastAsia="zh-CN"/>
        </w:rPr>
        <w:t xml:space="preserve"> 华容县长江洞庭湖水利事务中心</w:t>
      </w:r>
      <w:r>
        <w:rPr>
          <w:rFonts w:hint="eastAsia" w:ascii="仿宋_GB2312" w:hAnsi="仿宋_GB2312" w:eastAsia="仿宋_GB2312" w:cs="仿宋_GB2312"/>
          <w:sz w:val="28"/>
          <w:szCs w:val="28"/>
        </w:rPr>
        <w:t>概况</w:t>
      </w:r>
    </w:p>
    <w:p w14:paraId="6AE1B659">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一、部门职责</w:t>
      </w:r>
    </w:p>
    <w:p w14:paraId="2A6BE37E">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二、机构设置</w:t>
      </w:r>
    </w:p>
    <w:p w14:paraId="1286610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第二部分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部门决算表</w:t>
      </w:r>
    </w:p>
    <w:p w14:paraId="4D425F93">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一、收入支出决算总表</w:t>
      </w:r>
    </w:p>
    <w:p w14:paraId="0A57074F">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二、收入决算表</w:t>
      </w:r>
    </w:p>
    <w:p w14:paraId="17C9A54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三、支出决算表</w:t>
      </w:r>
    </w:p>
    <w:p w14:paraId="1D3C09ED">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四、财政拨款收入支出决算总表</w:t>
      </w:r>
    </w:p>
    <w:p w14:paraId="6DE56F5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五、一般公共预算财政拨款支出决算表</w:t>
      </w:r>
    </w:p>
    <w:p w14:paraId="0B1A07A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六、一般公共预算财政拨款基本支出决算明细表</w:t>
      </w:r>
    </w:p>
    <w:p w14:paraId="55573ACB">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七、政府性基金预算财政拨款收入支出决算表</w:t>
      </w:r>
    </w:p>
    <w:p w14:paraId="5A69C8E8">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八、国有资本经营预算财政拨款支出决算表</w:t>
      </w:r>
    </w:p>
    <w:p w14:paraId="0F308EF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九、财政拨款“三公”经费支出决算表</w:t>
      </w:r>
    </w:p>
    <w:p w14:paraId="07679BBE">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第三部分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部门决算情况说明</w:t>
      </w:r>
    </w:p>
    <w:p w14:paraId="22AE1CD2">
      <w:pPr>
        <w:pStyle w:val="13"/>
        <w:spacing w:line="500" w:lineRule="exact"/>
        <w:ind w:firstLine="700" w:firstLineChars="25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一、收入支出决算总体情况说明</w:t>
      </w:r>
    </w:p>
    <w:p w14:paraId="765A5905">
      <w:pPr>
        <w:spacing w:line="500" w:lineRule="exact"/>
        <w:ind w:firstLine="700" w:firstLineChars="250"/>
        <w:jc w:val="left"/>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二、收入决算情况说明</w:t>
      </w:r>
    </w:p>
    <w:p w14:paraId="7E29598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三、支出决算情况说明</w:t>
      </w:r>
    </w:p>
    <w:p w14:paraId="251F4F0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四、财政拨款收入支出决算总体情况说明</w:t>
      </w:r>
    </w:p>
    <w:p w14:paraId="2F900204">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五、一般公共预算财政拨款支出决算情况说明</w:t>
      </w:r>
    </w:p>
    <w:p w14:paraId="622DE4C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六、一般公共预算财政拨款基本支出决算情况说明</w:t>
      </w:r>
    </w:p>
    <w:p w14:paraId="594481D7">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七、财政拨款三公经费支出决算情况说明</w:t>
      </w:r>
    </w:p>
    <w:p w14:paraId="3628C4EF">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rPr>
      </w:pPr>
      <w:r>
        <w:rPr>
          <w:rFonts w:hint="eastAsia" w:ascii="仿宋_GB2312" w:hAnsi="仿宋_GB2312" w:eastAsia="仿宋_GB2312" w:cs="仿宋_GB2312"/>
          <w:color w:val="000000"/>
          <w:kern w:val="0"/>
          <w:sz w:val="28"/>
          <w:szCs w:val="28"/>
        </w:rPr>
        <w:t>八、政府性基金预算收入支出决算情况</w:t>
      </w:r>
    </w:p>
    <w:p w14:paraId="727A6F9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九、国有资本经营预算财政拨款支出决算情况</w:t>
      </w:r>
    </w:p>
    <w:p w14:paraId="0C8D0819">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十、关于机关运行经费支出说明</w:t>
      </w:r>
    </w:p>
    <w:p w14:paraId="2F5C11B0">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十一、一般性支出情况说明</w:t>
      </w:r>
    </w:p>
    <w:p w14:paraId="7B7029C5">
      <w:pPr>
        <w:autoSpaceDE w:val="0"/>
        <w:autoSpaceDN w:val="0"/>
        <w:adjustRightInd w:val="0"/>
        <w:spacing w:line="500" w:lineRule="exact"/>
        <w:ind w:firstLine="700" w:firstLineChars="250"/>
        <w:jc w:val="left"/>
        <w:rPr>
          <w:rFonts w:hint="eastAsia" w:ascii="仿宋_GB2312" w:hAnsi="仿宋_GB2312" w:eastAsia="仿宋_GB2312" w:cs="仿宋_GB2312"/>
          <w:color w:val="000000"/>
          <w:kern w:val="0"/>
          <w:sz w:val="28"/>
          <w:szCs w:val="28"/>
          <w:lang w:eastAsia="zh-CN"/>
        </w:rPr>
      </w:pPr>
      <w:r>
        <w:rPr>
          <w:rFonts w:hint="eastAsia" w:ascii="仿宋_GB2312" w:hAnsi="仿宋_GB2312" w:eastAsia="仿宋_GB2312" w:cs="仿宋_GB2312"/>
          <w:color w:val="000000"/>
          <w:kern w:val="0"/>
          <w:sz w:val="28"/>
          <w:szCs w:val="28"/>
          <w:lang w:eastAsia="zh-CN"/>
        </w:rPr>
        <w:t>十二、关于政府采购支出说明</w:t>
      </w:r>
    </w:p>
    <w:p w14:paraId="6A9AA146">
      <w:pPr>
        <w:pStyle w:val="13"/>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十三、关于国有资产占用情况说明</w:t>
      </w:r>
    </w:p>
    <w:p w14:paraId="1A0689BE">
      <w:pPr>
        <w:pStyle w:val="13"/>
        <w:spacing w:line="500" w:lineRule="exact"/>
        <w:ind w:firstLine="700" w:firstLineChars="25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十四、关于2023年度预算绩效情况的说明</w:t>
      </w:r>
    </w:p>
    <w:p w14:paraId="2F38ACE7">
      <w:pPr>
        <w:pStyle w:val="13"/>
        <w:spacing w:line="500" w:lineRule="exact"/>
        <w:rPr>
          <w:rFonts w:hint="eastAsia" w:ascii="黑体" w:hAnsi="黑体" w:eastAsia="黑体" w:cs="黑体"/>
          <w:b w:val="0"/>
          <w:bCs/>
          <w:sz w:val="28"/>
          <w:szCs w:val="28"/>
        </w:rPr>
      </w:pPr>
      <w:r>
        <w:rPr>
          <w:rFonts w:hint="eastAsia" w:ascii="黑体" w:hAnsi="黑体" w:eastAsia="黑体" w:cs="黑体"/>
          <w:b w:val="0"/>
          <w:bCs/>
          <w:sz w:val="28"/>
          <w:szCs w:val="28"/>
        </w:rPr>
        <w:t>第四部分</w:t>
      </w:r>
      <w:r>
        <w:rPr>
          <w:rFonts w:hint="eastAsia" w:ascii="黑体" w:hAnsi="黑体" w:eastAsia="黑体" w:cs="黑体"/>
          <w:b w:val="0"/>
          <w:bCs/>
          <w:sz w:val="28"/>
          <w:szCs w:val="28"/>
          <w:lang w:val="en-US" w:eastAsia="zh-CN"/>
        </w:rPr>
        <w:t xml:space="preserve"> </w:t>
      </w:r>
      <w:r>
        <w:rPr>
          <w:rFonts w:hint="eastAsia" w:ascii="黑体" w:hAnsi="黑体" w:eastAsia="黑体" w:cs="黑体"/>
          <w:b w:val="0"/>
          <w:bCs/>
          <w:sz w:val="28"/>
          <w:szCs w:val="28"/>
        </w:rPr>
        <w:t>名词解释</w:t>
      </w:r>
    </w:p>
    <w:p w14:paraId="3BD8228E">
      <w:pPr>
        <w:pStyle w:val="13"/>
        <w:spacing w:line="500" w:lineRule="exact"/>
        <w:rPr>
          <w:rFonts w:hint="eastAsia" w:ascii="黑体" w:hAnsi="黑体" w:eastAsia="黑体" w:cs="黑体"/>
          <w:b w:val="0"/>
          <w:bCs/>
          <w:sz w:val="28"/>
          <w:szCs w:val="28"/>
          <w:lang w:eastAsia="zh-CN"/>
        </w:rPr>
      </w:pPr>
      <w:r>
        <w:rPr>
          <w:rFonts w:hint="eastAsia" w:ascii="黑体" w:hAnsi="黑体" w:eastAsia="黑体" w:cs="黑体"/>
          <w:b w:val="0"/>
          <w:bCs/>
          <w:sz w:val="28"/>
          <w:szCs w:val="28"/>
        </w:rPr>
        <w:t>第</w:t>
      </w:r>
      <w:r>
        <w:rPr>
          <w:rFonts w:hint="eastAsia" w:hAnsi="黑体" w:cs="黑体"/>
          <w:b w:val="0"/>
          <w:bCs/>
          <w:sz w:val="28"/>
          <w:szCs w:val="28"/>
          <w:lang w:eastAsia="zh-CN"/>
        </w:rPr>
        <w:t>五</w:t>
      </w:r>
      <w:r>
        <w:rPr>
          <w:rFonts w:hint="eastAsia" w:ascii="黑体" w:hAnsi="黑体" w:eastAsia="黑体" w:cs="黑体"/>
          <w:b w:val="0"/>
          <w:bCs/>
          <w:sz w:val="28"/>
          <w:szCs w:val="28"/>
        </w:rPr>
        <w:t>部分</w:t>
      </w:r>
      <w:r>
        <w:rPr>
          <w:rFonts w:hint="eastAsia" w:ascii="黑体" w:hAnsi="黑体" w:eastAsia="黑体" w:cs="黑体"/>
          <w:b w:val="0"/>
          <w:bCs/>
          <w:sz w:val="28"/>
          <w:szCs w:val="28"/>
          <w:lang w:val="en-US" w:eastAsia="zh-CN"/>
        </w:rPr>
        <w:t xml:space="preserve"> </w:t>
      </w:r>
      <w:r>
        <w:rPr>
          <w:rFonts w:hint="eastAsia" w:hAnsi="黑体" w:cs="黑体"/>
          <w:b w:val="0"/>
          <w:bCs/>
          <w:sz w:val="28"/>
          <w:szCs w:val="28"/>
          <w:lang w:eastAsia="zh-CN"/>
        </w:rPr>
        <w:t>附件</w:t>
      </w:r>
    </w:p>
    <w:p w14:paraId="5716BDD4">
      <w:pPr>
        <w:pStyle w:val="13"/>
        <w:spacing w:line="500" w:lineRule="exact"/>
        <w:rPr>
          <w:rFonts w:hint="eastAsia" w:ascii="黑体" w:hAnsi="黑体" w:eastAsia="黑体" w:cs="黑体"/>
          <w:b w:val="0"/>
          <w:bCs/>
          <w:sz w:val="28"/>
          <w:szCs w:val="28"/>
        </w:rPr>
      </w:pPr>
    </w:p>
    <w:p w14:paraId="054B6A96">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 xml:space="preserve">第一部分 </w:t>
      </w:r>
    </w:p>
    <w:p w14:paraId="3C38FCD8">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val="en-US" w:eastAsia="zh-CN"/>
        </w:rPr>
        <w:t>华容县长江洞庭湖水利事务中心</w:t>
      </w:r>
      <w:r>
        <w:rPr>
          <w:rFonts w:hint="eastAsia" w:ascii="方正小标宋_GBK" w:hAnsi="方正小标宋_GBK" w:eastAsia="方正小标宋_GBK" w:cs="方正小标宋_GBK"/>
          <w:sz w:val="48"/>
          <w:szCs w:val="48"/>
        </w:rPr>
        <w:t>概况</w:t>
      </w:r>
    </w:p>
    <w:p w14:paraId="5DBDDB6C">
      <w:pPr>
        <w:pStyle w:val="14"/>
        <w:numPr>
          <w:ilvl w:val="0"/>
          <w:numId w:val="1"/>
        </w:numPr>
        <w:ind w:firstLineChars="0"/>
        <w:jc w:val="left"/>
        <w:rPr>
          <w:rFonts w:hint="eastAsia" w:ascii="黑体" w:hAnsi="黑体" w:eastAsia="黑体" w:cs="黑体"/>
          <w:b w:val="0"/>
          <w:bCs w:val="0"/>
          <w:sz w:val="32"/>
          <w:szCs w:val="32"/>
        </w:rPr>
      </w:pPr>
      <w:r>
        <w:rPr>
          <w:rFonts w:hint="eastAsia" w:ascii="黑体" w:hAnsi="黑体" w:eastAsia="黑体" w:cs="黑体"/>
          <w:b w:val="0"/>
          <w:bCs w:val="0"/>
          <w:sz w:val="32"/>
          <w:szCs w:val="32"/>
        </w:rPr>
        <w:t>部门职责</w:t>
      </w:r>
    </w:p>
    <w:p w14:paraId="04C0167C">
      <w:pPr>
        <w:widowControl/>
        <w:spacing w:line="600" w:lineRule="exact"/>
        <w:ind w:firstLine="1280" w:firstLineChars="400"/>
        <w:rPr>
          <w:rFonts w:hint="eastAsia" w:ascii="Times New Roman" w:hAnsi="Times New Roman" w:eastAsia="仿宋_GB2312" w:cs="仿宋_GB2312"/>
          <w:sz w:val="32"/>
          <w:szCs w:val="32"/>
        </w:rPr>
      </w:pPr>
      <w:r>
        <w:rPr>
          <w:rFonts w:hint="eastAsia" w:ascii="Times New Roman" w:hAnsi="Times New Roman" w:eastAsia="仿宋_GB2312" w:cs="仿宋_GB2312"/>
          <w:bCs/>
          <w:kern w:val="0"/>
          <w:sz w:val="32"/>
          <w:szCs w:val="32"/>
        </w:rPr>
        <w:t>主要职能</w:t>
      </w:r>
      <w:r>
        <w:rPr>
          <w:rFonts w:hint="eastAsia" w:ascii="Times New Roman" w:hAnsi="Times New Roman" w:eastAsia="仿宋_GB2312" w:cs="仿宋_GB2312"/>
          <w:bCs/>
          <w:kern w:val="0"/>
          <w:sz w:val="32"/>
          <w:szCs w:val="32"/>
          <w:lang w:eastAsia="zh-CN"/>
        </w:rPr>
        <w:t>：</w:t>
      </w:r>
      <w:r>
        <w:rPr>
          <w:rFonts w:hint="eastAsia" w:ascii="Times New Roman" w:hAnsi="Times New Roman" w:eastAsia="仿宋_GB2312" w:cs="仿宋_GB2312"/>
          <w:bCs/>
          <w:kern w:val="0"/>
          <w:sz w:val="32"/>
          <w:szCs w:val="32"/>
          <w:lang w:val="en-US" w:eastAsia="zh-CN"/>
        </w:rPr>
        <w:t>负责县域内江、湖、河道、湖泊的水生态环境保护与治理等事务性研究工作。负责县域内江、湖、河道、中小型水库、水土保持、农饮等相关规划编制和相关重大水利项目的前期运作、项目建设、运行管理等事务性工作。</w:t>
      </w:r>
    </w:p>
    <w:p w14:paraId="6DF5BB6E">
      <w:pPr>
        <w:widowControl/>
        <w:spacing w:line="600" w:lineRule="exact"/>
        <w:rPr>
          <w:rFonts w:hint="eastAsia" w:ascii="黑体" w:hAnsi="黑体" w:eastAsia="黑体" w:cs="黑体"/>
          <w:b w:val="0"/>
          <w:bCs/>
          <w:kern w:val="0"/>
          <w:sz w:val="32"/>
          <w:szCs w:val="32"/>
        </w:rPr>
      </w:pPr>
      <w:r>
        <w:rPr>
          <w:rFonts w:hint="eastAsia" w:ascii="黑体" w:hAnsi="黑体" w:eastAsia="黑体" w:cs="黑体"/>
          <w:b w:val="0"/>
          <w:bCs/>
          <w:kern w:val="0"/>
          <w:sz w:val="32"/>
          <w:szCs w:val="32"/>
        </w:rPr>
        <w:t>二、机构设置及决算单位构成</w:t>
      </w:r>
    </w:p>
    <w:p w14:paraId="3475EEB1">
      <w:pPr>
        <w:widowControl/>
        <w:spacing w:line="600" w:lineRule="exact"/>
        <w:rPr>
          <w:rFonts w:hint="eastAsia" w:ascii="Times New Roman" w:hAnsi="Times New Roman" w:eastAsia="仿宋_GB2312" w:cs="仿宋_GB2312"/>
          <w:bCs/>
          <w:kern w:val="0"/>
          <w:sz w:val="32"/>
          <w:szCs w:val="32"/>
        </w:rPr>
      </w:pPr>
      <w:r>
        <w:rPr>
          <w:rFonts w:hint="eastAsia" w:ascii="Times New Roman" w:hAnsi="Times New Roman" w:eastAsia="仿宋_GB2312" w:cs="仿宋_GB2312"/>
          <w:bCs/>
          <w:kern w:val="0"/>
          <w:sz w:val="32"/>
          <w:szCs w:val="32"/>
        </w:rPr>
        <w:t>（一）内设机构设置。</w:t>
      </w:r>
    </w:p>
    <w:p w14:paraId="456E2CF4">
      <w:pPr>
        <w:widowControl/>
        <w:spacing w:line="600" w:lineRule="exact"/>
        <w:ind w:firstLine="640" w:firstLineChars="200"/>
        <w:rPr>
          <w:rFonts w:hint="default"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华容县长江洞庭湖水利事务中心设7个内设机构：综合部、财务部、工程事务部、河道治理部、水资源与水土保持部、质监部、规划部。</w:t>
      </w:r>
    </w:p>
    <w:p w14:paraId="758C51C0">
      <w:pPr>
        <w:widowControl/>
        <w:spacing w:line="600" w:lineRule="exact"/>
        <w:ind w:firstLine="640" w:firstLineChars="200"/>
        <w:rPr>
          <w:rFonts w:hint="default"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华容县长江洞庭湖水利事务中心</w:t>
      </w:r>
      <w:r>
        <w:rPr>
          <w:rFonts w:hint="eastAsia" w:ascii="Times New Roman" w:hAnsi="Times New Roman" w:eastAsia="仿宋_GB2312" w:cs="仿宋_GB2312"/>
          <w:bCs/>
          <w:kern w:val="0"/>
          <w:sz w:val="32"/>
          <w:szCs w:val="32"/>
        </w:rPr>
        <w:t>202</w:t>
      </w:r>
      <w:r>
        <w:rPr>
          <w:rFonts w:hint="eastAsia" w:ascii="Times New Roman" w:hAnsi="Times New Roman" w:eastAsia="仿宋_GB2312" w:cs="仿宋_GB2312"/>
          <w:bCs/>
          <w:kern w:val="0"/>
          <w:sz w:val="32"/>
          <w:szCs w:val="32"/>
          <w:lang w:val="en-US" w:eastAsia="zh-CN"/>
        </w:rPr>
        <w:t>3</w:t>
      </w:r>
      <w:r>
        <w:rPr>
          <w:rFonts w:hint="eastAsia" w:ascii="Times New Roman" w:hAnsi="Times New Roman" w:eastAsia="仿宋_GB2312" w:cs="仿宋_GB2312"/>
          <w:bCs/>
          <w:kern w:val="0"/>
          <w:sz w:val="32"/>
          <w:szCs w:val="32"/>
        </w:rPr>
        <w:t>年部门决算汇总公开单位构成包括：</w:t>
      </w:r>
      <w:r>
        <w:rPr>
          <w:rFonts w:hint="eastAsia" w:ascii="Times New Roman" w:hAnsi="Times New Roman" w:eastAsia="仿宋_GB2312" w:cs="仿宋_GB2312"/>
          <w:bCs/>
          <w:kern w:val="0"/>
          <w:sz w:val="32"/>
          <w:szCs w:val="32"/>
          <w:lang w:eastAsia="zh-CN"/>
        </w:rPr>
        <w:t>单位</w:t>
      </w:r>
      <w:r>
        <w:rPr>
          <w:rFonts w:hint="eastAsia" w:ascii="Times New Roman" w:hAnsi="Times New Roman" w:eastAsia="仿宋_GB2312" w:cs="仿宋_GB2312"/>
          <w:bCs/>
          <w:kern w:val="0"/>
          <w:sz w:val="32"/>
          <w:szCs w:val="32"/>
        </w:rPr>
        <w:t>本级</w:t>
      </w:r>
      <w:r>
        <w:rPr>
          <w:rFonts w:hint="eastAsia" w:ascii="Times New Roman" w:hAnsi="Times New Roman" w:eastAsia="仿宋_GB2312" w:cs="仿宋_GB2312"/>
          <w:bCs/>
          <w:kern w:val="0"/>
          <w:sz w:val="32"/>
          <w:szCs w:val="32"/>
          <w:lang w:eastAsia="zh-CN"/>
        </w:rPr>
        <w:t>决算，没有下属单位。</w:t>
      </w:r>
    </w:p>
    <w:p w14:paraId="77F41769">
      <w:pPr>
        <w:jc w:val="left"/>
        <w:rPr>
          <w:rFonts w:ascii="仿宋_GB2312" w:eastAsia="仿宋_GB2312" w:hAnsiTheme="minorEastAsia"/>
          <w:sz w:val="28"/>
          <w:szCs w:val="32"/>
        </w:rPr>
      </w:pPr>
    </w:p>
    <w:p w14:paraId="4CC17E92">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第二部分</w:t>
      </w:r>
    </w:p>
    <w:p w14:paraId="0D3CC37D">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部门决算表</w:t>
      </w:r>
    </w:p>
    <w:p w14:paraId="06727AC0">
      <w:pPr>
        <w:pStyle w:val="13"/>
        <w:jc w:val="center"/>
        <w:rPr>
          <w:rFonts w:hint="eastAsia" w:ascii="黑体" w:hAnsi="黑体" w:eastAsia="黑体" w:cs="黑体"/>
          <w:b w:val="0"/>
          <w:bCs/>
          <w:color w:val="auto"/>
          <w:kern w:val="2"/>
          <w:sz w:val="32"/>
          <w:szCs w:val="32"/>
          <w:lang w:val="en-US" w:eastAsia="zh-CN" w:bidi="ar-SA"/>
        </w:rPr>
      </w:pPr>
      <w:r>
        <w:rPr>
          <w:rFonts w:hint="eastAsia" w:ascii="黑体" w:hAnsi="黑体" w:eastAsia="黑体" w:cs="黑体"/>
          <w:b w:val="0"/>
          <w:bCs/>
          <w:color w:val="auto"/>
          <w:kern w:val="2"/>
          <w:sz w:val="32"/>
          <w:szCs w:val="32"/>
          <w:lang w:val="en-US" w:eastAsia="zh-CN" w:bidi="ar-SA"/>
        </w:rPr>
        <w:t>详见附件表格</w:t>
      </w:r>
    </w:p>
    <w:p w14:paraId="6462DB5C">
      <w:pPr>
        <w:pStyle w:val="13"/>
        <w:jc w:val="center"/>
        <w:rPr>
          <w:rFonts w:hint="eastAsia" w:ascii="方正小标宋_GBK" w:hAnsi="方正小标宋_GBK" w:eastAsia="方正小标宋_GBK" w:cs="方正小标宋_GBK"/>
          <w:sz w:val="48"/>
          <w:szCs w:val="48"/>
        </w:rPr>
      </w:pPr>
    </w:p>
    <w:p w14:paraId="2929F6C7">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第三部分</w:t>
      </w:r>
    </w:p>
    <w:p w14:paraId="33B89D89">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202</w:t>
      </w:r>
      <w:r>
        <w:rPr>
          <w:rFonts w:hint="eastAsia" w:ascii="方正小标宋_GBK" w:hAnsi="方正小标宋_GBK" w:eastAsia="方正小标宋_GBK" w:cs="方正小标宋_GBK"/>
          <w:sz w:val="48"/>
          <w:szCs w:val="48"/>
          <w:lang w:val="en-US" w:eastAsia="zh-CN"/>
        </w:rPr>
        <w:t>3</w:t>
      </w:r>
      <w:r>
        <w:rPr>
          <w:rFonts w:hint="eastAsia" w:ascii="方正小标宋_GBK" w:hAnsi="方正小标宋_GBK" w:eastAsia="方正小标宋_GBK" w:cs="方正小标宋_GBK"/>
          <w:sz w:val="48"/>
          <w:szCs w:val="48"/>
        </w:rPr>
        <w:t>年度部门决算情况说明</w:t>
      </w:r>
    </w:p>
    <w:p w14:paraId="11D33172">
      <w:pPr>
        <w:widowControl/>
        <w:jc w:val="left"/>
        <w:rPr>
          <w:rFonts w:hint="eastAsia" w:ascii="黑体" w:hAnsi="黑体" w:eastAsia="黑体" w:cs="黑体"/>
          <w:b w:val="0"/>
          <w:bCs/>
          <w:sz w:val="32"/>
          <w:szCs w:val="32"/>
        </w:rPr>
      </w:pPr>
      <w:r>
        <w:rPr>
          <w:rFonts w:hint="eastAsia" w:ascii="黑体" w:hAnsi="黑体" w:eastAsia="黑体" w:cs="黑体"/>
          <w:b w:val="0"/>
          <w:bCs/>
          <w:sz w:val="32"/>
          <w:szCs w:val="32"/>
        </w:rPr>
        <w:t>一、收入支出决算总体情况说明</w:t>
      </w:r>
    </w:p>
    <w:p w14:paraId="12264BE6">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default" w:ascii="Times New Roman" w:hAnsi="Times New Roman" w:eastAsia="仿宋_GB2312"/>
          <w:color w:val="000000" w:themeColor="text1"/>
          <w:sz w:val="32"/>
          <w:szCs w:val="32"/>
          <w:highlight w:val="yellow"/>
          <w:lang w:val="en-US" w:eastAsia="zh-CN"/>
          <w14:textFill>
            <w14:gradFill>
              <w14:gsLst>
                <w14:gs w14:pos="50000">
                  <w14:schemeClr w14:val="tx1"/>
                </w14:gs>
                <w14:gs w14:pos="0">
                  <w14:schemeClr w14:val="tx1">
                    <w14:lumMod w14:val="25000"/>
                    <w14:lumOff w14:val="75000"/>
                  </w14:schemeClr>
                </w14:gs>
                <w14:gs w14:pos="100000">
                  <w14:schemeClr w14:val="tx1">
                    <w14:lumMod w14:val="85000"/>
                  </w14:schemeClr>
                </w14:gs>
              </w14:gsLst>
              <w14:lin w14:ang="5400000" w14:scaled="1"/>
            </w14:gradFill>
          </w14:textFill>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年度收、支总计</w:t>
      </w:r>
      <w:r>
        <w:rPr>
          <w:rFonts w:hint="eastAsia" w:ascii="Times New Roman" w:hAnsi="Times New Roman" w:eastAsia="仿宋_GB2312"/>
          <w:sz w:val="32"/>
          <w:szCs w:val="32"/>
          <w:lang w:val="en-US" w:eastAsia="zh-CN"/>
        </w:rPr>
        <w:t>542</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142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w:t>
      </w:r>
      <w:r>
        <w:rPr>
          <w:rFonts w:hint="eastAsia" w:ascii="Times New Roman" w:hAnsi="Times New Roman" w:eastAsia="仿宋_GB2312"/>
          <w:color w:val="000000" w:themeColor="text1"/>
          <w:sz w:val="32"/>
          <w:szCs w:val="32"/>
          <w:highlight w:val="none"/>
          <w:shd w:val="clear" w:fill="FFFFFF" w:themeFill="background1"/>
          <w14:textFill>
            <w14:solidFill>
              <w14:schemeClr w14:val="tx1"/>
            </w14:solidFill>
          </w14:textFill>
        </w:rPr>
        <w:t>主要是因为</w:t>
      </w:r>
      <w:r>
        <w:rPr>
          <w:rFonts w:hint="eastAsia" w:ascii="Times New Roman" w:hAnsi="Times New Roman" w:eastAsia="仿宋_GB2312"/>
          <w:color w:val="000000" w:themeColor="text1"/>
          <w:sz w:val="32"/>
          <w:szCs w:val="32"/>
          <w:highlight w:val="none"/>
          <w:shd w:val="clear" w:fill="FFFFFF" w:themeFill="background1"/>
          <w:lang w:val="en-US" w:eastAsia="zh-CN"/>
          <w14:textFill>
            <w14:solidFill>
              <w14:schemeClr w14:val="tx1"/>
            </w14:solidFill>
          </w14:textFill>
        </w:rPr>
        <w:t>本单位工作职能改变，单位合并、人员增加。</w:t>
      </w:r>
    </w:p>
    <w:p w14:paraId="1D3746CB">
      <w:pPr>
        <w:pStyle w:val="13"/>
        <w:keepNext w:val="0"/>
        <w:keepLines w:val="0"/>
        <w:pageBreakBefore w:val="0"/>
        <w:widowControl w:val="0"/>
        <w:shd w:val="clear"/>
        <w:kinsoku/>
        <w:wordWrap/>
        <w:overflowPunct/>
        <w:topLinePunct w:val="0"/>
        <w:bidi w:val="0"/>
        <w:snapToGrid/>
        <w:spacing w:line="600" w:lineRule="exact"/>
        <w:ind w:firstLine="640" w:firstLineChars="200"/>
        <w:textAlignment w:val="auto"/>
        <w:rPr>
          <w:rFonts w:hint="eastAsia" w:ascii="黑体" w:hAnsi="黑体" w:eastAsia="黑体" w:cs="黑体"/>
          <w:b w:val="0"/>
          <w:bCs/>
          <w:color w:val="000000" w:themeColor="text1"/>
          <w:sz w:val="32"/>
          <w:szCs w:val="32"/>
          <w14:textFill>
            <w14:solidFill>
              <w14:schemeClr w14:val="tx1"/>
            </w14:solidFill>
          </w14:textFill>
        </w:rPr>
      </w:pPr>
      <w:r>
        <w:rPr>
          <w:rFonts w:hint="eastAsia" w:ascii="黑体" w:hAnsi="黑体" w:eastAsia="黑体" w:cs="黑体"/>
          <w:b w:val="0"/>
          <w:bCs/>
          <w:color w:val="000000" w:themeColor="text1"/>
          <w:sz w:val="32"/>
          <w:szCs w:val="32"/>
          <w14:textFill>
            <w14:solidFill>
              <w14:schemeClr w14:val="tx1"/>
            </w14:solidFill>
          </w14:textFill>
        </w:rPr>
        <w:t>二、收入决算情况说明</w:t>
      </w:r>
    </w:p>
    <w:p w14:paraId="378689C2">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年度收入合</w:t>
      </w:r>
      <w:r>
        <w:rPr>
          <w:rFonts w:hint="eastAsia" w:ascii="Times New Roman" w:hAnsi="Times New Roman" w:eastAsia="仿宋_GB2312"/>
          <w:sz w:val="32"/>
          <w:szCs w:val="32"/>
          <w:lang w:val="en-US" w:eastAsia="zh-CN"/>
        </w:rPr>
        <w:t>542</w:t>
      </w:r>
      <w:r>
        <w:rPr>
          <w:rFonts w:hint="eastAsia" w:ascii="Times New Roman" w:hAnsi="Times New Roman" w:eastAsia="仿宋_GB2312"/>
          <w:sz w:val="32"/>
          <w:szCs w:val="32"/>
        </w:rPr>
        <w:t>万元，其中：财政拨款收入</w:t>
      </w:r>
      <w:r>
        <w:rPr>
          <w:rFonts w:hint="eastAsia" w:ascii="Times New Roman" w:hAnsi="Times New Roman" w:eastAsia="仿宋_GB2312"/>
          <w:sz w:val="32"/>
          <w:szCs w:val="32"/>
          <w:lang w:val="en-US" w:eastAsia="zh-CN"/>
        </w:rPr>
        <w:t>519</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95</w:t>
      </w:r>
      <w:r>
        <w:rPr>
          <w:rFonts w:hint="eastAsia" w:ascii="Times New Roman" w:hAnsi="Times New Roman" w:eastAsia="仿宋_GB2312"/>
          <w:sz w:val="32"/>
          <w:szCs w:val="32"/>
        </w:rPr>
        <w:t>%；上级补助收入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%；事业收入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%；附属单位上缴收入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%；其他收入</w:t>
      </w:r>
      <w:r>
        <w:rPr>
          <w:rFonts w:hint="eastAsia" w:ascii="Times New Roman" w:hAnsi="Times New Roman" w:eastAsia="仿宋_GB2312"/>
          <w:sz w:val="32"/>
          <w:szCs w:val="32"/>
          <w:lang w:val="en-US" w:eastAsia="zh-CN"/>
        </w:rPr>
        <w:t>23</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5</w:t>
      </w:r>
      <w:r>
        <w:rPr>
          <w:rFonts w:hint="eastAsia" w:ascii="Times New Roman" w:hAnsi="Times New Roman" w:eastAsia="仿宋_GB2312"/>
          <w:sz w:val="32"/>
          <w:szCs w:val="32"/>
        </w:rPr>
        <w:t>%。</w:t>
      </w:r>
    </w:p>
    <w:p w14:paraId="5CB7D5B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三、支出决算情况说明</w:t>
      </w:r>
    </w:p>
    <w:p w14:paraId="3CFC8F1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年度支出合计</w:t>
      </w:r>
      <w:r>
        <w:rPr>
          <w:rFonts w:hint="eastAsia" w:ascii="Times New Roman" w:hAnsi="Times New Roman" w:eastAsia="仿宋_GB2312"/>
          <w:sz w:val="32"/>
          <w:szCs w:val="32"/>
          <w:lang w:val="en-US" w:eastAsia="zh-CN"/>
        </w:rPr>
        <w:t>542</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446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82</w:t>
      </w:r>
      <w:r>
        <w:rPr>
          <w:rFonts w:hint="eastAsia" w:ascii="Times New Roman" w:hAnsi="Times New Roman" w:eastAsia="仿宋_GB2312"/>
          <w:sz w:val="32"/>
          <w:szCs w:val="32"/>
        </w:rPr>
        <w:t>%；项目支出</w:t>
      </w:r>
      <w:r>
        <w:rPr>
          <w:rFonts w:hint="eastAsia" w:ascii="Times New Roman" w:hAnsi="Times New Roman" w:eastAsia="仿宋_GB2312"/>
          <w:sz w:val="32"/>
          <w:szCs w:val="32"/>
          <w:lang w:val="en-US" w:eastAsia="zh-CN"/>
        </w:rPr>
        <w:t>96</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18</w:t>
      </w:r>
      <w:r>
        <w:rPr>
          <w:rFonts w:hint="eastAsia" w:ascii="Times New Roman" w:hAnsi="Times New Roman" w:eastAsia="仿宋_GB2312"/>
          <w:sz w:val="32"/>
          <w:szCs w:val="32"/>
        </w:rPr>
        <w:t>%；上缴上级支出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%；经营支出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%；对附属单位补助支出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6D50BA23">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四、财政拨款收入支出决算总体情况说明</w:t>
      </w:r>
    </w:p>
    <w:p w14:paraId="7FC07E60">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highlight w:val="yellow"/>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年度财政拨款收、支总计</w:t>
      </w:r>
      <w:r>
        <w:rPr>
          <w:rFonts w:hint="eastAsia" w:ascii="Times New Roman" w:hAnsi="Times New Roman" w:eastAsia="仿宋_GB2312"/>
          <w:sz w:val="32"/>
          <w:szCs w:val="32"/>
          <w:lang w:val="en-US" w:eastAsia="zh-CN"/>
        </w:rPr>
        <w:t>542</w:t>
      </w:r>
      <w:r>
        <w:rPr>
          <w:rFonts w:hint="eastAsia" w:ascii="Times New Roman" w:hAnsi="Times New Roman" w:eastAsia="仿宋_GB2312"/>
          <w:sz w:val="32"/>
          <w:szCs w:val="32"/>
        </w:rPr>
        <w:t>万元，与上年相比，增加</w:t>
      </w:r>
      <w:r>
        <w:rPr>
          <w:rFonts w:hint="eastAsia" w:ascii="Times New Roman" w:hAnsi="Times New Roman" w:eastAsia="仿宋_GB2312"/>
          <w:sz w:val="32"/>
          <w:szCs w:val="32"/>
          <w:lang w:val="en-US" w:eastAsia="zh-CN"/>
        </w:rPr>
        <w:t>142</w:t>
      </w:r>
      <w:r>
        <w:rPr>
          <w:rFonts w:hint="eastAsia" w:ascii="Times New Roman" w:hAnsi="Times New Roman" w:eastAsia="仿宋_GB2312"/>
          <w:sz w:val="32"/>
          <w:szCs w:val="32"/>
        </w:rPr>
        <w:t>万元,增长</w:t>
      </w:r>
      <w:r>
        <w:rPr>
          <w:rFonts w:hint="eastAsia" w:ascii="Times New Roman" w:hAnsi="Times New Roman" w:eastAsia="仿宋_GB2312"/>
          <w:sz w:val="32"/>
          <w:szCs w:val="32"/>
          <w:lang w:val="en-US" w:eastAsia="zh-CN"/>
        </w:rPr>
        <w:t>26</w:t>
      </w:r>
      <w:r>
        <w:rPr>
          <w:rFonts w:hint="eastAsia" w:ascii="Times New Roman" w:hAnsi="Times New Roman" w:eastAsia="仿宋_GB2312"/>
          <w:sz w:val="32"/>
          <w:szCs w:val="32"/>
        </w:rPr>
        <w:t>%，</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本年度人员增加</w:t>
      </w:r>
      <w:r>
        <w:rPr>
          <w:rFonts w:hint="eastAsia" w:ascii="Times New Roman" w:hAnsi="Times New Roman" w:eastAsia="仿宋_GB2312"/>
          <w:sz w:val="32"/>
          <w:szCs w:val="32"/>
          <w:highlight w:val="none"/>
          <w:lang w:eastAsia="zh-CN"/>
        </w:rPr>
        <w:t>。</w:t>
      </w:r>
    </w:p>
    <w:p w14:paraId="559C301F">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五、一般公共预算财政拨款支出决算情况说明</w:t>
      </w:r>
    </w:p>
    <w:p w14:paraId="58B6491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（一）一般公共预算财政拨款支出决算总体情况</w:t>
      </w:r>
    </w:p>
    <w:p w14:paraId="2B1765A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highlight w:val="none"/>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438</w:t>
      </w:r>
      <w:r>
        <w:rPr>
          <w:rFonts w:hint="eastAsia" w:ascii="Times New Roman" w:hAnsi="Times New Roman" w:eastAsia="仿宋_GB2312"/>
          <w:sz w:val="32"/>
          <w:szCs w:val="32"/>
        </w:rPr>
        <w:t>万元，占本年支出合计的</w:t>
      </w:r>
      <w:r>
        <w:rPr>
          <w:rFonts w:hint="eastAsia" w:ascii="Times New Roman" w:hAnsi="Times New Roman" w:eastAsia="仿宋_GB2312"/>
          <w:sz w:val="32"/>
          <w:szCs w:val="32"/>
          <w:lang w:val="en-US" w:eastAsia="zh-CN"/>
        </w:rPr>
        <w:t>81</w:t>
      </w:r>
      <w:r>
        <w:rPr>
          <w:rFonts w:hint="eastAsia" w:ascii="Times New Roman" w:hAnsi="Times New Roman" w:eastAsia="仿宋_GB2312"/>
          <w:sz w:val="32"/>
          <w:szCs w:val="32"/>
        </w:rPr>
        <w:t>%，与上年相比，财政拨款支出</w:t>
      </w:r>
      <w:r>
        <w:rPr>
          <w:rFonts w:hint="eastAsia" w:ascii="Times New Roman" w:hAnsi="Times New Roman" w:eastAsia="仿宋_GB2312"/>
          <w:sz w:val="32"/>
          <w:szCs w:val="32"/>
          <w:highlight w:val="none"/>
        </w:rPr>
        <w:t>增加</w:t>
      </w:r>
      <w:r>
        <w:rPr>
          <w:rFonts w:hint="eastAsia" w:ascii="Times New Roman" w:hAnsi="Times New Roman" w:eastAsia="仿宋_GB2312"/>
          <w:sz w:val="32"/>
          <w:szCs w:val="32"/>
          <w:highlight w:val="none"/>
          <w:lang w:val="en-US" w:eastAsia="zh-CN"/>
        </w:rPr>
        <w:t>38</w:t>
      </w:r>
      <w:r>
        <w:rPr>
          <w:rFonts w:hint="eastAsia" w:ascii="Times New Roman" w:hAnsi="Times New Roman" w:eastAsia="仿宋_GB2312"/>
          <w:sz w:val="32"/>
          <w:szCs w:val="32"/>
          <w:highlight w:val="none"/>
        </w:rPr>
        <w:t>万元，增长</w:t>
      </w:r>
      <w:r>
        <w:rPr>
          <w:rFonts w:hint="eastAsia" w:ascii="Times New Roman" w:hAnsi="Times New Roman" w:eastAsia="仿宋_GB2312"/>
          <w:sz w:val="32"/>
          <w:szCs w:val="32"/>
          <w:highlight w:val="none"/>
          <w:lang w:val="en-US" w:eastAsia="zh-CN"/>
        </w:rPr>
        <w:t>9</w:t>
      </w:r>
      <w:r>
        <w:rPr>
          <w:rFonts w:hint="eastAsia" w:ascii="Times New Roman" w:hAnsi="Times New Roman" w:eastAsia="仿宋_GB2312"/>
          <w:sz w:val="32"/>
          <w:szCs w:val="32"/>
          <w:highlight w:val="none"/>
        </w:rPr>
        <w:t>%，主要是因为</w:t>
      </w:r>
      <w:r>
        <w:rPr>
          <w:rFonts w:hint="eastAsia" w:ascii="Times New Roman" w:hAnsi="Times New Roman" w:eastAsia="仿宋_GB2312"/>
          <w:sz w:val="32"/>
          <w:szCs w:val="32"/>
          <w:highlight w:val="none"/>
          <w:lang w:val="en-US" w:eastAsia="zh-CN"/>
        </w:rPr>
        <w:t>本年度人员增加</w:t>
      </w:r>
      <w:r>
        <w:rPr>
          <w:rFonts w:hint="eastAsia" w:ascii="Times New Roman" w:hAnsi="Times New Roman" w:eastAsia="仿宋_GB2312"/>
          <w:sz w:val="32"/>
          <w:szCs w:val="32"/>
          <w:highlight w:val="none"/>
          <w:lang w:eastAsia="zh-CN"/>
        </w:rPr>
        <w:t>。</w:t>
      </w:r>
    </w:p>
    <w:p w14:paraId="5FD4B131">
      <w:pPr>
        <w:pStyle w:val="13"/>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（二）一般公共预算财政拨款支出决算结构情况</w:t>
      </w:r>
    </w:p>
    <w:p w14:paraId="31E9D921">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lang w:val="en-US" w:eastAsia="zh-CN"/>
        </w:rPr>
        <w:t>438</w:t>
      </w:r>
      <w:r>
        <w:rPr>
          <w:rFonts w:hint="eastAsia" w:ascii="Times New Roman" w:hAnsi="Times New Roman" w:eastAsia="仿宋_GB2312"/>
          <w:sz w:val="32"/>
          <w:szCs w:val="32"/>
        </w:rPr>
        <w:t>万元，主要用于以下方面：</w:t>
      </w:r>
      <w:r>
        <w:rPr>
          <w:rFonts w:hint="eastAsia" w:ascii="Times New Roman" w:hAnsi="Times New Roman" w:eastAsia="仿宋_GB2312"/>
          <w:sz w:val="32"/>
          <w:szCs w:val="32"/>
          <w:lang w:val="en-US" w:eastAsia="zh-CN"/>
        </w:rPr>
        <w:t>用于农林水</w:t>
      </w:r>
      <w:r>
        <w:rPr>
          <w:rFonts w:hint="eastAsia" w:ascii="Times New Roman" w:hAnsi="Times New Roman" w:eastAsia="仿宋_GB2312"/>
          <w:sz w:val="32"/>
          <w:szCs w:val="32"/>
        </w:rPr>
        <w:t>支出</w:t>
      </w:r>
      <w:r>
        <w:rPr>
          <w:rFonts w:hint="eastAsia" w:ascii="Times New Roman" w:hAnsi="Times New Roman" w:eastAsia="仿宋_GB2312"/>
          <w:sz w:val="32"/>
          <w:szCs w:val="32"/>
          <w:lang w:val="en-US" w:eastAsia="zh-CN"/>
        </w:rPr>
        <w:t>438</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占100%。</w:t>
      </w:r>
    </w:p>
    <w:p w14:paraId="659DF5DD">
      <w:pPr>
        <w:pStyle w:val="13"/>
        <w:keepNext w:val="0"/>
        <w:keepLines w:val="0"/>
        <w:pageBreakBefore w:val="0"/>
        <w:widowControl w:val="0"/>
        <w:kinsoku/>
        <w:wordWrap/>
        <w:overflowPunct/>
        <w:topLinePunct w:val="0"/>
        <w:bidi w:val="0"/>
        <w:snapToGrid/>
        <w:spacing w:line="600" w:lineRule="exact"/>
        <w:ind w:firstLine="320" w:firstLineChars="100"/>
        <w:textAlignment w:val="auto"/>
        <w:rPr>
          <w:rFonts w:hint="eastAsia" w:ascii="楷体" w:hAnsi="楷体" w:eastAsia="楷体" w:cs="楷体"/>
          <w:b w:val="0"/>
          <w:bCs/>
          <w:sz w:val="32"/>
          <w:szCs w:val="32"/>
        </w:rPr>
      </w:pPr>
      <w:r>
        <w:rPr>
          <w:rFonts w:hint="eastAsia" w:ascii="楷体" w:hAnsi="楷体" w:eastAsia="楷体" w:cs="楷体"/>
          <w:b w:val="0"/>
          <w:bCs/>
          <w:sz w:val="32"/>
          <w:szCs w:val="32"/>
        </w:rPr>
        <w:t>（三）一般公共预算财政拨款支出决算具体情况</w:t>
      </w:r>
    </w:p>
    <w:p w14:paraId="610451FB">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sz w:val="32"/>
          <w:szCs w:val="32"/>
          <w:highlight w:val="yellow"/>
          <w:lang w:eastAsia="zh-CN"/>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年度财政拨款支出</w:t>
      </w:r>
      <w:r>
        <w:rPr>
          <w:rFonts w:hint="eastAsia" w:ascii="Times New Roman" w:hAnsi="Times New Roman" w:eastAsia="仿宋_GB2312"/>
          <w:sz w:val="32"/>
          <w:szCs w:val="32"/>
          <w:highlight w:val="none"/>
        </w:rPr>
        <w:t>年初预算数为</w:t>
      </w:r>
      <w:r>
        <w:rPr>
          <w:rFonts w:hint="eastAsia" w:ascii="Times New Roman" w:hAnsi="Times New Roman" w:eastAsia="仿宋_GB2312"/>
          <w:sz w:val="32"/>
          <w:szCs w:val="32"/>
          <w:highlight w:val="none"/>
          <w:lang w:val="en-US" w:eastAsia="zh-CN"/>
        </w:rPr>
        <w:t>424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，支出决算数为</w:t>
      </w:r>
      <w:r>
        <w:rPr>
          <w:rFonts w:hint="eastAsia" w:ascii="Times New Roman" w:hAnsi="Times New Roman" w:eastAsia="仿宋_GB2312"/>
          <w:sz w:val="32"/>
          <w:szCs w:val="32"/>
          <w:lang w:val="en-US" w:eastAsia="zh-CN"/>
        </w:rPr>
        <w:t>438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103%.</w:t>
      </w:r>
      <w:r>
        <w:rPr>
          <w:rFonts w:hint="eastAsia" w:ascii="Times New Roman" w:hAnsi="Times New Roman" w:eastAsia="仿宋_GB2312"/>
          <w:sz w:val="32"/>
          <w:szCs w:val="32"/>
        </w:rPr>
        <w:t>一般公共服务</w:t>
      </w:r>
      <w:r>
        <w:rPr>
          <w:rFonts w:hint="eastAsia" w:ascii="Times New Roman" w:hAnsi="Times New Roman" w:eastAsia="仿宋_GB2312"/>
          <w:sz w:val="32"/>
          <w:szCs w:val="32"/>
          <w:lang w:val="en-US" w:eastAsia="zh-CN"/>
        </w:rPr>
        <w:t>农林水支出</w:t>
      </w:r>
      <w:r>
        <w:rPr>
          <w:rFonts w:hint="eastAsia" w:ascii="Times New Roman" w:hAnsi="Times New Roman" w:eastAsia="仿宋_GB2312"/>
          <w:sz w:val="32"/>
          <w:szCs w:val="32"/>
          <w:highlight w:val="none"/>
        </w:rPr>
        <w:t>年初预算为</w:t>
      </w:r>
      <w:r>
        <w:rPr>
          <w:rFonts w:hint="eastAsia" w:ascii="Times New Roman" w:hAnsi="Times New Roman" w:eastAsia="仿宋_GB2312"/>
          <w:sz w:val="32"/>
          <w:szCs w:val="32"/>
          <w:highlight w:val="none"/>
          <w:lang w:val="en-US" w:eastAsia="zh-CN"/>
        </w:rPr>
        <w:t>424</w:t>
      </w:r>
      <w:r>
        <w:rPr>
          <w:rFonts w:hint="eastAsia" w:ascii="Times New Roman" w:hAnsi="Times New Roman" w:eastAsia="仿宋_GB2312"/>
          <w:sz w:val="32"/>
          <w:szCs w:val="32"/>
          <w:highlight w:val="none"/>
        </w:rPr>
        <w:t>万元，</w:t>
      </w:r>
      <w:r>
        <w:rPr>
          <w:rFonts w:hint="eastAsia" w:ascii="Times New Roman" w:hAnsi="Times New Roman" w:eastAsia="仿宋_GB2312"/>
          <w:sz w:val="32"/>
          <w:szCs w:val="32"/>
        </w:rPr>
        <w:t>支出决算为</w:t>
      </w:r>
      <w:r>
        <w:rPr>
          <w:rFonts w:hint="eastAsia" w:ascii="Times New Roman" w:hAnsi="Times New Roman" w:eastAsia="仿宋_GB2312"/>
          <w:sz w:val="32"/>
          <w:szCs w:val="32"/>
          <w:lang w:val="en-US" w:eastAsia="zh-CN"/>
        </w:rPr>
        <w:t>438</w:t>
      </w:r>
      <w:r>
        <w:rPr>
          <w:rFonts w:hint="eastAsia" w:ascii="Times New Roman" w:hAnsi="Times New Roman" w:eastAsia="仿宋_GB2312"/>
          <w:sz w:val="32"/>
          <w:szCs w:val="32"/>
        </w:rPr>
        <w:t>万元，完成年初预算的</w:t>
      </w:r>
      <w:r>
        <w:rPr>
          <w:rFonts w:hint="eastAsia" w:ascii="Times New Roman" w:hAnsi="Times New Roman" w:eastAsia="仿宋_GB2312"/>
          <w:sz w:val="32"/>
          <w:szCs w:val="32"/>
          <w:lang w:val="en-US" w:eastAsia="zh-CN"/>
        </w:rPr>
        <w:t>103</w:t>
      </w:r>
      <w:r>
        <w:rPr>
          <w:rFonts w:hint="eastAsia" w:ascii="Times New Roman" w:hAnsi="Times New Roman" w:eastAsia="仿宋_GB2312"/>
          <w:sz w:val="32"/>
          <w:szCs w:val="32"/>
        </w:rPr>
        <w:t>%，决算数大于年初预算数的</w:t>
      </w:r>
      <w:r>
        <w:rPr>
          <w:rFonts w:hint="eastAsia" w:ascii="Times New Roman" w:hAnsi="Times New Roman" w:eastAsia="仿宋_GB2312"/>
          <w:sz w:val="32"/>
          <w:szCs w:val="32"/>
          <w:highlight w:val="none"/>
        </w:rPr>
        <w:t>主要原因是：</w:t>
      </w:r>
      <w:r>
        <w:rPr>
          <w:rFonts w:hint="eastAsia" w:ascii="Times New Roman" w:hAnsi="Times New Roman" w:eastAsia="仿宋_GB2312"/>
          <w:sz w:val="32"/>
          <w:szCs w:val="32"/>
          <w:highlight w:val="none"/>
          <w:lang w:val="en-US" w:eastAsia="zh-CN"/>
        </w:rPr>
        <w:t>本年度人员增加</w:t>
      </w:r>
      <w:r>
        <w:rPr>
          <w:rFonts w:hint="eastAsia" w:ascii="Times New Roman" w:hAnsi="Times New Roman" w:eastAsia="仿宋_GB2312"/>
          <w:sz w:val="32"/>
          <w:szCs w:val="32"/>
          <w:highlight w:val="none"/>
          <w:lang w:eastAsia="zh-CN"/>
        </w:rPr>
        <w:t>。</w:t>
      </w:r>
    </w:p>
    <w:p w14:paraId="68420552">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FF0000"/>
          <w:sz w:val="32"/>
          <w:szCs w:val="32"/>
        </w:rPr>
      </w:pPr>
    </w:p>
    <w:p w14:paraId="3FA93F4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六、一般公共预算财政拨款基本支出决算情况说明</w:t>
      </w:r>
    </w:p>
    <w:p w14:paraId="26B5A99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年度财政拨款基本支出</w:t>
      </w:r>
      <w:r>
        <w:rPr>
          <w:rFonts w:hint="eastAsia" w:ascii="Times New Roman" w:hAnsi="Times New Roman" w:eastAsia="仿宋_GB2312"/>
          <w:sz w:val="32"/>
          <w:szCs w:val="32"/>
          <w:lang w:val="en-US" w:eastAsia="zh-CN"/>
        </w:rPr>
        <w:t>438</w:t>
      </w:r>
      <w:r>
        <w:rPr>
          <w:rFonts w:hint="eastAsia" w:ascii="Times New Roman" w:hAnsi="Times New Roman" w:eastAsia="仿宋_GB2312"/>
          <w:sz w:val="32"/>
          <w:szCs w:val="32"/>
        </w:rPr>
        <w:t>万元，其中：</w:t>
      </w:r>
    </w:p>
    <w:p w14:paraId="33F5C775">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b/>
          <w:bCs/>
          <w:sz w:val="32"/>
          <w:szCs w:val="32"/>
        </w:rPr>
        <w:t>人员经费</w:t>
      </w:r>
      <w:r>
        <w:rPr>
          <w:rFonts w:hint="eastAsia" w:ascii="Times New Roman" w:hAnsi="Times New Roman" w:eastAsia="仿宋_GB2312"/>
          <w:b/>
          <w:bCs/>
          <w:sz w:val="32"/>
          <w:szCs w:val="32"/>
          <w:lang w:val="en-US" w:eastAsia="zh-CN"/>
        </w:rPr>
        <w:t>380</w:t>
      </w:r>
      <w:r>
        <w:rPr>
          <w:rFonts w:hint="eastAsia" w:ascii="Times New Roman" w:hAnsi="Times New Roman" w:eastAsia="仿宋_GB2312"/>
          <w:sz w:val="32"/>
          <w:szCs w:val="32"/>
        </w:rPr>
        <w:t>万元，占基本支出的</w:t>
      </w:r>
      <w:r>
        <w:rPr>
          <w:rFonts w:hint="eastAsia" w:ascii="Times New Roman" w:hAnsi="Times New Roman" w:eastAsia="仿宋_GB2312"/>
          <w:sz w:val="32"/>
          <w:szCs w:val="32"/>
          <w:lang w:val="en-US" w:eastAsia="zh-CN"/>
        </w:rPr>
        <w:t>86</w:t>
      </w:r>
      <w:r>
        <w:rPr>
          <w:rFonts w:hint="eastAsia" w:ascii="Times New Roman" w:hAnsi="Times New Roman" w:eastAsia="仿宋_GB2312"/>
          <w:sz w:val="32"/>
          <w:szCs w:val="32"/>
        </w:rPr>
        <w:t>%,主要包括基本工资、津贴补贴、奖金、伙食补助费</w:t>
      </w:r>
      <w:r>
        <w:rPr>
          <w:rFonts w:hint="eastAsia" w:ascii="Times New Roman" w:hAnsi="Times New Roman" w:eastAsia="仿宋_GB2312"/>
          <w:sz w:val="32"/>
          <w:szCs w:val="32"/>
          <w:lang w:val="zh-CN"/>
        </w:rPr>
        <w:t>、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w:t>
      </w:r>
      <w:r>
        <w:rPr>
          <w:rFonts w:hint="eastAsia" w:ascii="Times New Roman" w:hAnsi="Times New Roman" w:eastAsia="仿宋_GB2312"/>
          <w:sz w:val="32"/>
          <w:szCs w:val="32"/>
          <w:lang w:eastAsia="zh-CN"/>
        </w:rPr>
        <w:t>。</w:t>
      </w:r>
    </w:p>
    <w:p w14:paraId="2F128635">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color w:val="FF0000"/>
          <w:sz w:val="32"/>
          <w:szCs w:val="32"/>
          <w:lang w:eastAsia="zh-CN"/>
        </w:rPr>
      </w:pPr>
    </w:p>
    <w:p w14:paraId="25335183">
      <w:pPr>
        <w:keepNext/>
        <w:keepLines/>
        <w:ind w:firstLine="643"/>
        <w:jc w:val="left"/>
        <w:rPr>
          <w:rFonts w:hint="eastAsia" w:ascii="宋体" w:hAnsi="宋体" w:eastAsia="宋体"/>
          <w:color w:val="auto"/>
          <w:kern w:val="0"/>
          <w:sz w:val="32"/>
          <w:szCs w:val="24"/>
          <w:highlight w:val="white"/>
          <w:lang w:val="en-US"/>
        </w:rPr>
      </w:pPr>
      <w:r>
        <w:rPr>
          <w:rFonts w:hint="eastAsia" w:ascii="Times New Roman" w:hAnsi="Times New Roman" w:eastAsia="仿宋_GB2312"/>
          <w:b/>
          <w:bCs/>
          <w:sz w:val="32"/>
          <w:szCs w:val="32"/>
        </w:rPr>
        <w:t>公用经费</w:t>
      </w:r>
      <w:r>
        <w:rPr>
          <w:rFonts w:hint="eastAsia" w:ascii="Times New Roman" w:hAnsi="Times New Roman" w:eastAsia="仿宋_GB2312"/>
          <w:b/>
          <w:bCs/>
          <w:sz w:val="32"/>
          <w:szCs w:val="32"/>
          <w:lang w:val="en-US" w:eastAsia="zh-CN"/>
        </w:rPr>
        <w:t>54</w:t>
      </w:r>
      <w:r>
        <w:rPr>
          <w:rFonts w:hint="eastAsia" w:ascii="Times New Roman" w:hAnsi="Times New Roman" w:eastAsia="仿宋_GB2312"/>
          <w:sz w:val="32"/>
          <w:szCs w:val="32"/>
        </w:rPr>
        <w:t>万元，主要包括办公费、印刷费、咨询费、手续费</w:t>
      </w:r>
      <w:r>
        <w:rPr>
          <w:rFonts w:hint="eastAsia" w:ascii="Times New Roman" w:hAnsi="Times New Roman" w:eastAsia="仿宋_GB2312"/>
          <w:sz w:val="32"/>
          <w:szCs w:val="32"/>
          <w:lang w:val="en-US"/>
        </w:rPr>
        <w:t>、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交通工具购置、文物和陈列品购置、无形资产购置、其他资本性支出、赠与。</w:t>
      </w:r>
    </w:p>
    <w:p w14:paraId="5719D108">
      <w:pPr>
        <w:pStyle w:val="13"/>
        <w:keepNext w:val="0"/>
        <w:keepLines w:val="0"/>
        <w:pageBreakBefore w:val="0"/>
        <w:widowControl w:val="0"/>
        <w:kinsoku/>
        <w:wordWrap/>
        <w:overflowPunct/>
        <w:topLinePunct w:val="0"/>
        <w:bidi w:val="0"/>
        <w:snapToGrid/>
        <w:spacing w:line="600" w:lineRule="exact"/>
        <w:textAlignment w:val="auto"/>
        <w:rPr>
          <w:rFonts w:hint="eastAsia" w:ascii="Times New Roman" w:hAnsi="Times New Roman" w:eastAsia="仿宋_GB2312"/>
          <w:b/>
          <w:color w:val="FF0000"/>
          <w:sz w:val="32"/>
          <w:szCs w:val="32"/>
        </w:rPr>
      </w:pPr>
    </w:p>
    <w:p w14:paraId="6C51D884">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FF0000"/>
          <w:sz w:val="32"/>
          <w:szCs w:val="32"/>
        </w:rPr>
      </w:pPr>
      <w:r>
        <w:rPr>
          <w:rFonts w:hint="eastAsia" w:ascii="黑体" w:hAnsi="黑体" w:eastAsia="黑体" w:cs="黑体"/>
          <w:b w:val="0"/>
          <w:bCs/>
          <w:sz w:val="32"/>
          <w:szCs w:val="32"/>
        </w:rPr>
        <w:t>七、财政拨款三公经费支出决算情况说明</w:t>
      </w:r>
    </w:p>
    <w:p w14:paraId="20288DC7">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（一）“三公”经费财政拨款支出决算总体情况说明</w:t>
      </w:r>
    </w:p>
    <w:p w14:paraId="16277A4E">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hint="default" w:ascii="Times New Roman" w:hAnsi="Times New Roman" w:eastAsia="仿宋_GB2312"/>
          <w:sz w:val="32"/>
          <w:szCs w:val="32"/>
          <w:lang w:val="en-US" w:eastAsia="zh-CN"/>
        </w:rPr>
      </w:pPr>
      <w:r>
        <w:rPr>
          <w:rFonts w:hint="eastAsia" w:ascii="Times New Roman" w:hAnsi="Times New Roman" w:eastAsia="仿宋_GB2312"/>
          <w:sz w:val="32"/>
          <w:szCs w:val="32"/>
        </w:rPr>
        <w:t>“三公”经费财政拨款支出预算为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%，主要原因是</w:t>
      </w:r>
      <w:r>
        <w:rPr>
          <w:rFonts w:hint="eastAsia" w:ascii="Times New Roman" w:hAnsi="Times New Roman" w:eastAsia="仿宋_GB2312"/>
          <w:sz w:val="32"/>
          <w:szCs w:val="32"/>
          <w:lang w:val="en-US" w:eastAsia="zh-CN"/>
        </w:rPr>
        <w:t>本单位职能改变，相应的检查及各项工作的开展增加接待开支，</w:t>
      </w:r>
      <w:r>
        <w:rPr>
          <w:rFonts w:hint="eastAsia" w:ascii="Times New Roman" w:hAnsi="Times New Roman" w:eastAsia="仿宋_GB2312"/>
          <w:sz w:val="32"/>
          <w:szCs w:val="32"/>
        </w:rPr>
        <w:t>与上年相比</w:t>
      </w:r>
      <w:r>
        <w:rPr>
          <w:rFonts w:hint="eastAsia" w:ascii="Times New Roman" w:hAnsi="Times New Roman" w:eastAsia="仿宋_GB2312"/>
          <w:sz w:val="32"/>
          <w:szCs w:val="32"/>
          <w:lang w:val="en-US" w:eastAsia="zh-CN"/>
        </w:rPr>
        <w:t>增加0.49</w:t>
      </w:r>
      <w:r>
        <w:rPr>
          <w:rFonts w:hint="eastAsia" w:ascii="Times New Roman" w:hAnsi="Times New Roman" w:eastAsia="仿宋_GB2312"/>
          <w:sz w:val="32"/>
          <w:szCs w:val="32"/>
        </w:rPr>
        <w:t>万</w:t>
      </w:r>
      <w:r>
        <w:rPr>
          <w:rFonts w:hint="eastAsia" w:ascii="Times New Roman" w:hAnsi="Times New Roman" w:eastAsia="仿宋_GB2312"/>
          <w:sz w:val="32"/>
          <w:szCs w:val="32"/>
          <w:lang w:val="en-US" w:eastAsia="zh-CN"/>
        </w:rPr>
        <w:t>。</w:t>
      </w:r>
    </w:p>
    <w:p w14:paraId="4A7058E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因公出国（境）费支出预算为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73FCC69">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公务接待费支出预算为</w:t>
      </w:r>
      <w:r>
        <w:rPr>
          <w:rFonts w:hint="eastAsia" w:ascii="Times New Roman" w:hAnsi="Times New Roman" w:eastAsia="仿宋_GB2312"/>
          <w:sz w:val="32"/>
          <w:szCs w:val="32"/>
          <w:lang w:val="en-US" w:eastAsia="zh-CN"/>
        </w:rPr>
        <w:t>2</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54</w:t>
      </w:r>
      <w:r>
        <w:rPr>
          <w:rFonts w:hint="eastAsia" w:ascii="Times New Roman" w:hAnsi="Times New Roman" w:eastAsia="仿宋_GB2312"/>
          <w:sz w:val="32"/>
          <w:szCs w:val="32"/>
        </w:rPr>
        <w:t>%，</w:t>
      </w:r>
      <w:r>
        <w:rPr>
          <w:rFonts w:hint="eastAsia" w:ascii="Times New Roman" w:hAnsi="Times New Roman" w:eastAsia="仿宋_GB2312"/>
          <w:sz w:val="32"/>
          <w:szCs w:val="32"/>
          <w:lang w:val="en-US" w:eastAsia="zh-CN"/>
        </w:rPr>
        <w:t>与上年比增加0.49万元</w:t>
      </w:r>
      <w:r>
        <w:rPr>
          <w:rFonts w:hint="eastAsia" w:ascii="Times New Roman" w:hAnsi="Times New Roman" w:eastAsia="仿宋_GB2312"/>
          <w:sz w:val="32"/>
          <w:szCs w:val="32"/>
        </w:rPr>
        <w:t>与的主要原因是</w:t>
      </w:r>
      <w:r>
        <w:rPr>
          <w:rFonts w:hint="eastAsia" w:ascii="Times New Roman" w:hAnsi="Times New Roman" w:eastAsia="仿宋_GB2312"/>
          <w:sz w:val="32"/>
          <w:szCs w:val="32"/>
          <w:lang w:val="en-US" w:eastAsia="zh-CN"/>
        </w:rPr>
        <w:t>项目检查接待开支增加</w:t>
      </w:r>
      <w:r>
        <w:rPr>
          <w:rFonts w:hint="eastAsia" w:ascii="Times New Roman" w:hAnsi="Times New Roman" w:eastAsia="仿宋_GB2312"/>
          <w:sz w:val="32"/>
          <w:szCs w:val="32"/>
        </w:rPr>
        <w:t>。</w:t>
      </w:r>
    </w:p>
    <w:p w14:paraId="7498940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公务用车购置费支出预算为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p>
    <w:p w14:paraId="2252110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r>
        <w:rPr>
          <w:rFonts w:hint="eastAsia" w:ascii="Times New Roman" w:hAnsi="Times New Roman" w:eastAsia="仿宋_GB2312"/>
          <w:sz w:val="32"/>
          <w:szCs w:val="32"/>
        </w:rPr>
        <w:t>公务用车运行维护费支出预算为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万元，完成预算的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w:t>
      </w:r>
      <w:r>
        <w:rPr>
          <w:rFonts w:hint="eastAsia" w:ascii="Times New Roman" w:hAnsi="Times New Roman" w:eastAsia="仿宋_GB2312"/>
          <w:sz w:val="32"/>
          <w:szCs w:val="32"/>
          <w:lang w:eastAsia="zh-CN"/>
        </w:rPr>
        <w:t>。</w:t>
      </w:r>
    </w:p>
    <w:p w14:paraId="4FC9FC9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sz w:val="32"/>
          <w:szCs w:val="32"/>
        </w:rPr>
      </w:pPr>
      <w:r>
        <w:rPr>
          <w:rFonts w:hint="eastAsia" w:ascii="楷体" w:hAnsi="楷体" w:eastAsia="楷体" w:cs="楷体"/>
          <w:b/>
          <w:bCs w:val="0"/>
          <w:sz w:val="32"/>
          <w:szCs w:val="32"/>
        </w:rPr>
        <w:t>（二）“三公”经费财政拨款支出决算具体情况说明</w:t>
      </w:r>
    </w:p>
    <w:p w14:paraId="151A81E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sz w:val="32"/>
          <w:szCs w:val="32"/>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年度“三公”经费财政拨款支出决算中，公务接待费支出决算</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100</w:t>
      </w:r>
      <w:r>
        <w:rPr>
          <w:rFonts w:hint="eastAsia" w:ascii="Times New Roman" w:hAnsi="Times New Roman" w:eastAsia="仿宋_GB2312"/>
          <w:sz w:val="32"/>
          <w:szCs w:val="32"/>
        </w:rPr>
        <w:t>%,因公出国（境）费支出决算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%,公务用车购置费及运行维护费支出决算</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w:t>
      </w:r>
    </w:p>
    <w:p w14:paraId="4674077A">
      <w:pPr>
        <w:pStyle w:val="13"/>
        <w:keepNext w:val="0"/>
        <w:keepLines w:val="0"/>
        <w:pageBreakBefore w:val="0"/>
        <w:widowControl w:val="0"/>
        <w:numPr>
          <w:ilvl w:val="0"/>
          <w:numId w:val="0"/>
        </w:numPr>
        <w:kinsoku/>
        <w:wordWrap/>
        <w:overflowPunct/>
        <w:topLinePunct w:val="0"/>
        <w:bidi w:val="0"/>
        <w:snapToGrid/>
        <w:spacing w:line="600" w:lineRule="exact"/>
        <w:ind w:firstLine="640" w:firstLineChars="200"/>
        <w:textAlignment w:val="auto"/>
        <w:rPr>
          <w:rFonts w:hint="eastAsia" w:ascii="Times New Roman" w:hAnsi="Times New Roman" w:eastAsia="仿宋_GB2312"/>
          <w:b/>
          <w:sz w:val="32"/>
          <w:szCs w:val="32"/>
          <w:lang w:eastAsia="zh-CN"/>
        </w:rPr>
      </w:pPr>
      <w:r>
        <w:rPr>
          <w:rFonts w:hint="eastAsia" w:ascii="Times New Roman" w:hAnsi="Times New Roman" w:eastAsia="仿宋_GB2312"/>
          <w:sz w:val="32"/>
          <w:szCs w:val="32"/>
          <w:lang w:val="en-US" w:eastAsia="zh-CN"/>
        </w:rPr>
        <w:t>1、</w:t>
      </w:r>
      <w:r>
        <w:rPr>
          <w:rFonts w:hint="eastAsia" w:ascii="Times New Roman" w:hAnsi="Times New Roman" w:eastAsia="仿宋_GB2312"/>
          <w:sz w:val="32"/>
          <w:szCs w:val="32"/>
        </w:rPr>
        <w:t>因公出国（境）费支出决算为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万元，全年安排因公出国（境）团组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个，累计</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人次</w:t>
      </w:r>
      <w:r>
        <w:rPr>
          <w:rFonts w:hint="eastAsia" w:ascii="楷体" w:hAnsi="楷体" w:eastAsia="楷体" w:cs="楷体"/>
          <w:b/>
          <w:bCs/>
          <w:i/>
          <w:color w:val="auto"/>
          <w:sz w:val="32"/>
          <w:szCs w:val="32"/>
        </w:rPr>
        <w:t>,</w:t>
      </w:r>
      <w:r>
        <w:rPr>
          <w:rFonts w:hint="eastAsia" w:ascii="Times New Roman" w:hAnsi="Times New Roman" w:eastAsia="仿宋_GB2312"/>
          <w:sz w:val="32"/>
          <w:szCs w:val="32"/>
        </w:rPr>
        <w:t>开支内容包括：</w:t>
      </w:r>
      <w:r>
        <w:rPr>
          <w:rFonts w:hint="eastAsia" w:ascii="Times New Roman" w:hAnsi="Times New Roman" w:eastAsia="仿宋_GB2312"/>
          <w:sz w:val="32"/>
          <w:szCs w:val="32"/>
          <w:lang w:eastAsia="zh-CN"/>
        </w:rPr>
        <w:t>无。</w:t>
      </w:r>
    </w:p>
    <w:p w14:paraId="242FD71D">
      <w:pPr>
        <w:pStyle w:val="13"/>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sz w:val="32"/>
          <w:szCs w:val="32"/>
        </w:rPr>
      </w:pPr>
      <w:r>
        <w:rPr>
          <w:rFonts w:hint="eastAsia" w:ascii="Times New Roman" w:hAnsi="Times New Roman" w:eastAsia="仿宋_GB2312"/>
          <w:sz w:val="32"/>
          <w:szCs w:val="32"/>
        </w:rPr>
        <w:t>2、公务接待费支出决算为</w:t>
      </w:r>
      <w:r>
        <w:rPr>
          <w:rFonts w:hint="eastAsia" w:ascii="Times New Roman" w:hAnsi="Times New Roman" w:eastAsia="仿宋_GB2312"/>
          <w:sz w:val="32"/>
          <w:szCs w:val="32"/>
          <w:lang w:val="en-US" w:eastAsia="zh-CN"/>
        </w:rPr>
        <w:t>1.08</w:t>
      </w:r>
      <w:r>
        <w:rPr>
          <w:rFonts w:hint="eastAsia" w:ascii="Times New Roman" w:hAnsi="Times New Roman" w:eastAsia="仿宋_GB2312"/>
          <w:sz w:val="32"/>
          <w:szCs w:val="32"/>
        </w:rPr>
        <w:t>万元，全年共接待来访团组</w:t>
      </w:r>
      <w:r>
        <w:rPr>
          <w:rFonts w:hint="eastAsia" w:ascii="Times New Roman" w:hAnsi="Times New Roman" w:eastAsia="仿宋_GB2312"/>
          <w:sz w:val="32"/>
          <w:szCs w:val="32"/>
          <w:lang w:val="en-US" w:eastAsia="zh-CN"/>
        </w:rPr>
        <w:t>12</w:t>
      </w:r>
      <w:r>
        <w:rPr>
          <w:rFonts w:hint="eastAsia" w:ascii="Times New Roman" w:hAnsi="Times New Roman" w:eastAsia="仿宋_GB2312"/>
          <w:sz w:val="32"/>
          <w:szCs w:val="32"/>
        </w:rPr>
        <w:t>个、来宾</w:t>
      </w:r>
      <w:r>
        <w:rPr>
          <w:rFonts w:hint="eastAsia" w:ascii="Times New Roman" w:hAnsi="Times New Roman" w:eastAsia="仿宋_GB2312"/>
          <w:sz w:val="32"/>
          <w:szCs w:val="32"/>
          <w:lang w:val="en-US" w:eastAsia="zh-CN"/>
        </w:rPr>
        <w:t>60</w:t>
      </w:r>
      <w:r>
        <w:rPr>
          <w:rFonts w:hint="eastAsia" w:ascii="Times New Roman" w:hAnsi="Times New Roman" w:eastAsia="仿宋_GB2312"/>
          <w:sz w:val="32"/>
          <w:szCs w:val="32"/>
        </w:rPr>
        <w:t>人次，主要是</w:t>
      </w:r>
      <w:r>
        <w:rPr>
          <w:rFonts w:hint="eastAsia" w:ascii="Times New Roman" w:hAnsi="Times New Roman" w:eastAsia="仿宋_GB2312"/>
          <w:sz w:val="32"/>
          <w:szCs w:val="32"/>
          <w:lang w:eastAsia="zh-CN"/>
        </w:rPr>
        <w:t>单位项目检查</w:t>
      </w:r>
      <w:r>
        <w:rPr>
          <w:rFonts w:hint="eastAsia" w:ascii="Times New Roman" w:hAnsi="Times New Roman" w:eastAsia="仿宋_GB2312"/>
          <w:sz w:val="32"/>
          <w:szCs w:val="32"/>
        </w:rPr>
        <w:t>发生的接待支出。</w:t>
      </w:r>
    </w:p>
    <w:p w14:paraId="74636339">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FF0000"/>
          <w:kern w:val="0"/>
          <w:sz w:val="32"/>
          <w:szCs w:val="32"/>
          <w:lang w:val="en-US" w:eastAsia="zh-CN" w:bidi="ar-SA"/>
        </w:rPr>
      </w:pPr>
      <w:r>
        <w:rPr>
          <w:rFonts w:hint="eastAsia" w:ascii="Times New Roman" w:hAnsi="Times New Roman" w:eastAsia="仿宋_GB2312"/>
          <w:sz w:val="32"/>
          <w:szCs w:val="32"/>
        </w:rPr>
        <w:t>3、公务用车购置费及运行维护费支出决算为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万元，其中：公务用车购置费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（单位本级或某二级机构）更新公务用车</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r>
        <w:rPr>
          <w:rFonts w:hint="eastAsia" w:ascii="Times New Roman" w:hAnsi="Times New Roman" w:eastAsia="仿宋_GB2312"/>
          <w:color w:val="000000" w:themeColor="text1"/>
          <w:sz w:val="32"/>
          <w:szCs w:val="32"/>
          <w14:textFill>
            <w14:solidFill>
              <w14:schemeClr w14:val="tx1"/>
            </w14:solidFill>
          </w14:textFill>
        </w:rPr>
        <w:t>。</w:t>
      </w:r>
      <w:r>
        <w:rPr>
          <w:rFonts w:hint="eastAsia" w:ascii="Times New Roman" w:hAnsi="Times New Roman" w:eastAsia="仿宋_GB2312"/>
          <w:sz w:val="32"/>
          <w:szCs w:val="32"/>
        </w:rPr>
        <w:t>公务用车运行维护费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万元，主要是</w:t>
      </w:r>
      <w:r>
        <w:rPr>
          <w:rFonts w:hint="eastAsia" w:ascii="Times New Roman" w:hAnsi="Times New Roman" w:eastAsia="仿宋_GB2312"/>
          <w:sz w:val="32"/>
          <w:szCs w:val="32"/>
          <w:lang w:eastAsia="zh-CN"/>
        </w:rPr>
        <w:t>无</w:t>
      </w:r>
      <w:r>
        <w:rPr>
          <w:rFonts w:hint="eastAsia" w:ascii="Times New Roman" w:hAnsi="Times New Roman" w:eastAsia="仿宋_GB2312"/>
          <w:sz w:val="32"/>
          <w:szCs w:val="32"/>
        </w:rPr>
        <w:t>支出，截止202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年12月31日，我单位开支财政拨款的公务用车保有量为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辆。</w:t>
      </w:r>
    </w:p>
    <w:p w14:paraId="5CEA5BE6">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rPr>
      </w:pPr>
      <w:r>
        <w:rPr>
          <w:rFonts w:hint="eastAsia" w:ascii="黑体" w:hAnsi="黑体" w:eastAsia="黑体" w:cs="黑体"/>
          <w:b w:val="0"/>
          <w:bCs/>
          <w:sz w:val="32"/>
          <w:szCs w:val="32"/>
        </w:rPr>
        <w:t>八、政府性基金预算收入支出决算情况</w:t>
      </w:r>
    </w:p>
    <w:p w14:paraId="33868CBB">
      <w:pPr>
        <w:pStyle w:val="13"/>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FF0000"/>
          <w:sz w:val="32"/>
          <w:szCs w:val="32"/>
        </w:rPr>
      </w:pPr>
      <w:r>
        <w:rPr>
          <w:rFonts w:hint="eastAsia" w:ascii="Times New Roman" w:hAnsi="Times New Roman" w:eastAsia="仿宋_GB2312"/>
          <w:sz w:val="32"/>
          <w:szCs w:val="32"/>
        </w:rPr>
        <w:t xml:space="preserve">     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年度政府性基金预算财政拨款收入</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万元；年初结转和结余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万元，其中基本支出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万元，项目支出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万元；年末结转和结余</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18D48AE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九、国有资本经营预算财政拨款支出决算情况</w:t>
      </w:r>
    </w:p>
    <w:p w14:paraId="6EBA667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lang w:eastAsia="zh-CN"/>
        </w:rPr>
      </w:pPr>
      <w:bookmarkStart w:id="0" w:name="_GoBack"/>
      <w:bookmarkEnd w:id="0"/>
      <w:r>
        <w:rPr>
          <w:rFonts w:hint="eastAsia" w:ascii="Times New Roman" w:hAnsi="Times New Roman" w:eastAsia="仿宋_GB2312"/>
          <w:sz w:val="32"/>
          <w:szCs w:val="32"/>
          <w:lang w:eastAsia="zh-CN"/>
        </w:rPr>
        <w:t>2023年本单位没有使用国有资本经营预算安排的支出。</w:t>
      </w:r>
    </w:p>
    <w:p w14:paraId="004F622D">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lang w:eastAsia="zh-CN"/>
        </w:rPr>
      </w:pPr>
      <w:r>
        <w:rPr>
          <w:rFonts w:hint="eastAsia" w:ascii="Times New Roman" w:hAnsi="Times New Roman" w:eastAsia="仿宋_GB2312"/>
          <w:b/>
          <w:color w:val="auto"/>
          <w:sz w:val="32"/>
          <w:szCs w:val="32"/>
          <w:lang w:eastAsia="zh-CN"/>
        </w:rPr>
        <w:t>十、关于机关运行经费支出说明</w:t>
      </w:r>
    </w:p>
    <w:p w14:paraId="0F7DEF39">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sz w:val="32"/>
          <w:szCs w:val="32"/>
        </w:rPr>
      </w:pPr>
      <w:r>
        <w:rPr>
          <w:rFonts w:hint="eastAsia" w:ascii="Times New Roman" w:hAnsi="Times New Roman" w:eastAsia="仿宋_GB2312"/>
          <w:sz w:val="32"/>
          <w:szCs w:val="32"/>
          <w:lang w:eastAsia="zh-CN"/>
        </w:rPr>
        <w:t>本单位是非参公管理的事业单位，</w:t>
      </w: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年度机关运行经费支出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p>
    <w:p w14:paraId="11BC774A">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十一、一般性支出情况说明</w:t>
      </w:r>
    </w:p>
    <w:p w14:paraId="70ABE1F8">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仿宋_GB2312" w:cs="楷体"/>
          <w:b/>
          <w:bCs/>
          <w:i/>
          <w:color w:val="FF0000"/>
          <w:kern w:val="0"/>
          <w:sz w:val="32"/>
          <w:szCs w:val="32"/>
          <w:lang w:val="en-US" w:eastAsia="zh-CN" w:bidi="ar-SA"/>
        </w:rPr>
      </w:pPr>
      <w:r>
        <w:rPr>
          <w:rFonts w:hint="eastAsia" w:ascii="Times New Roman" w:hAnsi="Times New Roman" w:eastAsia="仿宋_GB2312"/>
          <w:sz w:val="32"/>
          <w:szCs w:val="32"/>
        </w:rPr>
        <w:t>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年本部门开支会议费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人；开支培训费</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rPr>
        <w:t>人数</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人</w:t>
      </w:r>
      <w:r>
        <w:rPr>
          <w:rFonts w:hint="eastAsia" w:ascii="Times New Roman" w:hAnsi="Times New Roman" w:eastAsia="仿宋_GB2312"/>
          <w:sz w:val="32"/>
          <w:szCs w:val="32"/>
          <w:lang w:eastAsia="zh-CN"/>
        </w:rPr>
        <w:t>。</w:t>
      </w:r>
      <w:r>
        <w:rPr>
          <w:rFonts w:hint="eastAsia" w:ascii="Times New Roman" w:hAnsi="Times New Roman" w:eastAsia="仿宋_GB2312"/>
          <w:sz w:val="32"/>
          <w:szCs w:val="32"/>
          <w:lang w:val="en-US" w:eastAsia="zh-CN"/>
        </w:rPr>
        <w:t>未</w:t>
      </w:r>
      <w:r>
        <w:rPr>
          <w:rFonts w:hint="eastAsia" w:ascii="Times New Roman" w:hAnsi="Times New Roman" w:eastAsia="仿宋_GB2312"/>
          <w:sz w:val="32"/>
          <w:szCs w:val="32"/>
        </w:rPr>
        <w:t>举办节庆、晚会、论坛、赛事</w:t>
      </w:r>
      <w:r>
        <w:rPr>
          <w:rFonts w:hint="eastAsia" w:ascii="Times New Roman" w:hAnsi="Times New Roman" w:eastAsia="仿宋_GB2312"/>
          <w:sz w:val="32"/>
          <w:szCs w:val="32"/>
          <w:lang w:val="en-US" w:eastAsia="zh-CN"/>
        </w:rPr>
        <w:t>等</w:t>
      </w:r>
      <w:r>
        <w:rPr>
          <w:rFonts w:hint="eastAsia" w:ascii="Times New Roman" w:hAnsi="Times New Roman" w:eastAsia="仿宋_GB2312"/>
          <w:sz w:val="32"/>
          <w:szCs w:val="32"/>
        </w:rPr>
        <w:t>活动，开支</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w:t>
      </w:r>
      <w:r>
        <w:rPr>
          <w:rFonts w:hint="eastAsia" w:ascii="Times New Roman" w:hAnsi="Times New Roman" w:eastAsia="仿宋_GB2312"/>
          <w:sz w:val="32"/>
          <w:szCs w:val="32"/>
          <w:lang w:eastAsia="zh-CN"/>
        </w:rPr>
        <w:t>。</w:t>
      </w:r>
    </w:p>
    <w:p w14:paraId="71DF600E">
      <w:pPr>
        <w:pStyle w:val="13"/>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sz w:val="32"/>
          <w:szCs w:val="32"/>
          <w:lang w:eastAsia="zh-CN"/>
        </w:rPr>
      </w:pPr>
      <w:r>
        <w:rPr>
          <w:rFonts w:hint="eastAsia" w:hAnsi="黑体" w:cs="黑体"/>
          <w:b w:val="0"/>
          <w:bCs/>
          <w:sz w:val="32"/>
          <w:szCs w:val="32"/>
          <w:lang w:eastAsia="zh-CN"/>
        </w:rPr>
        <w:t>十二、关于政府采购支出说明</w:t>
      </w:r>
    </w:p>
    <w:p w14:paraId="37AEA87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Times New Roman" w:hAnsi="Times New Roman" w:eastAsia="仿宋_GB2312"/>
          <w:color w:val="auto"/>
          <w:sz w:val="32"/>
          <w:szCs w:val="32"/>
        </w:rPr>
      </w:pPr>
      <w:r>
        <w:rPr>
          <w:rFonts w:hint="eastAsia" w:ascii="Times New Roman" w:hAnsi="Times New Roman" w:eastAsia="仿宋_GB2312"/>
          <w:sz w:val="32"/>
          <w:szCs w:val="32"/>
        </w:rPr>
        <w:t>本部门202</w:t>
      </w:r>
      <w:r>
        <w:rPr>
          <w:rFonts w:hint="eastAsia" w:ascii="Times New Roman" w:hAnsi="Times New Roman" w:eastAsia="仿宋_GB2312"/>
          <w:sz w:val="32"/>
          <w:szCs w:val="32"/>
          <w:lang w:val="en-US" w:eastAsia="zh-CN"/>
        </w:rPr>
        <w:t>3</w:t>
      </w:r>
      <w:r>
        <w:rPr>
          <w:rFonts w:hint="eastAsia" w:ascii="Times New Roman" w:hAnsi="Times New Roman" w:eastAsia="仿宋_GB2312"/>
          <w:sz w:val="32"/>
          <w:szCs w:val="32"/>
        </w:rPr>
        <w:t>年度政府采购支出总额</w:t>
      </w:r>
      <w:r>
        <w:rPr>
          <w:rFonts w:hint="eastAsia" w:ascii="Times New Roman" w:hAnsi="Times New Roman" w:eastAsia="仿宋_GB2312"/>
          <w:sz w:val="32"/>
          <w:szCs w:val="32"/>
          <w:lang w:val="en-US" w:eastAsia="zh-CN"/>
        </w:rPr>
        <w:t>58.5</w:t>
      </w:r>
      <w:r>
        <w:rPr>
          <w:rFonts w:hint="eastAsia" w:ascii="Times New Roman" w:hAnsi="Times New Roman" w:eastAsia="仿宋_GB2312"/>
          <w:sz w:val="32"/>
          <w:szCs w:val="32"/>
        </w:rPr>
        <w:t>万元，其中：政府采购货物支出</w:t>
      </w:r>
      <w:r>
        <w:rPr>
          <w:rFonts w:hint="eastAsia" w:ascii="Times New Roman" w:hAnsi="Times New Roman" w:eastAsia="仿宋_GB2312"/>
          <w:sz w:val="32"/>
          <w:szCs w:val="32"/>
          <w:lang w:val="en-US" w:eastAsia="zh-CN"/>
        </w:rPr>
        <w:t>5.91</w:t>
      </w:r>
      <w:r>
        <w:rPr>
          <w:rFonts w:hint="eastAsia" w:ascii="Times New Roman" w:hAnsi="Times New Roman" w:eastAsia="仿宋_GB2312"/>
          <w:sz w:val="32"/>
          <w:szCs w:val="32"/>
        </w:rPr>
        <w:t xml:space="preserve"> 万元、政府采购工程支出</w:t>
      </w:r>
      <w:r>
        <w:rPr>
          <w:rFonts w:hint="eastAsia" w:ascii="Times New Roman" w:hAnsi="Times New Roman" w:eastAsia="仿宋_GB2312"/>
          <w:sz w:val="32"/>
          <w:szCs w:val="32"/>
          <w:lang w:val="en-US" w:eastAsia="zh-CN"/>
        </w:rPr>
        <w:t>52.59</w:t>
      </w:r>
      <w:r>
        <w:rPr>
          <w:rFonts w:hint="eastAsia" w:ascii="Times New Roman" w:hAnsi="Times New Roman" w:eastAsia="仿宋_GB2312"/>
          <w:sz w:val="32"/>
          <w:szCs w:val="32"/>
        </w:rPr>
        <w:t>万元、政府采购服务支出</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万元。授予中小企业合同金额</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万元，占政府采购支出总额的</w:t>
      </w:r>
      <w:r>
        <w:rPr>
          <w:rFonts w:hint="eastAsia" w:ascii="Times New Roman" w:hAnsi="Times New Roman" w:eastAsia="仿宋_GB2312"/>
          <w:sz w:val="32"/>
          <w:szCs w:val="32"/>
          <w:lang w:val="en-US" w:eastAsia="zh-CN"/>
        </w:rPr>
        <w:t>0</w:t>
      </w:r>
      <w:r>
        <w:rPr>
          <w:rFonts w:hint="eastAsia" w:ascii="Times New Roman" w:hAnsi="Times New Roman" w:eastAsia="仿宋_GB2312"/>
          <w:sz w:val="32"/>
          <w:szCs w:val="32"/>
        </w:rPr>
        <w:t>%，其中：授予小微企业合同金额</w:t>
      </w:r>
      <w:r>
        <w:rPr>
          <w:rFonts w:hint="eastAsia" w:ascii="Times New Roman" w:hAnsi="Times New Roman" w:eastAsia="仿宋_GB2312"/>
          <w:sz w:val="32"/>
          <w:szCs w:val="32"/>
          <w:lang w:val="en-US" w:eastAsia="zh-CN"/>
        </w:rPr>
        <w:t>5.91</w:t>
      </w:r>
      <w:r>
        <w:rPr>
          <w:rFonts w:hint="eastAsia" w:ascii="Times New Roman" w:hAnsi="Times New Roman" w:eastAsia="仿宋_GB2312"/>
          <w:sz w:val="32"/>
          <w:szCs w:val="32"/>
        </w:rPr>
        <w:t>万元，</w:t>
      </w:r>
      <w:r>
        <w:rPr>
          <w:rFonts w:hint="eastAsia" w:ascii="Times New Roman" w:hAnsi="Times New Roman" w:eastAsia="仿宋_GB2312"/>
          <w:color w:val="auto"/>
          <w:sz w:val="32"/>
          <w:szCs w:val="32"/>
        </w:rPr>
        <w:t>占</w:t>
      </w:r>
      <w:r>
        <w:rPr>
          <w:rFonts w:hint="eastAsia" w:ascii="Times New Roman" w:hAnsi="Times New Roman" w:eastAsia="仿宋_GB2312"/>
          <w:color w:val="auto"/>
          <w:sz w:val="32"/>
          <w:szCs w:val="32"/>
          <w:lang w:eastAsia="zh-CN"/>
        </w:rPr>
        <w:t>授予中小企业合同金额</w:t>
      </w:r>
      <w:r>
        <w:rPr>
          <w:rFonts w:hint="eastAsia" w:ascii="Times New Roman" w:hAnsi="Times New Roman" w:eastAsia="仿宋_GB2312"/>
          <w:color w:val="auto"/>
          <w:sz w:val="32"/>
          <w:szCs w:val="32"/>
        </w:rPr>
        <w:t>的</w:t>
      </w: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%。货物采购授予中小企业合同金额占货物支出金额的</w:t>
      </w:r>
      <w:r>
        <w:rPr>
          <w:rFonts w:hint="eastAsia" w:ascii="Times New Roman" w:hAnsi="Times New Roman" w:eastAsia="仿宋_GB2312"/>
          <w:color w:val="auto"/>
          <w:sz w:val="32"/>
          <w:szCs w:val="32"/>
          <w:lang w:val="en-US" w:eastAsia="zh-CN"/>
        </w:rPr>
        <w:t>10</w:t>
      </w:r>
      <w:r>
        <w:rPr>
          <w:rFonts w:hint="eastAsia" w:ascii="Times New Roman" w:hAnsi="Times New Roman" w:eastAsia="仿宋_GB2312"/>
          <w:color w:val="auto"/>
          <w:sz w:val="32"/>
          <w:szCs w:val="32"/>
        </w:rPr>
        <w:t>%，工程采购授予中小企业合同金额</w:t>
      </w:r>
      <w:r>
        <w:rPr>
          <w:rFonts w:hint="eastAsia" w:ascii="Times New Roman" w:hAnsi="Times New Roman" w:eastAsia="仿宋_GB2312"/>
          <w:color w:val="auto"/>
          <w:sz w:val="32"/>
          <w:szCs w:val="32"/>
          <w:lang w:val="en-US" w:eastAsia="zh-CN"/>
        </w:rPr>
        <w:t>58.5万元。</w:t>
      </w:r>
      <w:r>
        <w:rPr>
          <w:rFonts w:hint="eastAsia" w:ascii="Times New Roman" w:hAnsi="Times New Roman" w:eastAsia="仿宋_GB2312"/>
          <w:color w:val="auto"/>
          <w:sz w:val="32"/>
          <w:szCs w:val="32"/>
        </w:rPr>
        <w:t>占工程支出金额的</w:t>
      </w:r>
      <w:r>
        <w:rPr>
          <w:rFonts w:hint="eastAsia" w:ascii="Times New Roman" w:hAnsi="Times New Roman" w:eastAsia="仿宋_GB2312"/>
          <w:color w:val="auto"/>
          <w:sz w:val="32"/>
          <w:szCs w:val="32"/>
          <w:lang w:val="en-US" w:eastAsia="zh-CN"/>
        </w:rPr>
        <w:t>90</w:t>
      </w:r>
      <w:r>
        <w:rPr>
          <w:rFonts w:hint="eastAsia" w:ascii="Times New Roman" w:hAnsi="Times New Roman" w:eastAsia="仿宋_GB2312"/>
          <w:color w:val="auto"/>
          <w:sz w:val="32"/>
          <w:szCs w:val="32"/>
        </w:rPr>
        <w:t>%，服务采购授予中小企业合同金额占服务支出金额的</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w:t>
      </w:r>
    </w:p>
    <w:p w14:paraId="751E9C59">
      <w:pPr>
        <w:pStyle w:val="13"/>
        <w:keepNext w:val="0"/>
        <w:keepLines w:val="0"/>
        <w:pageBreakBefore w:val="0"/>
        <w:widowControl w:val="0"/>
        <w:kinsoku/>
        <w:wordWrap/>
        <w:overflowPunct/>
        <w:topLinePunct w:val="0"/>
        <w:autoSpaceDE w:val="0"/>
        <w:autoSpaceDN w:val="0"/>
        <w:bidi w:val="0"/>
        <w:adjustRightInd w:val="0"/>
        <w:snapToGrid/>
        <w:spacing w:line="580" w:lineRule="exact"/>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十三、关于国有资产占用情况说明</w:t>
      </w:r>
    </w:p>
    <w:p w14:paraId="5CAEE865">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ascii="Times New Roman" w:hAnsi="Times New Roman" w:eastAsia="仿宋_GB2312"/>
          <w:color w:val="auto"/>
          <w:sz w:val="32"/>
          <w:szCs w:val="32"/>
        </w:rPr>
      </w:pPr>
      <w:r>
        <w:rPr>
          <w:rFonts w:hint="eastAsia" w:ascii="Times New Roman" w:hAnsi="Times New Roman" w:eastAsia="仿宋_GB2312"/>
          <w:color w:val="auto"/>
          <w:sz w:val="32"/>
          <w:szCs w:val="32"/>
        </w:rPr>
        <w:t>截至202</w:t>
      </w:r>
      <w:r>
        <w:rPr>
          <w:rFonts w:hint="eastAsia" w:ascii="Times New Roman" w:hAnsi="Times New Roman" w:eastAsia="仿宋_GB2312"/>
          <w:color w:val="auto"/>
          <w:sz w:val="32"/>
          <w:szCs w:val="32"/>
          <w:lang w:val="en-US" w:eastAsia="zh-CN"/>
        </w:rPr>
        <w:t>3</w:t>
      </w:r>
      <w:r>
        <w:rPr>
          <w:rFonts w:hint="eastAsia" w:ascii="Times New Roman" w:hAnsi="Times New Roman" w:eastAsia="仿宋_GB2312"/>
          <w:color w:val="auto"/>
          <w:sz w:val="32"/>
          <w:szCs w:val="32"/>
        </w:rPr>
        <w:t>年12月31日，</w:t>
      </w:r>
      <w:r>
        <w:rPr>
          <w:rFonts w:hint="eastAsia" w:ascii="Times New Roman" w:hAnsi="Times New Roman" w:eastAsia="仿宋_GB2312"/>
          <w:color w:val="auto"/>
          <w:sz w:val="32"/>
          <w:szCs w:val="32"/>
          <w:lang w:eastAsia="zh-CN"/>
        </w:rPr>
        <w:t>部门（单位）</w:t>
      </w:r>
      <w:r>
        <w:rPr>
          <w:rFonts w:hint="eastAsia" w:ascii="Times New Roman" w:hAnsi="Times New Roman" w:eastAsia="仿宋_GB2312"/>
          <w:color w:val="auto"/>
          <w:sz w:val="32"/>
          <w:szCs w:val="32"/>
        </w:rPr>
        <w:t>共有车辆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辆，其中</w:t>
      </w:r>
      <w:r>
        <w:rPr>
          <w:rFonts w:hint="eastAsia" w:ascii="Times New Roman" w:hAnsi="Times New Roman" w:eastAsia="仿宋_GB2312"/>
          <w:color w:val="auto"/>
          <w:sz w:val="32"/>
          <w:szCs w:val="32"/>
          <w:lang w:eastAsia="zh-CN"/>
        </w:rPr>
        <w:t>，副部（省）级及以上领导用车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主要</w:t>
      </w:r>
      <w:r>
        <w:rPr>
          <w:rFonts w:hint="eastAsia" w:ascii="Times New Roman" w:hAnsi="Times New Roman" w:eastAsia="仿宋_GB2312"/>
          <w:color w:val="auto"/>
          <w:sz w:val="32"/>
          <w:szCs w:val="32"/>
          <w:lang w:eastAsia="zh-CN"/>
        </w:rPr>
        <w:t>负责人</w:t>
      </w:r>
      <w:r>
        <w:rPr>
          <w:rFonts w:hint="eastAsia" w:ascii="Times New Roman" w:hAnsi="Times New Roman" w:eastAsia="仿宋_GB2312"/>
          <w:color w:val="auto"/>
          <w:sz w:val="32"/>
          <w:szCs w:val="32"/>
        </w:rPr>
        <w:t>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w:t>
      </w:r>
      <w:r>
        <w:rPr>
          <w:rFonts w:hint="eastAsia" w:ascii="Times New Roman" w:hAnsi="Times New Roman" w:eastAsia="仿宋_GB2312"/>
          <w:color w:val="auto"/>
          <w:sz w:val="32"/>
          <w:szCs w:val="32"/>
        </w:rPr>
        <w:t>机要通信用车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辆、应急保障用车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辆、执法执勤用车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辆、特种专业技术用车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lang w:eastAsia="zh-CN"/>
        </w:rPr>
        <w:t>离退休干部服务用车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辆、其他用车</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辆，</w:t>
      </w:r>
      <w:r>
        <w:rPr>
          <w:rFonts w:hint="eastAsia" w:ascii="Times New Roman" w:hAnsi="Times New Roman" w:eastAsia="仿宋_GB2312"/>
          <w:color w:val="auto"/>
          <w:sz w:val="32"/>
          <w:szCs w:val="32"/>
          <w:highlight w:val="none"/>
        </w:rPr>
        <w:t>其他用车主要是</w:t>
      </w:r>
      <w:r>
        <w:rPr>
          <w:rFonts w:hint="eastAsia" w:ascii="Times New Roman" w:hAnsi="Times New Roman" w:eastAsia="仿宋_GB2312"/>
          <w:color w:val="auto"/>
          <w:sz w:val="32"/>
          <w:szCs w:val="32"/>
          <w:highlight w:val="none"/>
          <w:lang w:eastAsia="zh-CN"/>
        </w:rPr>
        <w:t>无</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rPr>
        <w:t>单位价值100万元以上设备</w:t>
      </w:r>
      <w:r>
        <w:rPr>
          <w:rFonts w:hint="eastAsia" w:ascii="Times New Roman" w:hAnsi="Times New Roman" w:eastAsia="仿宋_GB2312"/>
          <w:color w:val="auto"/>
          <w:sz w:val="32"/>
          <w:szCs w:val="32"/>
          <w:lang w:eastAsia="zh-CN"/>
        </w:rPr>
        <w:t>（不含车辆）</w:t>
      </w:r>
      <w:r>
        <w:rPr>
          <w:rFonts w:hint="eastAsia" w:ascii="Times New Roman" w:hAnsi="Times New Roman" w:eastAsia="仿宋_GB2312"/>
          <w:color w:val="auto"/>
          <w:sz w:val="32"/>
          <w:szCs w:val="32"/>
          <w:lang w:val="en-US" w:eastAsia="zh-CN"/>
        </w:rPr>
        <w:t>0</w:t>
      </w:r>
      <w:r>
        <w:rPr>
          <w:rFonts w:hint="eastAsia" w:ascii="Times New Roman" w:hAnsi="Times New Roman" w:eastAsia="仿宋_GB2312"/>
          <w:color w:val="auto"/>
          <w:sz w:val="32"/>
          <w:szCs w:val="32"/>
        </w:rPr>
        <w:t>台（套）。</w:t>
      </w:r>
    </w:p>
    <w:p w14:paraId="0498FDC3">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textAlignment w:val="auto"/>
        <w:rPr>
          <w:rFonts w:hint="eastAsia" w:ascii="黑体" w:hAnsi="黑体" w:eastAsia="黑体" w:cs="黑体"/>
          <w:b w:val="0"/>
          <w:bCs/>
          <w:color w:val="auto"/>
          <w:sz w:val="32"/>
          <w:szCs w:val="32"/>
          <w:lang w:eastAsia="zh-CN"/>
        </w:rPr>
      </w:pPr>
      <w:r>
        <w:rPr>
          <w:rFonts w:hint="eastAsia" w:hAnsi="黑体" w:cs="黑体"/>
          <w:b w:val="0"/>
          <w:bCs/>
          <w:color w:val="auto"/>
          <w:sz w:val="32"/>
          <w:szCs w:val="32"/>
          <w:lang w:eastAsia="zh-CN"/>
        </w:rPr>
        <w:t>十四、关于2023年度预算绩效情况的说明</w:t>
      </w:r>
    </w:p>
    <w:p w14:paraId="7A52FA00">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仿宋" w:hAnsi="仿宋" w:eastAsia="仿宋" w:cs="仿宋"/>
          <w:sz w:val="32"/>
          <w:szCs w:val="32"/>
          <w:lang w:val="en-US" w:eastAsia="zh-CN"/>
        </w:rPr>
      </w:pPr>
      <w:r>
        <w:rPr>
          <w:rFonts w:hint="eastAsia" w:ascii="楷体" w:hAnsi="楷体" w:eastAsia="楷体" w:cs="楷体"/>
          <w:b/>
          <w:bCs/>
          <w:sz w:val="32"/>
          <w:szCs w:val="32"/>
          <w:lang w:eastAsia="zh-CN"/>
        </w:rPr>
        <w:t>（一）绩效管理工作开展情况</w:t>
      </w:r>
      <w:r>
        <w:rPr>
          <w:rFonts w:hint="eastAsia" w:ascii="Times New Roman" w:hAnsi="Times New Roman" w:eastAsia="仿宋_GB2312" w:cs="黑体"/>
          <w:color w:val="000000"/>
          <w:kern w:val="0"/>
          <w:sz w:val="32"/>
          <w:szCs w:val="32"/>
          <w:lang w:val="en-US" w:eastAsia="zh-CN" w:bidi="ar-SA"/>
        </w:rPr>
        <w:t xml:space="preserve"> </w:t>
      </w:r>
    </w:p>
    <w:p w14:paraId="0E2AA4F2">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default" w:ascii="楷体" w:hAnsi="楷体" w:eastAsia="楷体" w:cs="楷体"/>
          <w:b/>
          <w:bCs/>
          <w:sz w:val="32"/>
          <w:szCs w:val="32"/>
          <w:lang w:val="en-US" w:eastAsia="zh-CN"/>
        </w:rPr>
      </w:pPr>
      <w:r>
        <w:rPr>
          <w:rFonts w:hint="eastAsia" w:ascii="Times New Roman" w:hAnsi="Times New Roman" w:eastAsia="仿宋_GB2312" w:cs="黑体"/>
          <w:color w:val="000000"/>
          <w:kern w:val="0"/>
          <w:sz w:val="32"/>
          <w:szCs w:val="32"/>
          <w:lang w:val="en-US" w:eastAsia="zh-CN" w:bidi="ar-SA"/>
        </w:rPr>
        <w:t>根据预算绩效管理要求，我单位组织开展了本年度整体支出绩效评价，希望本单位能够组织绩效专门培训，加深各级管理人员对绩效管理工作的认识，以提高单位的资金使用率。</w:t>
      </w:r>
    </w:p>
    <w:p w14:paraId="627D026B">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（二）</w:t>
      </w:r>
      <w:r>
        <w:rPr>
          <w:rFonts w:hint="eastAsia" w:ascii="楷体" w:hAnsi="楷体" w:eastAsia="楷体" w:cs="楷体"/>
          <w:b/>
          <w:bCs/>
          <w:sz w:val="32"/>
          <w:szCs w:val="32"/>
        </w:rPr>
        <w:t>部门</w:t>
      </w:r>
      <w:r>
        <w:rPr>
          <w:rFonts w:hint="eastAsia" w:ascii="楷体" w:hAnsi="楷体" w:eastAsia="楷体" w:cs="楷体"/>
          <w:b/>
          <w:bCs/>
          <w:sz w:val="32"/>
          <w:szCs w:val="32"/>
          <w:lang w:eastAsia="zh-CN"/>
        </w:rPr>
        <w:t>（单位）</w:t>
      </w:r>
      <w:r>
        <w:rPr>
          <w:rFonts w:hint="eastAsia" w:ascii="楷体" w:hAnsi="楷体" w:eastAsia="楷体" w:cs="楷体"/>
          <w:b/>
          <w:bCs/>
          <w:sz w:val="32"/>
          <w:szCs w:val="32"/>
        </w:rPr>
        <w:t>整体支出绩效情况</w:t>
      </w:r>
    </w:p>
    <w:p w14:paraId="5F474F83">
      <w:pPr>
        <w:widowControl/>
        <w:spacing w:line="600" w:lineRule="exact"/>
        <w:ind w:firstLine="320" w:firstLineChars="100"/>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黑体"/>
          <w:color w:val="000000"/>
          <w:kern w:val="0"/>
          <w:sz w:val="32"/>
          <w:szCs w:val="32"/>
          <w:lang w:val="en-US" w:eastAsia="zh-CN" w:bidi="ar-SA"/>
        </w:rPr>
        <w:t xml:space="preserve">  根据预算绩效管理要求，我单位组织开展了本年度整体支出绩效评价，涉及一般公共预算支出542万元。根据单位目标管理要求，</w:t>
      </w:r>
      <w:r>
        <w:rPr>
          <w:rFonts w:hint="eastAsia" w:ascii="Times New Roman" w:hAnsi="Times New Roman" w:eastAsia="仿宋_GB2312" w:cs="仿宋_GB2312"/>
          <w:bCs/>
          <w:kern w:val="0"/>
          <w:sz w:val="32"/>
          <w:szCs w:val="32"/>
          <w:lang w:val="en-US" w:eastAsia="zh-CN"/>
        </w:rPr>
        <w:t>负责县域内江、湖、河道、湖泊的水生态环境保护与治理等事务性研究工作。</w:t>
      </w:r>
    </w:p>
    <w:p w14:paraId="44297E40">
      <w:pPr>
        <w:widowControl/>
        <w:spacing w:line="600" w:lineRule="exact"/>
        <w:ind w:firstLine="320" w:firstLineChars="100"/>
        <w:rPr>
          <w:rFonts w:hint="eastAsia" w:ascii="Times New Roman" w:hAnsi="Times New Roman" w:eastAsia="仿宋_GB2312" w:cs="仿宋_GB2312"/>
          <w:bCs/>
          <w:kern w:val="0"/>
          <w:sz w:val="32"/>
          <w:szCs w:val="32"/>
          <w:lang w:val="en-US" w:eastAsia="zh-CN"/>
        </w:rPr>
      </w:pPr>
      <w:r>
        <w:rPr>
          <w:rFonts w:hint="eastAsia" w:ascii="Times New Roman" w:hAnsi="Times New Roman" w:eastAsia="仿宋_GB2312" w:cs="仿宋_GB2312"/>
          <w:bCs/>
          <w:kern w:val="0"/>
          <w:sz w:val="32"/>
          <w:szCs w:val="32"/>
          <w:lang w:val="en-US" w:eastAsia="zh-CN"/>
        </w:rPr>
        <w:t>负责县域内江、湖、河道、中小型水库、水土保持、农饮等相关规划编制和相关重大水利项目的前期运作、项目建设、运行管理等事务性工作。</w:t>
      </w:r>
    </w:p>
    <w:p w14:paraId="5D13FFB8">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楷体" w:hAnsi="楷体" w:eastAsia="楷体" w:cs="楷体"/>
          <w:b/>
          <w:bCs/>
          <w:sz w:val="32"/>
          <w:szCs w:val="32"/>
        </w:rPr>
      </w:pPr>
      <w:r>
        <w:rPr>
          <w:rFonts w:hint="eastAsia" w:ascii="楷体" w:hAnsi="楷体" w:eastAsia="楷体" w:cs="楷体"/>
          <w:b/>
          <w:bCs/>
          <w:sz w:val="32"/>
          <w:szCs w:val="32"/>
          <w:lang w:eastAsia="zh-CN"/>
        </w:rPr>
        <w:t>（三）</w:t>
      </w:r>
      <w:r>
        <w:rPr>
          <w:rFonts w:hint="eastAsia" w:ascii="楷体" w:hAnsi="楷体" w:eastAsia="楷体" w:cs="楷体"/>
          <w:b/>
          <w:bCs/>
          <w:sz w:val="32"/>
          <w:szCs w:val="32"/>
        </w:rPr>
        <w:t>存在的问题及原因分析</w:t>
      </w:r>
    </w:p>
    <w:p w14:paraId="22CD5BB5">
      <w:pPr>
        <w:pStyle w:val="13"/>
        <w:keepNext w:val="0"/>
        <w:keepLines w:val="0"/>
        <w:pageBreakBefore w:val="0"/>
        <w:widowControl w:val="0"/>
        <w:numPr>
          <w:ilvl w:val="0"/>
          <w:numId w:val="0"/>
        </w:numPr>
        <w:kinsoku/>
        <w:wordWrap/>
        <w:overflowPunct/>
        <w:topLinePunct w:val="0"/>
        <w:autoSpaceDE w:val="0"/>
        <w:autoSpaceDN w:val="0"/>
        <w:bidi w:val="0"/>
        <w:adjustRightInd w:val="0"/>
        <w:snapToGrid/>
        <w:spacing w:line="580" w:lineRule="exact"/>
        <w:ind w:leftChars="200" w:firstLine="640" w:firstLineChars="200"/>
        <w:jc w:val="left"/>
        <w:textAlignment w:val="auto"/>
        <w:rPr>
          <w:rFonts w:hint="eastAsia" w:ascii="Times New Roman" w:hAnsi="Times New Roman" w:eastAsia="仿宋_GB2312" w:cs="黑体"/>
          <w:color w:val="000000"/>
          <w:kern w:val="0"/>
          <w:sz w:val="32"/>
          <w:szCs w:val="32"/>
          <w:lang w:val="en-US" w:eastAsia="zh-CN" w:bidi="ar-SA"/>
        </w:rPr>
      </w:pPr>
      <w:r>
        <w:rPr>
          <w:rFonts w:hint="eastAsia" w:ascii="Times New Roman" w:hAnsi="Times New Roman" w:eastAsia="仿宋_GB2312" w:cs="黑体"/>
          <w:color w:val="000000"/>
          <w:kern w:val="0"/>
          <w:sz w:val="32"/>
          <w:szCs w:val="32"/>
          <w:lang w:val="en-US" w:eastAsia="zh-CN" w:bidi="ar-SA"/>
        </w:rPr>
        <w:t xml:space="preserve"> 本单位绩效管理工作还存在绩效目标编制不够全面，绩效指标量化不够，预算执行监控力度不强，在今后的工作中需要进一步加以改进和完善。需要进一步规范财务核算，加强预算执行情况的监管力度；绩效管理制度体系薄弱，需要进一步完善，推进制度落实。</w:t>
      </w:r>
    </w:p>
    <w:p w14:paraId="3F5668AE">
      <w:pPr>
        <w:pStyle w:val="13"/>
        <w:keepNext w:val="0"/>
        <w:keepLines w:val="0"/>
        <w:pageBreakBefore w:val="0"/>
        <w:widowControl w:val="0"/>
        <w:kinsoku/>
        <w:wordWrap/>
        <w:overflowPunct/>
        <w:topLinePunct w:val="0"/>
        <w:autoSpaceDE w:val="0"/>
        <w:autoSpaceDN w:val="0"/>
        <w:bidi w:val="0"/>
        <w:adjustRightInd w:val="0"/>
        <w:snapToGrid/>
        <w:spacing w:line="580" w:lineRule="exact"/>
        <w:ind w:firstLine="640" w:firstLineChars="200"/>
        <w:jc w:val="left"/>
        <w:textAlignment w:val="auto"/>
        <w:rPr>
          <w:rFonts w:hint="eastAsia" w:ascii="Times New Roman" w:hAnsi="Times New Roman" w:eastAsia="仿宋_GB2312"/>
          <w:sz w:val="32"/>
          <w:szCs w:val="32"/>
        </w:rPr>
      </w:pPr>
    </w:p>
    <w:p w14:paraId="00869FF6">
      <w:pPr>
        <w:pStyle w:val="13"/>
        <w:jc w:val="both"/>
        <w:rPr>
          <w:sz w:val="72"/>
          <w:szCs w:val="72"/>
        </w:rPr>
      </w:pPr>
    </w:p>
    <w:p w14:paraId="7343362C">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第四部分</w:t>
      </w:r>
    </w:p>
    <w:p w14:paraId="40FA3B44">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名词解释</w:t>
      </w:r>
    </w:p>
    <w:p w14:paraId="697CD697">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政拨款收入：指本级财政当年拨付的资金</w:t>
      </w:r>
    </w:p>
    <w:p w14:paraId="59D34A22">
      <w:pPr>
        <w:keepNext/>
        <w:keepLines/>
        <w:ind w:firstLine="64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其他收入：指除上述“财政拨款收入”、“上级补助收入”、“事业收入”、“经营收入”、“附属单位上缴收入”等以外的收入。</w:t>
      </w:r>
    </w:p>
    <w:p w14:paraId="2217D0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一般公共服务支出（类）：是指用于人大、政协、政府办公厅（室）及相关机构事务、发展与改革事务、统计信息事务、财政事务、税收事务、审计事务、人力资源事务、纪检监察事务、商贸事务、工商行政管理事务、质量技术监督与检验检疫事务、民族事务、档案事务、民主党派及工商联事务、群众团体事务、党委办公厅（室）及相关机构事务、组织事务、宣传事务、统战事务、其他一般公共服务等方面的支出，包括保障机构正常运转、完成日常和特定的工作任务或事业发展目标的支出。</w:t>
      </w:r>
    </w:p>
    <w:p w14:paraId="1608CEB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农林水支出（类）：是指用于农林水事务支出，包括保障机构正常运转、完成日常和特定的工作任务或事业发展目标的支出。</w:t>
      </w:r>
    </w:p>
    <w:p w14:paraId="31CB6507">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粮油物资储备支出（类）：是指用于粮油物资储备方面的支出，包括保障机构正常运转、完成日常和特定的工作任务或事业发展目标的支出。</w:t>
      </w:r>
    </w:p>
    <w:p w14:paraId="5676C1F2">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其他支出（类）：是指用于反映除上述项目以外其他不能划分到具体功能科目中的支出项目，包括保障机构正常运转、完成日常和特定的工作任务或事业发展目标的支出。</w:t>
      </w:r>
    </w:p>
    <w:p w14:paraId="15660B70">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基本支出：指保障机构正常运转、完成支日常工作任务而发生的人员支出和公用支出。</w:t>
      </w:r>
    </w:p>
    <w:p w14:paraId="600BC59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三公”经费：指用财政拨款安排的因公出国（境）费、公务用车购置及运行费和公务接待费。其中，因公出国（境）费反映出国（境）的住宿费、旅费、伙食补助费、杂费、培训费等支出；公务用车购置及运行费反映单位公务用车购置费及租用费、燃料费、维修费、过路过桥费、保险费、安全奖励费用等支出；公务接待费反映单位按规定开支的各类公务接待（含外宾接待）支出。</w:t>
      </w:r>
    </w:p>
    <w:p w14:paraId="39F71EC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工资福利支出：反映单位开支的在职职工和编制外长期聘用人员的各类劳动报酬，以及为上述人员缴纳的各项社会保险费等。</w:t>
      </w:r>
    </w:p>
    <w:p w14:paraId="7FCC725B">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基本工资：反映按规定发放的基本工资，包括公务员的职务工资、级别工资；机关工人的岗位工资、技术等级工资；事业单位工作人员的岗位工资、薪级工资；各类学校毕业生试用期(见习期)工资、新参加工作工人学徒期、熟练期工资；军队（武警）军官、文职干部的职务（专业技术等级）工资、军衔（级别）工资、基础工资和军龄工资；军队士官的军衔等级工资、基础工资和军龄工资等。</w:t>
      </w:r>
    </w:p>
    <w:p w14:paraId="25851F0F">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津贴补贴：反映经国家批准建立的机关事业单位艰苦边远地区津贴、机关工作人员地区附加津贴、机关工作人员岗位津贴、事业单位工作人员特殊岗位津贴补贴等。</w:t>
      </w:r>
    </w:p>
    <w:p w14:paraId="09E48C55">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奖金：反映机关工作人员年终一次性奖金。</w:t>
      </w:r>
    </w:p>
    <w:p w14:paraId="3B0782E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伙食补助费：反映单位发给职工的伙食补助费，如误餐补助等。</w:t>
      </w:r>
    </w:p>
    <w:p w14:paraId="5F4FDF8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绩效工资：反映事业单位工作人员的绩效工资。</w:t>
      </w:r>
    </w:p>
    <w:p w14:paraId="31320E5A">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机关事业单位基本养老保险缴费：反映机关事业单位缴纳的基本养老保险费。由单位代扣的工作人员基本养老保险缴费，不在此科目反映。</w:t>
      </w:r>
    </w:p>
    <w:p w14:paraId="40DD90E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职工基本医疗保险缴费：反映单位为职工缴纳的基本医疗保险费。</w:t>
      </w:r>
    </w:p>
    <w:p w14:paraId="075D3846">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其他社会保障缴费：反映单位为职工缴纳的基本医疗、失业、工伤、生育等社会保险费，残疾人就业保障金，军队（含武警）为军人缴纳的伤亡、退役医疗等社会保险费。</w:t>
      </w:r>
    </w:p>
    <w:p w14:paraId="073DC78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住房公积金：反映行政事业单位按人力资源和社会保障部、财政部规定的基本工资和津贴补贴以及规定比例为职工缴纳的住房公积金。</w:t>
      </w:r>
    </w:p>
    <w:p w14:paraId="5C95F9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工资福利支出：反映上述项目未包括的人员支出，如各种加班工资、病假两个月以上期间的人员工资、编制外长期聘用人员，公务员及参照和依照公务员制度管理的单位工作人员转入企业工作并按规定参加企业职工基本养老保险后给予的一次性补贴等。</w:t>
      </w:r>
    </w:p>
    <w:p w14:paraId="699A663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商品和服务支出：反映单位购买商品和服务的支出（不包括用于购置固定资产的支出、战略性和应急储备支出）。</w:t>
      </w:r>
    </w:p>
    <w:p w14:paraId="71FF3CEE">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办公费：反映单位购买按财务会计制度规定不符合固定资产确认标准的日常办公用品、书报杂志等支出。</w:t>
      </w:r>
    </w:p>
    <w:p w14:paraId="6200BA2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印刷费：反映单位的印刷费支出。</w:t>
      </w:r>
    </w:p>
    <w:p w14:paraId="119DC2E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邮电费：反映单位开支的信函、包裹、货物等物品的邮寄费及电话费、电报费、传真费、网络通讯费等。</w:t>
      </w:r>
    </w:p>
    <w:p w14:paraId="17D415E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差旅费：反映单位工作人员出差发生的城市间交通费、住宿费、伙食补贴费和市内交通费。</w:t>
      </w:r>
    </w:p>
    <w:p w14:paraId="44F940B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维修(护)费：反映单位日常开支的固定资产（不包括车船等交通工具）修理和维护费用，网络信息系统运行与维护费用，以及按规定提取的修购基金。</w:t>
      </w:r>
    </w:p>
    <w:p w14:paraId="564DC543">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会议费：反映会议中按规定开支的住宿费、伙食费、会议室租金、交通费、文件印刷费、医药费等。</w:t>
      </w:r>
    </w:p>
    <w:p w14:paraId="302990F0">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培训费：反映除因公出国（境）培训费以外的各类培训支出。</w:t>
      </w:r>
    </w:p>
    <w:p w14:paraId="66C176AC">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公务接待费：反映单位按规定开支的各类公务接待（含外宾接待）费用。</w:t>
      </w:r>
    </w:p>
    <w:p w14:paraId="0C6F1A4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专用材料费：反映单位购买日常专用材料的支出。具体包括药品及医疗耗材，农用材料，兽医用品，实验室用品，专用服装，消耗性体育用品，专用工具和仪器，艺术部门专用材料和用品，广播电视台发射台发射机的电力、材料等方面的支出。</w:t>
      </w:r>
    </w:p>
    <w:p w14:paraId="06EFC48F">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劳务费：反映支付给单位和个人的劳务费用，如临时聘用人员、钟点工工资，稿费、翻译费，评审费等。</w:t>
      </w:r>
    </w:p>
    <w:p w14:paraId="62F186DE">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工会经费：反映单位按规定提取的工会经费。</w:t>
      </w:r>
    </w:p>
    <w:p w14:paraId="240B43A8">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其他交通费用：反映单位除公务用车运行维护费以外的其他交通费用。如公务交通补贴，租车费用、出租车费用，飞机、船舶等的燃料费、维修费、保险费等。</w:t>
      </w:r>
    </w:p>
    <w:p w14:paraId="66D88CB9">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其他商品和服务支出：反映上述科目未包括的日常公用支出。如行政赔偿费和诉讼费、国内组织的会员费、来访费、广告宣传、其他劳务费及离休人员特需费、公用经费等。</w:t>
      </w:r>
    </w:p>
    <w:p w14:paraId="70D55FF4">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对个人和家庭的补助：反映政府用于对个人和家庭的补助支出。</w:t>
      </w:r>
    </w:p>
    <w:p w14:paraId="0A69AD9B">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抚恤金：反映按规定开支的烈士遗属、牺牲病故人员遗属的一次性和定期抚恤金，伤残人员的抚恤金，离退休人员等其他人员的各项抚恤金。</w:t>
      </w:r>
    </w:p>
    <w:p w14:paraId="379CB0E1">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奖励金：反映政府各部门的奖励支出，如对个体私营经济的奖励、计划生育目标责任奖励、独生子女父母奖励等。</w:t>
      </w:r>
    </w:p>
    <w:p w14:paraId="544DD06A">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其他对个人和家庭的补助支出：反映未包括在上述科目的对个人和家庭的补助支出，</w:t>
      </w:r>
    </w:p>
    <w:p w14:paraId="6E91718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办公设备购置：反映用于购置并按财务会计制度规定纳入固定资产核算范围的办公家具和办公设备的支出，以及按规定提取的修购基金。</w:t>
      </w:r>
    </w:p>
    <w:p w14:paraId="69E1642D">
      <w:pPr>
        <w:keepNext/>
        <w:keepLines/>
        <w:ind w:firstLine="640" w:firstLineChars="200"/>
        <w:rPr>
          <w:rFonts w:hint="eastAsia" w:ascii="Times New Roman" w:hAnsi="Times New Roman" w:eastAsia="仿宋_GB2312" w:cs="黑体"/>
          <w:color w:val="auto"/>
          <w:kern w:val="0"/>
          <w:sz w:val="32"/>
          <w:szCs w:val="32"/>
          <w:lang w:val="en-US" w:eastAsia="zh-CN" w:bidi="ar-SA"/>
        </w:rPr>
      </w:pPr>
      <w:r>
        <w:rPr>
          <w:rFonts w:hint="eastAsia" w:ascii="Times New Roman" w:hAnsi="Times New Roman" w:eastAsia="仿宋_GB2312" w:cs="黑体"/>
          <w:color w:val="auto"/>
          <w:kern w:val="0"/>
          <w:sz w:val="32"/>
          <w:szCs w:val="32"/>
          <w:lang w:val="en-US" w:eastAsia="zh-CN" w:bidi="ar-SA"/>
        </w:rPr>
        <w:t>机关运行经费：指为保障行政单位（包括参照公务员法管理的事业单位）运行用于购买货物和服务的各项资金，包括办公及印刷费、邮电费、差旅费、会议费、福利费、日常维修费、专用材料及一般设备购置费、办公用房水电费、办公用房取暖费、 办公用房物业管理费、 公务用车运行维护费以及其他费用。</w:t>
      </w:r>
    </w:p>
    <w:p w14:paraId="56CCA61D">
      <w:pPr>
        <w:pStyle w:val="13"/>
        <w:keepNext w:val="0"/>
        <w:keepLines w:val="0"/>
        <w:pageBreakBefore w:val="0"/>
        <w:widowControl w:val="0"/>
        <w:kinsoku/>
        <w:wordWrap/>
        <w:overflowPunct/>
        <w:topLinePunct w:val="0"/>
        <w:bidi w:val="0"/>
        <w:snapToGrid/>
        <w:spacing w:line="600" w:lineRule="exact"/>
        <w:ind w:firstLine="1440" w:firstLineChars="200"/>
        <w:textAlignment w:val="auto"/>
        <w:rPr>
          <w:rFonts w:hint="eastAsia" w:ascii="方正小标宋_GBK" w:hAnsi="方正小标宋_GBK" w:eastAsia="方正小标宋_GBK" w:cs="方正小标宋_GBK"/>
          <w:sz w:val="72"/>
          <w:szCs w:val="72"/>
        </w:rPr>
      </w:pPr>
    </w:p>
    <w:p w14:paraId="41B3F141">
      <w:pPr>
        <w:widowControl/>
        <w:ind w:firstLine="640" w:firstLineChars="200"/>
        <w:jc w:val="left"/>
        <w:rPr>
          <w:rFonts w:cs="黑体" w:asciiTheme="minorEastAsia" w:hAnsiTheme="minorEastAsia"/>
          <w:color w:val="000000"/>
          <w:kern w:val="0"/>
          <w:sz w:val="32"/>
          <w:szCs w:val="32"/>
        </w:rPr>
      </w:pPr>
    </w:p>
    <w:p w14:paraId="28DD68CE">
      <w:pPr>
        <w:ind w:firstLine="1440" w:firstLineChars="200"/>
        <w:jc w:val="left"/>
        <w:rPr>
          <w:rFonts w:hint="eastAsia" w:ascii="方正小标宋_GBK" w:hAnsi="方正小标宋_GBK" w:eastAsia="方正小标宋_GBK" w:cs="方正小标宋_GBK"/>
          <w:sz w:val="72"/>
          <w:szCs w:val="72"/>
        </w:rPr>
      </w:pPr>
    </w:p>
    <w:p w14:paraId="68FBF8DE">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rPr>
        <w:t>第</w:t>
      </w:r>
      <w:r>
        <w:rPr>
          <w:rFonts w:hint="eastAsia" w:ascii="方正小标宋_GBK" w:hAnsi="方正小标宋_GBK" w:eastAsia="方正小标宋_GBK" w:cs="方正小标宋_GBK"/>
          <w:sz w:val="48"/>
          <w:szCs w:val="48"/>
          <w:lang w:eastAsia="zh-CN"/>
        </w:rPr>
        <w:t>五</w:t>
      </w:r>
      <w:r>
        <w:rPr>
          <w:rFonts w:hint="eastAsia" w:ascii="方正小标宋_GBK" w:hAnsi="方正小标宋_GBK" w:eastAsia="方正小标宋_GBK" w:cs="方正小标宋_GBK"/>
          <w:sz w:val="48"/>
          <w:szCs w:val="48"/>
        </w:rPr>
        <w:t>部分</w:t>
      </w:r>
    </w:p>
    <w:p w14:paraId="58A3E117">
      <w:pPr>
        <w:pStyle w:val="13"/>
        <w:jc w:val="center"/>
        <w:rPr>
          <w:rFonts w:hint="eastAsia" w:ascii="方正小标宋_GBK" w:hAnsi="方正小标宋_GBK" w:eastAsia="方正小标宋_GBK" w:cs="方正小标宋_GBK"/>
          <w:sz w:val="48"/>
          <w:szCs w:val="48"/>
        </w:rPr>
      </w:pPr>
      <w:r>
        <w:rPr>
          <w:rFonts w:hint="eastAsia" w:ascii="方正小标宋_GBK" w:hAnsi="方正小标宋_GBK" w:eastAsia="方正小标宋_GBK" w:cs="方正小标宋_GBK"/>
          <w:sz w:val="48"/>
          <w:szCs w:val="48"/>
          <w:lang w:eastAsia="zh-CN"/>
        </w:rPr>
        <w:t>附</w:t>
      </w:r>
      <w:r>
        <w:rPr>
          <w:rFonts w:hint="eastAsia" w:ascii="方正小标宋_GBK" w:hAnsi="方正小标宋_GBK" w:eastAsia="方正小标宋_GBK" w:cs="方正小标宋_GBK"/>
          <w:sz w:val="48"/>
          <w:szCs w:val="48"/>
          <w:lang w:val="en-US" w:eastAsia="zh-CN"/>
        </w:rPr>
        <w:t xml:space="preserve"> </w:t>
      </w:r>
      <w:r>
        <w:rPr>
          <w:rFonts w:hint="eastAsia" w:ascii="方正小标宋_GBK" w:hAnsi="方正小标宋_GBK" w:eastAsia="方正小标宋_GBK" w:cs="方正小标宋_GBK"/>
          <w:sz w:val="48"/>
          <w:szCs w:val="48"/>
          <w:lang w:eastAsia="zh-CN"/>
        </w:rPr>
        <w:t>件</w:t>
      </w:r>
    </w:p>
    <w:p w14:paraId="7E309BB8">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default" w:ascii="Times New Roman" w:hAnsi="Times New Roman" w:eastAsia="仿宋_GB2312"/>
          <w:sz w:val="32"/>
          <w:szCs w:val="32"/>
          <w:lang w:val="en-US" w:eastAsia="zh-CN"/>
        </w:rPr>
      </w:pPr>
      <w:r>
        <w:rPr>
          <w:rFonts w:hint="eastAsia" w:ascii="楷体" w:hAnsi="楷体" w:eastAsia="楷体" w:cs="楷体"/>
          <w:b/>
          <w:bCs/>
          <w:sz w:val="32"/>
          <w:szCs w:val="32"/>
          <w:lang w:eastAsia="zh-CN"/>
        </w:rPr>
        <w:t>一、</w:t>
      </w:r>
      <w:r>
        <w:rPr>
          <w:rFonts w:hint="eastAsia" w:ascii="仿宋_GB2312" w:hAnsi="仿宋_GB2312" w:eastAsia="仿宋_GB2312" w:cs="仿宋_GB2312"/>
          <w:sz w:val="28"/>
          <w:szCs w:val="28"/>
          <w:lang w:val="en-US" w:eastAsia="zh-CN"/>
        </w:rPr>
        <w:t>华容县长江洞庭湖水利事务中心</w:t>
      </w:r>
      <w:r>
        <w:rPr>
          <w:rFonts w:hint="eastAsia" w:ascii="Times New Roman" w:hAnsi="Times New Roman" w:eastAsia="仿宋_GB2312"/>
          <w:sz w:val="32"/>
          <w:szCs w:val="32"/>
          <w:lang w:val="en-US" w:eastAsia="zh-CN"/>
        </w:rPr>
        <w:t>2023年度部门决算公开表格</w:t>
      </w:r>
    </w:p>
    <w:p w14:paraId="21DEFC27">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r>
        <w:rPr>
          <w:rFonts w:hint="eastAsia" w:ascii="楷体" w:hAnsi="楷体" w:eastAsia="楷体" w:cs="楷体"/>
          <w:b/>
          <w:bCs/>
          <w:sz w:val="32"/>
          <w:szCs w:val="32"/>
          <w:lang w:eastAsia="zh-CN"/>
        </w:rPr>
        <w:t>二、</w:t>
      </w:r>
      <w:r>
        <w:rPr>
          <w:rFonts w:hint="eastAsia" w:ascii="仿宋_GB2312" w:hAnsi="仿宋_GB2312" w:eastAsia="仿宋_GB2312" w:cs="仿宋_GB2312"/>
          <w:sz w:val="28"/>
          <w:szCs w:val="28"/>
          <w:lang w:val="en-US" w:eastAsia="zh-CN"/>
        </w:rPr>
        <w:t>华容县长江洞庭湖水利事务中心</w:t>
      </w:r>
      <w:r>
        <w:rPr>
          <w:rFonts w:hint="eastAsia" w:ascii="Times New Roman" w:hAnsi="Times New Roman" w:eastAsia="仿宋_GB2312"/>
          <w:sz w:val="32"/>
          <w:szCs w:val="32"/>
          <w:lang w:val="en-US" w:eastAsia="zh-CN"/>
        </w:rPr>
        <w:t>2023年度整体支出绩效自评报告。</w:t>
      </w:r>
    </w:p>
    <w:p w14:paraId="2ED97755">
      <w:pPr>
        <w:pStyle w:val="13"/>
        <w:ind w:firstLine="1280" w:firstLineChars="400"/>
        <w:rPr>
          <w:rFonts w:hint="eastAsia" w:cs="黑体" w:asciiTheme="minorEastAsia" w:hAnsiTheme="minorEastAsia" w:eastAsiaTheme="minorEastAsia"/>
          <w:color w:val="000000"/>
          <w:kern w:val="0"/>
          <w:sz w:val="32"/>
          <w:szCs w:val="32"/>
          <w:lang w:val="en-US" w:eastAsia="zh-CN" w:bidi="ar-SA"/>
        </w:rPr>
      </w:pPr>
    </w:p>
    <w:p w14:paraId="5454DC3E">
      <w:pPr>
        <w:pStyle w:val="13"/>
        <w:keepNext w:val="0"/>
        <w:keepLines w:val="0"/>
        <w:pageBreakBefore w:val="0"/>
        <w:widowControl w:val="0"/>
        <w:kinsoku/>
        <w:wordWrap/>
        <w:overflowPunct/>
        <w:topLinePunct w:val="0"/>
        <w:bidi w:val="0"/>
        <w:snapToGrid/>
        <w:spacing w:line="600" w:lineRule="exact"/>
        <w:ind w:firstLine="640" w:firstLineChars="200"/>
        <w:jc w:val="left"/>
        <w:textAlignment w:val="auto"/>
        <w:rPr>
          <w:rFonts w:hint="eastAsia" w:ascii="Times New Roman" w:hAnsi="Times New Roman" w:eastAsia="仿宋_GB2312"/>
          <w:sz w:val="32"/>
          <w:szCs w:val="32"/>
          <w:lang w:val="en-US" w:eastAsia="zh-CN"/>
        </w:rPr>
      </w:pPr>
    </w:p>
    <w:p w14:paraId="3A63795E">
      <w:pPr>
        <w:pStyle w:val="13"/>
        <w:jc w:val="center"/>
        <w:rPr>
          <w:sz w:val="72"/>
          <w:szCs w:val="72"/>
        </w:rPr>
      </w:pPr>
    </w:p>
    <w:p w14:paraId="77C85708">
      <w:pPr>
        <w:pStyle w:val="13"/>
        <w:jc w:val="center"/>
        <w:rPr>
          <w:sz w:val="72"/>
          <w:szCs w:val="72"/>
        </w:rPr>
      </w:pPr>
    </w:p>
    <w:p w14:paraId="1253EEC9">
      <w:pPr>
        <w:jc w:val="left"/>
        <w:rPr>
          <w:rFonts w:cs="黑体" w:asciiTheme="minorEastAsia" w:hAnsi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isplayBackgroundShape w:val="1"/>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hMWY5NjY0NGVmNzU5MTk1OWE1MTQ3ZGRlZjkyYTgifQ=="/>
    <w:docVar w:name="KSO_WPS_MARK_KEY" w:val="7a81dccc-1fea-492e-b29a-3017a7ac785e"/>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27634FB"/>
    <w:rsid w:val="04E92909"/>
    <w:rsid w:val="05031314"/>
    <w:rsid w:val="051807CD"/>
    <w:rsid w:val="052B3616"/>
    <w:rsid w:val="05A818BE"/>
    <w:rsid w:val="06197838"/>
    <w:rsid w:val="08513E1D"/>
    <w:rsid w:val="0BC4547A"/>
    <w:rsid w:val="106124FD"/>
    <w:rsid w:val="112540BD"/>
    <w:rsid w:val="121A7864"/>
    <w:rsid w:val="127C2401"/>
    <w:rsid w:val="13426006"/>
    <w:rsid w:val="138B28B7"/>
    <w:rsid w:val="195357E7"/>
    <w:rsid w:val="1D97DEFF"/>
    <w:rsid w:val="1DFF72E5"/>
    <w:rsid w:val="1EFC6F07"/>
    <w:rsid w:val="23CB47D9"/>
    <w:rsid w:val="256D7E2C"/>
    <w:rsid w:val="25B967D4"/>
    <w:rsid w:val="29A278B2"/>
    <w:rsid w:val="2A044B35"/>
    <w:rsid w:val="2CE316A2"/>
    <w:rsid w:val="2E3153C2"/>
    <w:rsid w:val="2FDF85B8"/>
    <w:rsid w:val="2FFFEE04"/>
    <w:rsid w:val="319177BD"/>
    <w:rsid w:val="32383F92"/>
    <w:rsid w:val="334212B2"/>
    <w:rsid w:val="34DF85B0"/>
    <w:rsid w:val="399A7CBE"/>
    <w:rsid w:val="3B1B48C3"/>
    <w:rsid w:val="3B8F36BC"/>
    <w:rsid w:val="3BC91D58"/>
    <w:rsid w:val="40183D14"/>
    <w:rsid w:val="40646BE9"/>
    <w:rsid w:val="40A77278"/>
    <w:rsid w:val="40CB7C19"/>
    <w:rsid w:val="43047462"/>
    <w:rsid w:val="43537423"/>
    <w:rsid w:val="44EA2615"/>
    <w:rsid w:val="46C9765A"/>
    <w:rsid w:val="47B75973"/>
    <w:rsid w:val="47FE4EA5"/>
    <w:rsid w:val="491FF225"/>
    <w:rsid w:val="49951CE4"/>
    <w:rsid w:val="4C75686F"/>
    <w:rsid w:val="4D875DE8"/>
    <w:rsid w:val="4DD645F6"/>
    <w:rsid w:val="4E395582"/>
    <w:rsid w:val="4FD13381"/>
    <w:rsid w:val="4FFD214C"/>
    <w:rsid w:val="577755A6"/>
    <w:rsid w:val="5777D4F5"/>
    <w:rsid w:val="585775AD"/>
    <w:rsid w:val="59DD8326"/>
    <w:rsid w:val="5DCD5A3D"/>
    <w:rsid w:val="5DEF592A"/>
    <w:rsid w:val="5FC6BB1E"/>
    <w:rsid w:val="5FF720F1"/>
    <w:rsid w:val="65157ADF"/>
    <w:rsid w:val="654F0B04"/>
    <w:rsid w:val="67AF5D43"/>
    <w:rsid w:val="67FF5C0B"/>
    <w:rsid w:val="6D281506"/>
    <w:rsid w:val="6EFC0924"/>
    <w:rsid w:val="6F1D062A"/>
    <w:rsid w:val="6FB74722"/>
    <w:rsid w:val="6FEF8B7E"/>
    <w:rsid w:val="70251E8E"/>
    <w:rsid w:val="71231C41"/>
    <w:rsid w:val="71A6591B"/>
    <w:rsid w:val="737D59BA"/>
    <w:rsid w:val="73875397"/>
    <w:rsid w:val="74AD16C3"/>
    <w:rsid w:val="75B4332C"/>
    <w:rsid w:val="76223B12"/>
    <w:rsid w:val="76E9284A"/>
    <w:rsid w:val="77C37683"/>
    <w:rsid w:val="7809068D"/>
    <w:rsid w:val="78842DCB"/>
    <w:rsid w:val="79FF515B"/>
    <w:rsid w:val="7C0073A8"/>
    <w:rsid w:val="7DFA22B6"/>
    <w:rsid w:val="7E674299"/>
    <w:rsid w:val="7E9E1962"/>
    <w:rsid w:val="7E9F11B4"/>
    <w:rsid w:val="7F37EC1E"/>
    <w:rsid w:val="7F7DCD9D"/>
    <w:rsid w:val="7F970A6F"/>
    <w:rsid w:val="7FC1FFF3"/>
    <w:rsid w:val="7FC69637"/>
    <w:rsid w:val="7FDF8620"/>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semiHidden/>
    <w:unhideWhenUsed/>
    <w:qFormat/>
    <w:uiPriority w:val="99"/>
    <w:pPr>
      <w:jc w:val="left"/>
    </w:pPr>
  </w:style>
  <w:style w:type="paragraph" w:styleId="3">
    <w:name w:val="Body Text Indent"/>
    <w:basedOn w:val="1"/>
    <w:unhideWhenUsed/>
    <w:qFormat/>
    <w:uiPriority w:val="99"/>
    <w:pPr>
      <w:widowControl/>
      <w:spacing w:after="120"/>
      <w:ind w:left="420" w:leftChars="200"/>
      <w:jc w:val="left"/>
    </w:pPr>
    <w:rPr>
      <w:rFonts w:ascii="宋体" w:hAnsi="宋体" w:eastAsia="宋体" w:cs="宋体"/>
      <w:kern w:val="0"/>
      <w:sz w:val="24"/>
    </w:rPr>
  </w:style>
  <w:style w:type="paragraph" w:styleId="4">
    <w:name w:val="Balloon Text"/>
    <w:basedOn w:val="1"/>
    <w:link w:val="15"/>
    <w:semiHidden/>
    <w:unhideWhenUsed/>
    <w:qFormat/>
    <w:uiPriority w:val="99"/>
    <w:rPr>
      <w:sz w:val="18"/>
      <w:szCs w:val="18"/>
    </w:rPr>
  </w:style>
  <w:style w:type="paragraph" w:styleId="5">
    <w:name w:val="footer"/>
    <w:basedOn w:val="1"/>
    <w:link w:val="12"/>
    <w:unhideWhenUsed/>
    <w:qFormat/>
    <w:uiPriority w:val="99"/>
    <w:pPr>
      <w:tabs>
        <w:tab w:val="center" w:pos="4153"/>
        <w:tab w:val="right" w:pos="8306"/>
      </w:tabs>
      <w:snapToGrid w:val="0"/>
      <w:jc w:val="left"/>
    </w:pPr>
    <w:rPr>
      <w:sz w:val="18"/>
      <w:szCs w:val="18"/>
    </w:rPr>
  </w:style>
  <w:style w:type="paragraph" w:styleId="6">
    <w:name w:val="header"/>
    <w:basedOn w:val="1"/>
    <w:link w:val="11"/>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footnote text"/>
    <w:basedOn w:val="1"/>
    <w:next w:val="8"/>
    <w:semiHidden/>
    <w:qFormat/>
    <w:uiPriority w:val="0"/>
    <w:pPr>
      <w:snapToGrid w:val="0"/>
      <w:jc w:val="left"/>
    </w:pPr>
    <w:rPr>
      <w:sz w:val="18"/>
      <w:szCs w:val="18"/>
    </w:rPr>
  </w:style>
  <w:style w:type="paragraph" w:styleId="8">
    <w:name w:val="Body Text First Indent 2"/>
    <w:basedOn w:val="3"/>
    <w:unhideWhenUsed/>
    <w:qFormat/>
    <w:uiPriority w:val="99"/>
    <w:pPr>
      <w:ind w:firstLine="420" w:firstLineChars="200"/>
    </w:pPr>
  </w:style>
  <w:style w:type="character" w:customStyle="1" w:styleId="11">
    <w:name w:val="页眉 Char"/>
    <w:basedOn w:val="10"/>
    <w:link w:val="6"/>
    <w:qFormat/>
    <w:uiPriority w:val="99"/>
    <w:rPr>
      <w:sz w:val="18"/>
      <w:szCs w:val="18"/>
    </w:rPr>
  </w:style>
  <w:style w:type="character" w:customStyle="1" w:styleId="12">
    <w:name w:val="页脚 Char"/>
    <w:basedOn w:val="10"/>
    <w:link w:val="5"/>
    <w:qFormat/>
    <w:uiPriority w:val="99"/>
    <w:rPr>
      <w:sz w:val="18"/>
      <w:szCs w:val="18"/>
    </w:rPr>
  </w:style>
  <w:style w:type="paragraph" w:customStyle="1" w:styleId="13">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4">
    <w:name w:val="List Paragraph"/>
    <w:basedOn w:val="1"/>
    <w:qFormat/>
    <w:uiPriority w:val="34"/>
    <w:pPr>
      <w:ind w:firstLine="420" w:firstLineChars="200"/>
    </w:pPr>
  </w:style>
  <w:style w:type="character" w:customStyle="1" w:styleId="15">
    <w:name w:val="批注框文本 Char"/>
    <w:basedOn w:val="10"/>
    <w:link w:val="4"/>
    <w:semiHidden/>
    <w:qFormat/>
    <w:uiPriority w:val="99"/>
    <w:rPr>
      <w:sz w:val="18"/>
      <w:szCs w:val="18"/>
    </w:rPr>
  </w:style>
  <w:style w:type="character" w:customStyle="1" w:styleId="16">
    <w:name w:val="font01"/>
    <w:basedOn w:val="10"/>
    <w:qFormat/>
    <w:uiPriority w:val="0"/>
    <w:rPr>
      <w:rFonts w:hint="eastAsia" w:ascii="宋体" w:hAnsi="宋体" w:eastAsia="宋体" w:cs="宋体"/>
      <w:color w:val="000000"/>
      <w:sz w:val="22"/>
      <w:szCs w:val="22"/>
      <w:u w:val="none"/>
    </w:rPr>
  </w:style>
  <w:style w:type="character" w:customStyle="1" w:styleId="17">
    <w:name w:val="font21"/>
    <w:basedOn w:val="10"/>
    <w:qFormat/>
    <w:uiPriority w:val="0"/>
    <w:rPr>
      <w:rFonts w:hint="eastAsia" w:ascii="宋体" w:hAnsi="宋体" w:eastAsia="宋体" w:cs="宋体"/>
      <w:color w:val="000000"/>
      <w:sz w:val="24"/>
      <w:szCs w:val="24"/>
      <w:u w:val="none"/>
    </w:rPr>
  </w:style>
  <w:style w:type="character" w:customStyle="1" w:styleId="18">
    <w:name w:val="font11"/>
    <w:basedOn w:val="1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13</Pages>
  <Words>5856</Words>
  <Characters>6060</Characters>
  <Lines>63</Lines>
  <Paragraphs>18</Paragraphs>
  <TotalTime>154</TotalTime>
  <ScaleCrop>false</ScaleCrop>
  <LinksUpToDate>false</LinksUpToDate>
  <CharactersWithSpaces>6083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2020-07-08T02:32:00Z</dcterms:created>
  <dc:creator>李航 null</dc:creator>
  <cp:lastModifiedBy>李天乐</cp:lastModifiedBy>
  <cp:lastPrinted>2024-08-08T10:20:00Z</cp:lastPrinted>
  <dcterms:modified xsi:type="dcterms:W3CDTF">2025-12-16T12:41:19Z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A44412F8788B41928B83C8C28B73A1D3_13</vt:lpwstr>
  </property>
  <property fmtid="{D5CDD505-2E9C-101B-9397-08002B2CF9AE}" pid="4" name="KSOTemplateDocerSaveRecord">
    <vt:lpwstr>eyJoZGlkIjoiYWNjNTk2OTRjYzEzNTI3Yzk4MDU3ZTg2ZjlhODM2NDAiLCJ1c2VySWQiOiIxNDkyNDM0OTU4In0=</vt:lpwstr>
  </property>
</Properties>
</file>