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1FD3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9DD157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华容县沙河水库管理所</w:t>
      </w:r>
      <w:r>
        <w:rPr>
          <w:rFonts w:hint="eastAsia" w:ascii="方正小标宋_GBK" w:hAnsi="方正小标宋_GBK" w:eastAsia="方正小标宋_GBK" w:cs="方正小标宋_GBK"/>
          <w:sz w:val="84"/>
          <w:szCs w:val="84"/>
        </w:rPr>
        <w:t>部门决算</w:t>
      </w:r>
    </w:p>
    <w:p w14:paraId="516084BF">
      <w:pPr>
        <w:pStyle w:val="13"/>
        <w:spacing w:line="500" w:lineRule="exact"/>
        <w:jc w:val="both"/>
        <w:rPr>
          <w:b/>
          <w:sz w:val="36"/>
          <w:szCs w:val="28"/>
        </w:rPr>
      </w:pPr>
    </w:p>
    <w:p w14:paraId="00C64A73">
      <w:pPr>
        <w:pStyle w:val="13"/>
        <w:spacing w:line="500" w:lineRule="exact"/>
        <w:jc w:val="center"/>
        <w:rPr>
          <w:b/>
          <w:sz w:val="36"/>
          <w:szCs w:val="28"/>
        </w:rPr>
      </w:pPr>
      <w:r>
        <w:rPr>
          <w:rFonts w:hint="eastAsia"/>
          <w:b/>
          <w:sz w:val="36"/>
          <w:szCs w:val="28"/>
        </w:rPr>
        <w:t>目录</w:t>
      </w:r>
    </w:p>
    <w:p w14:paraId="7184751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highlight w:val="yellow"/>
          <w:lang w:eastAsia="zh-CN"/>
        </w:rPr>
        <w:t>华容县沙河水库管理所</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1E811DD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F8E138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55C48A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C12D62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F346F6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607982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97DC26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473B27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4EBC00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76389D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597BD7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09027F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FD975E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F86383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46FB30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AB4916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445AE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FEB52C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36813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BE4621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062E6F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698AD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48C01C06">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7C82495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74ED338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457C183A">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3C7A7DB7">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7462A67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BCA6DEC">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34A4250">
      <w:pPr>
        <w:pStyle w:val="13"/>
        <w:spacing w:line="500" w:lineRule="exact"/>
        <w:rPr>
          <w:rFonts w:hint="eastAsia" w:ascii="黑体" w:hAnsi="黑体" w:eastAsia="黑体" w:cs="黑体"/>
          <w:b w:val="0"/>
          <w:bCs/>
          <w:sz w:val="28"/>
          <w:szCs w:val="28"/>
        </w:rPr>
      </w:pPr>
    </w:p>
    <w:p w14:paraId="5EA9575C">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2EFB4A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华容县沙河水库管理所</w:t>
      </w:r>
      <w:r>
        <w:rPr>
          <w:rFonts w:hint="eastAsia" w:ascii="方正小标宋_GBK" w:hAnsi="方正小标宋_GBK" w:eastAsia="方正小标宋_GBK" w:cs="方正小标宋_GBK"/>
          <w:sz w:val="48"/>
          <w:szCs w:val="48"/>
        </w:rPr>
        <w:t>概况</w:t>
      </w:r>
    </w:p>
    <w:p w14:paraId="4ACD7910">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A62B463">
      <w:pPr>
        <w:keepNext/>
        <w:keepLines/>
        <w:shd w:val="clear" w:color="auto" w:fill="FFFFFF"/>
        <w:ind w:firstLine="640"/>
        <w:jc w:val="left"/>
        <w:rPr>
          <w:rFonts w:hint="eastAsia" w:ascii="仿宋" w:hAnsi="仿宋" w:eastAsia="仿宋" w:cs="仿宋"/>
          <w:b w:val="0"/>
          <w:bCs w:val="0"/>
          <w:sz w:val="32"/>
          <w:szCs w:val="32"/>
        </w:rPr>
      </w:pPr>
      <w:r>
        <w:rPr>
          <w:rFonts w:hint="eastAsia" w:ascii="仿宋" w:hAnsi="仿宋" w:eastAsia="仿宋" w:cs="仿宋"/>
          <w:color w:val="auto"/>
          <w:kern w:val="0"/>
          <w:sz w:val="32"/>
          <w:szCs w:val="24"/>
          <w:lang w:val="en-US" w:eastAsia="zh-CN"/>
        </w:rPr>
        <w:t>调蓄抗旱，减轻灾害损失</w:t>
      </w:r>
      <w:r>
        <w:rPr>
          <w:rFonts w:hint="eastAsia" w:ascii="仿宋" w:hAnsi="仿宋" w:eastAsia="仿宋" w:cs="仿宋"/>
          <w:color w:val="auto"/>
          <w:kern w:val="0"/>
          <w:sz w:val="32"/>
          <w:szCs w:val="24"/>
          <w:lang w:val="en-US"/>
        </w:rPr>
        <w:t>。</w:t>
      </w:r>
    </w:p>
    <w:p w14:paraId="2193BC5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58DCB55">
      <w:pPr>
        <w:keepNext/>
        <w:keepLines/>
        <w:ind w:firstLine="640"/>
        <w:rPr>
          <w:rFonts w:hint="eastAsia" w:ascii="仿宋" w:hAnsi="仿宋" w:eastAsia="仿宋" w:cs="仿宋"/>
          <w:color w:val="auto"/>
          <w:sz w:val="32"/>
          <w:szCs w:val="24"/>
          <w:lang w:val="zh-CN" w:eastAsia="zh-CN"/>
        </w:rPr>
      </w:pPr>
      <w:r>
        <w:rPr>
          <w:rFonts w:hint="eastAsia" w:ascii="仿宋" w:hAnsi="仿宋" w:eastAsia="仿宋" w:cs="仿宋"/>
          <w:color w:val="auto"/>
          <w:sz w:val="32"/>
          <w:szCs w:val="24"/>
          <w:lang w:val="zh-CN"/>
        </w:rPr>
        <w:t>华容县沙河水库管理所单位内设机构包括：</w:t>
      </w:r>
      <w:r>
        <w:rPr>
          <w:rFonts w:hint="eastAsia" w:ascii="仿宋" w:hAnsi="仿宋" w:eastAsia="仿宋" w:cs="仿宋"/>
          <w:color w:val="auto"/>
          <w:sz w:val="32"/>
          <w:szCs w:val="24"/>
          <w:lang w:val="zh-CN" w:eastAsia="zh-CN"/>
        </w:rPr>
        <w:t>工程股、财务股。</w:t>
      </w:r>
    </w:p>
    <w:p w14:paraId="7B69E7C4">
      <w:pPr>
        <w:keepNext/>
        <w:keepLines/>
        <w:ind w:firstLine="640"/>
        <w:rPr>
          <w:rFonts w:hint="eastAsia" w:ascii="仿宋" w:hAnsi="仿宋" w:eastAsia="仿宋" w:cs="仿宋"/>
          <w:color w:val="auto"/>
          <w:sz w:val="32"/>
          <w:szCs w:val="24"/>
          <w:lang w:val="en-US"/>
        </w:rPr>
      </w:pPr>
      <w:r>
        <w:rPr>
          <w:rFonts w:hint="eastAsia" w:ascii="仿宋" w:hAnsi="仿宋" w:eastAsia="仿宋" w:cs="仿宋"/>
          <w:color w:val="auto"/>
          <w:sz w:val="32"/>
          <w:szCs w:val="24"/>
          <w:lang w:val="en-US"/>
        </w:rPr>
        <w:t>（二）决算单位构成。</w:t>
      </w:r>
    </w:p>
    <w:p w14:paraId="0042FEA3">
      <w:pPr>
        <w:keepNext/>
        <w:keepLines/>
        <w:ind w:firstLine="640"/>
        <w:rPr>
          <w:rFonts w:hint="eastAsia" w:ascii="仿宋" w:hAnsi="仿宋" w:eastAsia="仿宋" w:cs="仿宋"/>
          <w:color w:val="auto"/>
          <w:sz w:val="32"/>
          <w:szCs w:val="24"/>
          <w:lang w:val="en-US"/>
        </w:rPr>
      </w:pPr>
      <w:r>
        <w:rPr>
          <w:rFonts w:hint="eastAsia" w:ascii="仿宋" w:hAnsi="仿宋" w:eastAsia="仿宋" w:cs="仿宋"/>
          <w:color w:val="auto"/>
          <w:sz w:val="32"/>
          <w:szCs w:val="24"/>
          <w:lang w:val="zh-CN"/>
        </w:rPr>
        <w:t>华容县沙河水库管理所单位202</w:t>
      </w: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lang w:val="zh-CN"/>
        </w:rPr>
        <w:t>年部门决算汇总公开单位构成包括：华容县沙河水库管理所决算</w:t>
      </w:r>
      <w:r>
        <w:rPr>
          <w:rFonts w:hint="eastAsia" w:ascii="仿宋" w:hAnsi="仿宋" w:eastAsia="仿宋" w:cs="仿宋"/>
          <w:color w:val="auto"/>
          <w:sz w:val="32"/>
          <w:szCs w:val="24"/>
          <w:lang w:val="en-US"/>
        </w:rPr>
        <w:t>。</w:t>
      </w:r>
    </w:p>
    <w:p w14:paraId="7ECF7881">
      <w:pPr>
        <w:jc w:val="left"/>
        <w:rPr>
          <w:rFonts w:ascii="仿宋_GB2312" w:eastAsia="仿宋_GB2312" w:hAnsiTheme="minorEastAsia"/>
          <w:sz w:val="28"/>
          <w:szCs w:val="32"/>
        </w:rPr>
      </w:pPr>
    </w:p>
    <w:p w14:paraId="647564B8">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2FF860F0">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399846AA">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7B92D1E3">
      <w:pPr>
        <w:pStyle w:val="13"/>
        <w:jc w:val="center"/>
        <w:rPr>
          <w:rFonts w:hint="eastAsia" w:ascii="方正小标宋_GBK" w:hAnsi="方正小标宋_GBK" w:eastAsia="方正小标宋_GBK" w:cs="方正小标宋_GBK"/>
          <w:sz w:val="48"/>
          <w:szCs w:val="48"/>
        </w:rPr>
      </w:pPr>
    </w:p>
    <w:p w14:paraId="12971C68">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04580809">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4E65F3D6">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EBF78BD">
      <w:pPr>
        <w:keepNext/>
        <w:keepLines/>
        <w:ind w:firstLine="641"/>
        <w:rPr>
          <w:rFonts w:hint="eastAsia" w:ascii="黑体" w:hAnsi="黑体" w:eastAsia="黑体"/>
          <w:color w:val="auto"/>
          <w:sz w:val="32"/>
          <w:szCs w:val="24"/>
          <w:highlight w:val="white"/>
          <w:lang w:val="zh-CN"/>
        </w:rPr>
      </w:pPr>
      <w:r>
        <w:rPr>
          <w:rFonts w:hint="eastAsia" w:ascii="黑体" w:hAnsi="黑体" w:eastAsia="黑体"/>
          <w:color w:val="auto"/>
          <w:sz w:val="32"/>
          <w:szCs w:val="24"/>
          <w:highlight w:val="white"/>
          <w:lang w:val="zh-CN"/>
        </w:rPr>
        <w:t>一、收入支出决算总体情况说明</w:t>
      </w:r>
    </w:p>
    <w:p w14:paraId="06F0E523">
      <w:pPr>
        <w:keepNext/>
        <w:keepLines/>
        <w:ind w:firstLine="641"/>
        <w:rPr>
          <w:rFonts w:hint="eastAsia"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zh-CN"/>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zh-CN"/>
        </w:rPr>
        <w:t>年度收、支总计均为149.65万元，与上年相比，收、支总计各减少191万元，下降56.07%。主要原因</w:t>
      </w:r>
      <w:r>
        <w:rPr>
          <w:rFonts w:hint="eastAsia" w:ascii="仿宋" w:hAnsi="仿宋" w:eastAsia="仿宋" w:cs="仿宋"/>
          <w:color w:val="auto"/>
          <w:sz w:val="32"/>
          <w:szCs w:val="24"/>
          <w:highlight w:val="white"/>
          <w:lang w:val="en-US" w:eastAsia="zh-CN"/>
        </w:rPr>
        <w:t>22年支付了灌区配套项目尾款</w:t>
      </w:r>
      <w:r>
        <w:rPr>
          <w:rFonts w:hint="eastAsia" w:ascii="仿宋" w:hAnsi="仿宋" w:eastAsia="仿宋" w:cs="仿宋"/>
          <w:color w:val="auto"/>
          <w:sz w:val="32"/>
          <w:szCs w:val="24"/>
          <w:highlight w:val="white"/>
          <w:lang w:val="zh-CN"/>
        </w:rPr>
        <w:t>。</w:t>
      </w:r>
    </w:p>
    <w:p w14:paraId="5C54C0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1670DA2">
      <w:pPr>
        <w:pStyle w:val="13"/>
        <w:spacing w:line="500" w:lineRule="exact"/>
        <w:ind w:firstLine="800" w:firstLineChars="250"/>
        <w:rPr>
          <w:rFonts w:hint="eastAsia" w:ascii="仿宋_GB2312" w:hAnsi="仿宋_GB2312" w:eastAsia="仿宋_GB2312" w:cs="仿宋_GB2312"/>
          <w:sz w:val="28"/>
          <w:szCs w:val="28"/>
          <w:lang w:val="en-US"/>
        </w:rPr>
      </w:pPr>
      <w:r>
        <w:rPr>
          <w:rFonts w:hint="eastAsia" w:ascii="仿宋" w:hAnsi="仿宋" w:eastAsia="仿宋" w:cs="仿宋"/>
          <w:color w:val="auto"/>
          <w:kern w:val="2"/>
          <w:sz w:val="32"/>
          <w:szCs w:val="24"/>
          <w:highlight w:val="white"/>
          <w:lang w:val="en-US" w:eastAsia="zh-CN" w:bidi="ar-SA"/>
        </w:rPr>
        <w:t>2023年度收入合计149.65万元，其中：财政拨款收入149.65万元，占100%；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3C46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3C32E2E">
      <w:pPr>
        <w:pStyle w:val="13"/>
        <w:spacing w:line="500" w:lineRule="exact"/>
        <w:ind w:firstLine="800" w:firstLineChars="250"/>
        <w:rPr>
          <w:rFonts w:hint="eastAsia" w:ascii="仿宋" w:hAnsi="仿宋" w:eastAsia="仿宋" w:cs="仿宋"/>
          <w:color w:val="auto"/>
          <w:kern w:val="2"/>
          <w:sz w:val="32"/>
          <w:szCs w:val="24"/>
          <w:highlight w:val="white"/>
          <w:lang w:val="en-US" w:eastAsia="zh-CN" w:bidi="ar-SA"/>
        </w:rPr>
      </w:pPr>
      <w:r>
        <w:rPr>
          <w:rFonts w:hint="eastAsia" w:ascii="仿宋" w:hAnsi="仿宋" w:eastAsia="仿宋" w:cs="仿宋"/>
          <w:color w:val="auto"/>
          <w:kern w:val="2"/>
          <w:sz w:val="32"/>
          <w:szCs w:val="24"/>
          <w:highlight w:val="white"/>
          <w:lang w:val="en-US" w:eastAsia="zh-CN" w:bidi="ar-SA"/>
        </w:rPr>
        <w:t>2023年度支出合计149.65万元，其中：基本支出</w:t>
      </w:r>
      <w:r>
        <w:rPr>
          <w:rFonts w:hint="eastAsia" w:ascii="仿宋" w:hAnsi="仿宋" w:eastAsia="仿宋" w:cs="仿宋"/>
          <w:color w:val="auto"/>
          <w:kern w:val="2"/>
          <w:sz w:val="32"/>
          <w:szCs w:val="24"/>
          <w:highlight w:val="white"/>
          <w:lang w:val="zh-CN" w:eastAsia="zh-CN" w:bidi="ar-SA"/>
        </w:rPr>
        <w:t>149.65万元，</w:t>
      </w:r>
      <w:r>
        <w:rPr>
          <w:rFonts w:hint="eastAsia" w:ascii="仿宋" w:hAnsi="仿宋" w:eastAsia="仿宋" w:cs="仿宋"/>
          <w:color w:val="auto"/>
          <w:kern w:val="2"/>
          <w:sz w:val="32"/>
          <w:szCs w:val="24"/>
          <w:highlight w:val="white"/>
          <w:lang w:val="en-US" w:eastAsia="zh-CN" w:bidi="ar-SA"/>
        </w:rPr>
        <w:t>占100%；</w:t>
      </w:r>
    </w:p>
    <w:p w14:paraId="605716EA">
      <w:pPr>
        <w:pStyle w:val="13"/>
        <w:spacing w:line="500" w:lineRule="exact"/>
        <w:rPr>
          <w:rFonts w:hint="eastAsia" w:ascii="仿宋" w:hAnsi="仿宋" w:eastAsia="仿宋" w:cs="仿宋"/>
          <w:color w:val="auto"/>
          <w:kern w:val="2"/>
          <w:sz w:val="32"/>
          <w:szCs w:val="24"/>
          <w:highlight w:val="white"/>
          <w:lang w:val="zh-CN" w:eastAsia="zh-CN" w:bidi="ar-SA"/>
        </w:rPr>
      </w:pP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3F98C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BD8DA43">
      <w:pPr>
        <w:keepNext/>
        <w:keepLines/>
        <w:ind w:firstLine="641"/>
        <w:rPr>
          <w:rFonts w:hint="eastAsia"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zh-CN"/>
        </w:rPr>
        <w:t xml:space="preserve"> </w:t>
      </w:r>
      <w:r>
        <w:rPr>
          <w:rFonts w:hint="eastAsia" w:ascii="仿宋" w:hAnsi="仿宋" w:eastAsia="仿宋" w:cs="仿宋"/>
          <w:color w:val="auto"/>
          <w:sz w:val="32"/>
          <w:szCs w:val="24"/>
          <w:highlight w:val="white"/>
          <w:lang w:val="en-US"/>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en-US"/>
        </w:rPr>
        <w:t>年度财政拨款收、支总计均为149.65万元，</w:t>
      </w:r>
      <w:r>
        <w:rPr>
          <w:rFonts w:hint="eastAsia" w:ascii="仿宋" w:hAnsi="仿宋" w:eastAsia="仿宋" w:cs="仿宋"/>
          <w:color w:val="auto"/>
          <w:sz w:val="32"/>
          <w:szCs w:val="24"/>
          <w:highlight w:val="white"/>
          <w:lang w:val="zh-CN"/>
        </w:rPr>
        <w:t>与202</w:t>
      </w:r>
      <w:r>
        <w:rPr>
          <w:rFonts w:hint="eastAsia" w:ascii="仿宋" w:hAnsi="仿宋" w:eastAsia="仿宋" w:cs="仿宋"/>
          <w:color w:val="auto"/>
          <w:sz w:val="32"/>
          <w:szCs w:val="24"/>
          <w:highlight w:val="white"/>
          <w:lang w:val="en-US" w:eastAsia="zh-CN"/>
        </w:rPr>
        <w:t>2</w:t>
      </w:r>
      <w:r>
        <w:rPr>
          <w:rFonts w:hint="eastAsia" w:ascii="仿宋" w:hAnsi="仿宋" w:eastAsia="仿宋" w:cs="仿宋"/>
          <w:color w:val="auto"/>
          <w:sz w:val="32"/>
          <w:szCs w:val="24"/>
          <w:highlight w:val="white"/>
          <w:lang w:val="zh-CN"/>
        </w:rPr>
        <w:t>年相比，</w:t>
      </w:r>
      <w:r>
        <w:rPr>
          <w:rFonts w:hint="eastAsia" w:ascii="仿宋" w:hAnsi="仿宋" w:eastAsia="仿宋" w:cs="仿宋"/>
          <w:color w:val="auto"/>
          <w:sz w:val="32"/>
          <w:szCs w:val="24"/>
          <w:highlight w:val="white"/>
          <w:lang w:val="en-US"/>
        </w:rPr>
        <w:t>财政拨款收、支总计各减少191万元，</w:t>
      </w:r>
      <w:r>
        <w:rPr>
          <w:rFonts w:hint="eastAsia" w:ascii="仿宋" w:hAnsi="仿宋" w:eastAsia="仿宋" w:cs="仿宋"/>
          <w:color w:val="auto"/>
          <w:sz w:val="32"/>
          <w:szCs w:val="24"/>
          <w:highlight w:val="white"/>
          <w:lang w:val="en-US" w:eastAsia="zh-CN"/>
        </w:rPr>
        <w:t>减少</w:t>
      </w:r>
      <w:r>
        <w:rPr>
          <w:rFonts w:hint="eastAsia" w:ascii="仿宋" w:hAnsi="仿宋" w:eastAsia="仿宋" w:cs="仿宋"/>
          <w:color w:val="auto"/>
          <w:sz w:val="32"/>
          <w:szCs w:val="24"/>
          <w:highlight w:val="white"/>
          <w:lang w:val="en-US"/>
        </w:rPr>
        <w:t>56.07%。</w:t>
      </w:r>
      <w:r>
        <w:rPr>
          <w:rFonts w:hint="eastAsia" w:ascii="仿宋" w:hAnsi="仿宋" w:eastAsia="仿宋" w:cs="仿宋"/>
          <w:color w:val="auto"/>
          <w:sz w:val="32"/>
          <w:szCs w:val="24"/>
          <w:highlight w:val="white"/>
          <w:lang w:val="zh-CN"/>
        </w:rPr>
        <w:t>主要原因</w:t>
      </w:r>
      <w:r>
        <w:rPr>
          <w:rFonts w:hint="eastAsia" w:ascii="仿宋" w:hAnsi="仿宋" w:eastAsia="仿宋" w:cs="仿宋"/>
          <w:color w:val="auto"/>
          <w:sz w:val="32"/>
          <w:szCs w:val="24"/>
          <w:highlight w:val="white"/>
          <w:lang w:val="en-US" w:eastAsia="zh-CN"/>
        </w:rPr>
        <w:t>22年支付了灌区配套项目尾款</w:t>
      </w:r>
      <w:r>
        <w:rPr>
          <w:rFonts w:hint="eastAsia" w:ascii="仿宋" w:hAnsi="仿宋" w:eastAsia="仿宋" w:cs="仿宋"/>
          <w:color w:val="auto"/>
          <w:sz w:val="32"/>
          <w:szCs w:val="24"/>
          <w:highlight w:val="white"/>
          <w:lang w:val="zh-CN"/>
        </w:rPr>
        <w:t>。</w:t>
      </w:r>
    </w:p>
    <w:p w14:paraId="17E36B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04519A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4075D53">
      <w:pPr>
        <w:keepNext/>
        <w:keepLines/>
        <w:ind w:firstLine="641"/>
        <w:rPr>
          <w:rFonts w:hint="eastAsia" w:ascii="仿宋" w:hAnsi="仿宋" w:eastAsia="仿宋" w:cs="仿宋"/>
          <w:color w:val="auto"/>
          <w:sz w:val="32"/>
          <w:szCs w:val="24"/>
          <w:highlight w:val="white"/>
          <w:lang w:val="en-US"/>
        </w:rPr>
      </w:pPr>
      <w:r>
        <w:rPr>
          <w:rFonts w:hint="eastAsia" w:ascii="仿宋" w:hAnsi="仿宋" w:eastAsia="仿宋" w:cs="仿宋"/>
          <w:color w:val="auto"/>
          <w:sz w:val="32"/>
          <w:szCs w:val="24"/>
          <w:highlight w:val="white"/>
          <w:lang w:val="en-US"/>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en-US"/>
        </w:rPr>
        <w:t>年度财政拨款支出149.65万元，占本年支出合计的100%。与202</w:t>
      </w:r>
      <w:r>
        <w:rPr>
          <w:rFonts w:hint="eastAsia" w:ascii="仿宋" w:hAnsi="仿宋" w:eastAsia="仿宋" w:cs="仿宋"/>
          <w:color w:val="auto"/>
          <w:sz w:val="32"/>
          <w:szCs w:val="24"/>
          <w:highlight w:val="white"/>
          <w:lang w:val="en-US" w:eastAsia="zh-CN"/>
        </w:rPr>
        <w:t>2</w:t>
      </w:r>
      <w:r>
        <w:rPr>
          <w:rFonts w:hint="eastAsia" w:ascii="仿宋" w:hAnsi="仿宋" w:eastAsia="仿宋" w:cs="仿宋"/>
          <w:color w:val="auto"/>
          <w:sz w:val="32"/>
          <w:szCs w:val="24"/>
          <w:highlight w:val="white"/>
          <w:lang w:val="en-US"/>
        </w:rPr>
        <w:t>年度相比，财政拨款支出减少191万元，下降56.07%,</w:t>
      </w:r>
      <w:r>
        <w:rPr>
          <w:rFonts w:hint="eastAsia" w:ascii="仿宋" w:hAnsi="仿宋" w:eastAsia="仿宋" w:cs="仿宋"/>
          <w:color w:val="auto"/>
          <w:sz w:val="32"/>
          <w:szCs w:val="24"/>
          <w:highlight w:val="white"/>
          <w:lang w:val="zh-CN"/>
        </w:rPr>
        <w:t>主要原因</w:t>
      </w:r>
      <w:r>
        <w:rPr>
          <w:rFonts w:hint="eastAsia" w:ascii="仿宋" w:hAnsi="仿宋" w:eastAsia="仿宋" w:cs="仿宋"/>
          <w:color w:val="auto"/>
          <w:sz w:val="32"/>
          <w:szCs w:val="24"/>
          <w:highlight w:val="white"/>
          <w:lang w:val="en-US" w:eastAsia="zh-CN"/>
        </w:rPr>
        <w:t>22年支付了灌区配套项目尾款</w:t>
      </w:r>
      <w:r>
        <w:rPr>
          <w:rFonts w:hint="eastAsia" w:ascii="仿宋" w:hAnsi="仿宋" w:eastAsia="仿宋" w:cs="仿宋"/>
          <w:color w:val="auto"/>
          <w:sz w:val="32"/>
          <w:szCs w:val="24"/>
          <w:highlight w:val="white"/>
          <w:lang w:val="en-US"/>
        </w:rPr>
        <w:t>。</w:t>
      </w:r>
    </w:p>
    <w:p w14:paraId="52F02828">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BCB4ACA">
      <w:pPr>
        <w:keepNext/>
        <w:keepLines/>
        <w:ind w:firstLine="641"/>
        <w:rPr>
          <w:rFonts w:hint="default"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en-US"/>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en-US"/>
        </w:rPr>
        <w:t>年度财政拨款支出149.65万元，主要用于以下方面：农林水（类）支出149.65万元，占100%；</w:t>
      </w:r>
    </w:p>
    <w:p w14:paraId="21C55B44">
      <w:pPr>
        <w:keepNext/>
        <w:keepLines/>
        <w:ind w:firstLine="641"/>
        <w:rPr>
          <w:rFonts w:hint="eastAsia"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zh-CN"/>
        </w:rPr>
        <w:t>（三）一般公共预算财政拨款支出决算具体情况</w:t>
      </w:r>
    </w:p>
    <w:p w14:paraId="448E65C5">
      <w:pPr>
        <w:keepNext/>
        <w:keepLines/>
        <w:ind w:firstLine="641"/>
        <w:rPr>
          <w:rFonts w:hint="eastAsia" w:ascii="仿宋" w:hAnsi="仿宋" w:eastAsia="仿宋" w:cs="仿宋"/>
          <w:color w:val="auto"/>
          <w:sz w:val="32"/>
          <w:szCs w:val="24"/>
          <w:highlight w:val="white"/>
          <w:lang w:val="en-US" w:eastAsia="zh-CN"/>
        </w:rPr>
      </w:pPr>
      <w:r>
        <w:rPr>
          <w:rFonts w:hint="eastAsia" w:ascii="仿宋" w:hAnsi="仿宋" w:eastAsia="仿宋" w:cs="仿宋"/>
          <w:color w:val="auto"/>
          <w:sz w:val="32"/>
          <w:szCs w:val="24"/>
          <w:highlight w:val="white"/>
          <w:lang w:val="zh-CN"/>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zh-CN"/>
        </w:rPr>
        <w:t>年度财政拨款支出年初预算为</w:t>
      </w:r>
      <w:r>
        <w:rPr>
          <w:rFonts w:hint="eastAsia" w:ascii="仿宋" w:hAnsi="仿宋" w:eastAsia="仿宋" w:cs="仿宋"/>
          <w:color w:val="auto"/>
          <w:sz w:val="32"/>
          <w:szCs w:val="24"/>
          <w:highlight w:val="white"/>
          <w:lang w:val="en-US" w:eastAsia="zh-CN"/>
        </w:rPr>
        <w:t>96.47</w:t>
      </w:r>
      <w:r>
        <w:rPr>
          <w:rFonts w:hint="eastAsia" w:ascii="仿宋" w:hAnsi="仿宋" w:eastAsia="仿宋" w:cs="仿宋"/>
          <w:color w:val="auto"/>
          <w:sz w:val="32"/>
          <w:szCs w:val="24"/>
          <w:highlight w:val="white"/>
          <w:lang w:val="zh-CN"/>
        </w:rPr>
        <w:t>万元，支出决算为149.65万元，完成年初预算的</w:t>
      </w:r>
      <w:r>
        <w:rPr>
          <w:rFonts w:hint="eastAsia" w:ascii="仿宋" w:hAnsi="仿宋" w:eastAsia="仿宋" w:cs="仿宋"/>
          <w:color w:val="auto"/>
          <w:sz w:val="32"/>
          <w:szCs w:val="24"/>
          <w:highlight w:val="white"/>
          <w:lang w:val="en-US" w:eastAsia="zh-CN"/>
        </w:rPr>
        <w:t>155</w:t>
      </w:r>
      <w:r>
        <w:rPr>
          <w:rFonts w:hint="eastAsia" w:ascii="仿宋" w:hAnsi="仿宋" w:eastAsia="仿宋" w:cs="仿宋"/>
          <w:color w:val="auto"/>
          <w:sz w:val="32"/>
          <w:szCs w:val="24"/>
          <w:highlight w:val="white"/>
          <w:lang w:val="zh-CN"/>
        </w:rPr>
        <w:t>%。其中：</w:t>
      </w:r>
    </w:p>
    <w:p w14:paraId="4252080E">
      <w:pPr>
        <w:keepNext/>
        <w:keepLines/>
        <w:ind w:firstLine="641"/>
        <w:rPr>
          <w:rFonts w:hint="eastAsia" w:ascii="仿宋" w:hAnsi="仿宋" w:eastAsia="仿宋" w:cs="仿宋"/>
          <w:color w:val="auto"/>
          <w:sz w:val="32"/>
          <w:szCs w:val="24"/>
          <w:highlight w:val="white"/>
          <w:lang w:val="en-US"/>
        </w:rPr>
      </w:pPr>
      <w:r>
        <w:rPr>
          <w:rFonts w:hint="eastAsia" w:ascii="仿宋" w:hAnsi="仿宋" w:eastAsia="仿宋" w:cs="仿宋"/>
          <w:color w:val="auto"/>
          <w:sz w:val="32"/>
          <w:szCs w:val="24"/>
          <w:highlight w:val="white"/>
          <w:lang w:val="en-US"/>
        </w:rPr>
        <w:t>农林水支出（类）城市基础设施配套费安排的支出（款）水利工程运行与维护（项）。年初预算为</w:t>
      </w:r>
      <w:r>
        <w:rPr>
          <w:rFonts w:hint="eastAsia" w:ascii="仿宋" w:hAnsi="仿宋" w:eastAsia="仿宋" w:cs="仿宋"/>
          <w:color w:val="auto"/>
          <w:sz w:val="32"/>
          <w:szCs w:val="24"/>
          <w:highlight w:val="white"/>
          <w:lang w:val="en-US" w:eastAsia="zh-CN"/>
        </w:rPr>
        <w:t>3.5</w:t>
      </w:r>
      <w:r>
        <w:rPr>
          <w:rFonts w:hint="eastAsia" w:ascii="仿宋" w:hAnsi="仿宋" w:eastAsia="仿宋" w:cs="仿宋"/>
          <w:color w:val="auto"/>
          <w:sz w:val="32"/>
          <w:szCs w:val="24"/>
          <w:highlight w:val="white"/>
          <w:lang w:val="en-US"/>
        </w:rPr>
        <w:t>万元，支出决算为18万元，完成年初预算的</w:t>
      </w:r>
      <w:r>
        <w:rPr>
          <w:rFonts w:hint="eastAsia" w:ascii="仿宋" w:hAnsi="仿宋" w:eastAsia="仿宋" w:cs="仿宋"/>
          <w:color w:val="auto"/>
          <w:sz w:val="32"/>
          <w:szCs w:val="24"/>
          <w:highlight w:val="white"/>
          <w:lang w:val="en-US" w:eastAsia="zh-CN"/>
        </w:rPr>
        <w:t>514</w:t>
      </w:r>
      <w:r>
        <w:rPr>
          <w:rFonts w:hint="eastAsia" w:ascii="仿宋" w:hAnsi="仿宋" w:eastAsia="仿宋" w:cs="仿宋"/>
          <w:color w:val="auto"/>
          <w:sz w:val="32"/>
          <w:szCs w:val="24"/>
          <w:highlight w:val="white"/>
          <w:lang w:val="en-US"/>
        </w:rPr>
        <w:t>%。决算数大于预算数的主要原因是</w:t>
      </w:r>
      <w:r>
        <w:rPr>
          <w:rFonts w:hint="eastAsia" w:ascii="仿宋" w:hAnsi="仿宋" w:eastAsia="仿宋" w:cs="仿宋"/>
          <w:color w:val="auto"/>
          <w:sz w:val="32"/>
          <w:szCs w:val="24"/>
          <w:highlight w:val="white"/>
          <w:lang w:val="en-US" w:eastAsia="zh-CN"/>
        </w:rPr>
        <w:t>追加了水库维修养护费用。</w:t>
      </w:r>
      <w:r>
        <w:rPr>
          <w:rFonts w:hint="eastAsia" w:ascii="仿宋" w:hAnsi="仿宋" w:eastAsia="仿宋" w:cs="仿宋"/>
          <w:color w:val="auto"/>
          <w:sz w:val="32"/>
          <w:szCs w:val="24"/>
          <w:highlight w:val="white"/>
          <w:lang w:val="en-US"/>
        </w:rPr>
        <w:t xml:space="preserve">  </w:t>
      </w:r>
    </w:p>
    <w:p w14:paraId="1D54954B">
      <w:pPr>
        <w:keepNext/>
        <w:keepLines/>
        <w:ind w:firstLine="641"/>
        <w:rPr>
          <w:rFonts w:hint="eastAsia" w:ascii="仿宋" w:hAnsi="仿宋" w:eastAsia="仿宋" w:cs="仿宋"/>
          <w:color w:val="auto"/>
          <w:sz w:val="32"/>
          <w:szCs w:val="24"/>
          <w:highlight w:val="white"/>
          <w:lang w:val="en-US"/>
        </w:rPr>
      </w:pPr>
      <w:r>
        <w:rPr>
          <w:rFonts w:hint="eastAsia" w:ascii="仿宋" w:hAnsi="仿宋" w:eastAsia="仿宋" w:cs="仿宋"/>
          <w:color w:val="auto"/>
          <w:sz w:val="32"/>
          <w:szCs w:val="24"/>
          <w:highlight w:val="white"/>
          <w:lang w:val="en-US"/>
        </w:rPr>
        <w:t>农林水支出（类）城市基础设施配套费安排的支出（款）防汛（项）。年初预算为</w:t>
      </w:r>
      <w:r>
        <w:rPr>
          <w:rFonts w:hint="eastAsia" w:ascii="仿宋" w:hAnsi="仿宋" w:eastAsia="仿宋" w:cs="仿宋"/>
          <w:color w:val="auto"/>
          <w:sz w:val="32"/>
          <w:szCs w:val="24"/>
          <w:highlight w:val="white"/>
          <w:lang w:val="en-US" w:eastAsia="zh-CN"/>
        </w:rPr>
        <w:t>92.97</w:t>
      </w:r>
      <w:r>
        <w:rPr>
          <w:rFonts w:hint="eastAsia" w:ascii="仿宋" w:hAnsi="仿宋" w:eastAsia="仿宋" w:cs="仿宋"/>
          <w:color w:val="auto"/>
          <w:sz w:val="32"/>
          <w:szCs w:val="24"/>
          <w:highlight w:val="white"/>
          <w:lang w:val="en-US"/>
        </w:rPr>
        <w:t>万元，支出决算为</w:t>
      </w:r>
      <w:r>
        <w:rPr>
          <w:rFonts w:hint="eastAsia" w:ascii="仿宋" w:hAnsi="仿宋" w:eastAsia="仿宋" w:cs="仿宋"/>
          <w:color w:val="auto"/>
          <w:sz w:val="32"/>
          <w:szCs w:val="24"/>
          <w:highlight w:val="white"/>
          <w:lang w:val="en-US" w:eastAsia="zh-CN"/>
        </w:rPr>
        <w:t>131.65</w:t>
      </w:r>
      <w:r>
        <w:rPr>
          <w:rFonts w:hint="eastAsia" w:ascii="仿宋" w:hAnsi="仿宋" w:eastAsia="仿宋" w:cs="仿宋"/>
          <w:color w:val="auto"/>
          <w:sz w:val="32"/>
          <w:szCs w:val="24"/>
          <w:highlight w:val="white"/>
          <w:lang w:val="en-US"/>
        </w:rPr>
        <w:t>万元，完成年初预算的</w:t>
      </w:r>
      <w:r>
        <w:rPr>
          <w:rFonts w:hint="eastAsia" w:ascii="仿宋" w:hAnsi="仿宋" w:eastAsia="仿宋" w:cs="仿宋"/>
          <w:color w:val="auto"/>
          <w:sz w:val="32"/>
          <w:szCs w:val="24"/>
          <w:highlight w:val="white"/>
          <w:lang w:val="en-US" w:eastAsia="zh-CN"/>
        </w:rPr>
        <w:t>141</w:t>
      </w:r>
      <w:r>
        <w:rPr>
          <w:rFonts w:hint="eastAsia" w:ascii="仿宋" w:hAnsi="仿宋" w:eastAsia="仿宋" w:cs="仿宋"/>
          <w:color w:val="auto"/>
          <w:sz w:val="32"/>
          <w:szCs w:val="24"/>
          <w:highlight w:val="white"/>
          <w:lang w:val="en-US"/>
        </w:rPr>
        <w:t>%。决算数大于预算数的主要原因是</w:t>
      </w:r>
      <w:r>
        <w:rPr>
          <w:rFonts w:hint="eastAsia" w:ascii="仿宋" w:hAnsi="仿宋" w:eastAsia="仿宋" w:cs="仿宋"/>
          <w:color w:val="auto"/>
          <w:sz w:val="32"/>
          <w:szCs w:val="24"/>
          <w:highlight w:val="white"/>
          <w:lang w:val="en-US" w:eastAsia="zh-CN"/>
        </w:rPr>
        <w:t>公用经费增加。</w:t>
      </w:r>
      <w:r>
        <w:rPr>
          <w:rFonts w:hint="eastAsia" w:ascii="仿宋" w:hAnsi="仿宋" w:eastAsia="仿宋" w:cs="仿宋"/>
          <w:color w:val="auto"/>
          <w:sz w:val="32"/>
          <w:szCs w:val="24"/>
          <w:highlight w:val="white"/>
          <w:lang w:val="en-US"/>
        </w:rPr>
        <w:t xml:space="preserve">  </w:t>
      </w:r>
    </w:p>
    <w:p w14:paraId="48B3C1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FF0000"/>
          <w:sz w:val="32"/>
          <w:szCs w:val="32"/>
        </w:rPr>
      </w:pPr>
    </w:p>
    <w:p w14:paraId="27ACF459">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一般公共预算财政拨款基本支出决算情况说明</w:t>
      </w:r>
    </w:p>
    <w:p w14:paraId="326365A8">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zh-CN"/>
        </w:rPr>
        <w:t>202</w:t>
      </w:r>
      <w:r>
        <w:rPr>
          <w:rFonts w:hint="eastAsia" w:ascii="仿宋" w:hAnsi="仿宋" w:eastAsia="仿宋" w:cs="仿宋"/>
          <w:color w:val="auto"/>
          <w:sz w:val="32"/>
          <w:szCs w:val="24"/>
          <w:highlight w:val="white"/>
          <w:lang w:val="en-US" w:eastAsia="zh-CN"/>
        </w:rPr>
        <w:t>3</w:t>
      </w:r>
      <w:r>
        <w:rPr>
          <w:rFonts w:hint="eastAsia" w:ascii="仿宋" w:hAnsi="仿宋" w:eastAsia="仿宋" w:cs="仿宋"/>
          <w:color w:val="auto"/>
          <w:sz w:val="32"/>
          <w:szCs w:val="24"/>
          <w:highlight w:val="white"/>
          <w:lang w:val="zh-CN"/>
        </w:rPr>
        <w:t>年度</w:t>
      </w:r>
      <w:r>
        <w:rPr>
          <w:rFonts w:hint="eastAsia" w:ascii="仿宋" w:hAnsi="仿宋" w:eastAsia="仿宋" w:cs="仿宋"/>
          <w:color w:val="auto"/>
          <w:sz w:val="32"/>
          <w:szCs w:val="24"/>
          <w:highlight w:val="white"/>
          <w:lang w:val="en-US"/>
        </w:rPr>
        <w:t>财政拨款基本支出149.65万元，其中:人员经费96.58万元，</w:t>
      </w:r>
      <w:r>
        <w:rPr>
          <w:rFonts w:hint="eastAsia" w:ascii="仿宋" w:hAnsi="仿宋" w:eastAsia="仿宋" w:cs="仿宋"/>
          <w:color w:val="auto"/>
          <w:sz w:val="32"/>
          <w:szCs w:val="24"/>
          <w:highlight w:val="white"/>
          <w:lang w:val="zh-CN"/>
        </w:rPr>
        <w:t>占基本支出的</w:t>
      </w:r>
      <w:r>
        <w:rPr>
          <w:rFonts w:hint="eastAsia" w:ascii="仿宋" w:hAnsi="仿宋" w:eastAsia="仿宋" w:cs="仿宋"/>
          <w:color w:val="auto"/>
          <w:sz w:val="32"/>
          <w:szCs w:val="24"/>
          <w:highlight w:val="white"/>
          <w:lang w:val="en-US"/>
        </w:rPr>
        <w:t>64.54%，主要包括基本工资、津贴补贴、</w:t>
      </w:r>
      <w:r>
        <w:rPr>
          <w:rFonts w:hint="eastAsia" w:ascii="仿宋" w:hAnsi="仿宋" w:eastAsia="仿宋" w:cs="仿宋"/>
          <w:color w:val="auto"/>
          <w:sz w:val="32"/>
          <w:szCs w:val="24"/>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3FA00A80">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24"/>
          <w:highlight w:val="white"/>
          <w:lang w:val="zh-CN"/>
        </w:rPr>
      </w:pPr>
      <w:r>
        <w:rPr>
          <w:rFonts w:hint="eastAsia" w:ascii="仿宋" w:hAnsi="仿宋" w:eastAsia="仿宋" w:cs="仿宋"/>
          <w:color w:val="auto"/>
          <w:sz w:val="32"/>
          <w:szCs w:val="24"/>
          <w:highlight w:val="white"/>
          <w:lang w:val="en-US"/>
        </w:rPr>
        <w:t>公用经费53.07万元，</w:t>
      </w:r>
      <w:r>
        <w:rPr>
          <w:rFonts w:hint="eastAsia" w:ascii="仿宋" w:hAnsi="仿宋" w:eastAsia="仿宋" w:cs="仿宋"/>
          <w:color w:val="auto"/>
          <w:sz w:val="32"/>
          <w:szCs w:val="24"/>
          <w:highlight w:val="white"/>
          <w:lang w:val="zh-CN"/>
        </w:rPr>
        <w:t>占基本支出的</w:t>
      </w:r>
      <w:r>
        <w:rPr>
          <w:rFonts w:hint="eastAsia" w:ascii="仿宋" w:hAnsi="仿宋" w:eastAsia="仿宋" w:cs="仿宋"/>
          <w:color w:val="auto"/>
          <w:sz w:val="32"/>
          <w:szCs w:val="24"/>
          <w:highlight w:val="white"/>
          <w:lang w:val="en-US"/>
        </w:rPr>
        <w:t>35.46%，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E7F50B3">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2F06CF8">
      <w:pPr>
        <w:pStyle w:val="13"/>
        <w:keepNext w:val="0"/>
        <w:keepLines w:val="0"/>
        <w:pageBreakBefore w:val="0"/>
        <w:widowControl w:val="0"/>
        <w:numPr>
          <w:ilvl w:val="0"/>
          <w:numId w:val="4"/>
        </w:numPr>
        <w:kinsoku/>
        <w:wordWrap/>
        <w:overflowPunct/>
        <w:topLinePunct w:val="0"/>
        <w:bidi w:val="0"/>
        <w:snapToGrid/>
        <w:spacing w:line="600" w:lineRule="exact"/>
        <w:ind w:left="-10" w:leftChars="0" w:firstLine="640" w:firstLineChars="0"/>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“三公”经费财政拨款支出决算总体情况说明。</w:t>
      </w:r>
    </w:p>
    <w:p w14:paraId="615E3AA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0.7</w:t>
      </w:r>
      <w:r>
        <w:rPr>
          <w:rFonts w:hint="eastAsia" w:ascii="Times New Roman" w:hAnsi="Times New Roman" w:eastAsia="仿宋_GB2312"/>
          <w:sz w:val="32"/>
          <w:szCs w:val="32"/>
        </w:rPr>
        <w:t>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rPr>
        <w:t>小于预算数的主要原因是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0.7</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本年度单位未支出三公经费</w:t>
      </w:r>
      <w:r>
        <w:rPr>
          <w:rFonts w:hint="eastAsia" w:ascii="Times New Roman" w:hAnsi="Times New Roman" w:eastAsia="仿宋_GB2312"/>
          <w:sz w:val="32"/>
          <w:szCs w:val="32"/>
        </w:rPr>
        <w:t>。其中：</w:t>
      </w:r>
    </w:p>
    <w:p w14:paraId="4EC2918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66E1A46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0.7</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本年度单位未支出三公经费</w:t>
      </w:r>
      <w:r>
        <w:rPr>
          <w:rFonts w:hint="eastAsia" w:ascii="Times New Roman" w:hAnsi="Times New Roman" w:eastAsia="仿宋_GB2312"/>
          <w:sz w:val="32"/>
          <w:szCs w:val="32"/>
          <w:highlight w:val="none"/>
        </w:rPr>
        <w:t>。</w:t>
      </w:r>
    </w:p>
    <w:p w14:paraId="753B98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0B5F9C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%，决算数大于预算数的主要原因是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，与上年相比减少（增加）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eastAsia="zh-CN"/>
        </w:rPr>
        <w:t>无</w:t>
      </w:r>
      <w:r>
        <w:rPr>
          <w:rFonts w:hint="eastAsia" w:ascii="Times New Roman" w:hAnsi="Times New Roman" w:eastAsia="仿宋_GB2312"/>
          <w:sz w:val="32"/>
          <w:szCs w:val="32"/>
          <w:highlight w:val="none"/>
        </w:rPr>
        <w:t>。</w:t>
      </w:r>
    </w:p>
    <w:p w14:paraId="13D5213E">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 xml:space="preserve">  </w:t>
      </w:r>
    </w:p>
    <w:p w14:paraId="7D80CB30">
      <w:pPr>
        <w:pStyle w:val="13"/>
        <w:keepNext w:val="0"/>
        <w:keepLines w:val="0"/>
        <w:pageBreakBefore w:val="0"/>
        <w:widowControl w:val="0"/>
        <w:numPr>
          <w:ilvl w:val="0"/>
          <w:numId w:val="4"/>
        </w:numPr>
        <w:kinsoku/>
        <w:wordWrap/>
        <w:overflowPunct/>
        <w:topLinePunct w:val="0"/>
        <w:bidi w:val="0"/>
        <w:snapToGrid/>
        <w:spacing w:line="600" w:lineRule="exact"/>
        <w:ind w:left="-10" w:leftChars="0" w:firstLine="640" w:firstLineChars="0"/>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“三公”经费财政拨款支出决算具体情况说明。</w:t>
      </w:r>
    </w:p>
    <w:p w14:paraId="56A5B58F">
      <w:pPr>
        <w:pStyle w:val="13"/>
        <w:keepNext w:val="0"/>
        <w:keepLines w:val="0"/>
        <w:pageBreakBefore w:val="0"/>
        <w:widowControl w:val="0"/>
        <w:numPr>
          <w:ilvl w:val="0"/>
          <w:numId w:val="0"/>
        </w:numPr>
        <w:kinsoku/>
        <w:wordWrap/>
        <w:overflowPunct/>
        <w:topLinePunct w:val="0"/>
        <w:bidi w:val="0"/>
        <w:snapToGrid/>
        <w:spacing w:line="600" w:lineRule="exact"/>
        <w:ind w:leftChars="200" w:firstLine="640" w:firstLineChars="200"/>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202</w:t>
      </w:r>
      <w:r>
        <w:rPr>
          <w:rFonts w:hint="eastAsia" w:ascii="仿宋" w:hAnsi="仿宋" w:eastAsia="仿宋" w:cs="仿宋"/>
          <w:color w:val="auto"/>
          <w:kern w:val="2"/>
          <w:sz w:val="32"/>
          <w:szCs w:val="24"/>
          <w:highlight w:val="white"/>
          <w:lang w:val="en-US" w:eastAsia="zh-CN" w:bidi="ar-SA"/>
        </w:rPr>
        <w:t>3</w:t>
      </w:r>
      <w:r>
        <w:rPr>
          <w:rFonts w:hint="eastAsia" w:ascii="仿宋" w:hAnsi="仿宋" w:eastAsia="仿宋" w:cs="仿宋"/>
          <w:color w:val="auto"/>
          <w:kern w:val="2"/>
          <w:sz w:val="32"/>
          <w:szCs w:val="24"/>
          <w:highlight w:val="white"/>
          <w:lang w:val="zh-CN" w:eastAsia="zh-CN" w:bidi="ar-SA"/>
        </w:rPr>
        <w:t>年度“三公”经费财政拨款支出决算中，因公出国（境）费支出决算0万元，占0%；公务接待费支出决算0万元，占0%；公务用车购置费及运行维护费支出决算0万元，占0%；</w:t>
      </w:r>
    </w:p>
    <w:p w14:paraId="3535A48C">
      <w:pPr>
        <w:pStyle w:val="13"/>
        <w:keepNext w:val="0"/>
        <w:keepLines w:val="0"/>
        <w:pageBreakBefore w:val="0"/>
        <w:widowControl w:val="0"/>
        <w:numPr>
          <w:ilvl w:val="0"/>
          <w:numId w:val="5"/>
        </w:numPr>
        <w:kinsoku/>
        <w:wordWrap/>
        <w:overflowPunct/>
        <w:topLinePunct w:val="0"/>
        <w:bidi w:val="0"/>
        <w:snapToGrid/>
        <w:spacing w:line="600" w:lineRule="exact"/>
        <w:ind w:leftChars="200" w:firstLine="640" w:firstLineChars="200"/>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因公出国（境）费支出决算0万元，全年安排因公出国（境）团组0个，累计0人次。其他国内公务接待支出0万元,全年共接待来访团组无。</w:t>
      </w:r>
    </w:p>
    <w:p w14:paraId="1CFADF0E">
      <w:pPr>
        <w:pStyle w:val="13"/>
        <w:keepNext w:val="0"/>
        <w:keepLines w:val="0"/>
        <w:pageBreakBefore w:val="0"/>
        <w:widowControl w:val="0"/>
        <w:numPr>
          <w:ilvl w:val="0"/>
          <w:numId w:val="0"/>
        </w:numPr>
        <w:kinsoku/>
        <w:wordWrap/>
        <w:overflowPunct/>
        <w:topLinePunct w:val="0"/>
        <w:bidi w:val="0"/>
        <w:snapToGrid/>
        <w:spacing w:line="600" w:lineRule="exact"/>
        <w:ind w:leftChars="400"/>
        <w:textAlignment w:val="auto"/>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2、公务接待费支出决算0万元，全年共接待来访团组0个、来宾0人次。</w:t>
      </w:r>
    </w:p>
    <w:p w14:paraId="70012706">
      <w:pPr>
        <w:keepNext/>
        <w:keepLines/>
        <w:ind w:firstLine="640"/>
        <w:rPr>
          <w:rFonts w:hint="eastAsia" w:ascii="仿宋" w:hAnsi="仿宋" w:eastAsia="仿宋" w:cs="仿宋"/>
          <w:color w:val="auto"/>
          <w:kern w:val="2"/>
          <w:sz w:val="32"/>
          <w:szCs w:val="24"/>
          <w:highlight w:val="white"/>
          <w:lang w:val="zh-CN" w:eastAsia="zh-CN" w:bidi="ar-SA"/>
        </w:rPr>
      </w:pPr>
      <w:r>
        <w:rPr>
          <w:rFonts w:hint="eastAsia" w:ascii="仿宋" w:hAnsi="仿宋" w:eastAsia="仿宋" w:cs="仿宋"/>
          <w:color w:val="auto"/>
          <w:kern w:val="2"/>
          <w:sz w:val="32"/>
          <w:szCs w:val="24"/>
          <w:highlight w:val="white"/>
          <w:lang w:val="zh-CN" w:eastAsia="zh-CN" w:bidi="ar-SA"/>
        </w:rPr>
        <w:t xml:space="preserve"> 3、公务用车购置费及运行维护费支出决算0万元，其中：公务用车购置费0万元，更新公务用车0辆。公务用车运行维护费0元，截止202</w:t>
      </w:r>
      <w:r>
        <w:rPr>
          <w:rFonts w:hint="eastAsia" w:ascii="仿宋" w:hAnsi="仿宋" w:eastAsia="仿宋" w:cs="仿宋"/>
          <w:color w:val="auto"/>
          <w:kern w:val="2"/>
          <w:sz w:val="32"/>
          <w:szCs w:val="24"/>
          <w:highlight w:val="white"/>
          <w:lang w:val="en-US" w:eastAsia="zh-CN" w:bidi="ar-SA"/>
        </w:rPr>
        <w:t>3</w:t>
      </w:r>
      <w:r>
        <w:rPr>
          <w:rFonts w:hint="eastAsia" w:ascii="仿宋" w:hAnsi="仿宋" w:eastAsia="仿宋" w:cs="仿宋"/>
          <w:color w:val="auto"/>
          <w:kern w:val="2"/>
          <w:sz w:val="32"/>
          <w:szCs w:val="24"/>
          <w:highlight w:val="white"/>
          <w:lang w:val="zh-CN" w:eastAsia="zh-CN" w:bidi="ar-SA"/>
        </w:rPr>
        <w:t>年12月31日，我单位开支财政拨款的公务用车保有量为0辆。</w:t>
      </w:r>
    </w:p>
    <w:p w14:paraId="3CC10E6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37DE574">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FF0000"/>
          <w:kern w:val="0"/>
          <w:sz w:val="32"/>
          <w:szCs w:val="32"/>
          <w:lang w:val="en-US" w:eastAsia="zh-CN" w:bidi="ar-SA"/>
        </w:rPr>
      </w:pPr>
      <w:r>
        <w:rPr>
          <w:rFonts w:hint="eastAsia" w:ascii="仿宋" w:hAnsi="仿宋" w:eastAsia="仿宋" w:cs="仿宋"/>
          <w:color w:val="auto"/>
          <w:sz w:val="32"/>
          <w:szCs w:val="24"/>
          <w:highlight w:val="white"/>
          <w:lang w:val="zh-CN"/>
        </w:rPr>
        <w:t xml:space="preserve"> </w:t>
      </w: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1635C8A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FF0000"/>
          <w:sz w:val="32"/>
          <w:szCs w:val="32"/>
        </w:rPr>
      </w:pPr>
      <w:r>
        <w:rPr>
          <w:rFonts w:hint="eastAsia" w:ascii="Times New Roman" w:hAnsi="Times New Roman" w:eastAsia="仿宋_GB2312"/>
          <w:sz w:val="32"/>
          <w:szCs w:val="32"/>
          <w:lang w:val="en-US" w:eastAsia="zh-CN"/>
        </w:rPr>
        <w:t>本单位无政府性基金收支。</w:t>
      </w:r>
      <w:r>
        <w:rPr>
          <w:rFonts w:hint="eastAsia" w:ascii="仿宋" w:hAnsi="仿宋" w:eastAsia="仿宋" w:cs="仿宋"/>
          <w:color w:val="auto"/>
          <w:sz w:val="32"/>
          <w:szCs w:val="24"/>
          <w:highlight w:val="white"/>
          <w:lang w:val="en-US"/>
        </w:rPr>
        <w:t xml:space="preserve">  </w:t>
      </w:r>
      <w:r>
        <w:rPr>
          <w:rFonts w:hint="eastAsia" w:ascii="宋体" w:hAnsi="宋体"/>
          <w:color w:val="auto"/>
          <w:sz w:val="32"/>
          <w:szCs w:val="24"/>
          <w:lang w:val="en-US"/>
        </w:rPr>
        <w:t xml:space="preserve">   </w:t>
      </w:r>
    </w:p>
    <w:p w14:paraId="58077E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5D805657">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2023年本单位没有使用国有资本经营预算安排的支出。</w:t>
      </w:r>
    </w:p>
    <w:p w14:paraId="22150E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34A7BA1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比年初预算数</w:t>
      </w:r>
      <w:r>
        <w:rPr>
          <w:rFonts w:hint="eastAsia" w:ascii="Times New Roman" w:hAnsi="Times New Roman" w:eastAsia="仿宋_GB2312"/>
          <w:sz w:val="32"/>
          <w:szCs w:val="32"/>
          <w:highlight w:val="none"/>
        </w:rPr>
        <w:t>（或者上年决算数）增加（减少）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 xml:space="preserve"> 万元，增长（降低）</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本单位为非参公管理事业单位</w:t>
      </w:r>
      <w:r>
        <w:rPr>
          <w:rFonts w:hint="eastAsia" w:ascii="Times New Roman" w:hAnsi="Times New Roman" w:eastAsia="仿宋_GB2312"/>
          <w:sz w:val="32"/>
          <w:szCs w:val="32"/>
        </w:rPr>
        <w:t>。</w:t>
      </w:r>
    </w:p>
    <w:p w14:paraId="4E0744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bookmarkStart w:id="0" w:name="_GoBack"/>
      <w:bookmarkEnd w:id="0"/>
    </w:p>
    <w:p w14:paraId="0CA235A8">
      <w:pPr>
        <w:keepNext/>
        <w:keepLines/>
        <w:ind w:firstLine="640"/>
        <w:rPr>
          <w:rFonts w:hint="eastAsia" w:ascii="宋体" w:hAnsi="宋体"/>
          <w:color w:val="auto"/>
          <w:kern w:val="0"/>
          <w:sz w:val="32"/>
          <w:szCs w:val="24"/>
          <w:highlight w:val="white"/>
          <w:lang w:val="en-US"/>
        </w:rPr>
      </w:pPr>
      <w:r>
        <w:rPr>
          <w:rFonts w:hint="eastAsia" w:ascii="仿宋" w:hAnsi="仿宋" w:eastAsia="仿宋" w:cs="仿宋"/>
          <w:color w:val="auto"/>
          <w:kern w:val="2"/>
          <w:sz w:val="32"/>
          <w:szCs w:val="24"/>
          <w:highlight w:val="white"/>
          <w:lang w:val="en-US" w:eastAsia="zh-CN" w:bidi="ar-SA"/>
        </w:rPr>
        <w:t>2023年本部门开支会议费0万元；开支培训费0.95万元，用于开展工程、财务、职工继续教育培训，人数7人次，内容为继续教育及培训；2023年本部门未举办节庆、晚会、论坛、赛事活动，开支0万元。</w:t>
      </w:r>
    </w:p>
    <w:p w14:paraId="5056BB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2D8CD57F">
      <w:pPr>
        <w:keepNext/>
        <w:keepLines/>
        <w:widowControl w:val="0"/>
        <w:spacing w:beforeLines="-2147483648" w:afterLines="-2147483648"/>
        <w:ind w:firstLine="640"/>
        <w:rPr>
          <w:rFonts w:hint="eastAsia" w:ascii="仿宋" w:hAnsi="仿宋" w:eastAsia="仿宋" w:cs="仿宋"/>
          <w:color w:val="auto"/>
          <w:kern w:val="2"/>
          <w:sz w:val="32"/>
          <w:szCs w:val="24"/>
          <w:highlight w:val="white"/>
          <w:lang w:val="en-US" w:eastAsia="zh-CN" w:bidi="ar-SA"/>
        </w:rPr>
      </w:pPr>
      <w:r>
        <w:rPr>
          <w:rFonts w:hint="eastAsia" w:ascii="仿宋" w:hAnsi="仿宋" w:eastAsia="仿宋" w:cs="仿宋"/>
          <w:color w:val="auto"/>
          <w:kern w:val="2"/>
          <w:sz w:val="32"/>
          <w:szCs w:val="24"/>
          <w:highlight w:val="white"/>
          <w:lang w:val="en-US" w:eastAsia="zh-CN" w:bidi="ar-SA"/>
        </w:rPr>
        <w:t>2023年度政府采购支出总额0万元，其中：政府采购货物支出0万元；政府采购工程支出0万元；政府采购服务支出0万元。授予中小企业合同金额0万元，占政府采购支出总额的0%。</w:t>
      </w:r>
    </w:p>
    <w:p w14:paraId="0D6E837E">
      <w:pPr>
        <w:keepNext/>
        <w:keepLines/>
        <w:widowControl w:val="0"/>
        <w:spacing w:beforeLines="-2147483648" w:afterLines="-2147483648"/>
        <w:ind w:firstLine="640"/>
        <w:rPr>
          <w:rFonts w:hint="eastAsia" w:ascii="仿宋" w:hAnsi="仿宋" w:eastAsia="仿宋" w:cs="仿宋"/>
          <w:color w:val="auto"/>
          <w:kern w:val="2"/>
          <w:sz w:val="32"/>
          <w:szCs w:val="24"/>
          <w:highlight w:val="white"/>
          <w:lang w:val="en-US" w:eastAsia="zh-CN" w:bidi="ar-SA"/>
        </w:rPr>
      </w:pPr>
      <w:r>
        <w:rPr>
          <w:rFonts w:hint="eastAsia" w:ascii="仿宋" w:hAnsi="仿宋" w:eastAsia="仿宋" w:cs="仿宋"/>
          <w:color w:val="auto"/>
          <w:kern w:val="2"/>
          <w:sz w:val="32"/>
          <w:szCs w:val="24"/>
          <w:highlight w:val="white"/>
          <w:lang w:val="en-US" w:eastAsia="zh-CN" w:bidi="ar-SA"/>
        </w:rPr>
        <w:t>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1AF0C98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1E714C7F">
      <w:pPr>
        <w:keepNext/>
        <w:keepLines/>
        <w:ind w:firstLine="641"/>
        <w:rPr>
          <w:rFonts w:hint="default" w:ascii="Calibri" w:hAnsi="Calibri" w:eastAsia="Calibri"/>
          <w:color w:val="auto"/>
          <w:sz w:val="21"/>
          <w:szCs w:val="24"/>
          <w:highlight w:val="white"/>
          <w:lang w:val="zh-CN"/>
        </w:rPr>
      </w:pPr>
      <w:r>
        <w:rPr>
          <w:rFonts w:hint="eastAsia" w:ascii="仿宋" w:hAnsi="仿宋" w:eastAsia="仿宋" w:cs="仿宋"/>
          <w:color w:val="auto"/>
          <w:kern w:val="2"/>
          <w:sz w:val="32"/>
          <w:szCs w:val="24"/>
          <w:highlight w:val="white"/>
          <w:lang w:val="en-US" w:eastAsia="zh-CN" w:bidi="ar-SA"/>
        </w:rPr>
        <w:t>截至2023年12月31日，部门（单位）共有车辆0辆。单位价值50万元以上通用设备0台（套）。单位价值100万元（含）以上设备0台（套）。</w:t>
      </w:r>
    </w:p>
    <w:p w14:paraId="35AD88A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645E3B4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760284D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CDC0D5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lang w:eastAsia="zh-CN"/>
        </w:rPr>
      </w:pPr>
      <w:r>
        <w:rPr>
          <w:rFonts w:hint="eastAsia" w:ascii="Times New Roman" w:hAnsi="Times New Roman" w:eastAsia="仿宋_GB2312"/>
          <w:color w:val="auto"/>
          <w:sz w:val="32"/>
          <w:szCs w:val="32"/>
          <w:lang w:eastAsia="zh-CN"/>
        </w:rPr>
        <w:t>本单位</w:t>
      </w:r>
      <w:r>
        <w:rPr>
          <w:rFonts w:hint="eastAsia" w:ascii="Times New Roman" w:hAnsi="Times New Roman" w:eastAsia="仿宋_GB2312"/>
          <w:color w:val="auto"/>
          <w:sz w:val="32"/>
          <w:szCs w:val="32"/>
          <w:lang w:val="en-US" w:eastAsia="zh-CN"/>
        </w:rPr>
        <w:t>2023年度确保了沙河灌区6万亩农田的灌溉用水，保证了2023年度水库的安全度汛。已按水利目标管理单位完成各项指标，农田灌溉用水利用率提高了10%，灌区农民对我们的服务满意程度达到了95%以上。</w:t>
      </w:r>
    </w:p>
    <w:p w14:paraId="0689092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10841E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对绩效评价认识不足，对整体支出绩效评价业务有些不熟悉。预算执行进度和效率有待加强，绩效目标管理和调整有待提高</w:t>
      </w:r>
      <w:r>
        <w:rPr>
          <w:rFonts w:hint="eastAsia" w:ascii="Times New Roman" w:hAnsi="Times New Roman" w:eastAsia="仿宋_GB2312"/>
          <w:color w:val="auto"/>
          <w:sz w:val="32"/>
          <w:szCs w:val="32"/>
        </w:rPr>
        <w:t>。</w:t>
      </w:r>
    </w:p>
    <w:p w14:paraId="7E1A21EC">
      <w:pPr>
        <w:pStyle w:val="13"/>
        <w:jc w:val="both"/>
        <w:rPr>
          <w:sz w:val="72"/>
          <w:szCs w:val="72"/>
        </w:rPr>
      </w:pPr>
    </w:p>
    <w:p w14:paraId="43D4B1C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2BB1EFE3">
      <w:pPr>
        <w:pStyle w:val="13"/>
        <w:jc w:val="center"/>
      </w:pPr>
      <w:r>
        <w:rPr>
          <w:rFonts w:hint="eastAsia" w:ascii="方正小标宋_GBK" w:hAnsi="方正小标宋_GBK" w:eastAsia="方正小标宋_GBK" w:cs="方正小标宋_GBK"/>
          <w:sz w:val="48"/>
          <w:szCs w:val="48"/>
        </w:rPr>
        <w:t>名词解释</w:t>
      </w:r>
    </w:p>
    <w:p w14:paraId="3DD84EB1">
      <w:pPr>
        <w:pStyle w:val="13"/>
        <w:jc w:val="center"/>
        <w:rPr>
          <w:rFonts w:hint="eastAsia" w:ascii="仿宋" w:hAnsi="仿宋" w:eastAsia="仿宋" w:cs="仿宋"/>
          <w:color w:val="000000"/>
          <w:kern w:val="0"/>
          <w:sz w:val="32"/>
          <w:szCs w:val="24"/>
          <w:highlight w:val="white"/>
          <w:lang w:val="en-US"/>
        </w:rPr>
      </w:pPr>
      <w:r>
        <w:rPr>
          <w:rFonts w:hint="eastAsia" w:ascii="宋体" w:hAnsi="宋体"/>
          <w:color w:val="000000"/>
          <w:kern w:val="0"/>
          <w:sz w:val="32"/>
          <w:szCs w:val="24"/>
          <w:highlight w:val="white"/>
          <w:lang w:val="en-US" w:eastAsia="zh-CN"/>
        </w:rPr>
        <w:t xml:space="preserve">    </w:t>
      </w:r>
      <w:r>
        <w:rPr>
          <w:rFonts w:hint="eastAsia" w:ascii="仿宋" w:hAnsi="仿宋" w:eastAsia="仿宋" w:cs="仿宋"/>
          <w:color w:val="000000"/>
          <w:kern w:val="0"/>
          <w:sz w:val="32"/>
          <w:szCs w:val="24"/>
          <w:highlight w:val="white"/>
          <w:lang w:val="en-US"/>
        </w:rPr>
        <w:t>财政拨款收入：指本级财政当年拨付的资金。农林水支出（类）：是指用于农林水事务支出，包括保障机构正常运转、完成日常和特定的工作任务或事业发展目标的支出。基本支出：指保障机构正常运转、完成支日常工作任务而发生的人员支出和公用支出。工资福利支出：反映单位开支的在职职工和编制外长期聘用人员的各类劳动报酬，以及为上述人员缴纳的各项社会保险费等。</w:t>
      </w:r>
    </w:p>
    <w:p w14:paraId="4937AFAC">
      <w:pPr>
        <w:pStyle w:val="13"/>
        <w:ind w:firstLine="640"/>
        <w:jc w:val="center"/>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1EF06896">
      <w:pPr>
        <w:pStyle w:val="13"/>
        <w:ind w:firstLine="640"/>
        <w:jc w:val="center"/>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津贴补贴：反映经国家批准建立的机关事业单位艰苦边远地区津贴、机关工作人员地区附加津贴、机关工作人员岗位津贴、事业单位工作人员特殊岗位津贴补贴等。</w:t>
      </w:r>
    </w:p>
    <w:p w14:paraId="3518E51B">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奖金：反映机关工作人员年终一次性奖金。</w:t>
      </w:r>
    </w:p>
    <w:p w14:paraId="7C082F70">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机关事业单位基本养老保险缴费：反映机关事业单位缴纳的基本养老保险费。由单位代扣的工作人员基本养老保险缴费，不在此科目反映。</w:t>
      </w:r>
    </w:p>
    <w:p w14:paraId="1A6DE68F">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其他社会保障缴费：反映单位为职工缴纳的基本医疗、失业、工伤、生育等社会保险费，残疾人就业保障金，军队（含武警）为军人缴纳的伤亡、退役医疗等社会保险费。</w:t>
      </w:r>
    </w:p>
    <w:p w14:paraId="4A8D29FB">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住房公积金：反映行政事业单位按人力资源和社会保障部、财政部规定的基本工资和津贴补贴以及规定比例为职工缴纳的住房公积金。</w:t>
      </w:r>
    </w:p>
    <w:p w14:paraId="4A3FB062">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商品和服务支出：反映单位购买商品和服务的支出（不包括用于购置固定资产的支出、战略性和应急储备支出）。</w:t>
      </w:r>
    </w:p>
    <w:p w14:paraId="00B8BF04">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办公费：反映单位购买按财务会计制度规定不符合固定资产确认标准的日常办公用品、书报杂志等支出。</w:t>
      </w:r>
    </w:p>
    <w:p w14:paraId="45A9F03C">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水费：反映单位支付的水费、污水处理费等支出。</w:t>
      </w:r>
    </w:p>
    <w:p w14:paraId="34E6A791">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电费：反映单位的电费支出。</w:t>
      </w:r>
    </w:p>
    <w:p w14:paraId="22D55FDF">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差旅费：反映单位工作人员出差发生的城市间交通费、住宿费、伙食补贴费和市内交通费。</w:t>
      </w:r>
    </w:p>
    <w:p w14:paraId="0D0BEF9B">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维修(护)费：反映单位日常开支的固定资产（不包括车船等交通工具）修理和维护费用，网络信息系统运行与维护费用，以及按规定提取的修购基金。</w:t>
      </w:r>
    </w:p>
    <w:p w14:paraId="37BCA8F2">
      <w:pPr>
        <w:pStyle w:val="13"/>
        <w:ind w:firstLine="640"/>
        <w:jc w:val="both"/>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培训费：反映除因公出国（境）培训费以外的各类培训支出。</w:t>
      </w:r>
    </w:p>
    <w:p w14:paraId="3B6351EB">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劳务费：反映支付给单位和个人的劳务费用，如临时聘用人员、钟点工工资，稿费、翻译费，评审费等。</w:t>
      </w:r>
    </w:p>
    <w:p w14:paraId="129D7CDB">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工会经费：反映单位按规定提取的工会经费。</w:t>
      </w:r>
    </w:p>
    <w:p w14:paraId="163C8129">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福利费：反映单位按规定提取的福利费。</w:t>
      </w:r>
    </w:p>
    <w:p w14:paraId="0B02BDE3">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其他商品和服务支出：反映上述科目未包括的日常公用支出。如行政赔偿费和诉讼费、国内组织的会员费、来访费、广告宣传、其他劳务费及离休人员特需费、公用经费等。</w:t>
      </w:r>
    </w:p>
    <w:p w14:paraId="687C722A">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对个人和家庭的补助：反映政府用于对个人和家庭的补助支出。</w:t>
      </w:r>
    </w:p>
    <w:p w14:paraId="1EFEB48F">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抚恤金：反映按规定开支的烈士遗属、牺牲病故人员遗属的一次性和定期抚恤金，伤残人员的抚恤金，离退休人员等其他人员的各项抚恤金。</w:t>
      </w:r>
    </w:p>
    <w:p w14:paraId="3F2B2669">
      <w:pPr>
        <w:keepNext/>
        <w:keepLines/>
        <w:ind w:firstLine="640"/>
        <w:rPr>
          <w:rFonts w:hint="eastAsia" w:ascii="仿宋" w:hAnsi="仿宋" w:eastAsia="仿宋" w:cs="仿宋"/>
          <w:color w:val="000000"/>
          <w:kern w:val="0"/>
          <w:sz w:val="32"/>
          <w:szCs w:val="24"/>
          <w:highlight w:val="white"/>
          <w:lang w:val="en-US"/>
        </w:rPr>
      </w:pPr>
      <w:r>
        <w:rPr>
          <w:rFonts w:hint="eastAsia" w:ascii="仿宋" w:hAnsi="仿宋" w:eastAsia="仿宋" w:cs="仿宋"/>
          <w:color w:val="000000"/>
          <w:kern w:val="0"/>
          <w:sz w:val="32"/>
          <w:szCs w:val="24"/>
          <w:highlight w:val="white"/>
          <w:lang w:val="en-US"/>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2E000B5E">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4D690B75">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437ED71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华容县XX部门（单位）2023年度部门决算公开表格</w:t>
      </w:r>
    </w:p>
    <w:p w14:paraId="33240B4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2023年度部门(单位)整体支出绩效自评报告。</w:t>
      </w:r>
    </w:p>
    <w:p w14:paraId="551A401E">
      <w:pPr>
        <w:pStyle w:val="13"/>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442E1CC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00952DC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D8FFB"/>
    <w:multiLevelType w:val="singleLevel"/>
    <w:tmpl w:val="A71D8FFB"/>
    <w:lvl w:ilvl="0" w:tentative="0">
      <w:start w:val="1"/>
      <w:numFmt w:val="chineseCounting"/>
      <w:suff w:val="nothing"/>
      <w:lvlText w:val="（%1）"/>
      <w:lvlJc w:val="left"/>
      <w:pPr>
        <w:ind w:left="-10"/>
      </w:pPr>
      <w:rPr>
        <w:rFonts w:hint="eastAsia"/>
      </w:rPr>
    </w:lvl>
  </w:abstractNum>
  <w:abstractNum w:abstractNumId="1">
    <w:nsid w:val="BF65EBDC"/>
    <w:multiLevelType w:val="singleLevel"/>
    <w:tmpl w:val="BF65EBDC"/>
    <w:lvl w:ilvl="0" w:tentative="0">
      <w:start w:val="1"/>
      <w:numFmt w:val="decimal"/>
      <w:suff w:val="nothing"/>
      <w:lvlText w:val="%1、"/>
      <w:lvlJc w:val="left"/>
    </w:lvl>
  </w:abstractNum>
  <w:abstractNum w:abstractNumId="2">
    <w:nsid w:val="D374A21F"/>
    <w:multiLevelType w:val="singleLevel"/>
    <w:tmpl w:val="D374A21F"/>
    <w:lvl w:ilvl="0" w:tentative="0">
      <w:start w:val="7"/>
      <w:numFmt w:val="chineseCounting"/>
      <w:suff w:val="nothing"/>
      <w:lvlText w:val="%1、"/>
      <w:lvlJc w:val="left"/>
      <w:rPr>
        <w:rFonts w:hint="eastAsia"/>
      </w:rPr>
    </w:lvl>
  </w:abstractNum>
  <w:abstractNum w:abstractNumId="3">
    <w:nsid w:val="31802197"/>
    <w:multiLevelType w:val="singleLevel"/>
    <w:tmpl w:val="31802197"/>
    <w:lvl w:ilvl="0" w:tentative="0">
      <w:start w:val="6"/>
      <w:numFmt w:val="chineseCounting"/>
      <w:suff w:val="nothing"/>
      <w:lvlText w:val="%1、"/>
      <w:lvlJc w:val="left"/>
      <w:rPr>
        <w:rFonts w:hint="eastAsia"/>
      </w:r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lNTc2ZjE3OTIyZDRhNGY0MTg0Y2ZjNmVhZjY0Yz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5E716A"/>
    <w:rsid w:val="1D97DEFF"/>
    <w:rsid w:val="1DFF72E5"/>
    <w:rsid w:val="1EFC6F07"/>
    <w:rsid w:val="23E33334"/>
    <w:rsid w:val="2FDF85B8"/>
    <w:rsid w:val="2FFFEE04"/>
    <w:rsid w:val="34DF85B0"/>
    <w:rsid w:val="3B8F36BC"/>
    <w:rsid w:val="47DC0248"/>
    <w:rsid w:val="491FF225"/>
    <w:rsid w:val="4E395582"/>
    <w:rsid w:val="4FFD214C"/>
    <w:rsid w:val="57773882"/>
    <w:rsid w:val="5777D4F5"/>
    <w:rsid w:val="59DD8326"/>
    <w:rsid w:val="5DEF592A"/>
    <w:rsid w:val="5FC6BB1E"/>
    <w:rsid w:val="5FF720F1"/>
    <w:rsid w:val="67AF5D43"/>
    <w:rsid w:val="67FF5C0B"/>
    <w:rsid w:val="6B090195"/>
    <w:rsid w:val="6D281506"/>
    <w:rsid w:val="6EFC0924"/>
    <w:rsid w:val="6FB74722"/>
    <w:rsid w:val="6FEF8B7E"/>
    <w:rsid w:val="71A6591B"/>
    <w:rsid w:val="737D59BA"/>
    <w:rsid w:val="7544144E"/>
    <w:rsid w:val="77C37683"/>
    <w:rsid w:val="79FF515B"/>
    <w:rsid w:val="7C623CB1"/>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4647</Words>
  <Characters>4923</Characters>
  <Lines>63</Lines>
  <Paragraphs>18</Paragraphs>
  <TotalTime>2</TotalTime>
  <ScaleCrop>false</ScaleCrop>
  <LinksUpToDate>false</LinksUpToDate>
  <CharactersWithSpaces>4952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2025-12-16T12:35:30Z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6BDBD0D2CD4444EC98BF9A6253872EC4_13</vt:lpwstr>
  </property>
  <property fmtid="{D5CDD505-2E9C-101B-9397-08002B2CF9AE}" pid="4" name="KSOTemplateDocerSaveRecord">
    <vt:lpwstr>eyJoZGlkIjoiYWNjNTk2OTRjYzEzNTI3Yzk4MDU3ZTg2ZjlhODM2NDAiLCJ1c2VySWQiOiIxNDkyNDM0OTU4In0=</vt:lpwstr>
  </property>
</Properties>
</file>