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6"/>
      </w:pPr>
    </w:p>
    <w:p/>
    <w:p>
      <w:pPr>
        <w:spacing w:before="223" w:line="218" w:lineRule="auto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  <w:lang w:val="en-US" w:eastAsia="zh-CN"/>
        </w:rPr>
        <w:t>华容县幸福卫生院</w:t>
      </w: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</w:rPr>
        <w:t>整体支出</w:t>
      </w:r>
    </w:p>
    <w:p>
      <w:pPr>
        <w:spacing w:before="1" w:line="183" w:lineRule="auto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-3"/>
          <w:sz w:val="44"/>
          <w:szCs w:val="44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6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</w:p>
    <w:p>
      <w:pPr>
        <w:spacing w:before="228" w:line="222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05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21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6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1"/>
          <w:cols w:space="0" w:num="1"/>
          <w:rtlGutter w:val="0"/>
          <w:docGrid w:type="lines" w:linePitch="314" w:charSpace="0"/>
        </w:sectPr>
      </w:pPr>
    </w:p>
    <w:p>
      <w:pPr>
        <w:pStyle w:val="6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2023年度华容县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eastAsia="zh-CN"/>
        </w:rPr>
        <w:t>幸福卫生院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pStyle w:val="6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shd w:val="solid" w:color="FFFFFF" w:fill="auto"/>
        <w:autoSpaceDN w:val="0"/>
        <w:spacing w:line="600" w:lineRule="exact"/>
        <w:ind w:firstLine="640" w:firstLineChars="200"/>
        <w:jc w:val="left"/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</w:rPr>
        <w:t>华容县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幸福</w:t>
      </w:r>
      <w:r>
        <w:rPr>
          <w:rFonts w:hint="eastAsia" w:ascii="仿宋_GB2312" w:hAnsi="仿宋_GB2312" w:eastAsia="仿宋_GB2312" w:cs="仿宋_GB2312"/>
          <w:color w:val="auto"/>
          <w:sz w:val="32"/>
        </w:rPr>
        <w:t>卫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生院</w:t>
      </w:r>
      <w:r>
        <w:rPr>
          <w:rFonts w:hint="eastAsia" w:ascii="仿宋_GB2312" w:hAnsi="仿宋_GB2312" w:eastAsia="仿宋_GB2312" w:cs="仿宋_GB2312"/>
          <w:color w:val="auto"/>
          <w:sz w:val="32"/>
        </w:rPr>
        <w:t>系财政全额预算拨款单位。202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color w:val="auto"/>
          <w:sz w:val="32"/>
        </w:rPr>
        <w:t>年编制部门核实华容县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幸福卫生院事业</w:t>
      </w:r>
      <w:r>
        <w:rPr>
          <w:rFonts w:hint="eastAsia" w:ascii="仿宋_GB2312" w:hAnsi="仿宋_GB2312" w:eastAsia="仿宋_GB2312" w:cs="仿宋_GB2312"/>
          <w:color w:val="auto"/>
          <w:sz w:val="32"/>
        </w:rPr>
        <w:t>编制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color w:val="auto"/>
          <w:sz w:val="32"/>
        </w:rPr>
        <w:t>名，实有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事业编制</w:t>
      </w:r>
      <w:r>
        <w:rPr>
          <w:rFonts w:hint="eastAsia" w:ascii="仿宋_GB2312" w:hAnsi="仿宋_GB2312" w:eastAsia="仿宋_GB2312" w:cs="仿宋_GB2312"/>
          <w:color w:val="auto"/>
          <w:sz w:val="32"/>
        </w:rPr>
        <w:t>人员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18</w:t>
      </w:r>
      <w:r>
        <w:rPr>
          <w:rFonts w:hint="eastAsia" w:ascii="仿宋_GB2312" w:hAnsi="仿宋_GB2312" w:eastAsia="仿宋_GB2312" w:cs="仿宋_GB2312"/>
          <w:color w:val="auto"/>
          <w:sz w:val="32"/>
        </w:rPr>
        <w:t>人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，华容县幸福卫生院单位内设机构包括：3个职能科室。医疗组、防保组、行政后勤组。</w:t>
      </w:r>
    </w:p>
    <w:p>
      <w:pPr>
        <w:pStyle w:val="6"/>
        <w:rPr>
          <w:rFonts w:hint="eastAsia"/>
        </w:rPr>
      </w:pP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pStyle w:val="6"/>
        <w:ind w:firstLine="640" w:firstLineChars="200"/>
        <w:rPr>
          <w:rFonts w:hint="eastAsia" w:ascii="仿宋_GB2312" w:hAnsi="仿宋_GB2312" w:eastAsia="仿宋_GB2312" w:cs="仿宋_GB2312"/>
          <w:sz w:val="32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2023年华容县幸福卫生院基本支出合计721.59万元，主要是用于人员工资、社会保障缴费、临时工工资以及为保障医疗卫生机构正常运转、完成日常工作任务而发生的商品和服务支出。其中：</w:t>
      </w:r>
      <w:r>
        <w:rPr>
          <w:rFonts w:hint="eastAsia" w:ascii="仿宋_GB2312" w:hAnsi="仿宋_GB2312" w:eastAsia="仿宋_GB2312" w:cs="仿宋_GB2312"/>
          <w:sz w:val="32"/>
          <w:szCs w:val="28"/>
          <w:lang w:eastAsia="zh-CN"/>
        </w:rPr>
        <w:t>工资福利支出</w: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253.92</w:t>
      </w:r>
      <w:r>
        <w:rPr>
          <w:rFonts w:hint="eastAsia" w:ascii="仿宋_GB2312" w:hAnsi="仿宋_GB2312" w:eastAsia="仿宋_GB2312" w:cs="仿宋_GB2312"/>
          <w:sz w:val="32"/>
          <w:szCs w:val="28"/>
        </w:rPr>
        <w:t>万元</w:t>
      </w:r>
      <w:r>
        <w:rPr>
          <w:rFonts w:hint="eastAsia" w:ascii="仿宋_GB2312" w:hAnsi="仿宋_GB2312" w:eastAsia="仿宋_GB2312" w:cs="仿宋_GB2312"/>
          <w:sz w:val="32"/>
          <w:szCs w:val="28"/>
          <w:lang w:eastAsia="zh-CN"/>
        </w:rPr>
        <w:t>。</w:t>
      </w:r>
    </w:p>
    <w:p>
      <w:pPr>
        <w:rPr>
          <w:rFonts w:hint="eastAsi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eastAsia="zh-CN"/>
        </w:rPr>
        <w:t>三、</w:t>
      </w: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项目支出情况</w:t>
      </w: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1、项目资金安排落实、总投入等情况</w:t>
      </w:r>
    </w:p>
    <w:p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我部门项目资金按照年初预算的安排，按照月度与进度等安排资金落实，2023年华容县幸福卫生院整体年初项目资金合计申报122万元，主要是用于</w:t>
      </w:r>
      <w:r>
        <w:rPr>
          <w:rFonts w:hint="eastAsia" w:ascii="仿宋_GB2312" w:hAnsi="仿宋_GB2312" w:eastAsia="仿宋_GB2312" w:cs="仿宋_GB2312"/>
          <w:color w:val="auto"/>
          <w:sz w:val="32"/>
          <w:szCs w:val="28"/>
          <w:lang w:val="en-US" w:eastAsia="zh-CN"/>
        </w:rPr>
        <w:t>基本公共卫生服务、应急物质储备的支出。</w:t>
      </w: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eastAsia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2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、专项资金管理情况分析</w:t>
      </w:r>
    </w:p>
    <w:p>
      <w:pPr>
        <w:spacing w:line="600" w:lineRule="exact"/>
        <w:ind w:firstLine="470" w:firstLineChars="147"/>
        <w:jc w:val="left"/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严格按项目资金进行管理，执行相关财务支出管理制度，资金管理制度。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加强项目资金专款专用管理，设立专账核算，各项目执行单位财务机构加强项目资金日常使用监督。</w:t>
      </w:r>
    </w:p>
    <w:p>
      <w:pPr>
        <w:pStyle w:val="6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四</w:t>
      </w:r>
      <w:r>
        <w:rPr>
          <w:rFonts w:hint="default" w:ascii="Times New Roman" w:hAnsi="Times New Roman" w:eastAsia="黑体" w:cs="Times New Roman"/>
          <w:sz w:val="32"/>
          <w:szCs w:val="32"/>
        </w:rPr>
        <w:t>、部门整体支出绩效情况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>2023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年规范化居民电子健康档案已完成20548份，建档率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达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98 %；我院辖区共建立居民健康档案 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22811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 份，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eastAsia="zh-CN"/>
        </w:rPr>
        <w:t>居民健康卡认领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4707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份、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eastAsia="zh-CN"/>
        </w:rPr>
        <w:t>档案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更新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15420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份，其中高血压管理档案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2254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份；2型糖尿病管理档案 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661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 份；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eastAsia="zh-CN"/>
        </w:rPr>
        <w:t>肺结核管理档案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4份；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儿童保健管理档案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643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 份；孕产妇管理档案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107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份；重性精神疾病管理档案 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124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份；老年人管理档案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3170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份。居民健康档案建档率达到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95.19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 %。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2023年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为适龄儿童建立预防接种证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74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人，在册管理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643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人，免费接种乙肝疫苗、卡介苗、脊灰疫苗、百白破疫苗、麻疹类疫苗（麻风、麻腮风）、甲肝疫苗、流脑疫苗、乙脑疫苗、白破二联等国家免疫规划疫苗，共接种 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567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人次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>。0—6岁儿童建档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643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>人，其中流出儿童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312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 xml:space="preserve">人，常住儿童 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331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>人，本年度应体检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643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>人，实际体检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596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eastAsia="zh-CN"/>
        </w:rPr>
        <w:t>人，体检率达到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92.7%。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2023年，共有产妇 107人，活产婴儿数 74人，（其中有双胞胎）新生儿男41人，女 33 人， 1低体重胎儿，无死胎、死产，均已建档，产前检查按要求5次以上，早孕检查98.41％,孕期建档98.41 ％，产后访视100 ％，新生儿访视 100 ％，0-6岁儿童规范管理率 92.27 ％以上。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2023年总计管理3170名 65 周岁以上老年人，规范管理2373份，老年人免费体检已达到75%以上。对确诊高血压和糖尿病的患者进行登记管理，定期进行随访，2023年我辖区共管理高血压患者2254人，规范管理1839人、规范管理率81.5%，2型糖尿病患者661 人，规范管理566人、规范管理率85.6%；肺结核患者4人、规范管理率100%。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重性精神疾病患者管理，我们的主要任务是加强日常摸排及访视，并对辖区内确诊的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124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例重性精神疾病患者进行随访管理；并对他们进行了体检，体检率 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100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 %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eastAsia="zh-CN"/>
        </w:rPr>
        <w:t>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2023年全镇本院辖区内发生乙类传染病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例，发生丙类传染病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例，共计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例。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2023年共对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2373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名老年人进行体质辨识及进行饮食起居等方面指导，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eastAsia="zh-CN"/>
        </w:rPr>
        <w:t>中医药管理率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74.85%；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为 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284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 xml:space="preserve"> 名0--3岁儿童开展中医捏脊，按揉穴位等方面指导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eastAsia="zh-CN"/>
        </w:rPr>
        <w:t>，中医药管理率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91.6%。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2023年3月份开始，我辖区内全面开展了签约服务工作，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本年度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辖区内签约3027份（户），累计签约人数12407人次，其中一般人群签约率达到30 %，重点人群签约率达到 99 %，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幸福辖区行政村10家卫生室门诊统筹医保定点工作全部开展，村医系统的应用，是实现村卫生室医保报销的基础和必要条件。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Times New Roman" w:hAnsi="Times New Roman" w:eastAsia="黑体" w:cs="Times New Roman"/>
          <w:sz w:val="32"/>
          <w:szCs w:val="32"/>
          <w:lang w:eastAsia="zh-CN"/>
        </w:rPr>
      </w:pP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ascii="Times New Roman" w:hAnsi="Times New Roman" w:eastAsia="黑体" w:cs="Times New Roman"/>
          <w:sz w:val="32"/>
          <w:szCs w:val="32"/>
          <w:lang w:eastAsia="zh-CN"/>
        </w:rPr>
        <w:t>五</w:t>
      </w:r>
      <w:r>
        <w:rPr>
          <w:rFonts w:hint="default" w:ascii="Times New Roman" w:hAnsi="Times New Roman" w:eastAsia="黑体" w:cs="Times New Roman"/>
          <w:sz w:val="32"/>
          <w:szCs w:val="32"/>
        </w:rPr>
        <w:t>、存在的问题及原因分析</w:t>
      </w:r>
    </w:p>
    <w:p>
      <w:pPr>
        <w:tabs>
          <w:tab w:val="center" w:pos="4153"/>
        </w:tabs>
        <w:spacing w:line="600" w:lineRule="exact"/>
        <w:ind w:firstLine="640" w:firstLineChars="200"/>
        <w:jc w:val="left"/>
        <w:rPr>
          <w:rFonts w:hint="eastAsia" w:ascii="仿宋_GB2312" w:hAnsi="宋体" w:eastAsia="仿宋_GB2312" w:cs="宋体"/>
          <w:bCs/>
          <w:sz w:val="32"/>
          <w:szCs w:val="32"/>
        </w:rPr>
      </w:pPr>
      <w:r>
        <w:rPr>
          <w:rFonts w:hint="eastAsia" w:ascii="仿宋_GB2312" w:hAnsi="宋体" w:eastAsia="仿宋_GB2312" w:cs="宋体"/>
          <w:bCs/>
          <w:sz w:val="32"/>
          <w:szCs w:val="32"/>
          <w:lang w:val="en-US" w:eastAsia="zh-CN"/>
        </w:rPr>
        <w:t>1、</w:t>
      </w:r>
      <w:r>
        <w:rPr>
          <w:rFonts w:hint="eastAsia" w:ascii="仿宋_GB2312" w:hAnsi="宋体" w:eastAsia="仿宋_GB2312" w:cs="宋体"/>
          <w:bCs/>
          <w:sz w:val="32"/>
          <w:szCs w:val="32"/>
        </w:rPr>
        <w:t>预算编制有待更严格执行。预算编制与实际支出项目有的存在差异。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有些工作未能找到适当的量化方式，对绩效管理量化评价方面略显不足。通过县财政局组织的预算绩效管理培训，逐步找到适合的方法对本单位的工作进行合理的分类量化，以便适应将来的预算绩效管理工作。</w:t>
      </w:r>
    </w:p>
    <w:p>
      <w:pPr>
        <w:tabs>
          <w:tab w:val="center" w:pos="4153"/>
        </w:tabs>
        <w:spacing w:line="540" w:lineRule="exact"/>
        <w:ind w:firstLine="640" w:firstLineChars="200"/>
        <w:rPr>
          <w:rFonts w:hint="eastAsia" w:ascii="仿宋_GB2312" w:hAnsi="宋体" w:eastAsia="仿宋_GB2312" w:cs="宋体"/>
          <w:bCs/>
          <w:sz w:val="32"/>
          <w:szCs w:val="32"/>
        </w:rPr>
      </w:pPr>
      <w:r>
        <w:rPr>
          <w:rFonts w:hint="eastAsia" w:ascii="仿宋_GB2312" w:hAnsi="宋体" w:eastAsia="仿宋_GB2312" w:cs="宋体"/>
          <w:bCs/>
          <w:sz w:val="32"/>
          <w:szCs w:val="32"/>
          <w:lang w:val="en-US" w:eastAsia="zh-CN"/>
        </w:rPr>
        <w:t>2、</w:t>
      </w:r>
      <w:r>
        <w:rPr>
          <w:rFonts w:hint="eastAsia" w:eastAsia="仿宋_GB2312"/>
          <w:sz w:val="32"/>
          <w:szCs w:val="32"/>
          <w:lang w:eastAsia="zh-CN"/>
        </w:rPr>
        <w:t>加强对</w:t>
      </w:r>
      <w:r>
        <w:rPr>
          <w:rFonts w:eastAsia="仿宋_GB2312"/>
          <w:sz w:val="32"/>
          <w:szCs w:val="32"/>
        </w:rPr>
        <w:t>卫生院基础设施</w:t>
      </w:r>
      <w:r>
        <w:rPr>
          <w:rFonts w:hint="eastAsia" w:eastAsia="仿宋_GB2312"/>
          <w:sz w:val="32"/>
          <w:szCs w:val="32"/>
          <w:lang w:eastAsia="zh-CN"/>
        </w:rPr>
        <w:t>及</w:t>
      </w:r>
      <w:r>
        <w:rPr>
          <w:rFonts w:eastAsia="仿宋_GB2312"/>
          <w:sz w:val="32"/>
          <w:szCs w:val="32"/>
        </w:rPr>
        <w:t>能力建设</w:t>
      </w:r>
      <w:r>
        <w:rPr>
          <w:rFonts w:hint="eastAsia" w:eastAsia="仿宋_GB2312"/>
          <w:sz w:val="32"/>
          <w:szCs w:val="32"/>
          <w:lang w:eastAsia="zh-CN"/>
        </w:rPr>
        <w:t>，</w:t>
      </w:r>
      <w:r>
        <w:rPr>
          <w:rFonts w:eastAsia="仿宋_GB2312"/>
          <w:sz w:val="32"/>
          <w:szCs w:val="32"/>
        </w:rPr>
        <w:t>抓好医疗质量安全、医疗纠纷第三方调解机制、医疗机构布局、医疗废物集中处置等工作</w:t>
      </w:r>
      <w:r>
        <w:rPr>
          <w:rFonts w:hint="eastAsia" w:ascii="仿宋_GB2312" w:hAnsi="宋体" w:eastAsia="仿宋_GB2312" w:cs="宋体"/>
          <w:bCs/>
          <w:sz w:val="32"/>
          <w:szCs w:val="32"/>
        </w:rPr>
        <w:t>。</w:t>
      </w:r>
    </w:p>
    <w:p>
      <w:pPr>
        <w:tabs>
          <w:tab w:val="center" w:pos="4153"/>
        </w:tabs>
        <w:spacing w:line="540" w:lineRule="exact"/>
        <w:ind w:firstLine="640" w:firstLineChars="200"/>
        <w:rPr>
          <w:rFonts w:hint="eastAsia" w:ascii="仿宋_GB2312" w:hAnsi="宋体" w:eastAsia="仿宋_GB2312" w:cs="宋体"/>
          <w:bCs/>
          <w:sz w:val="32"/>
          <w:szCs w:val="32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六</w:t>
      </w:r>
      <w:r>
        <w:rPr>
          <w:rFonts w:hint="default" w:ascii="Times New Roman" w:hAnsi="Times New Roman" w:eastAsia="黑体" w:cs="Times New Roman"/>
          <w:sz w:val="32"/>
          <w:szCs w:val="32"/>
        </w:rPr>
        <w:t>、下一步改进措施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Autospacing="0" w:line="600" w:lineRule="atLeast"/>
        <w:ind w:firstLine="643" w:firstLineChars="200"/>
        <w:textAlignment w:val="auto"/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1.强化宣传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  <w:t>。进一步加大宣传力度，让广大城乡居民更全面了解项目的益处，提高群众知晓率，鼓励群众积极参与，自愿配合医疗卫生服务工作的开展。</w:t>
      </w:r>
    </w:p>
    <w:p>
      <w:pPr>
        <w:tabs>
          <w:tab w:val="center" w:pos="4153"/>
        </w:tabs>
        <w:spacing w:line="540" w:lineRule="exact"/>
        <w:ind w:firstLine="630"/>
        <w:jc w:val="left"/>
        <w:rPr>
          <w:rFonts w:hint="eastAsia" w:ascii="仿宋_GB2312" w:hAnsi="宋体" w:eastAsia="仿宋_GB2312" w:cs="宋体"/>
          <w:b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  <w:lang w:val="en-US" w:eastAsia="zh-CN"/>
        </w:rPr>
        <w:t>2.严格审核。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  <w:t>按照预算规定的项目和用途严格财务审核，经费支出严格按预算规定项目的财务支出内容进行财务核算，在预算金额内严格控制费用的支出。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="仿宋_GB2312" w:hAnsi="宋体" w:eastAsia="仿宋_GB2312" w:cs="宋体"/>
          <w:sz w:val="32"/>
          <w:szCs w:val="32"/>
          <w:shd w:val="clear" w:color="auto" w:fill="FFFFFF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  <w:lang w:val="en-US" w:eastAsia="zh-CN"/>
        </w:rPr>
        <w:t>3.分析常态化。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  <w:lang w:eastAsia="zh-CN"/>
        </w:rPr>
        <w:t>将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</w:rPr>
        <w:t>预算财务分析常态化，定期做好预算支出财务分析，做好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  <w:lang w:eastAsia="zh-CN"/>
        </w:rPr>
        <w:t>医院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</w:rPr>
        <w:t>整体支出预算评价工作。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="宋体" w:hAnsi="宋体" w:eastAsia="宋体" w:cs="宋体"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  <w:lang w:val="en-US" w:eastAsia="zh-CN"/>
        </w:rPr>
        <w:t>4.强化信息公开。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  <w:t>积极宣传和引导居民群众对医疗卫生服务的认知度和信任度，激发公众的参与度，从而积极献计献策、监督政府职能部门的各项工作。</w:t>
      </w:r>
      <w:r>
        <w:rPr>
          <w:rFonts w:hint="eastAsia" w:ascii="宋体" w:hAnsi="宋体" w:eastAsia="宋体" w:cs="宋体"/>
          <w:bCs/>
          <w:spacing w:val="-6"/>
          <w:sz w:val="32"/>
          <w:szCs w:val="32"/>
        </w:rPr>
        <w:t xml:space="preserve"> </w:t>
      </w:r>
    </w:p>
    <w:p>
      <w:pPr>
        <w:tabs>
          <w:tab w:val="center" w:pos="4153"/>
        </w:tabs>
        <w:spacing w:line="600" w:lineRule="exact"/>
        <w:ind w:firstLine="643" w:firstLineChars="200"/>
        <w:jc w:val="left"/>
        <w:rPr>
          <w:rFonts w:hint="eastAsia" w:eastAsia="仿宋_GB2312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2"/>
          <w:szCs w:val="32"/>
          <w:lang w:val="en-US" w:eastAsia="zh-CN" w:bidi="ar"/>
        </w:rPr>
        <w:t>5.加大人才培养。</w:t>
      </w:r>
      <w:r>
        <w:rPr>
          <w:rFonts w:hint="eastAsia" w:eastAsia="仿宋_GB2312"/>
          <w:sz w:val="32"/>
          <w:szCs w:val="32"/>
          <w:lang w:eastAsia="zh-CN"/>
        </w:rPr>
        <w:t>由于基层医疗卫生机构医护人员总量不足且青黄不接的问题，希望财政能加大对医疗卫生本土化人才培养的投入，</w:t>
      </w:r>
    </w:p>
    <w:p>
      <w:pPr>
        <w:pStyle w:val="6"/>
        <w:ind w:firstLine="643" w:firstLineChars="200"/>
        <w:rPr>
          <w:rFonts w:hint="eastAsia" w:eastAsia="仿宋_GB2312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2"/>
          <w:szCs w:val="32"/>
          <w:lang w:val="en-US" w:eastAsia="zh-CN" w:bidi="ar"/>
        </w:rPr>
        <w:t>6.增强投入。</w:t>
      </w:r>
      <w:r>
        <w:rPr>
          <w:rFonts w:hint="eastAsia" w:eastAsia="仿宋_GB2312"/>
          <w:sz w:val="32"/>
          <w:szCs w:val="32"/>
          <w:lang w:eastAsia="zh-CN"/>
        </w:rPr>
        <w:t>疾病预防控制中相关经费短缺，预防性健康体检经费，疫情防控经费，建设等项目需要增强投入和建设。</w:t>
      </w:r>
    </w:p>
    <w:p>
      <w:pPr>
        <w:rPr>
          <w:rFonts w:hint="default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七</w:t>
      </w:r>
      <w:r>
        <w:rPr>
          <w:rFonts w:hint="default" w:ascii="Times New Roman" w:hAnsi="Times New Roman" w:eastAsia="黑体" w:cs="Times New Roman"/>
          <w:sz w:val="32"/>
          <w:szCs w:val="32"/>
        </w:rPr>
        <w:t>、其他需要说明的情况</w:t>
      </w:r>
    </w:p>
    <w:p>
      <w:pPr>
        <w:pStyle w:val="6"/>
        <w:ind w:firstLine="640" w:firstLineChars="200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eastAsia="仿宋_GB2312"/>
          <w:sz w:val="32"/>
          <w:szCs w:val="32"/>
          <w:lang w:val="en-US" w:eastAsia="zh-CN"/>
        </w:rPr>
        <w:t>无</w:t>
      </w: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398DF8C-0103-440F-B9FB-9B7509E78C4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F92FDE0-A143-4F52-94FE-9A93EAE7729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C650A7A-8F03-4314-86C8-C436C6254DBE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2F53E925-B46F-4A2F-B27D-3E1DA59729C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E7DD7F4-3768-42BB-9172-5AEB782FBC08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37C430B4-2A63-40AB-84AB-7DB4538EAD24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54486FC1-7C43-40AB-9C96-301ABB23B923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DB6C0891-11A8-4A2E-A475-31FC41BAAD0B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012B0B09-ABD4-4FD3-87A1-4020214CEFCF}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F0107BB5-308A-483F-B0B7-84EA42662B74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FE96ACF4-D939-47F2-B7B4-0ECDDC2438F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AB5E00F"/>
    <w:multiLevelType w:val="singleLevel"/>
    <w:tmpl w:val="6AB5E00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JjODBkYWYzMmUzMmNmODg2ZjUyMzdiNTY5NDMxNjA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0EF3DD9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003C23"/>
    <w:rsid w:val="04EE6171"/>
    <w:rsid w:val="05315F6B"/>
    <w:rsid w:val="05395EA9"/>
    <w:rsid w:val="0616597F"/>
    <w:rsid w:val="06426ACC"/>
    <w:rsid w:val="07A62D33"/>
    <w:rsid w:val="086B5F82"/>
    <w:rsid w:val="09E4171C"/>
    <w:rsid w:val="09E6794E"/>
    <w:rsid w:val="0A067AB9"/>
    <w:rsid w:val="0AA9250A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D434CC"/>
    <w:rsid w:val="1312540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9C4DD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0B0E08"/>
    <w:rsid w:val="1E9351E5"/>
    <w:rsid w:val="1F7640EC"/>
    <w:rsid w:val="20176B8B"/>
    <w:rsid w:val="20D30097"/>
    <w:rsid w:val="20D76C5F"/>
    <w:rsid w:val="20E55C2B"/>
    <w:rsid w:val="21057490"/>
    <w:rsid w:val="214A230E"/>
    <w:rsid w:val="217068CB"/>
    <w:rsid w:val="218767CD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713F3"/>
    <w:rsid w:val="292F1467"/>
    <w:rsid w:val="29786927"/>
    <w:rsid w:val="297B51B4"/>
    <w:rsid w:val="29E40467"/>
    <w:rsid w:val="29F527E2"/>
    <w:rsid w:val="2A9A1E2C"/>
    <w:rsid w:val="2BF35971"/>
    <w:rsid w:val="2C481E7C"/>
    <w:rsid w:val="2C487650"/>
    <w:rsid w:val="2C5A7AC4"/>
    <w:rsid w:val="2E056D5A"/>
    <w:rsid w:val="2E4F43C0"/>
    <w:rsid w:val="2EC7368E"/>
    <w:rsid w:val="2EDC05D9"/>
    <w:rsid w:val="2F240CAA"/>
    <w:rsid w:val="2F5137B6"/>
    <w:rsid w:val="2FF62815"/>
    <w:rsid w:val="30FB4B41"/>
    <w:rsid w:val="312A552A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60B75"/>
    <w:rsid w:val="38F862EB"/>
    <w:rsid w:val="39343807"/>
    <w:rsid w:val="39847EA5"/>
    <w:rsid w:val="39887BBC"/>
    <w:rsid w:val="3A0F7AD4"/>
    <w:rsid w:val="3A53023B"/>
    <w:rsid w:val="3AF42D2D"/>
    <w:rsid w:val="3B062751"/>
    <w:rsid w:val="3B3A041F"/>
    <w:rsid w:val="3B7364AD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2F5A02"/>
    <w:rsid w:val="49B4660E"/>
    <w:rsid w:val="49CF255F"/>
    <w:rsid w:val="4A3239D7"/>
    <w:rsid w:val="4A873D23"/>
    <w:rsid w:val="4B2C5DCD"/>
    <w:rsid w:val="4B46D032"/>
    <w:rsid w:val="4B7D1173"/>
    <w:rsid w:val="4BBDFBDE"/>
    <w:rsid w:val="4BCF5C41"/>
    <w:rsid w:val="4C150E22"/>
    <w:rsid w:val="4C5145E8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B04973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96D4FAD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7C76DB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94FF5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1C3BBC"/>
    <w:rsid w:val="6B8D38AE"/>
    <w:rsid w:val="6BA1010E"/>
    <w:rsid w:val="6BC80F42"/>
    <w:rsid w:val="6CE47E41"/>
    <w:rsid w:val="6CED5810"/>
    <w:rsid w:val="6CF92413"/>
    <w:rsid w:val="6D1204DC"/>
    <w:rsid w:val="6DFE5E04"/>
    <w:rsid w:val="6E0D1F7B"/>
    <w:rsid w:val="6E796921"/>
    <w:rsid w:val="6E87203D"/>
    <w:rsid w:val="6F9278BB"/>
    <w:rsid w:val="6FB7D4E3"/>
    <w:rsid w:val="6FBE0EF0"/>
    <w:rsid w:val="6FFF1C22"/>
    <w:rsid w:val="700370F8"/>
    <w:rsid w:val="70EC5DDE"/>
    <w:rsid w:val="71572F19"/>
    <w:rsid w:val="719B7427"/>
    <w:rsid w:val="71E33685"/>
    <w:rsid w:val="71F326B3"/>
    <w:rsid w:val="724A6793"/>
    <w:rsid w:val="72647B59"/>
    <w:rsid w:val="7295497F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9C45B4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autoRedefine/>
    <w:semiHidden/>
    <w:qFormat/>
    <w:uiPriority w:val="99"/>
  </w:style>
  <w:style w:type="table" w:default="1" w:styleId="8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autoRedefine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autoRedefine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autoRedefine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autoRedefine/>
    <w:semiHidden/>
    <w:qFormat/>
    <w:uiPriority w:val="99"/>
    <w:rPr>
      <w:sz w:val="18"/>
      <w:szCs w:val="18"/>
    </w:rPr>
  </w:style>
  <w:style w:type="paragraph" w:styleId="14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6</Pages>
  <Words>2951</Words>
  <Characters>3383</Characters>
  <Lines>0</Lines>
  <Paragraphs>0</Paragraphs>
  <TotalTime>10</TotalTime>
  <ScaleCrop>false</ScaleCrop>
  <LinksUpToDate>false</LinksUpToDate>
  <CharactersWithSpaces>3453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坚果</cp:lastModifiedBy>
  <cp:lastPrinted>2024-05-27T00:33:00Z</cp:lastPrinted>
  <dcterms:modified xsi:type="dcterms:W3CDTF">2024-05-27T03:08:46Z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38A4D8A13798479BB07CA77EE634100D_13</vt:lpwstr>
  </property>
</Properties>
</file>