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821FB">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6AA1E04C">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华容县田家湖生态新区管理委员会</w:t>
      </w:r>
      <w:r>
        <w:rPr>
          <w:rFonts w:hint="eastAsia" w:ascii="方正小标宋_GBK" w:hAnsi="方正小标宋_GBK" w:eastAsia="方正小标宋_GBK" w:cs="方正小标宋_GBK"/>
          <w:color w:val="auto"/>
          <w:sz w:val="84"/>
          <w:szCs w:val="84"/>
        </w:rPr>
        <w:t>部门决算</w:t>
      </w:r>
    </w:p>
    <w:p w14:paraId="5085807C">
      <w:pPr>
        <w:pStyle w:val="14"/>
        <w:spacing w:line="500" w:lineRule="exact"/>
        <w:jc w:val="both"/>
        <w:rPr>
          <w:b/>
          <w:color w:val="auto"/>
          <w:sz w:val="36"/>
          <w:szCs w:val="28"/>
        </w:rPr>
      </w:pPr>
    </w:p>
    <w:p w14:paraId="2DA45807">
      <w:pPr>
        <w:pStyle w:val="14"/>
        <w:spacing w:line="500" w:lineRule="exact"/>
        <w:jc w:val="center"/>
        <w:rPr>
          <w:b/>
          <w:color w:val="auto"/>
          <w:sz w:val="36"/>
          <w:szCs w:val="28"/>
        </w:rPr>
      </w:pPr>
      <w:r>
        <w:rPr>
          <w:rFonts w:hint="eastAsia"/>
          <w:b/>
          <w:color w:val="auto"/>
          <w:sz w:val="36"/>
          <w:szCs w:val="28"/>
        </w:rPr>
        <w:t>目录</w:t>
      </w:r>
    </w:p>
    <w:p w14:paraId="6626F55B">
      <w:pPr>
        <w:pStyle w:val="14"/>
        <w:spacing w:line="500" w:lineRule="exact"/>
        <w:rPr>
          <w:rFonts w:hAnsi="黑体"/>
          <w:bCs/>
          <w:color w:val="auto"/>
          <w:sz w:val="28"/>
          <w:szCs w:val="28"/>
        </w:rPr>
      </w:pPr>
      <w:r>
        <w:rPr>
          <w:rFonts w:hint="eastAsia" w:hAnsi="黑体"/>
          <w:bCs/>
          <w:color w:val="auto"/>
          <w:sz w:val="28"/>
          <w:szCs w:val="28"/>
        </w:rPr>
        <w:t>第一部分华容县田家湖生态新区管理委员会概况</w:t>
      </w:r>
    </w:p>
    <w:p w14:paraId="197F167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6F4A836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557F4FAE">
      <w:pPr>
        <w:pStyle w:val="14"/>
        <w:spacing w:line="500" w:lineRule="exact"/>
        <w:rPr>
          <w:rFonts w:hAnsi="黑体"/>
          <w:bCs/>
          <w:color w:val="auto"/>
          <w:sz w:val="28"/>
          <w:szCs w:val="28"/>
        </w:rPr>
      </w:pPr>
      <w:r>
        <w:rPr>
          <w:rFonts w:hint="eastAsia" w:hAnsi="黑体"/>
          <w:bCs/>
          <w:color w:val="auto"/>
          <w:sz w:val="28"/>
          <w:szCs w:val="28"/>
        </w:rPr>
        <w:t>第二部分 部门决算表</w:t>
      </w:r>
    </w:p>
    <w:p w14:paraId="195FFA3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261A8B0F">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07E1CC1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44C9105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16F9E47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6A369618">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56A62C6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5EA706D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4625A55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3C935670">
      <w:pPr>
        <w:pStyle w:val="14"/>
        <w:spacing w:line="500" w:lineRule="exact"/>
        <w:ind w:firstLine="700" w:firstLineChars="250"/>
        <w:rPr>
          <w:rFonts w:ascii="仿宋_GB2312" w:hAnsi="仿宋_GB2312" w:eastAsia="仿宋_GB2312" w:cs="仿宋_GB2312"/>
          <w:color w:val="auto"/>
          <w:sz w:val="28"/>
          <w:szCs w:val="28"/>
        </w:rPr>
      </w:pPr>
    </w:p>
    <w:p w14:paraId="60A7B20C">
      <w:pPr>
        <w:pStyle w:val="14"/>
        <w:spacing w:line="500" w:lineRule="exact"/>
        <w:rPr>
          <w:rFonts w:hAnsi="黑体"/>
          <w:bCs/>
          <w:color w:val="auto"/>
          <w:sz w:val="28"/>
          <w:szCs w:val="28"/>
        </w:rPr>
      </w:pPr>
      <w:r>
        <w:rPr>
          <w:rFonts w:hint="eastAsia" w:hAnsi="黑体"/>
          <w:bCs/>
          <w:color w:val="auto"/>
          <w:sz w:val="28"/>
          <w:szCs w:val="28"/>
        </w:rPr>
        <w:t>第四部分 名词解释</w:t>
      </w:r>
    </w:p>
    <w:p w14:paraId="538360C8">
      <w:pPr>
        <w:pStyle w:val="14"/>
        <w:spacing w:line="500" w:lineRule="exact"/>
        <w:rPr>
          <w:rFonts w:hAnsi="黑体"/>
          <w:bCs/>
          <w:color w:val="auto"/>
          <w:sz w:val="28"/>
          <w:szCs w:val="28"/>
        </w:rPr>
      </w:pPr>
      <w:r>
        <w:rPr>
          <w:rFonts w:hint="eastAsia" w:hAnsi="黑体"/>
          <w:bCs/>
          <w:color w:val="auto"/>
          <w:sz w:val="28"/>
          <w:szCs w:val="28"/>
        </w:rPr>
        <w:t>第五部分 附件</w:t>
      </w:r>
    </w:p>
    <w:p w14:paraId="7D2E88EC">
      <w:pPr>
        <w:pStyle w:val="14"/>
        <w:spacing w:line="500" w:lineRule="exact"/>
        <w:rPr>
          <w:rFonts w:hAnsi="黑体"/>
          <w:bCs/>
          <w:color w:val="auto"/>
          <w:sz w:val="28"/>
          <w:szCs w:val="28"/>
        </w:rPr>
      </w:pPr>
    </w:p>
    <w:p w14:paraId="1757F2AA">
      <w:pPr>
        <w:pStyle w:val="14"/>
        <w:jc w:val="center"/>
        <w:rPr>
          <w:rFonts w:ascii="方正小标宋_GBK" w:hAnsi="方正小标宋_GBK" w:eastAsia="方正小标宋_GBK" w:cs="方正小标宋_GBK"/>
          <w:color w:val="auto"/>
          <w:sz w:val="48"/>
          <w:szCs w:val="48"/>
        </w:rPr>
      </w:pPr>
    </w:p>
    <w:p w14:paraId="423754BE">
      <w:pPr>
        <w:pStyle w:val="14"/>
        <w:jc w:val="center"/>
        <w:rPr>
          <w:rFonts w:ascii="方正小标宋_GBK" w:hAnsi="方正小标宋_GBK" w:eastAsia="方正小标宋_GBK" w:cs="方正小标宋_GBK"/>
          <w:color w:val="auto"/>
          <w:sz w:val="48"/>
          <w:szCs w:val="48"/>
        </w:rPr>
      </w:pPr>
    </w:p>
    <w:p w14:paraId="238C6B64">
      <w:pPr>
        <w:pStyle w:val="14"/>
        <w:jc w:val="center"/>
        <w:rPr>
          <w:rFonts w:ascii="方正小标宋_GBK" w:hAnsi="方正小标宋_GBK" w:eastAsia="方正小标宋_GBK" w:cs="方正小标宋_GBK"/>
          <w:color w:val="auto"/>
          <w:sz w:val="48"/>
          <w:szCs w:val="48"/>
        </w:rPr>
      </w:pPr>
    </w:p>
    <w:p w14:paraId="589A097C">
      <w:pPr>
        <w:pStyle w:val="14"/>
        <w:jc w:val="center"/>
        <w:rPr>
          <w:rFonts w:ascii="方正小标宋_GBK" w:hAnsi="方正小标宋_GBK" w:eastAsia="方正小标宋_GBK" w:cs="方正小标宋_GBK"/>
          <w:color w:val="auto"/>
          <w:sz w:val="48"/>
          <w:szCs w:val="48"/>
        </w:rPr>
      </w:pPr>
    </w:p>
    <w:p w14:paraId="2BFCB328">
      <w:pPr>
        <w:pStyle w:val="14"/>
        <w:jc w:val="center"/>
        <w:rPr>
          <w:rFonts w:ascii="方正小标宋_GBK" w:hAnsi="方正小标宋_GBK" w:eastAsia="方正小标宋_GBK" w:cs="方正小标宋_GBK"/>
          <w:color w:val="auto"/>
          <w:sz w:val="48"/>
          <w:szCs w:val="48"/>
        </w:rPr>
      </w:pPr>
    </w:p>
    <w:p w14:paraId="04F7E94D">
      <w:pPr>
        <w:pStyle w:val="14"/>
        <w:jc w:val="center"/>
        <w:rPr>
          <w:rFonts w:ascii="方正小标宋_GBK" w:hAnsi="方正小标宋_GBK" w:eastAsia="方正小标宋_GBK" w:cs="方正小标宋_GBK"/>
          <w:color w:val="auto"/>
          <w:sz w:val="48"/>
          <w:szCs w:val="48"/>
        </w:rPr>
      </w:pPr>
    </w:p>
    <w:p w14:paraId="42143748">
      <w:pPr>
        <w:pStyle w:val="14"/>
        <w:jc w:val="center"/>
        <w:rPr>
          <w:rFonts w:ascii="方正小标宋_GBK" w:hAnsi="方正小标宋_GBK" w:eastAsia="方正小标宋_GBK" w:cs="方正小标宋_GBK"/>
          <w:color w:val="auto"/>
          <w:sz w:val="48"/>
          <w:szCs w:val="48"/>
        </w:rPr>
      </w:pPr>
    </w:p>
    <w:p w14:paraId="1BCDCB8F">
      <w:pPr>
        <w:pStyle w:val="14"/>
        <w:jc w:val="center"/>
        <w:rPr>
          <w:rFonts w:ascii="方正小标宋_GBK" w:hAnsi="方正小标宋_GBK" w:eastAsia="方正小标宋_GBK" w:cs="方正小标宋_GBK"/>
          <w:color w:val="auto"/>
          <w:sz w:val="48"/>
          <w:szCs w:val="48"/>
        </w:rPr>
      </w:pPr>
    </w:p>
    <w:p w14:paraId="2344F5DB">
      <w:pPr>
        <w:pStyle w:val="14"/>
        <w:jc w:val="center"/>
        <w:rPr>
          <w:rFonts w:ascii="方正小标宋_GBK" w:hAnsi="方正小标宋_GBK" w:eastAsia="方正小标宋_GBK" w:cs="方正小标宋_GBK"/>
          <w:color w:val="auto"/>
          <w:sz w:val="48"/>
          <w:szCs w:val="48"/>
        </w:rPr>
      </w:pPr>
    </w:p>
    <w:p w14:paraId="6ACA9A8C">
      <w:pPr>
        <w:pStyle w:val="14"/>
        <w:jc w:val="center"/>
        <w:rPr>
          <w:rFonts w:ascii="方正小标宋_GBK" w:hAnsi="方正小标宋_GBK" w:eastAsia="方正小标宋_GBK" w:cs="方正小标宋_GBK"/>
          <w:color w:val="auto"/>
          <w:sz w:val="48"/>
          <w:szCs w:val="48"/>
        </w:rPr>
      </w:pPr>
    </w:p>
    <w:p w14:paraId="7B1AB001">
      <w:pPr>
        <w:pStyle w:val="14"/>
        <w:jc w:val="center"/>
        <w:rPr>
          <w:rFonts w:ascii="方正小标宋_GBK" w:hAnsi="方正小标宋_GBK" w:eastAsia="方正小标宋_GBK" w:cs="方正小标宋_GBK"/>
          <w:color w:val="auto"/>
          <w:sz w:val="48"/>
          <w:szCs w:val="48"/>
        </w:rPr>
      </w:pPr>
    </w:p>
    <w:p w14:paraId="026AA10E">
      <w:pPr>
        <w:pStyle w:val="14"/>
        <w:jc w:val="center"/>
        <w:rPr>
          <w:rFonts w:ascii="方正小标宋_GBK" w:hAnsi="方正小标宋_GBK" w:eastAsia="方正小标宋_GBK" w:cs="方正小标宋_GBK"/>
          <w:color w:val="auto"/>
          <w:sz w:val="48"/>
          <w:szCs w:val="48"/>
        </w:rPr>
      </w:pPr>
    </w:p>
    <w:p w14:paraId="5B0F2AC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35A6B037">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华容县田家湖生态新区管理委员会概况</w:t>
      </w:r>
    </w:p>
    <w:p w14:paraId="487C3E87">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2597CBA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　制订和组织实施经济社会发展规划，搞好商品流通，抓好招商引资，不断培植财源，增强财政实力，增加群众收入，促进新农村发展；制订并组织实施乡村建设规划，保护好生态；负责本行政区域各项社会公益事业综合协调工作，维护一切单位和个人的合法权益，维护社会稳定，抓好精神文明建设；落实中央路线、方针和政策，完成上级政府交办的各项工作</w:t>
      </w:r>
      <w:r>
        <w:rPr>
          <w:rFonts w:hint="eastAsia" w:ascii="宋体" w:hAnsi="Times New Roman" w:eastAsia="宋体" w:cs="宋体"/>
          <w:color w:val="auto"/>
          <w:sz w:val="32"/>
          <w:szCs w:val="32"/>
          <w:highlight w:val="white"/>
        </w:rPr>
        <w:t>。</w:t>
      </w:r>
    </w:p>
    <w:p w14:paraId="2A19141F">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5E6AB4F">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3C78C0C7">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华容县田家湖生态新区管理委员会单位内设机构包括：</w:t>
      </w:r>
      <w:r>
        <w:rPr>
          <w:rFonts w:hint="eastAsia" w:ascii="宋体" w:hAnsi="Times New Roman" w:eastAsia="宋体" w:cs="宋体"/>
          <w:sz w:val="32"/>
          <w:szCs w:val="32"/>
          <w:lang w:val="zh-CN"/>
        </w:rPr>
        <w:t>综合管理办、征拆安置办、招商发展办、社会事物办、民政办、财政所、计生所、派出所、国土所、田家湖城市建设投资有限责任公司。辖管马鞍社区、田家湖社区、普圣堂村、农科社区四个村（社区）</w:t>
      </w:r>
      <w:r>
        <w:rPr>
          <w:rFonts w:hint="eastAsia" w:ascii="宋体" w:hAnsi="Times New Roman" w:eastAsia="宋体" w:cs="宋体"/>
          <w:sz w:val="32"/>
          <w:szCs w:val="32"/>
          <w:highlight w:val="white"/>
        </w:rPr>
        <w:t>。</w:t>
      </w:r>
    </w:p>
    <w:p w14:paraId="6C1E0D64">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37B3886B">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华容县田家湖生态新区管理委员会单位2023年部门决算汇总公开单位构成包括：</w:t>
      </w:r>
      <w:r>
        <w:rPr>
          <w:rFonts w:hint="eastAsia" w:ascii="宋体" w:hAnsi="Times New Roman" w:eastAsia="宋体" w:cs="宋体"/>
          <w:sz w:val="32"/>
          <w:szCs w:val="32"/>
          <w:lang w:val="zh-CN"/>
        </w:rPr>
        <w:t>政府机关、民政办、财政所、计生所、派出所、国土所</w:t>
      </w:r>
      <w:r>
        <w:rPr>
          <w:rFonts w:hint="eastAsia" w:ascii="宋体" w:hAnsi="Times New Roman" w:eastAsia="宋体" w:cs="宋体"/>
          <w:sz w:val="32"/>
          <w:szCs w:val="32"/>
          <w:highlight w:val="white"/>
        </w:rPr>
        <w:t>。</w:t>
      </w:r>
    </w:p>
    <w:p w14:paraId="1635271C">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6C65A57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3C1EAF9C">
      <w:pPr>
        <w:pStyle w:val="14"/>
        <w:jc w:val="center"/>
        <w:rPr>
          <w:rFonts w:hAnsi="黑体"/>
          <w:bCs/>
          <w:color w:val="auto"/>
          <w:kern w:val="2"/>
          <w:sz w:val="32"/>
          <w:szCs w:val="32"/>
        </w:rPr>
      </w:pPr>
      <w:r>
        <w:rPr>
          <w:rFonts w:hint="eastAsia" w:hAnsi="黑体"/>
          <w:bCs/>
          <w:color w:val="auto"/>
          <w:kern w:val="2"/>
          <w:sz w:val="32"/>
          <w:szCs w:val="32"/>
        </w:rPr>
        <w:t>详见附件表格</w:t>
      </w:r>
    </w:p>
    <w:p w14:paraId="17BFF26F">
      <w:pPr>
        <w:pStyle w:val="14"/>
        <w:jc w:val="center"/>
        <w:rPr>
          <w:rFonts w:ascii="方正小标宋_GBK" w:hAnsi="方正小标宋_GBK" w:eastAsia="方正小标宋_GBK" w:cs="方正小标宋_GBK"/>
          <w:color w:val="auto"/>
          <w:sz w:val="48"/>
          <w:szCs w:val="48"/>
        </w:rPr>
      </w:pPr>
    </w:p>
    <w:p w14:paraId="257B723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1422B72C">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3CA87AB6">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1A0FDA32">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1244.61</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年相比，收、支总计各减少</w:t>
      </w:r>
      <w:r>
        <w:rPr>
          <w:rFonts w:ascii="宋体" w:hAnsi="Times New Roman" w:eastAsia="宋体" w:cs="宋体"/>
          <w:sz w:val="32"/>
          <w:szCs w:val="32"/>
          <w:highlight w:val="white"/>
          <w:lang w:val="zh-CN"/>
        </w:rPr>
        <w:t>615.17</w:t>
      </w:r>
      <w:r>
        <w:rPr>
          <w:rFonts w:hint="eastAsia" w:ascii="宋体" w:hAnsi="Times New Roman" w:eastAsia="宋体" w:cs="宋体"/>
          <w:sz w:val="32"/>
          <w:szCs w:val="32"/>
          <w:highlight w:val="white"/>
          <w:lang w:val="zh-CN"/>
        </w:rPr>
        <w:t>万元，下降</w:t>
      </w:r>
      <w:r>
        <w:rPr>
          <w:rFonts w:ascii="宋体" w:hAnsi="Times New Roman" w:eastAsia="宋体" w:cs="宋体"/>
          <w:sz w:val="32"/>
          <w:szCs w:val="32"/>
          <w:highlight w:val="white"/>
          <w:lang w:val="zh-CN"/>
        </w:rPr>
        <w:t>33.08%</w:t>
      </w:r>
      <w:r>
        <w:rPr>
          <w:rFonts w:hint="eastAsia" w:ascii="宋体" w:hAnsi="Times New Roman" w:eastAsia="宋体" w:cs="宋体"/>
          <w:sz w:val="32"/>
          <w:szCs w:val="32"/>
          <w:highlight w:val="white"/>
          <w:lang w:val="zh-CN"/>
        </w:rPr>
        <w:t>。主要原因是业务工作任务调整，项目支出减少，财政拨款收入减少</w:t>
      </w:r>
      <w:r>
        <w:rPr>
          <w:rFonts w:ascii="宋体" w:hAnsi="Times New Roman" w:eastAsia="宋体" w:cs="宋体"/>
          <w:sz w:val="32"/>
          <w:szCs w:val="32"/>
          <w:highlight w:val="white"/>
          <w:lang w:val="zh-CN"/>
        </w:rPr>
        <w:t>615.17</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7C7A1BDD">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4F084C57">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1244.61</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1244.61</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2C58BC9D">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33946364">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1244.61</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976.07</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78.42%</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268.54</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21.58%</w:t>
      </w:r>
      <w:r>
        <w:rPr>
          <w:rFonts w:hint="eastAsia" w:ascii="宋体" w:hAnsi="Times New Roman" w:eastAsia="宋体" w:cs="宋体"/>
          <w:sz w:val="32"/>
          <w:szCs w:val="32"/>
          <w:highlight w:val="white"/>
        </w:rPr>
        <w:t>。</w:t>
      </w:r>
    </w:p>
    <w:p w14:paraId="06DAF046">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5B82C345">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1244.61</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财政拨款收、支总计各减少</w:t>
      </w:r>
      <w:r>
        <w:rPr>
          <w:rFonts w:ascii="宋体" w:hAnsi="Times New Roman" w:eastAsia="宋体" w:cs="宋体"/>
          <w:sz w:val="32"/>
          <w:szCs w:val="32"/>
          <w:highlight w:val="white"/>
        </w:rPr>
        <w:t>615.17</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33.08%</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主要原因是业务工作任务调整，项目支出减少，财政拨款收入减少</w:t>
      </w:r>
      <w:r>
        <w:rPr>
          <w:rFonts w:ascii="宋体" w:hAnsi="Times New Roman" w:eastAsia="宋体" w:cs="宋体"/>
          <w:sz w:val="32"/>
          <w:szCs w:val="32"/>
          <w:highlight w:val="white"/>
          <w:lang w:val="zh-CN"/>
        </w:rPr>
        <w:t>615.17</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408ADB84">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4F64F953">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42FE171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1232.8</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99.05%</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181</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12.82%,</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业务工作任务调整，项目支出减少，财政拨款收入减少</w:t>
      </w:r>
      <w:r>
        <w:rPr>
          <w:rFonts w:ascii="宋体" w:hAnsi="Times New Roman" w:eastAsia="宋体" w:cs="宋体"/>
          <w:sz w:val="32"/>
          <w:szCs w:val="32"/>
          <w:highlight w:val="white"/>
          <w:lang w:val="zh-CN"/>
        </w:rPr>
        <w:t>615.17</w:t>
      </w:r>
      <w:r>
        <w:rPr>
          <w:rFonts w:hint="eastAsia" w:ascii="宋体" w:hAnsi="Times New Roman" w:eastAsia="宋体" w:cs="宋体"/>
          <w:sz w:val="32"/>
          <w:szCs w:val="32"/>
          <w:highlight w:val="white"/>
          <w:lang w:val="zh-CN"/>
        </w:rPr>
        <w:t>万元。</w:t>
      </w:r>
    </w:p>
    <w:p w14:paraId="2EC57063">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53937764">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1232.8</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846.03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68.63%</w:t>
      </w:r>
      <w:r>
        <w:rPr>
          <w:rFonts w:hint="eastAsia" w:ascii="宋体" w:hAnsi="Times New Roman" w:eastAsia="宋体" w:cs="宋体"/>
          <w:kern w:val="0"/>
          <w:sz w:val="32"/>
          <w:szCs w:val="32"/>
          <w:highlight w:val="white"/>
        </w:rPr>
        <w:t>；国防（类）支出</w:t>
      </w:r>
      <w:r>
        <w:rPr>
          <w:rFonts w:ascii="宋体" w:hAnsi="Times New Roman" w:eastAsia="宋体" w:cs="宋体"/>
          <w:kern w:val="0"/>
          <w:sz w:val="32"/>
          <w:szCs w:val="32"/>
          <w:highlight w:val="white"/>
        </w:rPr>
        <w:t>1</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0.08%</w:t>
      </w:r>
      <w:r>
        <w:rPr>
          <w:rFonts w:hint="eastAsia" w:ascii="宋体" w:hAnsi="Times New Roman" w:eastAsia="宋体" w:cs="宋体"/>
          <w:kern w:val="0"/>
          <w:sz w:val="32"/>
          <w:szCs w:val="32"/>
          <w:highlight w:val="white"/>
        </w:rPr>
        <w:t>；公共安全（类）支出</w:t>
      </w:r>
      <w:r>
        <w:rPr>
          <w:rFonts w:ascii="宋体" w:hAnsi="Times New Roman" w:eastAsia="宋体" w:cs="宋体"/>
          <w:kern w:val="0"/>
          <w:sz w:val="32"/>
          <w:szCs w:val="32"/>
          <w:highlight w:val="white"/>
        </w:rPr>
        <w:t>0.66</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0.05%</w:t>
      </w:r>
      <w:r>
        <w:rPr>
          <w:rFonts w:hint="eastAsia" w:ascii="宋体" w:hAnsi="Times New Roman" w:eastAsia="宋体" w:cs="宋体"/>
          <w:kern w:val="0"/>
          <w:sz w:val="32"/>
          <w:szCs w:val="32"/>
          <w:highlight w:val="white"/>
        </w:rPr>
        <w:t>；教育（类）支出</w:t>
      </w:r>
      <w:r>
        <w:rPr>
          <w:rFonts w:ascii="宋体" w:hAnsi="Times New Roman" w:eastAsia="宋体" w:cs="宋体"/>
          <w:kern w:val="0"/>
          <w:sz w:val="32"/>
          <w:szCs w:val="32"/>
          <w:highlight w:val="white"/>
        </w:rPr>
        <w:t>20</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1.62%</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52.55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4.26%</w:t>
      </w:r>
      <w:r>
        <w:rPr>
          <w:rFonts w:hint="eastAsia" w:ascii="宋体" w:hAnsi="Times New Roman" w:eastAsia="宋体" w:cs="宋体"/>
          <w:kern w:val="0"/>
          <w:sz w:val="32"/>
          <w:szCs w:val="32"/>
          <w:highlight w:val="white"/>
        </w:rPr>
        <w:t>；节能环保（类）支出</w:t>
      </w:r>
      <w:r>
        <w:rPr>
          <w:rFonts w:ascii="宋体" w:hAnsi="Times New Roman" w:eastAsia="宋体" w:cs="宋体"/>
          <w:kern w:val="0"/>
          <w:sz w:val="32"/>
          <w:szCs w:val="32"/>
          <w:highlight w:val="white"/>
        </w:rPr>
        <w:t>9.9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0.8%</w:t>
      </w:r>
      <w:r>
        <w:rPr>
          <w:rFonts w:hint="eastAsia" w:ascii="宋体" w:hAnsi="Times New Roman" w:eastAsia="宋体" w:cs="宋体"/>
          <w:kern w:val="0"/>
          <w:sz w:val="32"/>
          <w:szCs w:val="32"/>
          <w:highlight w:val="white"/>
        </w:rPr>
        <w:t>；城乡社区（类）支出</w:t>
      </w:r>
      <w:r>
        <w:rPr>
          <w:rFonts w:ascii="宋体" w:hAnsi="Times New Roman" w:eastAsia="宋体" w:cs="宋体"/>
          <w:kern w:val="0"/>
          <w:sz w:val="32"/>
          <w:szCs w:val="32"/>
          <w:highlight w:val="white"/>
        </w:rPr>
        <w:t>73.61</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5.97%</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202.04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16.39%</w:t>
      </w:r>
      <w:r>
        <w:rPr>
          <w:rFonts w:hint="eastAsia" w:ascii="宋体" w:hAnsi="Times New Roman" w:eastAsia="宋体" w:cs="宋体"/>
          <w:kern w:val="0"/>
          <w:sz w:val="32"/>
          <w:szCs w:val="32"/>
          <w:highlight w:val="white"/>
        </w:rPr>
        <w:t>；商业服务业等（类）支出</w:t>
      </w:r>
      <w:r>
        <w:rPr>
          <w:rFonts w:ascii="宋体" w:hAnsi="Times New Roman" w:eastAsia="宋体" w:cs="宋体"/>
          <w:kern w:val="0"/>
          <w:sz w:val="32"/>
          <w:szCs w:val="32"/>
          <w:highlight w:val="white"/>
        </w:rPr>
        <w:t>19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1.54%</w:t>
      </w:r>
      <w:r>
        <w:rPr>
          <w:rFonts w:hint="eastAsia" w:ascii="宋体" w:hAnsi="Times New Roman" w:eastAsia="宋体" w:cs="宋体"/>
          <w:kern w:val="0"/>
          <w:sz w:val="32"/>
          <w:szCs w:val="32"/>
          <w:highlight w:val="white"/>
        </w:rPr>
        <w:t>；其他（类）支出</w:t>
      </w:r>
      <w:r>
        <w:rPr>
          <w:rFonts w:ascii="宋体" w:hAnsi="Times New Roman" w:eastAsia="宋体" w:cs="宋体"/>
          <w:kern w:val="0"/>
          <w:sz w:val="32"/>
          <w:szCs w:val="32"/>
          <w:highlight w:val="white"/>
        </w:rPr>
        <w:t>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0.65%</w:t>
      </w:r>
      <w:r>
        <w:rPr>
          <w:rFonts w:hint="eastAsia" w:ascii="宋体" w:hAnsi="Times New Roman" w:eastAsia="宋体" w:cs="宋体"/>
          <w:kern w:val="0"/>
          <w:sz w:val="32"/>
          <w:szCs w:val="32"/>
          <w:highlight w:val="white"/>
        </w:rPr>
        <w:t>。</w:t>
      </w:r>
    </w:p>
    <w:p w14:paraId="7DBC377D">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45916A93">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2023年度财政拨款支出年初预算为429.82万元，支出决算为1232.8万元，完成年初预算的286.82%。其中：</w:t>
      </w:r>
    </w:p>
    <w:p w14:paraId="3C0DC824">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人大事务（款）机关服务（项）。年初预算为429.82万元，支出决算为427.83万元，完成年初预算的99.54%。决算数小于预算数的主要原因是厉行节约，压减一般性支出，调整预算支出，减少机关服务经费支出。  </w:t>
      </w:r>
    </w:p>
    <w:p w14:paraId="379B9BA2">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行政运行（项）。年初预算为0万元，支出决算为393.52万元，由于年初预算为0，无法计算百分比。决算数大于预算数的主要原因是业务工作任务增加，调整预算支出，财政追拨业务工作经费。  </w:t>
      </w:r>
    </w:p>
    <w:p w14:paraId="6806F0B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一般行政管理事务（项）。年初预算为0万元，支出决算为3万元，由于年初预算为0，无法计算百分比。决算数大于预算数的主要原因是业务工作任务增加，调整预算支出，财政追拨业务工作经费。  </w:t>
      </w:r>
    </w:p>
    <w:p w14:paraId="3D74CCD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一般公共服务支出（类）政府办公厅（室）及相关机构事务（款）信访事务（项）。年初预算为0万元，支出决算为1万元，由于年初预算为0，无法计算百分比。决算数大于预算数的主要原因是业务工作任务增加，调整预算支出，财政追拨业务工作经费。</w:t>
      </w:r>
    </w:p>
    <w:p w14:paraId="6FD82EE9">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财政事务（款）一般行政管理事务（项）。年初预算为0万元，支出决算为6万元，由于年初预算为0，无法计算百分比。决算数大于预算数的主要原因是业务工作任务增加，调整预算支出，财政追拨业务工作经费。  </w:t>
      </w:r>
    </w:p>
    <w:p w14:paraId="562EEC1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税收事务（款）其他税收事务支出（项）。年初预算为0万元，支出决算为9.08万元，由于年初预算为0，无法计算百分比。决算数大于预算数的主要原因是业务工作任务增加，调整预算支出，财政追拨业务工作经费。  </w:t>
      </w:r>
    </w:p>
    <w:p w14:paraId="4613BC48">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纪检监察事务（款）行政运行（项）。年初预算为0万元，支出决算为3.6万元，由于年初预算为0，无法计算百分比。决算数大于预算数的主要原因是业务工作任务增加，调整预算支出，财政追拨业务工作经费。  </w:t>
      </w:r>
    </w:p>
    <w:p w14:paraId="27FC0D52">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其他一般公共服务支出（款）其他一般公共服务支出（项）。年初预算为0万元，支出决算为2万元，由于年初预算为0，无法计算百分比。决算数大于预算数的主要原因是业务工作任务增加，调整预算支出，财政追拨业务工作经费。  </w:t>
      </w:r>
    </w:p>
    <w:p w14:paraId="5E479A03">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国防支出（类）国防动员（款）其他国防动员支出（项）。年初预算为0万元，支出决算为1万元，由于年初预算为0，无法计算百分比。决算数大于预算数的主要原因是业务工作任务增加，调整预算支出，财政追拨业务工作经费。</w:t>
      </w:r>
    </w:p>
    <w:p w14:paraId="0B31F68E">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公安（款）其他公安支出（项）。年初预算为0万元，支出决算为0.66万元，由于年初预算为0，无法计算百分比。决算数大于预算数的主要原因是业务工作任务增加，调整预算支出，财政追拨业务工作经费。 </w:t>
      </w:r>
    </w:p>
    <w:p w14:paraId="2407702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教育支出（类）其他教育支出（款）其他教育支出（项）。年初预算为0万元，支出决算为20万元，由于年初预算为0，无法计算百分比。决算数大于预算数的主要原因是业务工作任务增加，调整预算支出，财政追拨业务工作经费。  </w:t>
      </w:r>
    </w:p>
    <w:p w14:paraId="0D804E73">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基层政权建设和社区治理（项）。年初预算为0万元，支出决算为8万元，由于年初预算为0，无法计算百分比。决算数大于预算数的主要原因是业务工作任务增加，调整预算支出，财政追拨业务工作经费。  </w:t>
      </w:r>
    </w:p>
    <w:p w14:paraId="6BBF901E">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就业补助（款）公益性岗位补贴（项）。年初预算为0万元，支出决算为2.18万元，由于年初预算为0，无法计算百分比。决算数大于预算数的主要原因是业务工作任务增加，调整预算支出，财政追拨业务工作经费。  </w:t>
      </w:r>
    </w:p>
    <w:p w14:paraId="7630FBE1">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抚恤（款）其他优抚支出（项）。年初预算为0万元，支出决算为10.15万元，由于年初预算为0，无法计算百分比。决算数大于预算数的主要原因是业务工作任务增加，调整预算支出，财政追拨业务工作经费。 </w:t>
      </w:r>
    </w:p>
    <w:p w14:paraId="3BFDDFC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残疾人事业（款）行政运行（项）。年初预算为0万元，支出决算为1.6万元，由于年初预算为0，无法计算百分比。决算数大于预算数的主要原因是业务工作任务增加，调整预算支出，财政追拨业务工作经费。  </w:t>
      </w:r>
    </w:p>
    <w:p w14:paraId="5B246E81">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临时救助（款）临时救助支出（项）。年初预算为0万元，支出决算为21.5万元，由于年初预算为0，无法计算百分比。决算数大于预算数的主要原因是业务工作任务增加，调整预算支出，财政追拨业务工作经费。  </w:t>
      </w:r>
    </w:p>
    <w:p w14:paraId="0FAD7AD6">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农村特困人员救助供养支出（项）。年初预算为0万元，支出决算为7.53万元，由于年初预算为0，无法计算百分比。决算数大于预算数的主要原因是业务工作任务增加，调整预算支出，财政追拨业务工作经费。  </w:t>
      </w:r>
    </w:p>
    <w:p w14:paraId="5804D969">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退役军人管理事务（款）其他退役军人事务管理支出（项）。年初预算为0万元，支出决算为1.6万元，由于年初预算为0，无法计算百分比。决算数大于预算数的主要原因是业务工作任务增加，调整预算支出，财政追拨业务工作经费。  </w:t>
      </w:r>
    </w:p>
    <w:p w14:paraId="3A1F54FF">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其他自然生态保护支出（项）。年初预算为0万元，支出决算为9.9万元，由于年初预算为0，无法计算百分比。决算数大于预算数的主要原因是业务工作任务增加，调整预算支出，财政追拨业务工作经费。  </w:t>
      </w:r>
    </w:p>
    <w:p w14:paraId="35AFA9B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管理事务（款）其他城乡社区管理事务支出（项）。年初预算为0万元，支出决算为50万元，由于年初预算为0，无法计算百分比。决算数大于预算数的主要原因是业务工作任务增加，调整预算支出，财政追拨业务工作经费。  </w:t>
      </w:r>
    </w:p>
    <w:p w14:paraId="578F7F52">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其他城乡社区公共设施支出（项）。年初预算为0万元，支出决算为23.61万元，由于年初预算为0，无法计算百分比。决算数大于预算数的主要原因是业务工作任务增加，调整预算支出，财政追拨业务工作经费。  </w:t>
      </w:r>
    </w:p>
    <w:p w14:paraId="52968518">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防灾救灾（项）。年初预算为0万元，支出决算为0.7万元，由于年初预算为0，无法计算百分比。决算数大于预算数的主要原因是业务工作任务增加，调整预算支出，财政追拨业务工作经费。 </w:t>
      </w:r>
    </w:p>
    <w:p w14:paraId="27E03A8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村社会事业（项）。年初预算为0万元，支出决算为8.78万元，由于年初预算为0，无法计算百分比。决算数大于预算数的主要原因是业务工作任务增加，调整预算支出，财政追拨业务工作经费。  </w:t>
      </w:r>
    </w:p>
    <w:p w14:paraId="68798AE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其他农业农村支出（项）。年初预算为0万元，支出决算为3万元，由于年初预算为0，无法计算百分比。决算数大于预算数的主要原因是业务工作任务增加，调整预算支出，财政追拨业务工作经费。  </w:t>
      </w:r>
    </w:p>
    <w:p w14:paraId="61321486">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行政运行（项）。年初预算为0万元，支出决算为19万元，由于年初预算为0，无法计算百分比。决算数大于预算数的主要原因是业务工作任务增加，调整预算支出，财政追拨业务工作经费。  </w:t>
      </w:r>
    </w:p>
    <w:p w14:paraId="27B65BE9">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其他巩固脱贫衔接乡村振兴支出（项）。年初预算为0万元，支出决算为15万元，由于年初预算为0，无法计算百分比。决算数大于预算数的主要原因是业务工作任务增加，调整预算支出，财政追拨业务工作经费。  </w:t>
      </w:r>
    </w:p>
    <w:p w14:paraId="3A2FE31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级公益事业建设的补助（项）。年初预算为0万元，支出决算为7万元，由于年初预算为0，无法计算百分比。决算数大于预算数的主要原因是业务工作任务增加，调整预算支出，财政追拨业务工作经费。  </w:t>
      </w:r>
    </w:p>
    <w:p w14:paraId="0390837F">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民委员会和村党支部的补助（项）。年初预算为0万元，支出决算为116.23万元，由于年初预算为0，无法计算百分比。决算数大于预算数的主要原因是业务工作任务增加，调整预算支出，财政追拨业务工作经费。  </w:t>
      </w:r>
    </w:p>
    <w:p w14:paraId="3883106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其他农村综合改革支出（项）。年初预算为0万元，支出决算为8万元，由于年初预算为0，无法计算百分比。决算数大于预算数的主要原因是业务工作任务增加，调整预算支出，财政追拨业务工作经费。  </w:t>
      </w:r>
    </w:p>
    <w:p w14:paraId="1E0F08A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目标价格补贴（款）棉花目标价格补贴（项）。年初预算为0万元，支出决算为24.33万元，由于年初预算为0，无法计算百分比。决算数大于预算数的主要原因是业务工作任务增加，调整预算支出，财政追拨业务工作经费。  </w:t>
      </w:r>
    </w:p>
    <w:p w14:paraId="57C1781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商业服务业等支出（类）商业流通事务（款）其他商业流通事务支出（项）。年初预算为0万元，支出决算为19万元，由于年初预算为0，无法计算百分比。决算数大于预算数的主要原因是业务工作任务增加，调整预算支出，财政追拨业务工作经费。  </w:t>
      </w:r>
    </w:p>
    <w:p w14:paraId="4788BD65">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rPr>
        <w:t>其他支出（类）其他支出（款）其他支出（项）。年初预算为0万元，支出决算为8万元，由于年初预算为0，无法计算百分比。决算数大于预算数的主要原因是业务工作任务增加，调整预算支出，财政追拨业务工作经费</w:t>
      </w:r>
      <w:r>
        <w:rPr>
          <w:rFonts w:hint="eastAsia" w:ascii="宋体" w:cs="宋体"/>
          <w:color w:val="auto"/>
          <w:sz w:val="32"/>
          <w:szCs w:val="32"/>
        </w:rPr>
        <w:t>。</w:t>
      </w:r>
      <w:r>
        <w:rPr>
          <w:rFonts w:ascii="宋体" w:hAnsi="Calibri" w:eastAsia="宋体" w:cs="宋体"/>
          <w:color w:val="auto"/>
          <w:sz w:val="32"/>
          <w:szCs w:val="32"/>
        </w:rPr>
        <w:t xml:space="preserve">  </w:t>
      </w:r>
    </w:p>
    <w:p w14:paraId="5EEBE689">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4493E5F4">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976.07</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56796247">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637.19</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65.28%</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3042DD6D">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338.88</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34.72%</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5B5D57E0">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3087C656">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60096436">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三公”经费财政拨款支出预算为3万元，支出决算为0万元，完成年初预算的0%，与上年相比减少1.36万元，下降100%,减少主要原因是认真贯彻落实中央八项规定精神和厉行节约要求，从严控制“三公”经费开支，全年实际支出比预算有所节约。其中：</w:t>
      </w:r>
    </w:p>
    <w:p w14:paraId="3B4C080A">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因公出国（境）费支出预算为0万元，支出决算为0万元，由于预算为0，无法计算百分比，与上年相比减少0万元，减少0%。   </w:t>
      </w:r>
    </w:p>
    <w:p w14:paraId="237A2285">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公务接待费支出预算为3万元，支出决算为0万元，完成年初预算的0%，与上年相比减少1.36万元，下降100%,减少主要原因是认真贯彻落实中央八项规定精神和厉行节约要求，从严控制“三公”经费开支，全年实际支出比预算有所节约。</w:t>
      </w:r>
    </w:p>
    <w:p w14:paraId="21D0ABCF">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公务用车购置费支出预算为0万元，支出决算为0万元，由于预算为0，无法计算百分比，与上年相比减少0万元，减少0%。   </w:t>
      </w:r>
    </w:p>
    <w:p w14:paraId="3512D4D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kern w:val="2"/>
          <w:sz w:val="32"/>
          <w:szCs w:val="32"/>
          <w:lang w:val="zh-CN"/>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67FEA88E">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0BDC449F">
      <w:pPr>
        <w:pStyle w:val="14"/>
        <w:spacing w:line="600" w:lineRule="exact"/>
        <w:ind w:firstLine="640" w:firstLineChars="200"/>
        <w:rPr>
          <w:rFonts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2023年度“三公”经费财政拨款支出决算中，因公出国（境）费支出决算0万元，占0%；公务接待费支出决算0万元，占0%；公务用车购置费及运行维护费支出决算0万元，占0%；</w:t>
      </w:r>
    </w:p>
    <w:p w14:paraId="673661AD">
      <w:pPr>
        <w:pStyle w:val="14"/>
        <w:spacing w:line="600" w:lineRule="exact"/>
        <w:ind w:firstLine="640" w:firstLineChars="200"/>
        <w:rPr>
          <w:rFonts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1、因公出国（境）费支出决算0万元，全年安排因公出国（境）团组0个，累计0人次。</w:t>
      </w:r>
    </w:p>
    <w:p w14:paraId="72C76D08">
      <w:pPr>
        <w:pStyle w:val="14"/>
        <w:spacing w:line="600" w:lineRule="exact"/>
        <w:ind w:firstLine="640" w:firstLineChars="200"/>
        <w:rPr>
          <w:rFonts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2、公务接待费支出决算0万元，全年共接待来访团组0个、来宾0人次。主要用于与有关单位交流工作情况及接受相关部门检查指导工作发生的接待支出。</w:t>
      </w:r>
    </w:p>
    <w:p w14:paraId="335858D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lang w:val="zh-CN"/>
        </w:rPr>
        <w:t xml:space="preserve"> 3、公务用车购置费及运行维护费支出决算0万元，其中：公务用车购置费0万元，更新公务用车0辆。公务用车运行维护费0元，截止2023年12月31日，我单位开支财政拨款的公务用车保有量为0辆</w:t>
      </w:r>
      <w:r>
        <w:rPr>
          <w:rFonts w:hint="eastAsia" w:ascii="宋体" w:hAnsi="Times New Roman" w:eastAsia="宋体" w:cs="宋体"/>
          <w:color w:val="auto"/>
          <w:sz w:val="32"/>
          <w:szCs w:val="32"/>
          <w:highlight w:val="white"/>
        </w:rPr>
        <w:t>。</w:t>
      </w:r>
    </w:p>
    <w:p w14:paraId="4669547F">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4942E32C">
      <w:pPr>
        <w:pStyle w:val="14"/>
        <w:spacing w:line="600" w:lineRule="exact"/>
        <w:ind w:firstLine="63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2023年政府性基金预算财政拨款收入5万元，年初结转和结余0万元,本年支出5万元,其中：基本支出0元万元,项目支出5万元,年末结转和结余0万元,具体情况如下：</w:t>
      </w:r>
    </w:p>
    <w:p w14:paraId="3263EC03">
      <w:pPr>
        <w:pStyle w:val="14"/>
        <w:spacing w:line="600" w:lineRule="exact"/>
        <w:ind w:firstLine="63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彩票公益金安排的支出（款）用于社会福利的彩票公益金支出（项）。年初预算为0万元，支出决算为3万元，由于年初预算为0，无法计算百分比。决算数大于预算数的主要原因是业务工作任务增加，调整预算支出，财政追拨业务工作经费。</w:t>
      </w:r>
    </w:p>
    <w:p w14:paraId="0AE123FD">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宋体" w:hAnsi="Times New Roman" w:eastAsia="宋体" w:cs="宋体"/>
          <w:color w:val="auto"/>
          <w:kern w:val="2"/>
          <w:sz w:val="32"/>
          <w:szCs w:val="32"/>
          <w:lang w:val="zh-CN"/>
        </w:rPr>
        <w:t>其他支出（类）彩票公益金安排的支出（款）用于体育事业的彩票公益金支出（项）。年初预算为0万元，支出决算为2万元，由于年初预算为0，无法计算百分比。决算数大于预算数的主要原因是业务工作任务增加，调整预算支出，财政追拨业务工作经费</w:t>
      </w:r>
      <w:r>
        <w:rPr>
          <w:rFonts w:hint="eastAsia" w:ascii="宋体" w:hAnsi="Times New Roman" w:eastAsia="宋体" w:cs="宋体"/>
          <w:color w:val="auto"/>
          <w:sz w:val="32"/>
          <w:szCs w:val="32"/>
          <w:highlight w:val="white"/>
          <w:lang w:val="zh-CN"/>
        </w:rPr>
        <w:t>。</w:t>
      </w:r>
    </w:p>
    <w:p w14:paraId="3ABAD9EF">
      <w:pPr>
        <w:rPr>
          <w:rFonts w:ascii="Calibri" w:hAnsi="Calibri" w:eastAsia="宋体" w:cs="Times New Roman"/>
          <w:szCs w:val="24"/>
        </w:rPr>
      </w:pPr>
      <w:bookmarkStart w:id="0" w:name="_GoBack"/>
      <w:bookmarkEnd w:id="0"/>
    </w:p>
    <w:p w14:paraId="29843558">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5F7D5BBE">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338.88</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319.09</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1612.38%</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2A557D29">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36E837DD">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0.83</w:t>
      </w:r>
      <w:r>
        <w:rPr>
          <w:rFonts w:hint="eastAsia" w:ascii="宋体" w:hAnsi="Times New Roman" w:eastAsia="宋体" w:cs="宋体"/>
          <w:kern w:val="0"/>
          <w:sz w:val="32"/>
          <w:szCs w:val="32"/>
          <w:highlight w:val="white"/>
        </w:rPr>
        <w:t>万元，用于召开业务工作会议，人数</w:t>
      </w:r>
      <w:r>
        <w:rPr>
          <w:rFonts w:ascii="宋体" w:hAnsi="Times New Roman" w:eastAsia="宋体" w:cs="宋体"/>
          <w:kern w:val="0"/>
          <w:sz w:val="32"/>
          <w:szCs w:val="32"/>
          <w:highlight w:val="white"/>
        </w:rPr>
        <w:t>60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防汛抗旱、乡村振兴、任务布置等工作会议</w:t>
      </w:r>
      <w:r>
        <w:rPr>
          <w:rFonts w:hint="eastAsia" w:ascii="宋体" w:hAnsi="Times New Roman" w:eastAsia="宋体" w:cs="宋体"/>
          <w:kern w:val="0"/>
          <w:sz w:val="32"/>
          <w:szCs w:val="32"/>
          <w:highlight w:val="white"/>
        </w:rPr>
        <w:t>；开支培训费</w:t>
      </w:r>
      <w:r>
        <w:rPr>
          <w:rFonts w:ascii="宋体" w:hAnsi="Times New Roman" w:eastAsia="宋体" w:cs="宋体"/>
          <w:kern w:val="0"/>
          <w:sz w:val="32"/>
          <w:szCs w:val="32"/>
          <w:highlight w:val="white"/>
        </w:rPr>
        <w:t>0.22</w:t>
      </w:r>
      <w:r>
        <w:rPr>
          <w:rFonts w:hint="eastAsia" w:ascii="宋体" w:hAnsi="Times New Roman" w:eastAsia="宋体" w:cs="宋体"/>
          <w:kern w:val="0"/>
          <w:sz w:val="32"/>
          <w:szCs w:val="32"/>
          <w:highlight w:val="white"/>
        </w:rPr>
        <w:t>万元，用于知识技能培训，人数</w:t>
      </w:r>
      <w:r>
        <w:rPr>
          <w:rFonts w:ascii="宋体" w:hAnsi="Times New Roman" w:eastAsia="宋体" w:cs="宋体"/>
          <w:kern w:val="0"/>
          <w:sz w:val="32"/>
          <w:szCs w:val="32"/>
          <w:highlight w:val="white"/>
        </w:rPr>
        <w:t>18</w:t>
      </w:r>
      <w:r>
        <w:rPr>
          <w:rFonts w:hint="eastAsia" w:ascii="宋体" w:hAnsi="Times New Roman" w:eastAsia="宋体" w:cs="宋体"/>
          <w:kern w:val="0"/>
          <w:sz w:val="32"/>
          <w:szCs w:val="32"/>
          <w:highlight w:val="white"/>
        </w:rPr>
        <w:t>人，内容为</w:t>
      </w:r>
      <w:r>
        <w:rPr>
          <w:rFonts w:hint="eastAsia" w:ascii="宋体" w:cs="宋体"/>
          <w:sz w:val="32"/>
          <w:szCs w:val="32"/>
        </w:rPr>
        <w:t>党史教育、财务会计等知识培训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220219FA">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13914AA4">
      <w:pPr>
        <w:keepNext/>
        <w:keepLines/>
        <w:autoSpaceDE w:val="0"/>
        <w:autoSpaceDN w:val="0"/>
        <w:adjustRightInd w:val="0"/>
        <w:ind w:firstLine="641"/>
        <w:rPr>
          <w:rFonts w:ascii="宋体" w:hAnsi="Times New Roman" w:eastAsia="宋体" w:cs="宋体"/>
          <w:sz w:val="32"/>
          <w:szCs w:val="32"/>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年度政府采购支出总额</w:t>
      </w:r>
      <w:r>
        <w:rPr>
          <w:rFonts w:ascii="宋体" w:hAnsi="Times New Roman" w:eastAsia="宋体" w:cs="宋体"/>
          <w:sz w:val="32"/>
          <w:szCs w:val="32"/>
          <w:highlight w:val="white"/>
        </w:rPr>
        <w:t>166.06</w:t>
      </w:r>
      <w:r>
        <w:rPr>
          <w:rFonts w:hint="eastAsia" w:ascii="宋体" w:hAnsi="Times New Roman" w:eastAsia="宋体" w:cs="宋体"/>
          <w:sz w:val="32"/>
          <w:szCs w:val="32"/>
          <w:highlight w:val="white"/>
        </w:rPr>
        <w:t>万元，其中：政府采购货物支出</w:t>
      </w:r>
      <w:r>
        <w:rPr>
          <w:rFonts w:ascii="宋体" w:hAnsi="Times New Roman" w:eastAsia="宋体" w:cs="宋体"/>
          <w:sz w:val="32"/>
          <w:szCs w:val="32"/>
          <w:highlight w:val="white"/>
        </w:rPr>
        <w:t>27.23</w:t>
      </w:r>
      <w:r>
        <w:rPr>
          <w:rFonts w:hint="eastAsia" w:ascii="宋体" w:hAnsi="Times New Roman" w:eastAsia="宋体" w:cs="宋体"/>
          <w:sz w:val="32"/>
          <w:szCs w:val="32"/>
          <w:highlight w:val="white"/>
        </w:rPr>
        <w:t>万元；政府采购工程支出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万元；政府采购服务支出</w:t>
      </w:r>
      <w:r>
        <w:rPr>
          <w:rFonts w:ascii="宋体" w:hAnsi="Times New Roman" w:eastAsia="宋体" w:cs="宋体"/>
          <w:sz w:val="32"/>
          <w:szCs w:val="32"/>
          <w:highlight w:val="white"/>
        </w:rPr>
        <w:t>138.83</w:t>
      </w:r>
      <w:r>
        <w:rPr>
          <w:rFonts w:hint="eastAsia" w:ascii="宋体" w:hAnsi="Times New Roman" w:eastAsia="宋体" w:cs="宋体"/>
          <w:sz w:val="32"/>
          <w:szCs w:val="32"/>
          <w:highlight w:val="white"/>
        </w:rPr>
        <w:t>万元；授予中小企业合同金额</w:t>
      </w:r>
      <w:r>
        <w:rPr>
          <w:rFonts w:ascii="宋体" w:hAnsi="Times New Roman" w:eastAsia="宋体" w:cs="宋体"/>
          <w:sz w:val="32"/>
          <w:szCs w:val="32"/>
          <w:highlight w:val="white"/>
        </w:rPr>
        <w:t>166.06</w:t>
      </w:r>
      <w:r>
        <w:rPr>
          <w:rFonts w:hint="eastAsia" w:ascii="宋体" w:hAnsi="Times New Roman" w:eastAsia="宋体" w:cs="宋体"/>
          <w:sz w:val="32"/>
          <w:szCs w:val="32"/>
          <w:highlight w:val="white"/>
        </w:rPr>
        <w:t>万元，占政府采购支出总额的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，其中：授予小微企业合同金额</w:t>
      </w:r>
      <w:r>
        <w:rPr>
          <w:rFonts w:ascii="宋体" w:hAnsi="Times New Roman" w:eastAsia="宋体" w:cs="宋体"/>
          <w:sz w:val="32"/>
          <w:szCs w:val="32"/>
          <w:highlight w:val="white"/>
        </w:rPr>
        <w:t>160.29</w:t>
      </w:r>
      <w:r>
        <w:rPr>
          <w:rFonts w:hint="eastAsia" w:ascii="宋体" w:hAnsi="Times New Roman" w:eastAsia="宋体" w:cs="宋体"/>
          <w:sz w:val="32"/>
          <w:szCs w:val="32"/>
          <w:highlight w:val="white"/>
        </w:rPr>
        <w:t>万元，占授予中小企业合同金额的</w:t>
      </w:r>
      <w:r>
        <w:rPr>
          <w:rFonts w:ascii="宋体" w:hAnsi="Times New Roman" w:eastAsia="宋体" w:cs="宋体"/>
          <w:sz w:val="32"/>
          <w:szCs w:val="32"/>
          <w:highlight w:val="white"/>
        </w:rPr>
        <w:t>96.53%</w:t>
      </w:r>
      <w:r>
        <w:rPr>
          <w:rFonts w:hint="eastAsia" w:ascii="宋体" w:hAnsi="Times New Roman" w:eastAsia="宋体" w:cs="宋体"/>
          <w:sz w:val="32"/>
          <w:szCs w:val="32"/>
          <w:highlight w:val="white"/>
        </w:rPr>
        <w:t>。货物采购授予中小企业合同金额占货物支出金额的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。工程采购授予中小企业合同金额占工程支出金额的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。服务采购授予中小企业合同金额占服务支出金额的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24B8801F">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7E16C901">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6DB1AF7E">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7CC75856">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033F64A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77339DA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部门开展整体支出绩效评价，涉及一般公共预算支出1232.8万元，政府性基金预算支出5万元，国有资本经营预算支出6.81万元, 合计1244.61万元，其中：基本支出976.07万元，占78.42%；项目支出268.54万元，占21.58%。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09BF23BF">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2A9F6E6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27C2785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36DE8447">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182CC48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一是预算执行的精细化程度还不够，预算调整的情况时有发生。需强化预算的刚性约束，提高财政资金使用效率，提高预算执行的严肃性。</w:t>
      </w:r>
    </w:p>
    <w:p w14:paraId="1114E67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二是绩效评价结果的应用还不够充分。需加强完善单位的内部控制制度，强化绩效评价结果的应用，充分发挥绩效评价的导向作用。</w:t>
      </w:r>
    </w:p>
    <w:p w14:paraId="474C3B08">
      <w:pPr>
        <w:pStyle w:val="14"/>
        <w:jc w:val="both"/>
        <w:rPr>
          <w:color w:val="auto"/>
          <w:sz w:val="72"/>
          <w:szCs w:val="72"/>
        </w:rPr>
      </w:pPr>
    </w:p>
    <w:p w14:paraId="18877C76">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4074607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4215856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36B9B6E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政府性基金预算财政拨款收入：指本级财政当年拨付的政府性基金预算资金。</w:t>
      </w:r>
    </w:p>
    <w:p w14:paraId="0E0BD03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国有资本经营预算财政拨款收入：指本级财政当年拨付的国有资本经营资金。</w:t>
      </w:r>
    </w:p>
    <w:p w14:paraId="559FD09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3CDF617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5290D57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公共安全支出（类）：是指用于内卫、消防等武装警察部队的支出，包括保障机构正常运转、完成日常和特定的工作任务或事业发展目标的支出。</w:t>
      </w:r>
    </w:p>
    <w:p w14:paraId="51C6B89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教育支出（类）：是指用于政府教育事务支出，包括保障机构正常运转、完成日常和特定的工作任务或事业发展目标的支出。</w:t>
      </w:r>
    </w:p>
    <w:p w14:paraId="2ECE735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1E5D14F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节能环保支出（类）：是指用于节能环保支出，包括保障机构正常运转、完成日常和特定的工作任务或事业发展目标的支出。</w:t>
      </w:r>
    </w:p>
    <w:p w14:paraId="7E847B0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城乡社区支出（类）：是指用于城乡社区事务支出，包括保障机构正常运转、完成日常和特定的工作任务或事业发展目标的支出。</w:t>
      </w:r>
    </w:p>
    <w:p w14:paraId="683B0FE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农林水支出（类）：是指用于农林水事务支出，包括保障机构正常运转、完成日常和特定的工作任务或事业发展目标的支出。</w:t>
      </w:r>
    </w:p>
    <w:p w14:paraId="6AEFD9B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商业服务业等支出（类）：是指用于商业服务业等方面的支出</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包括保障机构正常运转、完成日常和特定的工作任务或事业发展目标的支出。</w:t>
      </w:r>
    </w:p>
    <w:p w14:paraId="2211E42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国有资本经营预算支出（类）：是指用于国有资本经营方面的支出，包括保障机构正常运转、完成日常和特定的工作任务或事业发展目标的支出。</w:t>
      </w:r>
    </w:p>
    <w:p w14:paraId="3302CD9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514CA66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2AA07EC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项目支出：指在基本支出之外为完成特定行政任务和事业发展目标所发生的支出。</w:t>
      </w:r>
    </w:p>
    <w:p w14:paraId="2D77BFD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政府采购</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：是指国家各级政府为从事日常的政务活动或为了满足公共服务的目的，利用国家财政性资金和政府借款购买货物、工程和服务的行为。</w:t>
      </w:r>
    </w:p>
    <w:p w14:paraId="282D966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07B4CC2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63E8888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32BE7D1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0B5E50D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伙食补助费：反映单位发给职工的伙食补助费，如误餐补助等。</w:t>
      </w:r>
    </w:p>
    <w:p w14:paraId="323A62D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绩效工资：反映事业单位工作人员的绩效工资。</w:t>
      </w:r>
    </w:p>
    <w:p w14:paraId="50179A7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0621207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366AE3D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19E54BC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3C22ACD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10DE65D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094E3F8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2FFE4AC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水费：反映单位支付的水费、污水处理费等支出。</w:t>
      </w:r>
    </w:p>
    <w:p w14:paraId="3A47F93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6AC9EDE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3A8C4C7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3510EB9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维修</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护</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费：反映单位日常开支的固定资产（不包括车船等交通工具）修理和维护费用，网络信息系统运行与维护费用，以及按规定提取的修购基金。</w:t>
      </w:r>
    </w:p>
    <w:p w14:paraId="38978A1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会议费：反映会议中按规定开支的住宿费、伙食费、会议室租金、交通费、文件印刷费、医药费等。</w:t>
      </w:r>
    </w:p>
    <w:p w14:paraId="7347977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764ED21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6E3373E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29F950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18D7E14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3882815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5563AB2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16227C8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1364687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2055C97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奖励金：反映政府各部门的奖励支出，如对个体私营经济的奖励、计划生育目标责任奖励、独生子女父母奖励等。</w:t>
      </w:r>
    </w:p>
    <w:p w14:paraId="707DB16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其他对个人和家庭的补助支出：反映未包括在上述科目的对个人和家庭的补助支出，</w:t>
      </w:r>
    </w:p>
    <w:p w14:paraId="56F29FE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办公设备购置：反映用于购置并按财务会计制度规定纳入固定资产核算范围的办公家具和办公设备的支出，以及按规定提取的修购基金。</w:t>
      </w:r>
    </w:p>
    <w:p w14:paraId="3CC6A9E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748A57CB">
      <w:pPr>
        <w:pStyle w:val="14"/>
        <w:jc w:val="center"/>
        <w:rPr>
          <w:rFonts w:ascii="方正小标宋_GBK" w:hAnsi="方正小标宋_GBK" w:eastAsia="方正小标宋_GBK" w:cs="方正小标宋_GBK"/>
          <w:color w:val="auto"/>
          <w:sz w:val="48"/>
          <w:szCs w:val="48"/>
        </w:rPr>
      </w:pPr>
    </w:p>
    <w:p w14:paraId="74F9B08E">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785BFA2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688403E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年度华容县田家湖生态新区管理委员会部门决算公开表格</w:t>
      </w:r>
    </w:p>
    <w:p w14:paraId="321E294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年度华容县田家湖生态新区管理委员会整体支出绩效自评报告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A01AB"/>
    <w:rsid w:val="002E0A30"/>
    <w:rsid w:val="002E3273"/>
    <w:rsid w:val="003130C4"/>
    <w:rsid w:val="00316C4B"/>
    <w:rsid w:val="0032192B"/>
    <w:rsid w:val="00333686"/>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10883"/>
    <w:rsid w:val="0062378F"/>
    <w:rsid w:val="00641842"/>
    <w:rsid w:val="00651EEC"/>
    <w:rsid w:val="00677231"/>
    <w:rsid w:val="00686673"/>
    <w:rsid w:val="00691E8C"/>
    <w:rsid w:val="006A22C4"/>
    <w:rsid w:val="006A351B"/>
    <w:rsid w:val="006B0422"/>
    <w:rsid w:val="006C1B53"/>
    <w:rsid w:val="006D7730"/>
    <w:rsid w:val="006E5284"/>
    <w:rsid w:val="006F3EB5"/>
    <w:rsid w:val="00702E34"/>
    <w:rsid w:val="00704395"/>
    <w:rsid w:val="00706CF8"/>
    <w:rsid w:val="00710FE7"/>
    <w:rsid w:val="00717621"/>
    <w:rsid w:val="00720FF1"/>
    <w:rsid w:val="00727A53"/>
    <w:rsid w:val="00787B42"/>
    <w:rsid w:val="007C4539"/>
    <w:rsid w:val="007F3657"/>
    <w:rsid w:val="00812ED5"/>
    <w:rsid w:val="008277D9"/>
    <w:rsid w:val="0084478C"/>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C7E11"/>
    <w:rsid w:val="00BD286D"/>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62D7FF7"/>
    <w:rsid w:val="2FDF85B8"/>
    <w:rsid w:val="2FFFEE04"/>
    <w:rsid w:val="34DF85B0"/>
    <w:rsid w:val="3B8F36BC"/>
    <w:rsid w:val="491FF225"/>
    <w:rsid w:val="4E395582"/>
    <w:rsid w:val="4FFD214C"/>
    <w:rsid w:val="5777D4F5"/>
    <w:rsid w:val="59DD8326"/>
    <w:rsid w:val="5DEF592A"/>
    <w:rsid w:val="5FC6BB1E"/>
    <w:rsid w:val="5FF720F1"/>
    <w:rsid w:val="67AF5D43"/>
    <w:rsid w:val="67FF5C0B"/>
    <w:rsid w:val="68DB4C69"/>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10784</Words>
  <Characters>11300</Characters>
  <Lines>81</Lines>
  <Paragraphs>22</Paragraphs>
  <TotalTime>0</TotalTime>
  <ScaleCrop>false</ScaleCrop>
  <LinksUpToDate>false</LinksUpToDate>
  <CharactersWithSpaces>11376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2025-11-12T13:36:20Z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