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71C920">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26F3ED1E">
      <w:pPr>
        <w:pStyle w:val="13"/>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华容县商务粮食局</w:t>
      </w:r>
    </w:p>
    <w:p w14:paraId="39C003C6">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0FD88A15">
      <w:pPr>
        <w:pStyle w:val="13"/>
        <w:spacing w:line="500" w:lineRule="exact"/>
        <w:jc w:val="both"/>
        <w:rPr>
          <w:b/>
          <w:sz w:val="36"/>
          <w:szCs w:val="28"/>
        </w:rPr>
      </w:pPr>
    </w:p>
    <w:p w14:paraId="51DCB33C">
      <w:pPr>
        <w:pStyle w:val="13"/>
        <w:spacing w:line="500" w:lineRule="exact"/>
        <w:jc w:val="center"/>
        <w:rPr>
          <w:b/>
          <w:sz w:val="36"/>
          <w:szCs w:val="28"/>
        </w:rPr>
      </w:pPr>
      <w:r>
        <w:rPr>
          <w:rFonts w:hint="eastAsia"/>
          <w:b/>
          <w:sz w:val="36"/>
          <w:szCs w:val="28"/>
        </w:rPr>
        <w:t>目录</w:t>
      </w:r>
    </w:p>
    <w:p w14:paraId="5B192278">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highlight w:val="none"/>
          <w:lang w:val="en-US" w:eastAsia="zh-CN"/>
        </w:rPr>
        <w:t xml:space="preserve"> </w:t>
      </w:r>
      <w:r>
        <w:rPr>
          <w:rFonts w:hint="eastAsia" w:ascii="黑体" w:hAnsi="黑体" w:eastAsia="黑体" w:cs="黑体"/>
          <w:b w:val="0"/>
          <w:bCs/>
          <w:sz w:val="28"/>
          <w:szCs w:val="28"/>
          <w:highlight w:val="none"/>
        </w:rPr>
        <w:t>华容县商务粮食局</w:t>
      </w:r>
      <w:r>
        <w:rPr>
          <w:rFonts w:hint="eastAsia" w:ascii="黑体" w:hAnsi="黑体" w:eastAsia="黑体" w:cs="黑体"/>
          <w:b w:val="0"/>
          <w:bCs/>
          <w:sz w:val="28"/>
          <w:szCs w:val="28"/>
          <w:highlight w:val="none"/>
          <w:lang w:eastAsia="zh-CN"/>
        </w:rPr>
        <w:t>部门</w:t>
      </w:r>
      <w:r>
        <w:rPr>
          <w:rFonts w:hint="eastAsia" w:ascii="黑体" w:hAnsi="黑体" w:eastAsia="黑体" w:cs="黑体"/>
          <w:b w:val="0"/>
          <w:bCs/>
          <w:sz w:val="28"/>
          <w:szCs w:val="28"/>
          <w:highlight w:val="none"/>
        </w:rPr>
        <w:t>概况</w:t>
      </w:r>
    </w:p>
    <w:p w14:paraId="7B066537">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26E08A67">
      <w:pPr>
        <w:pStyle w:val="13"/>
        <w:numPr>
          <w:ilvl w:val="0"/>
          <w:numId w:val="0"/>
        </w:numPr>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SA"/>
        </w:rPr>
        <w:t>二、</w:t>
      </w:r>
      <w:r>
        <w:rPr>
          <w:rFonts w:hint="eastAsia" w:ascii="仿宋_GB2312" w:hAnsi="仿宋_GB2312" w:eastAsia="仿宋_GB2312" w:cs="仿宋_GB2312"/>
          <w:sz w:val="28"/>
          <w:szCs w:val="28"/>
        </w:rPr>
        <w:t>机构设置</w:t>
      </w:r>
    </w:p>
    <w:p w14:paraId="6AFB783E">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27616D5E">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1DF96C8A">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3C5E41ED">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2CC04566">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69E555CA">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455783D0">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1FF01B9C">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26D36EA1">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4353E99F">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5C965BD2">
      <w:pPr>
        <w:pageBreakBefore w:val="0"/>
        <w:widowControl w:val="0"/>
        <w:kinsoku/>
        <w:wordWrap/>
        <w:overflowPunct/>
        <w:topLinePunct w:val="0"/>
        <w:autoSpaceDE w:val="0"/>
        <w:autoSpaceDN w:val="0"/>
        <w:bidi w:val="0"/>
        <w:adjustRightInd w:val="0"/>
        <w:spacing w:line="600" w:lineRule="exact"/>
        <w:textAlignment w:val="auto"/>
        <w:rPr>
          <w:rFonts w:hint="eastAsia" w:ascii="黑体" w:hAnsi="黑体" w:eastAsia="黑体" w:cs="黑体"/>
          <w:b w:val="0"/>
          <w:bCs/>
          <w:color w:val="000000"/>
          <w:kern w:val="0"/>
          <w:sz w:val="28"/>
          <w:szCs w:val="28"/>
          <w:highlight w:val="none"/>
          <w:lang w:val="en-US" w:eastAsia="zh-CN" w:bidi="ar-SA"/>
        </w:rPr>
      </w:pPr>
      <w:r>
        <w:rPr>
          <w:rFonts w:hint="eastAsia" w:ascii="黑体" w:hAnsi="黑体" w:eastAsia="黑体" w:cs="黑体"/>
          <w:b w:val="0"/>
          <w:bCs/>
          <w:color w:val="000000"/>
          <w:kern w:val="0"/>
          <w:sz w:val="28"/>
          <w:szCs w:val="28"/>
          <w:highlight w:val="none"/>
          <w:lang w:val="en-US" w:eastAsia="zh-CN" w:bidi="ar-SA"/>
        </w:rPr>
        <w:t>第三部分2023年度部门决算情况说明</w:t>
      </w:r>
    </w:p>
    <w:p w14:paraId="3705B988">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一、收入支出决算总体情况说明</w:t>
      </w:r>
    </w:p>
    <w:p w14:paraId="5AE94C81">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二、收入决算情况说明</w:t>
      </w:r>
    </w:p>
    <w:p w14:paraId="00420706">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三、支出决算情况说明</w:t>
      </w:r>
    </w:p>
    <w:p w14:paraId="3AC14103">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四、财政拨款收入支出决算总体情况说明</w:t>
      </w:r>
    </w:p>
    <w:p w14:paraId="00B1A517">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五、一般公共预算财政拨款支出决算情况说明</w:t>
      </w:r>
    </w:p>
    <w:p w14:paraId="7AC0CE59">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六、一般公共预算财政拨款基本支出决算情况说明</w:t>
      </w:r>
    </w:p>
    <w:p w14:paraId="41C16576">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七、财政拨款“三公”经费支出决算情况说明</w:t>
      </w:r>
    </w:p>
    <w:p w14:paraId="740B4E0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八、政府性基金预算收入支出决算情况</w:t>
      </w:r>
    </w:p>
    <w:p w14:paraId="3B6D467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九、国有资本经营预算财政拨款支出决算情况</w:t>
      </w:r>
    </w:p>
    <w:p w14:paraId="3ABBDD4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十、关于机关运行经费支出说明</w:t>
      </w:r>
    </w:p>
    <w:p w14:paraId="5A1D256A">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十一、一般性支出情况说明</w:t>
      </w:r>
    </w:p>
    <w:p w14:paraId="382BF0D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十二、关于政府采购支出说明</w:t>
      </w:r>
    </w:p>
    <w:p w14:paraId="4646B28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十三、关于国有资产占用情况说明</w:t>
      </w:r>
    </w:p>
    <w:p w14:paraId="4F1AC7C9">
      <w:pPr>
        <w:widowControl w:val="0"/>
        <w:autoSpaceDE w:val="0"/>
        <w:autoSpaceDN w:val="0"/>
        <w:adjustRightInd w:val="0"/>
        <w:spacing w:line="500" w:lineRule="exact"/>
        <w:ind w:firstLine="700" w:firstLineChars="250"/>
        <w:rPr>
          <w:rFonts w:ascii="Calibri" w:hAnsi="Calibri" w:eastAsia="宋体" w:cs="Times New Roman"/>
          <w:szCs w:val="24"/>
        </w:rPr>
      </w:pPr>
      <w:r>
        <w:rPr>
          <w:rFonts w:hint="eastAsia" w:ascii="仿宋_GB2312" w:hAnsi="仿宋_GB2312" w:eastAsia="仿宋_GB2312" w:cs="仿宋_GB2312"/>
          <w:color w:val="000000"/>
          <w:kern w:val="0"/>
          <w:sz w:val="28"/>
          <w:szCs w:val="28"/>
          <w:highlight w:val="none"/>
          <w:lang w:val="en-US" w:eastAsia="zh-CN" w:bidi="ar-SA"/>
        </w:rPr>
        <w:t>十四、关于2023年度预算绩效情况的说明</w:t>
      </w:r>
    </w:p>
    <w:p w14:paraId="40A12BF4">
      <w:pPr>
        <w:pStyle w:val="13"/>
        <w:spacing w:line="500" w:lineRule="exact"/>
        <w:ind w:firstLine="700" w:firstLineChars="250"/>
        <w:rPr>
          <w:rFonts w:hint="eastAsia" w:ascii="仿宋_GB2312" w:hAnsi="仿宋_GB2312" w:eastAsia="仿宋_GB2312" w:cs="仿宋_GB2312"/>
          <w:sz w:val="28"/>
          <w:szCs w:val="28"/>
        </w:rPr>
      </w:pPr>
    </w:p>
    <w:p w14:paraId="5A6E58FF">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0B6637A5">
      <w:pPr>
        <w:pStyle w:val="13"/>
        <w:spacing w:line="500" w:lineRule="exact"/>
        <w:rPr>
          <w:rFonts w:hint="eastAsia" w:hAnsi="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4CA03990">
      <w:pPr>
        <w:pStyle w:val="13"/>
        <w:spacing w:line="500" w:lineRule="exact"/>
        <w:rPr>
          <w:rFonts w:hint="eastAsia" w:hAnsi="黑体" w:cs="黑体"/>
          <w:b w:val="0"/>
          <w:bCs/>
          <w:sz w:val="28"/>
          <w:szCs w:val="28"/>
          <w:lang w:eastAsia="zh-CN"/>
        </w:rPr>
      </w:pPr>
    </w:p>
    <w:p w14:paraId="4053414E">
      <w:pPr>
        <w:pStyle w:val="13"/>
        <w:spacing w:line="500" w:lineRule="exact"/>
        <w:rPr>
          <w:rFonts w:hint="eastAsia" w:hAnsi="黑体" w:cs="黑体"/>
          <w:b w:val="0"/>
          <w:bCs/>
          <w:sz w:val="28"/>
          <w:szCs w:val="28"/>
          <w:lang w:eastAsia="zh-CN"/>
        </w:rPr>
      </w:pPr>
    </w:p>
    <w:p w14:paraId="57413585">
      <w:pPr>
        <w:pStyle w:val="13"/>
        <w:spacing w:line="500" w:lineRule="exact"/>
        <w:rPr>
          <w:rFonts w:hint="eastAsia" w:hAnsi="黑体" w:cs="黑体"/>
          <w:b w:val="0"/>
          <w:bCs/>
          <w:sz w:val="28"/>
          <w:szCs w:val="28"/>
          <w:lang w:eastAsia="zh-CN"/>
        </w:rPr>
      </w:pPr>
    </w:p>
    <w:p w14:paraId="4CAF9868">
      <w:pPr>
        <w:pStyle w:val="13"/>
        <w:spacing w:line="500" w:lineRule="exact"/>
        <w:rPr>
          <w:rFonts w:hint="eastAsia" w:hAnsi="黑体" w:cs="黑体"/>
          <w:b w:val="0"/>
          <w:bCs/>
          <w:sz w:val="28"/>
          <w:szCs w:val="28"/>
          <w:lang w:eastAsia="zh-CN"/>
        </w:rPr>
      </w:pPr>
    </w:p>
    <w:p w14:paraId="13481857">
      <w:pPr>
        <w:pStyle w:val="13"/>
        <w:spacing w:line="500" w:lineRule="exact"/>
        <w:rPr>
          <w:rFonts w:hint="eastAsia" w:hAnsi="黑体" w:cs="黑体"/>
          <w:b w:val="0"/>
          <w:bCs/>
          <w:sz w:val="28"/>
          <w:szCs w:val="28"/>
          <w:lang w:eastAsia="zh-CN"/>
        </w:rPr>
      </w:pPr>
    </w:p>
    <w:p w14:paraId="4CE08634">
      <w:pPr>
        <w:pStyle w:val="13"/>
        <w:spacing w:line="500" w:lineRule="exact"/>
        <w:rPr>
          <w:rFonts w:hint="eastAsia" w:hAnsi="黑体" w:cs="黑体"/>
          <w:b w:val="0"/>
          <w:bCs/>
          <w:sz w:val="28"/>
          <w:szCs w:val="28"/>
          <w:lang w:eastAsia="zh-CN"/>
        </w:rPr>
      </w:pPr>
    </w:p>
    <w:p w14:paraId="23F01DC6">
      <w:pPr>
        <w:pStyle w:val="13"/>
        <w:spacing w:line="500" w:lineRule="exact"/>
        <w:rPr>
          <w:rFonts w:hint="eastAsia" w:hAnsi="黑体" w:cs="黑体"/>
          <w:b w:val="0"/>
          <w:bCs/>
          <w:sz w:val="28"/>
          <w:szCs w:val="28"/>
          <w:lang w:eastAsia="zh-CN"/>
        </w:rPr>
      </w:pPr>
    </w:p>
    <w:p w14:paraId="0A751D1C">
      <w:pPr>
        <w:pStyle w:val="13"/>
        <w:spacing w:line="500" w:lineRule="exact"/>
        <w:rPr>
          <w:rFonts w:hint="eastAsia" w:hAnsi="黑体" w:cs="黑体"/>
          <w:b w:val="0"/>
          <w:bCs/>
          <w:sz w:val="28"/>
          <w:szCs w:val="28"/>
          <w:lang w:eastAsia="zh-CN"/>
        </w:rPr>
      </w:pPr>
    </w:p>
    <w:p w14:paraId="1E76160A">
      <w:pPr>
        <w:pStyle w:val="13"/>
        <w:spacing w:line="500" w:lineRule="exact"/>
        <w:rPr>
          <w:rFonts w:hint="eastAsia" w:hAnsi="黑体" w:cs="黑体"/>
          <w:b w:val="0"/>
          <w:bCs/>
          <w:sz w:val="28"/>
          <w:szCs w:val="28"/>
          <w:lang w:eastAsia="zh-CN"/>
        </w:rPr>
      </w:pPr>
    </w:p>
    <w:p w14:paraId="1B00A2FA">
      <w:pPr>
        <w:pStyle w:val="13"/>
        <w:spacing w:line="500" w:lineRule="exact"/>
        <w:rPr>
          <w:rFonts w:hint="eastAsia" w:hAnsi="黑体" w:cs="黑体"/>
          <w:b w:val="0"/>
          <w:bCs/>
          <w:sz w:val="28"/>
          <w:szCs w:val="28"/>
          <w:lang w:eastAsia="zh-CN"/>
        </w:rPr>
      </w:pPr>
    </w:p>
    <w:p w14:paraId="34F2A319">
      <w:pPr>
        <w:pStyle w:val="13"/>
        <w:spacing w:line="500" w:lineRule="exact"/>
        <w:rPr>
          <w:rFonts w:hint="eastAsia" w:hAnsi="黑体" w:cs="黑体"/>
          <w:b w:val="0"/>
          <w:bCs/>
          <w:sz w:val="28"/>
          <w:szCs w:val="28"/>
          <w:lang w:eastAsia="zh-CN"/>
        </w:rPr>
      </w:pPr>
    </w:p>
    <w:p w14:paraId="4B40BD9E">
      <w:pPr>
        <w:pStyle w:val="13"/>
        <w:spacing w:line="500" w:lineRule="exact"/>
        <w:rPr>
          <w:rFonts w:hint="eastAsia" w:hAnsi="黑体" w:cs="黑体"/>
          <w:b w:val="0"/>
          <w:bCs/>
          <w:sz w:val="28"/>
          <w:szCs w:val="28"/>
          <w:lang w:eastAsia="zh-CN"/>
        </w:rPr>
      </w:pPr>
    </w:p>
    <w:p w14:paraId="14641460">
      <w:pPr>
        <w:pStyle w:val="13"/>
        <w:spacing w:line="500" w:lineRule="exact"/>
        <w:rPr>
          <w:rFonts w:hint="eastAsia" w:hAnsi="黑体" w:cs="黑体"/>
          <w:b w:val="0"/>
          <w:bCs/>
          <w:sz w:val="28"/>
          <w:szCs w:val="28"/>
          <w:lang w:eastAsia="zh-CN"/>
        </w:rPr>
      </w:pPr>
    </w:p>
    <w:p w14:paraId="5390FCAA">
      <w:pPr>
        <w:pStyle w:val="13"/>
        <w:spacing w:line="500" w:lineRule="exact"/>
        <w:rPr>
          <w:rFonts w:hint="eastAsia" w:hAnsi="黑体" w:cs="黑体"/>
          <w:b w:val="0"/>
          <w:bCs/>
          <w:sz w:val="28"/>
          <w:szCs w:val="28"/>
          <w:lang w:eastAsia="zh-CN"/>
        </w:rPr>
      </w:pPr>
    </w:p>
    <w:p w14:paraId="0B7C3895">
      <w:pPr>
        <w:pStyle w:val="13"/>
        <w:spacing w:line="500" w:lineRule="exact"/>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第一部分</w:t>
      </w:r>
    </w:p>
    <w:p w14:paraId="749B935F">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48"/>
          <w:szCs w:val="48"/>
        </w:rPr>
        <w:t>华容县商务粮食局</w:t>
      </w:r>
      <w:r>
        <w:rPr>
          <w:rFonts w:hint="eastAsia" w:ascii="方正小标宋_GBK" w:hAnsi="方正小标宋_GBK" w:eastAsia="方正小标宋_GBK" w:cs="方正小标宋_GBK"/>
          <w:sz w:val="48"/>
          <w:szCs w:val="48"/>
          <w:lang w:eastAsia="zh-CN"/>
        </w:rPr>
        <w:t>部门（</w:t>
      </w:r>
      <w:r>
        <w:rPr>
          <w:rFonts w:hint="eastAsia" w:ascii="方正小标宋_GBK" w:hAnsi="方正小标宋_GBK" w:eastAsia="方正小标宋_GBK" w:cs="方正小标宋_GBK"/>
          <w:sz w:val="48"/>
          <w:szCs w:val="48"/>
        </w:rPr>
        <w:t>单位</w:t>
      </w:r>
      <w:r>
        <w:rPr>
          <w:rFonts w:hint="eastAsia" w:ascii="方正小标宋_GBK" w:hAnsi="方正小标宋_GBK" w:eastAsia="方正小标宋_GBK" w:cs="方正小标宋_GBK"/>
          <w:sz w:val="48"/>
          <w:szCs w:val="48"/>
          <w:lang w:eastAsia="zh-CN"/>
        </w:rPr>
        <w:t>）</w:t>
      </w:r>
      <w:r>
        <w:rPr>
          <w:rFonts w:hint="eastAsia" w:ascii="方正小标宋_GBK" w:hAnsi="方正小标宋_GBK" w:eastAsia="方正小标宋_GBK" w:cs="方正小标宋_GBK"/>
          <w:sz w:val="48"/>
          <w:szCs w:val="48"/>
        </w:rPr>
        <w:t>概况</w:t>
      </w:r>
    </w:p>
    <w:p w14:paraId="346BAD29">
      <w:pPr>
        <w:pStyle w:val="14"/>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21C27845">
      <w:pPr>
        <w:keepNext w:val="0"/>
        <w:keepLines w:val="0"/>
        <w:pageBreakBefore w:val="0"/>
        <w:widowControl/>
        <w:kinsoku/>
        <w:wordWrap/>
        <w:overflowPunct/>
        <w:topLinePunct w:val="0"/>
        <w:autoSpaceDE/>
        <w:autoSpaceDN/>
        <w:bidi w:val="0"/>
        <w:adjustRightInd w:val="0"/>
        <w:snapToGrid w:val="0"/>
        <w:spacing w:line="360" w:lineRule="auto"/>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一）贯彻执行有关内外贸易、经济合作的方针、政策和法律、法规，起草我县国内外贸易、招商引资、承接产业转移、对外援助、对外投资和对外经济合作的政策措施和实施办法，研究经济全球化、区域经济合作、现代流通方式的发展趋势和流通体制改革并提出建议。</w:t>
      </w:r>
    </w:p>
    <w:p w14:paraId="49FC981B">
      <w:pPr>
        <w:keepNext w:val="0"/>
        <w:keepLines w:val="0"/>
        <w:pageBreakBefore w:val="0"/>
        <w:widowControl/>
        <w:kinsoku/>
        <w:wordWrap/>
        <w:overflowPunct/>
        <w:topLinePunct w:val="0"/>
        <w:autoSpaceDE/>
        <w:autoSpaceDN/>
        <w:bidi w:val="0"/>
        <w:adjustRightInd w:val="0"/>
        <w:snapToGrid w:val="0"/>
        <w:spacing w:line="360" w:lineRule="auto"/>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二）负责推进流通产业结构调整，指导流通企业改革，促进商贸服务业和社区商业发展，提出促进商贸中小企业发展的政策建议，推动流通标准化和连锁经营、商业特许经营、物流配送、电子商务等现代流通方式的发展。</w:t>
      </w:r>
    </w:p>
    <w:p w14:paraId="2CF704EA">
      <w:pPr>
        <w:keepNext w:val="0"/>
        <w:keepLines w:val="0"/>
        <w:pageBreakBefore w:val="0"/>
        <w:widowControl/>
        <w:kinsoku/>
        <w:wordWrap/>
        <w:overflowPunct/>
        <w:topLinePunct w:val="0"/>
        <w:autoSpaceDE/>
        <w:autoSpaceDN/>
        <w:bidi w:val="0"/>
        <w:adjustRightInd w:val="0"/>
        <w:snapToGrid w:val="0"/>
        <w:spacing w:line="360" w:lineRule="auto"/>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三）拟订全县国内贸易发展规划，促进城乡市场发展，研究提出引导国内外资金投向市场体系建设的政策建议，指导大宗产品批发市场规划和县城商业网点规划、商业体系建设工作，推进农村市场体系建设，组织实施农村现代流通网络工程。</w:t>
      </w:r>
    </w:p>
    <w:p w14:paraId="58425419">
      <w:pPr>
        <w:keepNext w:val="0"/>
        <w:keepLines w:val="0"/>
        <w:pageBreakBefore w:val="0"/>
        <w:widowControl/>
        <w:kinsoku/>
        <w:wordWrap/>
        <w:overflowPunct/>
        <w:topLinePunct w:val="0"/>
        <w:autoSpaceDE/>
        <w:autoSpaceDN/>
        <w:bidi w:val="0"/>
        <w:adjustRightInd w:val="0"/>
        <w:snapToGrid w:val="0"/>
        <w:spacing w:line="360" w:lineRule="auto"/>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四）承担牵头协调整顿和规范市场经济秩序工作的责任，拟订规范市场秩序的政策；协调全县消除地区封锁、打破行业垄断的有关工作，规范商贸企业交易行为；推动商务领域信用建设，指导商业信用销售，建立市场诚信公共服务平台；按有关规定对特殊流通行业进行监督管理；负责全县商务综合行政执法工作。</w:t>
      </w:r>
    </w:p>
    <w:p w14:paraId="64407F73">
      <w:pPr>
        <w:keepNext w:val="0"/>
        <w:keepLines w:val="0"/>
        <w:pageBreakBefore w:val="0"/>
        <w:widowControl/>
        <w:kinsoku/>
        <w:wordWrap/>
        <w:overflowPunct/>
        <w:topLinePunct w:val="0"/>
        <w:autoSpaceDE/>
        <w:autoSpaceDN/>
        <w:bidi w:val="0"/>
        <w:adjustRightInd w:val="0"/>
        <w:snapToGrid w:val="0"/>
        <w:spacing w:line="360" w:lineRule="auto"/>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五）承担组织实施重要消费品市场调控和重要生产资料流通管理的责任，负责建立健全生活必需品市场供应应急管理机制，监测分析市场运行、商品供求状况，调查分析商品价格信息，进行预测预警和信息引导；按分工负责重要消费品储备管理和市场调控工作；按有关规定对成品油流通进行监督管理。</w:t>
      </w:r>
    </w:p>
    <w:p w14:paraId="42257FA2">
      <w:pPr>
        <w:keepNext w:val="0"/>
        <w:keepLines w:val="0"/>
        <w:pageBreakBefore w:val="0"/>
        <w:widowControl/>
        <w:kinsoku/>
        <w:wordWrap/>
        <w:overflowPunct/>
        <w:topLinePunct w:val="0"/>
        <w:autoSpaceDE/>
        <w:autoSpaceDN/>
        <w:bidi w:val="0"/>
        <w:adjustRightInd w:val="0"/>
        <w:snapToGrid w:val="0"/>
        <w:spacing w:line="360" w:lineRule="auto"/>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六）贯彻执行国家进出口商品、加工贸易管理办法和进出口管理商品、技术目录，拟订促进外贸增长方式转变的政策措施，组织实施重要工业品、原材料和重要农产品进出口总量计划，会同有关部门协调大宗进出口商品，指导贸易促进活动和外贸促进体系建设。</w:t>
      </w:r>
    </w:p>
    <w:p w14:paraId="59CB1CCA">
      <w:pPr>
        <w:keepNext w:val="0"/>
        <w:keepLines w:val="0"/>
        <w:pageBreakBefore w:val="0"/>
        <w:widowControl/>
        <w:kinsoku/>
        <w:wordWrap/>
        <w:overflowPunct/>
        <w:topLinePunct w:val="0"/>
        <w:autoSpaceDE/>
        <w:autoSpaceDN/>
        <w:bidi w:val="0"/>
        <w:adjustRightInd w:val="0"/>
        <w:snapToGrid w:val="0"/>
        <w:spacing w:line="360" w:lineRule="auto"/>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七）贯彻执行我国多双边(含区域、自由贸易区)经贸合作战略和政策，推进我县与其他国家(地区)的经贸往来与投资贸易合作；承担全县商务领域涉及世界贸易组织事务的相关工作，负责对外经济贸易协调工作；指导我县对港、澳、台地区贸易和经贸合作活动，协调港、澳、台投资管理工作。</w:t>
      </w:r>
    </w:p>
    <w:p w14:paraId="51BB3306">
      <w:pPr>
        <w:keepNext w:val="0"/>
        <w:keepLines w:val="0"/>
        <w:pageBreakBefore w:val="0"/>
        <w:widowControl/>
        <w:kinsoku/>
        <w:wordWrap/>
        <w:overflowPunct/>
        <w:topLinePunct w:val="0"/>
        <w:autoSpaceDE/>
        <w:autoSpaceDN/>
        <w:bidi w:val="0"/>
        <w:adjustRightInd w:val="0"/>
        <w:snapToGrid w:val="0"/>
        <w:spacing w:line="360" w:lineRule="auto"/>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（八）牵头拟订服务贸易发展规划并开展相关工作；会同有关部门制定促进服务出口、服务外包的规划、政策并组织实施，推动服务外包平台建设。</w:t>
      </w:r>
    </w:p>
    <w:p w14:paraId="001C0377">
      <w:pPr>
        <w:keepNext w:val="0"/>
        <w:keepLines w:val="0"/>
        <w:pageBreakBefore w:val="0"/>
        <w:widowControl/>
        <w:kinsoku/>
        <w:wordWrap/>
        <w:overflowPunct/>
        <w:topLinePunct w:val="0"/>
        <w:autoSpaceDE/>
        <w:autoSpaceDN/>
        <w:bidi w:val="0"/>
        <w:adjustRightInd w:val="0"/>
        <w:snapToGrid w:val="0"/>
        <w:spacing w:line="360" w:lineRule="auto"/>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九）负责组织协调反倾销、反补贴、保障措施及其他与进出口公平贸易相关的工作，协助开展对外贸易调查和产业损害调查，指导协调产业安全应对工作；协助对经营者集中行为进行反垄断审查，指导企业在国外的反垄断应诉工作。</w:t>
      </w:r>
    </w:p>
    <w:p w14:paraId="0862AFBF">
      <w:pPr>
        <w:keepNext w:val="0"/>
        <w:keepLines w:val="0"/>
        <w:pageBreakBefore w:val="0"/>
        <w:widowControl/>
        <w:kinsoku/>
        <w:wordWrap/>
        <w:overflowPunct/>
        <w:topLinePunct w:val="0"/>
        <w:autoSpaceDE/>
        <w:autoSpaceDN/>
        <w:bidi w:val="0"/>
        <w:adjustRightInd w:val="0"/>
        <w:snapToGrid w:val="0"/>
        <w:spacing w:line="360" w:lineRule="auto"/>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（十）贯彻执行国家对外技术贸易、出口管制以及鼓励技术和成套设备进出口的贸易政策，推进进出口贸易标准化工作；依法监督技术引进、设备进口、国家限制出口技术的工作。</w:t>
      </w:r>
    </w:p>
    <w:p w14:paraId="434B4178">
      <w:pPr>
        <w:keepNext w:val="0"/>
        <w:keepLines w:val="0"/>
        <w:pageBreakBefore w:val="0"/>
        <w:widowControl/>
        <w:kinsoku/>
        <w:wordWrap/>
        <w:overflowPunct/>
        <w:topLinePunct w:val="0"/>
        <w:autoSpaceDE/>
        <w:autoSpaceDN/>
        <w:bidi w:val="0"/>
        <w:adjustRightInd w:val="0"/>
        <w:snapToGrid w:val="0"/>
        <w:spacing w:line="360" w:lineRule="auto"/>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十一）宏观指导全县招商引资和承接产业转移工作，拟订并组织实施招商引资和承接产业转移政策；依法核准外商投资企业的设立及变更事项；依法核准重大外商投资项目的合同章程及法律特别规定的重大变更事项；依法监督检查外商投资企业执行有关法律法规规章、合同章程的情况并协调解决有关问题；指导投资促进及全县外商投资企业审批工作，规范招商引资活动；承接会展业促进与管理有关工作。</w:t>
      </w:r>
    </w:p>
    <w:p w14:paraId="063B679D">
      <w:pPr>
        <w:keepNext w:val="0"/>
        <w:keepLines w:val="0"/>
        <w:pageBreakBefore w:val="0"/>
        <w:widowControl/>
        <w:kinsoku/>
        <w:wordWrap/>
        <w:overflowPunct/>
        <w:topLinePunct w:val="0"/>
        <w:autoSpaceDE/>
        <w:autoSpaceDN/>
        <w:bidi w:val="0"/>
        <w:adjustRightInd w:val="0"/>
        <w:snapToGrid w:val="0"/>
        <w:spacing w:line="360" w:lineRule="auto"/>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十二）拟订并组织实施对外经济合作政策；依法管理和监督对外承包工程、对外劳务合作等；拟订县内人员出境就业管理政策并组织实施，负责牵头外派劳务和境外就业人员的权益保护工作；拟订境外投资的管理办法和具体政策。</w:t>
      </w:r>
    </w:p>
    <w:p w14:paraId="40459F42">
      <w:pPr>
        <w:keepNext w:val="0"/>
        <w:keepLines w:val="0"/>
        <w:pageBreakBefore w:val="0"/>
        <w:widowControl/>
        <w:kinsoku/>
        <w:wordWrap/>
        <w:overflowPunct/>
        <w:topLinePunct w:val="0"/>
        <w:autoSpaceDE/>
        <w:autoSpaceDN/>
        <w:bidi w:val="0"/>
        <w:adjustRightInd w:val="0"/>
        <w:snapToGrid w:val="0"/>
        <w:spacing w:line="360" w:lineRule="auto"/>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（十三）承担全县商务系统统计及其信息发布工作，提供信息咨询服务，指导全县流通领域信息网络和电子商务建设。</w:t>
      </w:r>
    </w:p>
    <w:p w14:paraId="40AE681C">
      <w:pPr>
        <w:keepNext w:val="0"/>
        <w:keepLines w:val="0"/>
        <w:pageBreakBefore w:val="0"/>
        <w:widowControl/>
        <w:kinsoku/>
        <w:wordWrap/>
        <w:overflowPunct/>
        <w:topLinePunct w:val="0"/>
        <w:autoSpaceDE/>
        <w:autoSpaceDN/>
        <w:bidi w:val="0"/>
        <w:adjustRightInd w:val="0"/>
        <w:snapToGrid w:val="0"/>
        <w:spacing w:line="360" w:lineRule="auto"/>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（十四）承担粮食市场监测预警和应急责任，负责全县粮食流通宏观调控的具体工作，指导协调最低收购价粮食等政策性粮食购销和粮食产销合作，保障军队粮食供应。</w:t>
      </w:r>
    </w:p>
    <w:p w14:paraId="6EBFF3C0">
      <w:pPr>
        <w:keepNext w:val="0"/>
        <w:keepLines w:val="0"/>
        <w:pageBreakBefore w:val="0"/>
        <w:widowControl/>
        <w:kinsoku/>
        <w:wordWrap/>
        <w:overflowPunct/>
        <w:topLinePunct w:val="0"/>
        <w:autoSpaceDE/>
        <w:autoSpaceDN/>
        <w:bidi w:val="0"/>
        <w:adjustRightInd w:val="0"/>
        <w:snapToGrid w:val="0"/>
        <w:spacing w:line="360" w:lineRule="auto"/>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（十五）制定粮食流通、粮食库存监督检查制度并组织实施，负责对粮食收购、储存环节的质量安全和原粮卫生进行监督管理。</w:t>
      </w:r>
    </w:p>
    <w:p w14:paraId="71888797">
      <w:pPr>
        <w:keepNext w:val="0"/>
        <w:keepLines w:val="0"/>
        <w:pageBreakBefore w:val="0"/>
        <w:widowControl/>
        <w:kinsoku/>
        <w:wordWrap/>
        <w:overflowPunct/>
        <w:topLinePunct w:val="0"/>
        <w:autoSpaceDE/>
        <w:autoSpaceDN/>
        <w:bidi w:val="0"/>
        <w:adjustRightInd w:val="0"/>
        <w:snapToGrid w:val="0"/>
        <w:spacing w:line="360" w:lineRule="auto"/>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（十六）负责粮食流通的行业管理，制定全县粮食行业发展规划并组织实施，推动优化粮食资源配置和产业布局。</w:t>
      </w:r>
    </w:p>
    <w:p w14:paraId="3F9B1629">
      <w:pPr>
        <w:keepNext w:val="0"/>
        <w:keepLines w:val="0"/>
        <w:pageBreakBefore w:val="0"/>
        <w:widowControl/>
        <w:kinsoku/>
        <w:wordWrap/>
        <w:overflowPunct/>
        <w:topLinePunct w:val="0"/>
        <w:autoSpaceDE/>
        <w:autoSpaceDN/>
        <w:bidi w:val="0"/>
        <w:adjustRightInd w:val="0"/>
        <w:snapToGrid w:val="0"/>
        <w:spacing w:line="360" w:lineRule="auto"/>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（十七）提出粮食收购市场准入标准建议，负责规定权限内粮食收购行政许可工作，指导粮食流通的科技进步、技术改造和新技术推广。</w:t>
      </w:r>
    </w:p>
    <w:p w14:paraId="7F3EC753">
      <w:pPr>
        <w:keepNext w:val="0"/>
        <w:keepLines w:val="0"/>
        <w:pageBreakBefore w:val="0"/>
        <w:widowControl/>
        <w:kinsoku/>
        <w:wordWrap/>
        <w:overflowPunct/>
        <w:topLinePunct w:val="0"/>
        <w:autoSpaceDE/>
        <w:autoSpaceDN/>
        <w:bidi w:val="0"/>
        <w:adjustRightInd w:val="0"/>
        <w:snapToGrid w:val="0"/>
        <w:spacing w:line="360" w:lineRule="auto"/>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十八）承担县级储备粮行政管理责任，会同有关部门研究提出县级储备粮的规模、总体布局、购销计划以及提出动用县级储备粮的建议，会同有关部门审批县级储备粮轮换计划并监督实施；监督检查县级储备粮的数量、质量和储存安全，监督执行储备粮管理的技术规范。</w:t>
      </w:r>
    </w:p>
    <w:p w14:paraId="15DF0CFA">
      <w:pPr>
        <w:keepNext w:val="0"/>
        <w:keepLines w:val="0"/>
        <w:pageBreakBefore w:val="0"/>
        <w:widowControl/>
        <w:kinsoku/>
        <w:wordWrap/>
        <w:overflowPunct/>
        <w:topLinePunct w:val="0"/>
        <w:autoSpaceDE/>
        <w:autoSpaceDN/>
        <w:bidi w:val="0"/>
        <w:adjustRightInd w:val="0"/>
        <w:snapToGrid w:val="0"/>
        <w:spacing w:line="360" w:lineRule="auto"/>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（十九）会同有关部门拟订全县粮食市场体系建设与发展规划并组织实施，编制粮食流通、仓储、加工设施建设规划，管理有关粮食流通设施投资项目；负责粮食相关项目的初审、申报、验收等有关工作。</w:t>
      </w:r>
    </w:p>
    <w:p w14:paraId="14E7B40A">
      <w:pPr>
        <w:keepNext w:val="0"/>
        <w:keepLines w:val="0"/>
        <w:pageBreakBefore w:val="0"/>
        <w:widowControl/>
        <w:kinsoku/>
        <w:wordWrap/>
        <w:overflowPunct/>
        <w:topLinePunct w:val="0"/>
        <w:autoSpaceDE/>
        <w:autoSpaceDN/>
        <w:bidi w:val="0"/>
        <w:adjustRightInd w:val="0"/>
        <w:snapToGrid w:val="0"/>
        <w:spacing w:line="360" w:lineRule="auto"/>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（二十）协同有关部门管理粮食风险基金，督促检查各项粮食补贴资金的拨补、使用和管理。</w:t>
      </w:r>
    </w:p>
    <w:p w14:paraId="1ADD64FA">
      <w:pPr>
        <w:keepNext w:val="0"/>
        <w:keepLines w:val="0"/>
        <w:pageBreakBefore w:val="0"/>
        <w:widowControl/>
        <w:kinsoku/>
        <w:wordWrap/>
        <w:overflowPunct/>
        <w:topLinePunct w:val="0"/>
        <w:autoSpaceDE/>
        <w:autoSpaceDN/>
        <w:bidi w:val="0"/>
        <w:adjustRightInd w:val="0"/>
        <w:snapToGrid w:val="0"/>
        <w:spacing w:line="360" w:lineRule="auto"/>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（二十一）负责全县社会粮食流通的统计工作，监管国有资产。</w:t>
      </w:r>
    </w:p>
    <w:p w14:paraId="60BBCD4C">
      <w:pPr>
        <w:keepNext w:val="0"/>
        <w:keepLines w:val="0"/>
        <w:pageBreakBefore w:val="0"/>
        <w:widowControl/>
        <w:kinsoku/>
        <w:wordWrap/>
        <w:overflowPunct/>
        <w:topLinePunct w:val="0"/>
        <w:autoSpaceDE/>
        <w:autoSpaceDN/>
        <w:bidi w:val="0"/>
        <w:adjustRightInd w:val="0"/>
        <w:snapToGrid w:val="0"/>
        <w:spacing w:line="360" w:lineRule="auto"/>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（二十二）承办县人民政府交办的其他事项。</w:t>
      </w:r>
    </w:p>
    <w:p w14:paraId="700F53B9">
      <w:pPr>
        <w:keepNext w:val="0"/>
        <w:keepLines w:val="0"/>
        <w:pageBreakBefore w:val="0"/>
        <w:widowControl/>
        <w:kinsoku/>
        <w:wordWrap/>
        <w:overflowPunct/>
        <w:topLinePunct w:val="0"/>
        <w:autoSpaceDE/>
        <w:autoSpaceDN/>
        <w:bidi w:val="0"/>
        <w:adjustRightInd w:val="0"/>
        <w:snapToGrid w:val="0"/>
        <w:spacing w:line="360" w:lineRule="auto"/>
        <w:ind w:firstLine="640" w:firstLineChars="200"/>
        <w:textAlignment w:val="auto"/>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0CF093FC">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p>
    <w:p w14:paraId="2AA5D087">
      <w:pPr>
        <w:widowControl/>
        <w:spacing w:line="600" w:lineRule="exact"/>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县商务粮食局设9个内设机构：办公室（加挂政策法规股）、财务审计股（加挂国有资产管理股）、人事股、市场运行和消费促进股（加挂成品油管理股）、市场体系建设和秩序股、商贸服务股（加挂电子商务股）、外经外贸股（加挂对外劳务服务股）、粮食调控和物资储备股、粮食行业发展和监督检查股。</w:t>
      </w:r>
    </w:p>
    <w:p w14:paraId="30D1766E">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p>
    <w:p w14:paraId="1FC45F7A">
      <w:pPr>
        <w:widowControl/>
        <w:spacing w:line="600" w:lineRule="exact"/>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华容县商务粮食局202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年部门决算公开单位构成：华容县商务粮食局机关</w:t>
      </w:r>
    </w:p>
    <w:p w14:paraId="6BA4FC0F">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第二部分</w:t>
      </w:r>
    </w:p>
    <w:p w14:paraId="32062BAF">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部门决算表</w:t>
      </w:r>
    </w:p>
    <w:p w14:paraId="0043C7C5">
      <w:pPr>
        <w:pStyle w:val="13"/>
        <w:jc w:val="center"/>
        <w:rPr>
          <w:rFonts w:hint="eastAsia" w:ascii="黑体" w:hAnsi="黑体" w:eastAsia="黑体" w:cs="黑体"/>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详见附件表格</w:t>
      </w:r>
    </w:p>
    <w:p w14:paraId="0F7B84F3">
      <w:pPr>
        <w:pStyle w:val="13"/>
        <w:jc w:val="center"/>
        <w:rPr>
          <w:rFonts w:hint="eastAsia" w:ascii="方正小标宋_GBK" w:hAnsi="方正小标宋_GBK" w:eastAsia="方正小标宋_GBK" w:cs="方正小标宋_GBK"/>
          <w:sz w:val="48"/>
          <w:szCs w:val="48"/>
        </w:rPr>
      </w:pPr>
    </w:p>
    <w:p w14:paraId="268F9CF5">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第三部分</w:t>
      </w:r>
    </w:p>
    <w:p w14:paraId="34D66A74">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202</w:t>
      </w:r>
      <w:r>
        <w:rPr>
          <w:rFonts w:hint="eastAsia" w:ascii="方正小标宋_GBK" w:hAnsi="方正小标宋_GBK" w:eastAsia="方正小标宋_GBK" w:cs="方正小标宋_GBK"/>
          <w:sz w:val="48"/>
          <w:szCs w:val="48"/>
          <w:lang w:val="en-US" w:eastAsia="zh-CN"/>
        </w:rPr>
        <w:t>3</w:t>
      </w:r>
      <w:r>
        <w:rPr>
          <w:rFonts w:hint="eastAsia" w:ascii="方正小标宋_GBK" w:hAnsi="方正小标宋_GBK" w:eastAsia="方正小标宋_GBK" w:cs="方正小标宋_GBK"/>
          <w:sz w:val="48"/>
          <w:szCs w:val="48"/>
        </w:rPr>
        <w:t>年度部门决算情况说明</w:t>
      </w:r>
    </w:p>
    <w:p w14:paraId="18E863F5">
      <w:pPr>
        <w:widowControl/>
        <w:jc w:val="left"/>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3D335F84">
      <w:pPr>
        <w:bidi w:val="0"/>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2023年度收、支总计均为4746.92万元，与2022年相比，收、支总计各增加2499.69万元，增长111.23%，主要是因为预算调整增加项目支出。</w:t>
      </w:r>
    </w:p>
    <w:p w14:paraId="5DFD637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42B03C2D">
      <w:pPr>
        <w:bidi w:val="0"/>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2023年度收入合计4746.92万元，其中：财政拨款收入4746.92万元，占100%；上级补助收入0万元，占0%；事业收入0万元，占0%；经营收入0万元，占0%；附属单位上缴收入0万元，占0%；其他收入0万元，占0%。</w:t>
      </w:r>
    </w:p>
    <w:p w14:paraId="6473B43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0C2D6469">
      <w:pPr>
        <w:bidi w:val="0"/>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2023年度支出合计4746.92万元，其中：基本支出566.90万元，占11.94%；项目支出4180.01万元，占88.06%；上缴上级支出0万元，占0%；经营支出0万元，占0%；对附属单位补助支出0万元，占0%。</w:t>
      </w:r>
    </w:p>
    <w:p w14:paraId="565639B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36B15110">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2023年度财政拨款收、支总计4746.92万元，与上年相比，增加2499.69万元,增长111.23%，主要是因为预算调整增加项目支出。</w:t>
      </w:r>
    </w:p>
    <w:p w14:paraId="25DFE2A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12198D7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525F9C54">
      <w:pPr>
        <w:bidi w:val="0"/>
        <w:ind w:firstLine="640" w:firstLineChars="200"/>
        <w:rPr>
          <w:rFonts w:hint="eastAsia"/>
          <w:lang w:val="en-US" w:eastAsia="zh-CN"/>
        </w:rPr>
      </w:pPr>
      <w:r>
        <w:rPr>
          <w:rFonts w:hint="eastAsia" w:ascii="Times New Roman" w:hAnsi="Times New Roman" w:eastAsia="仿宋_GB2312" w:cs="黑体"/>
          <w:color w:val="000000"/>
          <w:kern w:val="0"/>
          <w:sz w:val="32"/>
          <w:szCs w:val="32"/>
          <w:lang w:val="en-US" w:eastAsia="zh-CN" w:bidi="ar-SA"/>
        </w:rPr>
        <w:t>2023年度财政拨款支出支出3821.95万元，占本年支出合计的80.51%。与上年相比，财政拨款支出增加1575万元，增长70.7%，主要是因为预算调整增加项目支出。</w:t>
      </w:r>
    </w:p>
    <w:p w14:paraId="6FFE2D69">
      <w:pPr>
        <w:pStyle w:val="13"/>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34FF5A9A">
      <w:pPr>
        <w:bidi w:val="0"/>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2023年度财政拨款支出3821.95万元，主要用于以下方面：一般公共服务（类）支出2419.04万元，占63.29%；科学技术（类）支出44万元，占1.15%；商业服务业等（类）支出384.06万元，占10.05%；粮油物资储备（类）支出974.84万元，占25.51%。</w:t>
      </w:r>
    </w:p>
    <w:p w14:paraId="45521B03">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42E15B0E">
      <w:pPr>
        <w:bidi w:val="0"/>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2023年度财政拨款支出年初预算为1114.09万元，支出决算为3821.95万元，完成年初预算的343.06%。其中：</w:t>
      </w:r>
    </w:p>
    <w:p w14:paraId="38D8B51B">
      <w:pPr>
        <w:bidi w:val="0"/>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1、一般公共服务支出（类）政府办公厅（室）及相关机构事务（款）行政运行（项）。</w:t>
      </w:r>
    </w:p>
    <w:p w14:paraId="0DF8E576">
      <w:pPr>
        <w:bidi w:val="0"/>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年初预算为0万元，支出决算为19.45万元，由于年初预算为0，无法计算百分比，决算数大于年初预算数的主要原因是：年初未作预算，后期正常追补。</w:t>
      </w:r>
    </w:p>
    <w:p w14:paraId="3D0D035B">
      <w:pPr>
        <w:bidi w:val="0"/>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2、一般公共服务支出（类）政府办公厅（室）及相关机构事务（款）一般行政管理事务（项）。</w:t>
      </w:r>
    </w:p>
    <w:p w14:paraId="71307C1C">
      <w:pPr>
        <w:bidi w:val="0"/>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年初预算为0万元，支出决算为15万元，由于年初预算为0，无法计算百分比，决算数大于年初预算数的主要原因是：年初未作预算，后期正常追补。</w:t>
      </w:r>
    </w:p>
    <w:p w14:paraId="08FF81EA">
      <w:pPr>
        <w:bidi w:val="0"/>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3、一般公共服务支出（类）统计信息事务（款）一般行政管理事务（项）。</w:t>
      </w:r>
    </w:p>
    <w:p w14:paraId="512CBE28">
      <w:pPr>
        <w:bidi w:val="0"/>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年初预算为0万元，支出决算为22万元，由于年初预算为0，无法计算百分比，决算数大于年初预算数的主要原因是：年初未作预算，后期正常追补。</w:t>
      </w:r>
    </w:p>
    <w:p w14:paraId="2914A9AA">
      <w:pPr>
        <w:bidi w:val="0"/>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4、一般公共服务支出（类）统计信息事务（款）其他统计信息事务支出（项）。</w:t>
      </w:r>
    </w:p>
    <w:p w14:paraId="70606E17">
      <w:pPr>
        <w:bidi w:val="0"/>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年初预算为0万元，支出决算为12.5万元，由于年初预算为0，无法计算百分比，决算数大于年初预算数的主要原因是：年初未作预算，后期正常追补。</w:t>
      </w:r>
    </w:p>
    <w:p w14:paraId="4233BC2C">
      <w:pPr>
        <w:bidi w:val="0"/>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5、一般公共服务支出（类）商贸事务（款）行政运行（项）。</w:t>
      </w:r>
    </w:p>
    <w:p w14:paraId="571EBD93">
      <w:pPr>
        <w:bidi w:val="0"/>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年初预算为1114.09万元，支出决算为566.90万元，完成年初预算的50.88%。决算数小于预算数的主要原因是项目指标调整。</w:t>
      </w:r>
    </w:p>
    <w:p w14:paraId="6D847F91">
      <w:pPr>
        <w:bidi w:val="0"/>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6、一般公共服务支出（类）商贸事务（款）招商引资（项）。</w:t>
      </w:r>
    </w:p>
    <w:p w14:paraId="20302CCA">
      <w:pPr>
        <w:bidi w:val="0"/>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年初预算为0万元，支出决算为80万元，由于年初预算为0，无法计算百分比，决算数大于年初预算数的主要原因是：年初未作预算，后期正常追补。</w:t>
      </w:r>
    </w:p>
    <w:p w14:paraId="2E967824">
      <w:pPr>
        <w:numPr>
          <w:ilvl w:val="0"/>
          <w:numId w:val="0"/>
        </w:numPr>
        <w:bidi w:val="0"/>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7、一般公共服务支出（类）商贸事务（款）其他商贸事务支出（项）。</w:t>
      </w:r>
    </w:p>
    <w:p w14:paraId="28A09231">
      <w:pPr>
        <w:numPr>
          <w:ilvl w:val="0"/>
          <w:numId w:val="0"/>
        </w:numPr>
        <w:bidi w:val="0"/>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 xml:space="preserve">年初预算为0万元，支出决算为1681.89万元，由于年初预算为0，无法计算百分比，决算数大于年初预算数的主要原因是：年初未作预算，后期正常追补。 </w:t>
      </w:r>
    </w:p>
    <w:p w14:paraId="748616F1">
      <w:pPr>
        <w:numPr>
          <w:ilvl w:val="0"/>
          <w:numId w:val="0"/>
        </w:numPr>
        <w:bidi w:val="0"/>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8、一般公共服务支出（类）其他一般公共服务支出（款）其他一般公共服务支出（项）。</w:t>
      </w:r>
    </w:p>
    <w:p w14:paraId="16BA3236">
      <w:pPr>
        <w:numPr>
          <w:ilvl w:val="0"/>
          <w:numId w:val="0"/>
        </w:numPr>
        <w:bidi w:val="0"/>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 xml:space="preserve">年初预算为0万元，支出决算为21.3万元，由于年初预算为0，无法计算百分比，决算数大于年初预算数的主要原因是：年初未作预算，后期正常追补。 </w:t>
      </w:r>
    </w:p>
    <w:p w14:paraId="15704C33">
      <w:pPr>
        <w:numPr>
          <w:ilvl w:val="0"/>
          <w:numId w:val="0"/>
        </w:numPr>
        <w:bidi w:val="0"/>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9、科学技术支出（类）其他科学技术支出（款）其他科学技术支出（项）。</w:t>
      </w:r>
    </w:p>
    <w:p w14:paraId="4602F0E6">
      <w:pPr>
        <w:numPr>
          <w:ilvl w:val="0"/>
          <w:numId w:val="0"/>
        </w:numPr>
        <w:bidi w:val="0"/>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年初预算为0万元，支出决算为44万元，由于年初预算为0，无法计算百分比，决算数大于年初预算数的主要原因是：年初未作预算，后期正常追补。</w:t>
      </w:r>
    </w:p>
    <w:p w14:paraId="2549D93C">
      <w:pPr>
        <w:numPr>
          <w:ilvl w:val="0"/>
          <w:numId w:val="0"/>
        </w:numPr>
        <w:bidi w:val="0"/>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10、商业服务业等支出（类）城市基础设施配套费安排的支出（款）其他商业流通事务支出（项）。</w:t>
      </w:r>
    </w:p>
    <w:p w14:paraId="5852D2E1">
      <w:pPr>
        <w:numPr>
          <w:ilvl w:val="0"/>
          <w:numId w:val="0"/>
        </w:numPr>
        <w:bidi w:val="0"/>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 xml:space="preserve">年初预算为0万元，支出决算为343.06万元，由于年初预算为0，无法计算百分比，决算数大于年初预算数的主要原因是：年初未作预算，后期正常追补。 </w:t>
      </w:r>
    </w:p>
    <w:p w14:paraId="1B46880D">
      <w:pPr>
        <w:numPr>
          <w:ilvl w:val="0"/>
          <w:numId w:val="0"/>
        </w:numPr>
        <w:bidi w:val="0"/>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11、商业服务业等支出（类）城市基础设施配套费安排的支出（款）其他涉外发展服务支出（项）。</w:t>
      </w:r>
    </w:p>
    <w:p w14:paraId="5BFD9436">
      <w:pPr>
        <w:bidi w:val="0"/>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 xml:space="preserve">年初预算为0万元，支出决算为41万元，由于年初预算为0，无法计算百分比，决算数大于年初预算数的主要原因是：年初未作预算，后期正常追补。 </w:t>
      </w:r>
    </w:p>
    <w:p w14:paraId="6169EC7B">
      <w:pPr>
        <w:numPr>
          <w:ilvl w:val="0"/>
          <w:numId w:val="0"/>
        </w:numPr>
        <w:bidi w:val="0"/>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12、粮油物资储备支出（类）城市基础设施配套费安排的支出（款）专项业务活动（项）。</w:t>
      </w:r>
    </w:p>
    <w:p w14:paraId="126B5D95">
      <w:pPr>
        <w:numPr>
          <w:ilvl w:val="0"/>
          <w:numId w:val="0"/>
        </w:numPr>
        <w:bidi w:val="0"/>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年初预算为0万元，支出决算为0.18万元，由于年初预算为0，无法计算百分比，决算数大于年初预算数的主要原因是：年初未作预算，后期正常追补。</w:t>
      </w:r>
    </w:p>
    <w:p w14:paraId="52547B43">
      <w:pPr>
        <w:numPr>
          <w:ilvl w:val="0"/>
          <w:numId w:val="0"/>
        </w:numPr>
        <w:bidi w:val="0"/>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13、粮油物资储备支出（类）城市基础设施配套费安排的支出（款）粮食风险基金（项）。</w:t>
      </w:r>
    </w:p>
    <w:p w14:paraId="30B13610">
      <w:pPr>
        <w:numPr>
          <w:ilvl w:val="0"/>
          <w:numId w:val="0"/>
        </w:numPr>
        <w:bidi w:val="0"/>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 xml:space="preserve">年初预算为0万元，支出决算为366万元，由于年初预算为0，无法计算百分比，决算数大于年初预算数的主要原因是：年初未作预算，后期正常追补。 </w:t>
      </w:r>
    </w:p>
    <w:p w14:paraId="5E9E0F51">
      <w:pPr>
        <w:bidi w:val="0"/>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14、粮油物资储备支出（类）城市基础设施配套费安排的支出（款）其他粮油物资事务支出（项）。</w:t>
      </w:r>
    </w:p>
    <w:p w14:paraId="71E37434">
      <w:pPr>
        <w:bidi w:val="0"/>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 xml:space="preserve">年初预算为0万元，支出决算为608.66万元，由于年初预算为0，无法计算百分比，决算数大于年初预算数的主要原因是：年初未作预算，后期正常追补。 </w:t>
      </w:r>
    </w:p>
    <w:p w14:paraId="3544E83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六、一般公共预算财政拨款基本支出决算情况说明</w:t>
      </w:r>
    </w:p>
    <w:p w14:paraId="1CF30B3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eastAsia="zh-CN"/>
        </w:rPr>
        <w:t>566.90万元</w:t>
      </w:r>
      <w:r>
        <w:rPr>
          <w:rFonts w:hint="eastAsia" w:ascii="Times New Roman" w:hAnsi="Times New Roman" w:eastAsia="仿宋_GB2312"/>
          <w:sz w:val="32"/>
          <w:szCs w:val="32"/>
        </w:rPr>
        <w:t>，其中：</w:t>
      </w:r>
    </w:p>
    <w:p w14:paraId="5FCD241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rPr>
        <w:t>478.96万元，占基本支出的84.49%，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r>
        <w:rPr>
          <w:rFonts w:hint="eastAsia" w:ascii="Times New Roman" w:hAnsi="Times New Roman" w:eastAsia="仿宋_GB2312"/>
          <w:sz w:val="32"/>
          <w:szCs w:val="32"/>
          <w:lang w:val="en-US" w:eastAsia="zh-CN"/>
        </w:rPr>
        <w:t>.</w:t>
      </w:r>
    </w:p>
    <w:p w14:paraId="29AAB06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rPr>
        <w:t>87.94万元，占基本支出的15.51%，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14:paraId="37146E38">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color w:val="000000"/>
          <w:kern w:val="0"/>
          <w:sz w:val="32"/>
          <w:szCs w:val="32"/>
          <w:lang w:val="en-US" w:eastAsia="zh-CN" w:bidi="ar-SA"/>
        </w:rPr>
        <w:t>七、</w:t>
      </w:r>
      <w:r>
        <w:rPr>
          <w:rFonts w:hint="eastAsia" w:ascii="黑体" w:hAnsi="黑体" w:eastAsia="黑体" w:cs="黑体"/>
          <w:b w:val="0"/>
          <w:bCs/>
          <w:sz w:val="32"/>
          <w:szCs w:val="32"/>
        </w:rPr>
        <w:t>财政拨款三公经费支出决算情况说明</w:t>
      </w:r>
    </w:p>
    <w:p w14:paraId="5BC11229">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287165D9">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“三公”经费财政拨款支出预算为</w:t>
      </w:r>
      <w:r>
        <w:rPr>
          <w:rFonts w:hint="eastAsia" w:ascii="Times New Roman" w:hAnsi="Times New Roman" w:eastAsia="仿宋_GB2312"/>
          <w:sz w:val="32"/>
          <w:szCs w:val="32"/>
          <w:highlight w:val="none"/>
          <w:lang w:val="en-US" w:eastAsia="zh-CN"/>
        </w:rPr>
        <w:t>2.50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2.92</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116.80</w:t>
      </w:r>
      <w:r>
        <w:rPr>
          <w:rFonts w:hint="eastAsia" w:ascii="Times New Roman" w:hAnsi="Times New Roman" w:eastAsia="仿宋_GB2312"/>
          <w:sz w:val="32"/>
          <w:szCs w:val="32"/>
          <w:highlight w:val="none"/>
        </w:rPr>
        <w:t>%，决算数大于预算数的主要原因是</w:t>
      </w:r>
      <w:r>
        <w:rPr>
          <w:rFonts w:hint="eastAsia" w:ascii="Times New Roman" w:hAnsi="Times New Roman" w:eastAsia="仿宋_GB2312"/>
          <w:sz w:val="32"/>
          <w:szCs w:val="32"/>
          <w:highlight w:val="none"/>
          <w:lang w:eastAsia="zh-CN"/>
        </w:rPr>
        <w:t>项目支出增多同时</w:t>
      </w:r>
      <w:r>
        <w:rPr>
          <w:rFonts w:hint="eastAsia" w:ascii="Times New Roman" w:hAnsi="Times New Roman" w:eastAsia="仿宋_GB2312"/>
          <w:sz w:val="32"/>
          <w:szCs w:val="32"/>
          <w:highlight w:val="none"/>
        </w:rPr>
        <w:t>“三公”经费</w:t>
      </w:r>
      <w:r>
        <w:rPr>
          <w:rFonts w:hint="eastAsia" w:ascii="Times New Roman" w:hAnsi="Times New Roman" w:eastAsia="仿宋_GB2312"/>
          <w:sz w:val="32"/>
          <w:szCs w:val="32"/>
          <w:highlight w:val="none"/>
          <w:lang w:eastAsia="zh-CN"/>
        </w:rPr>
        <w:t>增加，</w:t>
      </w:r>
      <w:r>
        <w:rPr>
          <w:rFonts w:hint="eastAsia" w:ascii="Times New Roman" w:hAnsi="Times New Roman" w:eastAsia="仿宋_GB2312"/>
          <w:sz w:val="32"/>
          <w:szCs w:val="32"/>
          <w:highlight w:val="none"/>
        </w:rPr>
        <w:t>与上年相比增加</w:t>
      </w:r>
      <w:r>
        <w:rPr>
          <w:rFonts w:hint="eastAsia" w:ascii="Times New Roman" w:hAnsi="Times New Roman" w:eastAsia="仿宋_GB2312"/>
          <w:sz w:val="32"/>
          <w:szCs w:val="32"/>
          <w:highlight w:val="none"/>
          <w:lang w:val="en-US" w:eastAsia="zh-CN"/>
        </w:rPr>
        <w:t>0.83</w:t>
      </w:r>
      <w:r>
        <w:rPr>
          <w:rFonts w:hint="eastAsia" w:ascii="Times New Roman" w:hAnsi="Times New Roman" w:eastAsia="仿宋_GB2312"/>
          <w:sz w:val="32"/>
          <w:szCs w:val="32"/>
          <w:highlight w:val="none"/>
        </w:rPr>
        <w:t>万元，增长</w:t>
      </w:r>
      <w:r>
        <w:rPr>
          <w:rFonts w:hint="eastAsia" w:ascii="Times New Roman" w:hAnsi="Times New Roman" w:eastAsia="仿宋_GB2312"/>
          <w:sz w:val="32"/>
          <w:szCs w:val="32"/>
          <w:highlight w:val="none"/>
          <w:lang w:val="en-US" w:eastAsia="zh-CN"/>
        </w:rPr>
        <w:t>39.71</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增长的主要原因是是</w:t>
      </w:r>
      <w:r>
        <w:rPr>
          <w:rFonts w:hint="eastAsia" w:ascii="Times New Roman" w:hAnsi="Times New Roman" w:eastAsia="仿宋_GB2312"/>
          <w:sz w:val="32"/>
          <w:szCs w:val="32"/>
          <w:highlight w:val="none"/>
          <w:lang w:eastAsia="zh-CN"/>
        </w:rPr>
        <w:t>项目支出增多同时</w:t>
      </w:r>
      <w:r>
        <w:rPr>
          <w:rFonts w:hint="eastAsia" w:ascii="Times New Roman" w:hAnsi="Times New Roman" w:eastAsia="仿宋_GB2312"/>
          <w:sz w:val="32"/>
          <w:szCs w:val="32"/>
          <w:highlight w:val="none"/>
        </w:rPr>
        <w:t>“三公”经费</w:t>
      </w:r>
      <w:r>
        <w:rPr>
          <w:rFonts w:hint="eastAsia" w:ascii="Times New Roman" w:hAnsi="Times New Roman" w:eastAsia="仿宋_GB2312"/>
          <w:sz w:val="32"/>
          <w:szCs w:val="32"/>
          <w:highlight w:val="none"/>
          <w:lang w:eastAsia="zh-CN"/>
        </w:rPr>
        <w:t>增加</w:t>
      </w:r>
      <w:r>
        <w:rPr>
          <w:rFonts w:hint="eastAsia" w:ascii="Times New Roman" w:hAnsi="Times New Roman" w:eastAsia="仿宋_GB2312"/>
          <w:sz w:val="32"/>
          <w:szCs w:val="32"/>
          <w:highlight w:val="none"/>
        </w:rPr>
        <w:t>。其中：</w:t>
      </w:r>
    </w:p>
    <w:p w14:paraId="0BDCB38D">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1E843DF9">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2.5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2.92</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116.80</w:t>
      </w:r>
      <w:r>
        <w:rPr>
          <w:rFonts w:hint="eastAsia" w:ascii="Times New Roman" w:hAnsi="Times New Roman" w:eastAsia="仿宋_GB2312"/>
          <w:sz w:val="32"/>
          <w:szCs w:val="32"/>
        </w:rPr>
        <w:t>%，决算数大于预算数的主要原因是项目支出增多同时“三公”经费增加，与上年相比增加0.83万元，增长39.71%，增长的主要原因是是项目支出增多同时“三公”经费增加。。</w:t>
      </w:r>
    </w:p>
    <w:p w14:paraId="2DC3A28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1BAE16A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4536014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64CA3AA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2.92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14:paraId="62556A46">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楷体" w:hAnsi="楷体" w:eastAsia="楷体" w:cs="楷体"/>
          <w:b/>
          <w:bCs/>
          <w:i/>
          <w:color w:val="auto"/>
          <w:sz w:val="32"/>
          <w:szCs w:val="32"/>
        </w:rPr>
        <w:t>,</w:t>
      </w:r>
      <w:r>
        <w:rPr>
          <w:rFonts w:hint="eastAsia" w:ascii="Times New Roman" w:hAnsi="Times New Roman" w:eastAsia="仿宋_GB2312"/>
          <w:sz w:val="32"/>
          <w:szCs w:val="32"/>
        </w:rPr>
        <w:t>支出万元</w:t>
      </w:r>
      <w:r>
        <w:rPr>
          <w:rFonts w:hint="eastAsia" w:ascii="Times New Roman" w:hAnsi="Times New Roman" w:eastAsia="仿宋_GB2312"/>
          <w:sz w:val="32"/>
          <w:szCs w:val="32"/>
          <w:lang w:eastAsia="zh-CN"/>
        </w:rPr>
        <w:t>。</w:t>
      </w:r>
    </w:p>
    <w:p w14:paraId="55F1E4CB">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2.92</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16</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209</w:t>
      </w:r>
      <w:r>
        <w:rPr>
          <w:rFonts w:hint="eastAsia" w:ascii="Times New Roman" w:hAnsi="Times New Roman" w:eastAsia="仿宋_GB2312"/>
          <w:sz w:val="32"/>
          <w:szCs w:val="32"/>
        </w:rPr>
        <w:t>人次，主要是用于与有关单位交流工作情况及接受相关部门检查指导工作发生的接待支出。</w:t>
      </w:r>
    </w:p>
    <w:p w14:paraId="3A215E64">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FF0000"/>
          <w:kern w:val="0"/>
          <w:sz w:val="32"/>
          <w:szCs w:val="32"/>
          <w:lang w:val="en-US" w:eastAsia="zh-CN" w:bidi="ar-SA"/>
        </w:rPr>
      </w:pPr>
      <w:r>
        <w:rPr>
          <w:rFonts w:hint="eastAsia" w:ascii="Times New Roman" w:hAnsi="Times New Roman" w:eastAsia="仿宋_GB2312"/>
          <w:sz w:val="32"/>
          <w:szCs w:val="32"/>
        </w:rPr>
        <w:t>3、公务用车购置费及运行维护费支出决算为万元，其中：公务用车购置费万元，（单位本级或某二级机构）更新公务用车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p>
    <w:p w14:paraId="277F0E6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5564B09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545044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ascii="Calibri" w:hAnsi="Calibri" w:eastAsia="宋体" w:cs="Times New Roman"/>
          <w:kern w:val="0"/>
          <w:sz w:val="24"/>
          <w:szCs w:val="24"/>
          <w:lang w:val="en-US" w:eastAsia="zh-CN" w:bidi="ar"/>
        </w:rPr>
      </w:pPr>
      <w:r>
        <w:rPr>
          <w:rFonts w:hint="eastAsia" w:ascii="黑体" w:hAnsi="黑体" w:eastAsia="黑体" w:cs="黑体"/>
          <w:b w:val="0"/>
          <w:bCs/>
          <w:color w:val="000000"/>
          <w:kern w:val="0"/>
          <w:sz w:val="32"/>
          <w:szCs w:val="32"/>
          <w:lang w:val="en-US" w:eastAsia="zh-CN" w:bidi="ar-SA"/>
        </w:rPr>
        <w:t>九、国有资本经营预算财政拨款支出决算情况</w:t>
      </w:r>
    </w:p>
    <w:p w14:paraId="3692B25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年国有资本经营预算财政拨款支出924.97万元,其中项目支出924.97万元。具体情况如下：</w:t>
      </w:r>
    </w:p>
    <w:p w14:paraId="1B259D6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国有资本经营预算支出（类）城市基础设施配套费安排的支出（款）其他国有资本经营预算支出（项）。</w:t>
      </w:r>
    </w:p>
    <w:p w14:paraId="36FD120C">
      <w:pPr>
        <w:numPr>
          <w:ilvl w:val="0"/>
          <w:numId w:val="0"/>
        </w:numPr>
        <w:bidi w:val="0"/>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万元，支出决算为924.97万元</w:t>
      </w:r>
      <w:r>
        <w:rPr>
          <w:rFonts w:hint="eastAsia" w:ascii="Times New Roman" w:hAnsi="Times New Roman" w:eastAsia="仿宋_GB2312" w:cs="黑体"/>
          <w:color w:val="000000"/>
          <w:kern w:val="0"/>
          <w:sz w:val="32"/>
          <w:szCs w:val="32"/>
          <w:lang w:val="en-US" w:eastAsia="zh-CN" w:bidi="ar-SA"/>
        </w:rPr>
        <w:t>，由于年初预算为0，无法计算百分比，决算数大于年初预算数的主要原因是：年初未作预算，后期正常追补。</w:t>
      </w:r>
    </w:p>
    <w:p w14:paraId="433329E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val="en-US" w:eastAsia="zh-CN"/>
        </w:rPr>
        <w:t>十</w:t>
      </w:r>
      <w:r>
        <w:rPr>
          <w:rFonts w:hint="eastAsia" w:ascii="Times New Roman" w:hAnsi="Times New Roman" w:eastAsia="仿宋_GB2312"/>
          <w:b/>
          <w:color w:val="auto"/>
          <w:sz w:val="32"/>
          <w:szCs w:val="32"/>
        </w:rPr>
        <w:t>、关于机关运行经费支出说明</w:t>
      </w:r>
    </w:p>
    <w:p w14:paraId="1BCC39A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本部门202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年度机关运行经费支出</w:t>
      </w:r>
      <w:r>
        <w:rPr>
          <w:rFonts w:hint="eastAsia" w:ascii="Times New Roman" w:hAnsi="Times New Roman" w:eastAsia="仿宋_GB2312"/>
          <w:sz w:val="32"/>
          <w:szCs w:val="32"/>
          <w:highlight w:val="none"/>
          <w:lang w:val="en-US" w:eastAsia="zh-CN"/>
        </w:rPr>
        <w:t>87.94</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比上年决算数减少</w:t>
      </w:r>
      <w:r>
        <w:rPr>
          <w:rFonts w:hint="eastAsia" w:ascii="Times New Roman" w:hAnsi="Times New Roman" w:eastAsia="仿宋_GB2312"/>
          <w:sz w:val="32"/>
          <w:szCs w:val="32"/>
          <w:highlight w:val="none"/>
          <w:lang w:val="en-US" w:eastAsia="zh-CN"/>
        </w:rPr>
        <w:t>61.22</w:t>
      </w:r>
      <w:r>
        <w:rPr>
          <w:rFonts w:hint="eastAsia" w:ascii="Times New Roman" w:hAnsi="Times New Roman" w:eastAsia="仿宋_GB2312"/>
          <w:sz w:val="32"/>
          <w:szCs w:val="32"/>
          <w:highlight w:val="none"/>
        </w:rPr>
        <w:t>万元，降低</w:t>
      </w:r>
      <w:r>
        <w:rPr>
          <w:rFonts w:hint="eastAsia" w:ascii="Times New Roman" w:hAnsi="Times New Roman" w:eastAsia="仿宋_GB2312"/>
          <w:sz w:val="32"/>
          <w:szCs w:val="32"/>
          <w:highlight w:val="none"/>
          <w:lang w:val="en-US" w:eastAsia="zh-CN"/>
        </w:rPr>
        <w:t>41.04</w:t>
      </w:r>
      <w:r>
        <w:rPr>
          <w:rFonts w:hint="eastAsia" w:ascii="Times New Roman" w:hAnsi="Times New Roman" w:eastAsia="仿宋_GB2312"/>
          <w:sz w:val="32"/>
          <w:szCs w:val="32"/>
          <w:highlight w:val="none"/>
        </w:rPr>
        <w:t>%。主要原因是：</w:t>
      </w:r>
      <w:r>
        <w:rPr>
          <w:rFonts w:hint="eastAsia" w:ascii="Times New Roman" w:hAnsi="Times New Roman" w:eastAsia="仿宋_GB2312"/>
          <w:sz w:val="32"/>
          <w:szCs w:val="32"/>
          <w:highlight w:val="none"/>
          <w:lang w:eastAsia="zh-CN"/>
        </w:rPr>
        <w:t>厉行节约，严控经费开支。</w:t>
      </w:r>
    </w:p>
    <w:p w14:paraId="3168287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14:paraId="522F0A7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FF0000"/>
          <w:kern w:val="0"/>
          <w:sz w:val="32"/>
          <w:szCs w:val="32"/>
          <w:lang w:val="en-US" w:eastAsia="zh-CN" w:bidi="ar-SA"/>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0.88</w:t>
      </w:r>
      <w:r>
        <w:rPr>
          <w:rFonts w:hint="eastAsia" w:ascii="Times New Roman" w:hAnsi="Times New Roman" w:eastAsia="仿宋_GB2312"/>
          <w:sz w:val="32"/>
          <w:szCs w:val="32"/>
        </w:rPr>
        <w:t>万元，用于召开业务工作会议，人数</w:t>
      </w:r>
      <w:r>
        <w:rPr>
          <w:rFonts w:hint="eastAsia" w:ascii="Times New Roman" w:hAnsi="Times New Roman" w:eastAsia="仿宋_GB2312"/>
          <w:sz w:val="32"/>
          <w:szCs w:val="32"/>
          <w:lang w:val="en-US" w:eastAsia="zh-CN"/>
        </w:rPr>
        <w:t>63</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中农联</w:t>
      </w:r>
      <w:r>
        <w:rPr>
          <w:rFonts w:hint="eastAsia" w:ascii="Times New Roman" w:hAnsi="Times New Roman" w:eastAsia="仿宋_GB2312"/>
          <w:sz w:val="32"/>
          <w:szCs w:val="32"/>
        </w:rPr>
        <w:t>招商</w:t>
      </w:r>
      <w:r>
        <w:rPr>
          <w:rFonts w:hint="eastAsia" w:ascii="Times New Roman" w:hAnsi="Times New Roman" w:eastAsia="仿宋_GB2312"/>
          <w:sz w:val="32"/>
          <w:szCs w:val="32"/>
          <w:lang w:eastAsia="zh-CN"/>
        </w:rPr>
        <w:t>、粮食安全</w:t>
      </w:r>
      <w:r>
        <w:rPr>
          <w:rFonts w:hint="eastAsia" w:ascii="Times New Roman" w:hAnsi="Times New Roman" w:eastAsia="仿宋_GB2312"/>
          <w:sz w:val="32"/>
          <w:szCs w:val="32"/>
        </w:rPr>
        <w:t>等会议；开支培训费</w:t>
      </w:r>
      <w:r>
        <w:rPr>
          <w:rFonts w:hint="eastAsia" w:ascii="Times New Roman" w:hAnsi="Times New Roman" w:eastAsia="仿宋_GB2312"/>
          <w:sz w:val="32"/>
          <w:szCs w:val="32"/>
          <w:lang w:val="en-US" w:eastAsia="zh-CN"/>
        </w:rPr>
        <w:t>1.64</w:t>
      </w:r>
      <w:r>
        <w:rPr>
          <w:rFonts w:hint="eastAsia" w:ascii="Times New Roman" w:hAnsi="Times New Roman" w:eastAsia="仿宋_GB2312"/>
          <w:sz w:val="32"/>
          <w:szCs w:val="32"/>
        </w:rPr>
        <w:t>万元，用于开展知识技能培训，人数</w:t>
      </w:r>
      <w:r>
        <w:rPr>
          <w:rFonts w:hint="eastAsia" w:ascii="Times New Roman" w:hAnsi="Times New Roman" w:eastAsia="仿宋_GB2312"/>
          <w:sz w:val="32"/>
          <w:szCs w:val="32"/>
          <w:lang w:val="en-US" w:eastAsia="zh-CN"/>
        </w:rPr>
        <w:t>39</w:t>
      </w:r>
      <w:r>
        <w:rPr>
          <w:rFonts w:hint="eastAsia" w:ascii="Times New Roman" w:hAnsi="Times New Roman" w:eastAsia="仿宋_GB2312"/>
          <w:sz w:val="32"/>
          <w:szCs w:val="32"/>
        </w:rPr>
        <w:t>人，内容为事业人员、业务知识等培训；</w:t>
      </w:r>
      <w:r>
        <w:rPr>
          <w:rFonts w:hint="eastAsia" w:ascii="Times New Roman" w:hAnsi="Times New Roman" w:eastAsia="仿宋_GB2312"/>
          <w:sz w:val="32"/>
          <w:szCs w:val="32"/>
          <w:lang w:eastAsia="zh-CN"/>
        </w:rPr>
        <w:t>本年度未</w:t>
      </w:r>
      <w:r>
        <w:rPr>
          <w:rFonts w:hint="eastAsia" w:ascii="Times New Roman" w:hAnsi="Times New Roman" w:eastAsia="仿宋_GB2312"/>
          <w:sz w:val="32"/>
          <w:szCs w:val="32"/>
        </w:rPr>
        <w:t>举办节庆、晚会、论坛、赛事活动，开支</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5090623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14:paraId="3843CB00">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238.34</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149.99</w:t>
      </w:r>
      <w:r>
        <w:rPr>
          <w:rFonts w:hint="eastAsia" w:ascii="Times New Roman" w:hAnsi="Times New Roman" w:eastAsia="仿宋_GB2312"/>
          <w:sz w:val="32"/>
          <w:szCs w:val="32"/>
        </w:rPr>
        <w:t xml:space="preserve"> 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88.35</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88.35</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37.07</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88.35</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35.65</w:t>
      </w:r>
      <w:r>
        <w:rPr>
          <w:rFonts w:hint="eastAsia" w:ascii="Times New Roman" w:hAnsi="Times New Roman" w:eastAsia="仿宋_GB2312"/>
          <w:color w:val="auto"/>
          <w:sz w:val="32"/>
          <w:szCs w:val="32"/>
        </w:rPr>
        <w:t>%，工程采购授予中小企业合同</w:t>
      </w:r>
      <w:bookmarkStart w:id="0" w:name="_GoBack"/>
      <w:bookmarkEnd w:id="0"/>
      <w:r>
        <w:rPr>
          <w:rFonts w:hint="eastAsia" w:ascii="Times New Roman" w:hAnsi="Times New Roman" w:eastAsia="仿宋_GB2312"/>
          <w:color w:val="auto"/>
          <w:sz w:val="32"/>
          <w:szCs w:val="32"/>
        </w:rPr>
        <w:t>金额占工程支出金额的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39.48</w:t>
      </w:r>
      <w:r>
        <w:rPr>
          <w:rFonts w:hint="eastAsia" w:ascii="Times New Roman" w:hAnsi="Times New Roman" w:eastAsia="仿宋_GB2312"/>
          <w:color w:val="auto"/>
          <w:sz w:val="32"/>
          <w:szCs w:val="32"/>
        </w:rPr>
        <w:t>%。</w:t>
      </w:r>
    </w:p>
    <w:p w14:paraId="3EFE5C18">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14:paraId="612FC61E">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highlight w:val="none"/>
        </w:rPr>
        <w:t>；单</w:t>
      </w:r>
      <w:r>
        <w:rPr>
          <w:rFonts w:hint="eastAsia" w:ascii="Times New Roman" w:hAnsi="Times New Roman" w:eastAsia="仿宋_GB2312"/>
          <w:color w:val="auto"/>
          <w:sz w:val="32"/>
          <w:szCs w:val="32"/>
        </w:rPr>
        <w:t>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0F5A282B">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00FED3F4">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1C54773D">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lang w:eastAsia="zh-CN"/>
        </w:rPr>
        <w:t>根据绩效评价有关规定，成立部门评价组织对项目绩效进行自评。绩效评价小组积极组织项目绩效评价会议，开展绩效评价工作，对2023年财政资金使用和流向进行严格检查和核实，再由绩效评价人员分析汇总，撰写项目绩效评价报告。</w:t>
      </w:r>
    </w:p>
    <w:p w14:paraId="3D73EBEF">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79DAE722">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lang w:eastAsia="zh-CN"/>
        </w:rPr>
        <w:t>根据年初工作规划和重点工作，围绕县委、县政府的工作部署，积极履行职责，强化管理，较好地完成了年度工作目标，同时加强预算收支的管理，建立健全内部管理制度，严格内部管理流程，严控三公经费，厉行节约压减一般性支出，部门整体支出管理得到了提升。通过整体绩效评价结果显示，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lang w:eastAsia="zh-CN"/>
        </w:rPr>
        <w:t>年度整体绩效目标完成情况较好。</w:t>
      </w:r>
    </w:p>
    <w:p w14:paraId="6A6DD2BA">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0C5F6314">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一是进一步加强厉行节约机制，提高单位三保支出的保障能力。</w:t>
      </w:r>
    </w:p>
    <w:p w14:paraId="25B86464">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二是预算编制与实际支出项目有的存在差异，有待进一步优化预算，提高预算编制的准确性。</w:t>
      </w:r>
    </w:p>
    <w:p w14:paraId="631D3A9F">
      <w:pPr>
        <w:pStyle w:val="13"/>
        <w:jc w:val="both"/>
        <w:rPr>
          <w:sz w:val="72"/>
          <w:szCs w:val="72"/>
        </w:rPr>
      </w:pPr>
    </w:p>
    <w:p w14:paraId="5D57944F">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第四部分</w:t>
      </w:r>
    </w:p>
    <w:p w14:paraId="774B0DB2">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名词解释</w:t>
      </w:r>
    </w:p>
    <w:p w14:paraId="7EDA2F04">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财政拨款收入：指本级财政当年拨付的资金。</w:t>
      </w:r>
    </w:p>
    <w:p w14:paraId="0A44BCA8">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14:paraId="49FB2B78">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公共安全支出（类）：是指用于内卫、消防等武装警察部队的支出，包括保障机构正常运转、完成日常和特定的工作任务或事业发展目标的支出。</w:t>
      </w:r>
    </w:p>
    <w:p w14:paraId="316915C6">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资源勘探工业信息等支出（类）：是指用于资源勘探、制造业、建筑业、工业信息等方面支出，包括保障机构正常运转、完成日常和特定的工作任务或事业发展目标的支出。</w:t>
      </w:r>
    </w:p>
    <w:p w14:paraId="5E11A700">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商业服务业等支出（类）：是指用于商业服务业等方面的支出,包括保障机构正常运转、完成日常和特定的工作任务或事业发展目标的支出。</w:t>
      </w:r>
    </w:p>
    <w:p w14:paraId="29BD3E56">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粮油物资储备支出（类）：是指用于粮油物资储备方面的支出，包括保障机构正常运转、完成日常和特定的工作任务或事业发展目标的支出。</w:t>
      </w:r>
    </w:p>
    <w:p w14:paraId="170B0EDD">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基本支出：指保障机构正常运转、完成支日常工作任务而发生的人员支出和公用支出。</w:t>
      </w:r>
    </w:p>
    <w:p w14:paraId="122C253B">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项目支出：指在基本支出之外为完成特定行政任务和事业发展目标所发生的支出。</w:t>
      </w:r>
    </w:p>
    <w:p w14:paraId="7941806A">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三公”经费：指用财政拨款安排的因公出国（境）费、公务用车购置及运行费和公务接待费。其中，因公出国（境）费反映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57FE46A4">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政府采购 ：是指国家各级政府为从事日常的政务活动或为了满足公共服务的目的，利用国家财政性资金和政府借款购买货物、工程和服务的行为。</w:t>
      </w:r>
    </w:p>
    <w:p w14:paraId="5D66E7D7">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工资福利支出：反映单位开支的在职职工和编制外长期聘用人员的各类劳动报酬，以及为上述人员缴纳的各项社会保险费等。</w:t>
      </w:r>
    </w:p>
    <w:p w14:paraId="2F5B4687">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基本工资：反映按规定发放的基本工资，包括公务员的职务工资、级别工资；机关工人的岗位工资、技术等级工资；事业单位工作人员的岗位工资、薪级工资；各类学校毕业生试用期(见习期)工资、新参加工作工人学徒期、熟练期工资；军队（武警）军官、文职干部的职务（专业技术等级）工资、军衔（级别）工资、基础工资和军龄工资；军队士官的军衔等级工资、基础工资和军龄工资等。</w:t>
      </w:r>
    </w:p>
    <w:p w14:paraId="22D9F844">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津贴补贴：反映经国家批准建立的机关事业单位艰苦边远地区津贴、机关工作人员地区附加津贴、机关工作人员岗位津贴、事业单位工作人员特殊岗位津贴补贴等。</w:t>
      </w:r>
    </w:p>
    <w:p w14:paraId="63E89854">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奖金：反映机关工作人员年终一次性奖金。</w:t>
      </w:r>
    </w:p>
    <w:p w14:paraId="75187FB8">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机关事业单位基本养老保险缴费：反映机关事业单位缴纳的基本养老保险费。由单位代扣的工作人员基本养老保险缴费，不在此科目反映。</w:t>
      </w:r>
    </w:p>
    <w:p w14:paraId="5D19BE3F">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住房公积金：反映行政事业单位按人力资源和社会保障部、财政部规定的基本工资和津贴补贴以及规定比例为职工缴纳的住房公积金。</w:t>
      </w:r>
    </w:p>
    <w:p w14:paraId="56E1731A">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商品和服务支出：反映单位购买商品和服务的支出（不包括用于购置固定资产的支出、战略性和应急储备支出）。</w:t>
      </w:r>
    </w:p>
    <w:p w14:paraId="004052FB">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印刷费：反映单位的印刷费支出。</w:t>
      </w:r>
    </w:p>
    <w:p w14:paraId="55ECC419">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咨询费：反映单位咨询方面的支出。</w:t>
      </w:r>
    </w:p>
    <w:p w14:paraId="5303C6F0">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手续费：反映单位支付的各类手续费支出。</w:t>
      </w:r>
    </w:p>
    <w:p w14:paraId="66059676">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水费：反映单位支付的水费、污水处理费等支出。</w:t>
      </w:r>
    </w:p>
    <w:p w14:paraId="2360A39E">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电费：反映单位的电费支出。</w:t>
      </w:r>
    </w:p>
    <w:p w14:paraId="6886E74E">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差旅费：反映单位工作人员出差发生的城市间交通费、住宿费、伙食补贴费和市内交通费。</w:t>
      </w:r>
    </w:p>
    <w:p w14:paraId="64DDAFE0">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会议费：反映会议中按规定开支的住宿费、伙食费、会议室租金、交通费、文件印刷费、医药费等。</w:t>
      </w:r>
    </w:p>
    <w:p w14:paraId="01C37FE9">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培训费：反映除因公出国（境）培训费以外的各类培训支出。</w:t>
      </w:r>
    </w:p>
    <w:p w14:paraId="06806C32">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公务接待费：反映单位按规定开支的各类公务接待（含外宾接待）费用。</w:t>
      </w:r>
    </w:p>
    <w:p w14:paraId="25BDE5A8">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劳务费：反映支付给单位和个人的劳务费用，如临时聘用人员、钟点工工资，稿费、翻译费，评审费等。</w:t>
      </w:r>
    </w:p>
    <w:p w14:paraId="2C366974">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福利费：反映单位按规定提取的福利费。</w:t>
      </w:r>
    </w:p>
    <w:p w14:paraId="2A09F312">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其他交通费用：反映单位除公务用车运行维护费以外的其他交通费用。如公务交通补贴，租车费用、出租车费用，飞机、船舶等的燃料费、维修费、保险费等。</w:t>
      </w:r>
    </w:p>
    <w:p w14:paraId="387FDB87">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其他商品和服务支出：反映上述科目未包括的日常公用支出。如行政赔偿费和诉讼费、国内组织的会员费、来访费、广告宣传、其他劳务费及离休人员特需费、公用经费等。</w:t>
      </w:r>
    </w:p>
    <w:p w14:paraId="5ADCAEA7">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对个人和家庭的补助：反映政府用于对个人和家庭的补助支出。</w:t>
      </w:r>
    </w:p>
    <w:p w14:paraId="16144A3A">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抚恤金：反映按规定开支的烈士遗属、牺牲病故人员遗属的一次性和定期抚恤金，伤残人员的抚恤金，离退休人员等其他人员的各项抚恤金。</w:t>
      </w:r>
    </w:p>
    <w:p w14:paraId="2555861A">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医疗费：反映行政事业单位在职职工、离退休人员的医疗费，军队移交政府安置的离退休人员的医疗费，学生医疗费，优抚对象医疗补助，以及按国家规定资助农民参加新型农村合作医疗和城镇居民参加城镇居民基本医疗保险的支出和对城乡贫困家庭的医疗救助支出。</w:t>
      </w:r>
    </w:p>
    <w:p w14:paraId="16D1B0F5">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奖励金：反映政府各部门的奖励支出，如对个体私营经济的奖励、计划生育目标责任奖励、独生子女父母奖励等。</w:t>
      </w:r>
    </w:p>
    <w:p w14:paraId="747C3705">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cs="黑体" w:asciiTheme="minorEastAsia" w:hAnsiTheme="minorEastAsia"/>
          <w:color w:val="000000"/>
          <w:kern w:val="0"/>
          <w:sz w:val="32"/>
          <w:szCs w:val="32"/>
        </w:rPr>
      </w:pPr>
      <w:r>
        <w:rPr>
          <w:rFonts w:hint="eastAsia" w:ascii="Times New Roman" w:hAnsi="Times New Roman" w:eastAsia="仿宋_GB2312"/>
          <w:color w:val="auto"/>
          <w:sz w:val="32"/>
          <w:szCs w:val="32"/>
        </w:rPr>
        <w:t>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 办公用房物业管理费、公务用车运行维护费以及其他费用。</w:t>
      </w:r>
    </w:p>
    <w:p w14:paraId="44D9A978">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w:t>
      </w:r>
      <w:r>
        <w:rPr>
          <w:rFonts w:hint="eastAsia" w:ascii="方正小标宋_GBK" w:hAnsi="方正小标宋_GBK" w:eastAsia="方正小标宋_GBK" w:cs="方正小标宋_GBK"/>
          <w:sz w:val="48"/>
          <w:szCs w:val="48"/>
          <w:lang w:eastAsia="zh-CN"/>
        </w:rPr>
        <w:t>五</w:t>
      </w:r>
      <w:r>
        <w:rPr>
          <w:rFonts w:hint="eastAsia" w:ascii="方正小标宋_GBK" w:hAnsi="方正小标宋_GBK" w:eastAsia="方正小标宋_GBK" w:cs="方正小标宋_GBK"/>
          <w:sz w:val="48"/>
          <w:szCs w:val="48"/>
        </w:rPr>
        <w:t>部分</w:t>
      </w:r>
    </w:p>
    <w:p w14:paraId="0780AB7F">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lang w:eastAsia="zh-CN"/>
        </w:rPr>
        <w:t>附</w:t>
      </w:r>
      <w:r>
        <w:rPr>
          <w:rFonts w:hint="eastAsia" w:ascii="方正小标宋_GBK" w:hAnsi="方正小标宋_GBK" w:eastAsia="方正小标宋_GBK" w:cs="方正小标宋_GBK"/>
          <w:sz w:val="48"/>
          <w:szCs w:val="48"/>
          <w:lang w:val="en-US" w:eastAsia="zh-CN"/>
        </w:rPr>
        <w:t xml:space="preserve"> </w:t>
      </w:r>
      <w:r>
        <w:rPr>
          <w:rFonts w:hint="eastAsia" w:ascii="方正小标宋_GBK" w:hAnsi="方正小标宋_GBK" w:eastAsia="方正小标宋_GBK" w:cs="方正小标宋_GBK"/>
          <w:sz w:val="48"/>
          <w:szCs w:val="48"/>
          <w:lang w:eastAsia="zh-CN"/>
        </w:rPr>
        <w:t>件</w:t>
      </w:r>
    </w:p>
    <w:p w14:paraId="1F58E81A">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default" w:ascii="Times New Roman" w:hAnsi="Times New Roman" w:eastAsia="仿宋_GB2312"/>
          <w:sz w:val="32"/>
          <w:szCs w:val="32"/>
          <w:lang w:val="en-US" w:eastAsia="zh-CN"/>
        </w:rPr>
      </w:pPr>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华容县商务粮食局2023年度部门决算公开表格</w:t>
      </w:r>
    </w:p>
    <w:p w14:paraId="13C23BEF">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楷体" w:hAnsi="楷体" w:eastAsia="楷体" w:cs="楷体"/>
          <w:b/>
          <w:bCs/>
          <w:sz w:val="32"/>
          <w:szCs w:val="32"/>
          <w:lang w:eastAsia="zh-CN"/>
        </w:rPr>
        <w:t>二、</w:t>
      </w:r>
      <w:r>
        <w:rPr>
          <w:rFonts w:hint="eastAsia" w:ascii="Times New Roman" w:hAnsi="Times New Roman" w:eastAsia="仿宋_GB2312"/>
          <w:sz w:val="32"/>
          <w:szCs w:val="32"/>
          <w:lang w:val="en-US" w:eastAsia="zh-CN"/>
        </w:rPr>
        <w:t>华容县商务粮食局2023年度部门(单位)整体支出绩效自评报告。</w:t>
      </w:r>
    </w:p>
    <w:p w14:paraId="068408CB">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14:paraId="7B159F02">
      <w:pPr>
        <w:pStyle w:val="13"/>
        <w:jc w:val="center"/>
        <w:rPr>
          <w:sz w:val="72"/>
          <w:szCs w:val="72"/>
        </w:rPr>
      </w:pPr>
    </w:p>
    <w:p w14:paraId="06668D01">
      <w:pPr>
        <w:pStyle w:val="13"/>
        <w:jc w:val="center"/>
        <w:rPr>
          <w:sz w:val="72"/>
          <w:szCs w:val="72"/>
        </w:rPr>
      </w:pPr>
    </w:p>
    <w:p w14:paraId="7F942FFC">
      <w:pPr>
        <w:jc w:val="left"/>
        <w:rPr>
          <w:rFonts w:cs="黑体" w:asciiTheme="minorEastAsia" w:hAnsiTheme="minorEastAsia"/>
          <w:color w:val="000000"/>
          <w:kern w:val="0"/>
          <w:sz w:val="32"/>
          <w:szCs w:val="32"/>
        </w:rPr>
      </w:pPr>
    </w:p>
    <w:sectPr>
      <w:pgSz w:w="11906" w:h="16838"/>
      <w:pgMar w:top="1440" w:right="1803" w:bottom="1440" w:left="1803"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zNjhjZjkxMjg2OGJjOTQ0NThhNzBhOGI4YTVmYWYifQ=="/>
    <w:docVar w:name="KSO_WPS_MARK_KEY" w:val="7a81dccc-1fea-492e-b29a-3017a7ac785e"/>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CA5570"/>
    <w:rsid w:val="02555493"/>
    <w:rsid w:val="032616D9"/>
    <w:rsid w:val="046B5BA5"/>
    <w:rsid w:val="08B0518A"/>
    <w:rsid w:val="09264DF5"/>
    <w:rsid w:val="0D135AFC"/>
    <w:rsid w:val="0EBF5579"/>
    <w:rsid w:val="13DF1AA7"/>
    <w:rsid w:val="14043122"/>
    <w:rsid w:val="1C6321D1"/>
    <w:rsid w:val="1D97DEFF"/>
    <w:rsid w:val="1DFF72E5"/>
    <w:rsid w:val="1EFC6F07"/>
    <w:rsid w:val="2295740C"/>
    <w:rsid w:val="28180C8B"/>
    <w:rsid w:val="28791105"/>
    <w:rsid w:val="2974650E"/>
    <w:rsid w:val="2AF33896"/>
    <w:rsid w:val="2BD27F18"/>
    <w:rsid w:val="2F1C2DB2"/>
    <w:rsid w:val="2FDF85B8"/>
    <w:rsid w:val="2FFFEE04"/>
    <w:rsid w:val="345614B9"/>
    <w:rsid w:val="34DF85B0"/>
    <w:rsid w:val="35770059"/>
    <w:rsid w:val="3B225C51"/>
    <w:rsid w:val="3B8F36BC"/>
    <w:rsid w:val="3F3839E5"/>
    <w:rsid w:val="41CA5993"/>
    <w:rsid w:val="42885C1B"/>
    <w:rsid w:val="43E92E1A"/>
    <w:rsid w:val="442A5B77"/>
    <w:rsid w:val="45555909"/>
    <w:rsid w:val="49105C83"/>
    <w:rsid w:val="491FF225"/>
    <w:rsid w:val="4E3950FE"/>
    <w:rsid w:val="4E395582"/>
    <w:rsid w:val="4E863FD5"/>
    <w:rsid w:val="4E8F4E48"/>
    <w:rsid w:val="4FFD214C"/>
    <w:rsid w:val="503C110B"/>
    <w:rsid w:val="50DC0207"/>
    <w:rsid w:val="52570D73"/>
    <w:rsid w:val="52AB2578"/>
    <w:rsid w:val="537A2346"/>
    <w:rsid w:val="56995ED8"/>
    <w:rsid w:val="5777D4F5"/>
    <w:rsid w:val="58534028"/>
    <w:rsid w:val="59DD8326"/>
    <w:rsid w:val="5DEF592A"/>
    <w:rsid w:val="5FC6BB1E"/>
    <w:rsid w:val="5FF720F1"/>
    <w:rsid w:val="603C7B44"/>
    <w:rsid w:val="644D16A6"/>
    <w:rsid w:val="64AA2690"/>
    <w:rsid w:val="67AF5D43"/>
    <w:rsid w:val="67FF5C0B"/>
    <w:rsid w:val="69270753"/>
    <w:rsid w:val="6A132A30"/>
    <w:rsid w:val="6D281506"/>
    <w:rsid w:val="6D8E54E5"/>
    <w:rsid w:val="6EFC0924"/>
    <w:rsid w:val="6FB74722"/>
    <w:rsid w:val="6FEF8B7E"/>
    <w:rsid w:val="707B6AF8"/>
    <w:rsid w:val="716D0A61"/>
    <w:rsid w:val="71A6591B"/>
    <w:rsid w:val="737D59BA"/>
    <w:rsid w:val="745C3465"/>
    <w:rsid w:val="762D3121"/>
    <w:rsid w:val="77C37683"/>
    <w:rsid w:val="78592077"/>
    <w:rsid w:val="79FF515B"/>
    <w:rsid w:val="7E9E1962"/>
    <w:rsid w:val="7E9F11B4"/>
    <w:rsid w:val="7F2D5F40"/>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annotation text"/>
    <w:basedOn w:val="1"/>
    <w:semiHidden/>
    <w:unhideWhenUsed/>
    <w:qFormat/>
    <w:uiPriority w:val="99"/>
    <w:pPr>
      <w:jc w:val="left"/>
    </w:pPr>
  </w:style>
  <w:style w:type="paragraph" w:styleId="6">
    <w:name w:val="Balloon Text"/>
    <w:basedOn w:val="1"/>
    <w:link w:val="15"/>
    <w:semiHidden/>
    <w:unhideWhenUsed/>
    <w:qFormat/>
    <w:uiPriority w:val="99"/>
    <w:rPr>
      <w:sz w:val="18"/>
      <w:szCs w:val="18"/>
    </w:rPr>
  </w:style>
  <w:style w:type="paragraph" w:styleId="7">
    <w:name w:val="footer"/>
    <w:basedOn w:val="1"/>
    <w:link w:val="12"/>
    <w:unhideWhenUsed/>
    <w:qFormat/>
    <w:uiPriority w:val="99"/>
    <w:pPr>
      <w:tabs>
        <w:tab w:val="center" w:pos="4153"/>
        <w:tab w:val="right" w:pos="8306"/>
      </w:tabs>
      <w:snapToGrid w:val="0"/>
      <w:jc w:val="left"/>
    </w:pPr>
    <w:rPr>
      <w:sz w:val="18"/>
      <w:szCs w:val="18"/>
    </w:rPr>
  </w:style>
  <w:style w:type="paragraph" w:styleId="8">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1">
    <w:name w:val="页眉 Char"/>
    <w:basedOn w:val="10"/>
    <w:link w:val="8"/>
    <w:qFormat/>
    <w:uiPriority w:val="99"/>
    <w:rPr>
      <w:sz w:val="18"/>
      <w:szCs w:val="18"/>
    </w:rPr>
  </w:style>
  <w:style w:type="character" w:customStyle="1" w:styleId="12">
    <w:name w:val="页脚 Char"/>
    <w:basedOn w:val="10"/>
    <w:link w:val="7"/>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6"/>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22</Pages>
  <Words>9133</Words>
  <Characters>9600</Characters>
  <Lines>63</Lines>
  <Paragraphs>18</Paragraphs>
  <TotalTime>0</TotalTime>
  <ScaleCrop>false</ScaleCrop>
  <LinksUpToDate>false</LinksUpToDate>
  <CharactersWithSpaces>9614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李天乐</cp:lastModifiedBy>
  <cp:lastPrinted>2024-08-08T10:20:00Z</cp:lastPrinted>
  <dcterms:modified xsi:type="dcterms:W3CDTF">2025-11-17T12:15:37Z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EA488EF09E024D2A972FD637B1694D73</vt:lpwstr>
  </property>
  <property fmtid="{D5CDD505-2E9C-101B-9397-08002B2CF9AE}" pid="4" name="KSOTemplateDocerSaveRecord">
    <vt:lpwstr>eyJoZGlkIjoiYWNjNTk2OTRjYzEzNTI3Yzk4MDU3ZTg2ZjlhODM2NDAiLCJ1c2VySWQiOiIxNDkyNDM0OTU4In0=</vt:lpwstr>
  </property>
</Properties>
</file>