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6"/>
        <w:tblW w:w="9277" w:type="dxa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39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100.00%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2.09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2.92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2.92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2.09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2.92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2.92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1、“家乡的味道”华容推广活动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19.45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19.45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2、四上单位申报工作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78.5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78.5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3、本级专项资金（一个专项一行）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4082.06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4082.06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外贸稳增长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2023年粮食风险基金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366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粮油千亿产业工程专项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608.66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608.66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粮食发展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924.97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924.97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利息支出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1681.89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1681.89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工作经费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15.18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15.18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物流公司奖补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外贸稳增长，城市商业提升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343.06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343.06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真抓实干督查激励表扬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21.3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21.3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149.16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87.94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87.94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16.33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3.85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3.85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14.47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4.72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4.72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2.82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2.47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2.47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238.34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238.34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无楼堂馆所项目支出</w:t>
            </w: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8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 w:ascii="黑体" w:hAnsi="黑体" w:eastAsia="黑体" w:cs="黑体"/>
          <w:sz w:val="21"/>
          <w:szCs w:val="21"/>
          <w:lang w:val="en-US" w:eastAsia="zh-CN"/>
        </w:rPr>
      </w:pPr>
      <w:r>
        <w:rPr>
          <w:rFonts w:hint="eastAsia"/>
        </w:rPr>
        <w:t>填表人：</w:t>
      </w:r>
      <w:r>
        <w:rPr>
          <w:rFonts w:hint="eastAsia"/>
          <w:lang w:val="en-US" w:eastAsia="zh-CN"/>
        </w:rPr>
        <w:t>易文艳</w:t>
      </w:r>
      <w:r>
        <w:rPr>
          <w:rFonts w:hint="eastAsia"/>
        </w:rPr>
        <w:t xml:space="preserve"> 填报日期：</w:t>
      </w:r>
      <w:r>
        <w:rPr>
          <w:rFonts w:hint="eastAsia"/>
          <w:lang w:val="en-US" w:eastAsia="zh-CN"/>
        </w:rPr>
        <w:t>2024.5.28</w:t>
      </w:r>
      <w:r>
        <w:rPr>
          <w:rFonts w:hint="eastAsia"/>
        </w:rPr>
        <w:t xml:space="preserve">  联系电话：</w:t>
      </w:r>
      <w:r>
        <w:rPr>
          <w:rFonts w:hint="eastAsia"/>
          <w:lang w:val="en-US" w:eastAsia="zh-CN"/>
        </w:rPr>
        <w:t>15073036878</w:t>
      </w:r>
      <w:r>
        <w:rPr>
          <w:rFonts w:hint="eastAsia"/>
        </w:rPr>
        <w:t>单位负责人签字：</w:t>
      </w:r>
    </w:p>
    <w:p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8"/>
      </w:pPr>
    </w:p>
    <w:p/>
    <w:p>
      <w:pPr>
        <w:spacing w:before="223" w:line="218" w:lineRule="auto"/>
        <w:jc w:val="center"/>
        <w:rPr>
          <w:rFonts w:hint="eastAsia" w:ascii="黑体" w:hAnsi="黑体" w:eastAsia="黑体" w:cs="黑体"/>
          <w:spacing w:val="-1"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spacing w:val="-1"/>
          <w:sz w:val="52"/>
          <w:szCs w:val="52"/>
        </w:rPr>
        <w:t>2023年度</w:t>
      </w:r>
      <w:r>
        <w:rPr>
          <w:rFonts w:hint="eastAsia" w:ascii="黑体" w:hAnsi="黑体" w:eastAsia="黑体" w:cs="黑体"/>
          <w:spacing w:val="-1"/>
          <w:sz w:val="52"/>
          <w:szCs w:val="52"/>
          <w:lang w:val="en-US" w:eastAsia="zh-CN"/>
        </w:rPr>
        <w:t>华容县商务粮食局</w:t>
      </w:r>
    </w:p>
    <w:p>
      <w:pPr>
        <w:spacing w:before="223" w:line="218" w:lineRule="auto"/>
        <w:jc w:val="center"/>
        <w:rPr>
          <w:rFonts w:hint="eastAsia" w:ascii="黑体" w:hAnsi="黑体" w:eastAsia="黑体" w:cs="黑体"/>
          <w:sz w:val="52"/>
          <w:szCs w:val="52"/>
        </w:rPr>
      </w:pPr>
      <w:r>
        <w:rPr>
          <w:rFonts w:hint="eastAsia" w:ascii="黑体" w:hAnsi="黑体" w:eastAsia="黑体" w:cs="黑体"/>
          <w:spacing w:val="-1"/>
          <w:sz w:val="52"/>
          <w:szCs w:val="52"/>
        </w:rPr>
        <w:t>部门整体支出</w:t>
      </w:r>
    </w:p>
    <w:p>
      <w:pPr>
        <w:spacing w:before="1" w:line="183" w:lineRule="auto"/>
        <w:jc w:val="center"/>
        <w:rPr>
          <w:rFonts w:hint="eastAsia" w:ascii="黑体" w:hAnsi="黑体" w:eastAsia="黑体" w:cs="黑体"/>
          <w:sz w:val="52"/>
          <w:szCs w:val="52"/>
        </w:rPr>
      </w:pPr>
      <w:r>
        <w:rPr>
          <w:rFonts w:hint="eastAsia" w:ascii="黑体" w:hAnsi="黑体" w:eastAsia="黑体" w:cs="黑体"/>
          <w:spacing w:val="-3"/>
          <w:sz w:val="52"/>
          <w:szCs w:val="52"/>
        </w:rPr>
        <w:t>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年</w:t>
      </w:r>
      <w:r>
        <w:rPr>
          <w:rFonts w:hint="eastAsia" w:ascii="仿宋" w:hAnsi="仿宋" w:eastAsia="仿宋" w:cs="仿宋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月</w:t>
      </w:r>
      <w:r>
        <w:rPr>
          <w:rFonts w:hint="eastAsia" w:ascii="仿宋" w:hAnsi="仿宋" w:eastAsia="仿宋" w:cs="仿宋"/>
          <w:spacing w:val="43"/>
          <w:sz w:val="32"/>
          <w:szCs w:val="32"/>
          <w:lang w:val="en-US" w:eastAsia="zh-CN"/>
        </w:rPr>
        <w:t>28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5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8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pStyle w:val="8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pacing w:val="6"/>
          <w:sz w:val="44"/>
          <w:szCs w:val="44"/>
        </w:rPr>
        <w:t>2023年度</w:t>
      </w:r>
      <w:r>
        <w:rPr>
          <w:rFonts w:hint="eastAsia" w:ascii="黑体" w:hAnsi="黑体" w:eastAsia="黑体" w:cs="黑体"/>
          <w:spacing w:val="6"/>
          <w:sz w:val="44"/>
          <w:szCs w:val="44"/>
          <w:lang w:val="en-US" w:eastAsia="zh-CN"/>
        </w:rPr>
        <w:t>华容县商务粮食局</w:t>
      </w:r>
      <w:r>
        <w:rPr>
          <w:rFonts w:hint="eastAsia" w:ascii="黑体" w:hAnsi="黑体" w:eastAsia="黑体" w:cs="黑体"/>
          <w:spacing w:val="6"/>
          <w:sz w:val="44"/>
          <w:szCs w:val="44"/>
        </w:rPr>
        <w:t>部门整体支出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8"/>
      </w:pPr>
    </w:p>
    <w:p>
      <w:pPr>
        <w:numPr>
          <w:ilvl w:val="0"/>
          <w:numId w:val="1"/>
        </w:numPr>
        <w:spacing w:line="520" w:lineRule="exact"/>
        <w:ind w:firstLine="495" w:firstLineChars="150"/>
        <w:rPr>
          <w:rFonts w:hint="eastAsia" w:ascii="黑体" w:hAnsi="黑体" w:eastAsia="黑体" w:cs="黑体"/>
          <w:spacing w:val="5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spacing w:val="5"/>
          <w:sz w:val="32"/>
          <w:szCs w:val="32"/>
          <w:highlight w:val="none"/>
        </w:rPr>
        <w:t>部门基本情况</w:t>
      </w:r>
    </w:p>
    <w:p>
      <w:pPr>
        <w:numPr>
          <w:numId w:val="0"/>
        </w:numPr>
        <w:spacing w:line="520" w:lineRule="exact"/>
        <w:ind w:firstLine="560" w:firstLineChars="200"/>
        <w:rPr>
          <w:rFonts w:asciiTheme="minorEastAsia" w:hAnsiTheme="minorEastAsia" w:eastAsiaTheme="minorEastAsia"/>
          <w:color w:val="000000"/>
          <w:sz w:val="28"/>
          <w:szCs w:val="28"/>
          <w:highlight w:val="none"/>
        </w:rPr>
      </w:pP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</w:rPr>
        <w:t>商务粮食局是政府对内经外贸、商贸流通、粮食流通和储备实施一体化管理的综合职能部门，是财政全额预算拨款的行政单位。内设股室</w:t>
      </w:r>
      <w:r>
        <w:rPr>
          <w:rFonts w:asciiTheme="minorEastAsia" w:hAnsiTheme="minorEastAsia" w:eastAsiaTheme="minorEastAsia"/>
          <w:color w:val="000000"/>
          <w:sz w:val="28"/>
          <w:szCs w:val="28"/>
          <w:highlight w:val="none"/>
        </w:rPr>
        <w:t>15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</w:rPr>
        <w:t>个。即：办公室（加挂政策法规股）、</w:t>
      </w:r>
      <w:r>
        <w:rPr>
          <w:rFonts w:hint="eastAsia" w:asciiTheme="minorEastAsia" w:hAnsiTheme="minorEastAsia" w:eastAsiaTheme="minorEastAsia"/>
          <w:sz w:val="28"/>
          <w:szCs w:val="28"/>
          <w:highlight w:val="none"/>
        </w:rPr>
        <w:t>财务审计股</w:t>
      </w:r>
      <w:r>
        <w:rPr>
          <w:rFonts w:asciiTheme="minorEastAsia" w:hAnsiTheme="minorEastAsia" w:eastAsiaTheme="minorEastAsia"/>
          <w:sz w:val="28"/>
          <w:szCs w:val="28"/>
          <w:highlight w:val="none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  <w:highlight w:val="none"/>
        </w:rPr>
        <w:t>加挂国有资产管理股)、人事股、市场运行股</w:t>
      </w:r>
      <w:r>
        <w:rPr>
          <w:rFonts w:asciiTheme="minorEastAsia" w:hAnsiTheme="minorEastAsia" w:eastAsiaTheme="minorEastAsia"/>
          <w:sz w:val="28"/>
          <w:szCs w:val="28"/>
          <w:highlight w:val="none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  <w:highlight w:val="none"/>
        </w:rPr>
        <w:t>加挂成品油管理股</w:t>
      </w:r>
      <w:r>
        <w:rPr>
          <w:rFonts w:asciiTheme="minorEastAsia" w:hAnsiTheme="minorEastAsia" w:eastAsiaTheme="minorEastAsia"/>
          <w:sz w:val="28"/>
          <w:szCs w:val="28"/>
          <w:highlight w:val="none"/>
        </w:rPr>
        <w:t>)</w:t>
      </w:r>
      <w:r>
        <w:rPr>
          <w:rFonts w:hint="eastAsia" w:asciiTheme="minorEastAsia" w:hAnsiTheme="minorEastAsia" w:eastAsiaTheme="minorEastAsia"/>
          <w:sz w:val="28"/>
          <w:szCs w:val="28"/>
          <w:highlight w:val="none"/>
        </w:rPr>
        <w:t>、市场体系建设和秩序股、商贸服务股</w:t>
      </w:r>
      <w:r>
        <w:rPr>
          <w:rFonts w:asciiTheme="minorEastAsia" w:hAnsiTheme="minorEastAsia" w:eastAsiaTheme="minorEastAsia"/>
          <w:sz w:val="28"/>
          <w:szCs w:val="28"/>
          <w:highlight w:val="none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  <w:highlight w:val="none"/>
        </w:rPr>
        <w:t>加挂电子商务股</w:t>
      </w:r>
      <w:r>
        <w:rPr>
          <w:rFonts w:asciiTheme="minorEastAsia" w:hAnsiTheme="minorEastAsia" w:eastAsiaTheme="minorEastAsia"/>
          <w:sz w:val="28"/>
          <w:szCs w:val="28"/>
          <w:highlight w:val="none"/>
        </w:rPr>
        <w:t>)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</w:rPr>
        <w:t>、</w:t>
      </w:r>
      <w:r>
        <w:rPr>
          <w:rFonts w:hint="eastAsia" w:asciiTheme="minorEastAsia" w:hAnsiTheme="minorEastAsia" w:eastAsiaTheme="minorEastAsia"/>
          <w:sz w:val="28"/>
          <w:szCs w:val="28"/>
          <w:highlight w:val="none"/>
        </w:rPr>
        <w:t>外经外贸股</w:t>
      </w:r>
      <w:r>
        <w:rPr>
          <w:rFonts w:asciiTheme="minorEastAsia" w:hAnsiTheme="minorEastAsia" w:eastAsiaTheme="minorEastAsia"/>
          <w:sz w:val="28"/>
          <w:szCs w:val="28"/>
          <w:highlight w:val="none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  <w:highlight w:val="none"/>
        </w:rPr>
        <w:t>加挂对外劳务服务中心</w:t>
      </w:r>
      <w:r>
        <w:rPr>
          <w:rFonts w:asciiTheme="minorEastAsia" w:hAnsiTheme="minorEastAsia" w:eastAsiaTheme="minorEastAsia"/>
          <w:sz w:val="28"/>
          <w:szCs w:val="28"/>
          <w:highlight w:val="none"/>
        </w:rPr>
        <w:t>)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</w:rPr>
        <w:t>、</w:t>
      </w:r>
      <w:r>
        <w:rPr>
          <w:rFonts w:hint="eastAsia" w:asciiTheme="minorEastAsia" w:hAnsiTheme="minorEastAsia" w:eastAsiaTheme="minorEastAsia"/>
          <w:sz w:val="28"/>
          <w:szCs w:val="28"/>
          <w:highlight w:val="none"/>
        </w:rPr>
        <w:t>粮食调控和储备股、粮食行业发展和监督检查股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</w:rPr>
        <w:t>成品油管理股。现有人员编制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  <w:lang w:val="en-US" w:eastAsia="zh-CN"/>
        </w:rPr>
        <w:t>39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</w:rPr>
        <w:t>名，</w:t>
      </w:r>
      <w:r>
        <w:rPr>
          <w:rFonts w:asciiTheme="minorEastAsia" w:hAnsiTheme="minorEastAsia" w:eastAsiaTheme="minorEastAsia"/>
          <w:color w:val="000000"/>
          <w:sz w:val="28"/>
          <w:szCs w:val="28"/>
          <w:highlight w:val="none"/>
        </w:rPr>
        <w:t>(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</w:rPr>
        <w:t>其中：行政编制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  <w:lang w:val="en-US" w:eastAsia="zh-CN"/>
        </w:rPr>
        <w:t>12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</w:rPr>
        <w:t>名；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  <w:lang w:val="en-US" w:eastAsia="zh-CN"/>
        </w:rPr>
        <w:t>事业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</w:rPr>
        <w:t>编制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  <w:lang w:val="en-US" w:eastAsia="zh-CN"/>
        </w:rPr>
        <w:t>27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</w:rPr>
        <w:t>名</w:t>
      </w:r>
      <w:r>
        <w:rPr>
          <w:rFonts w:asciiTheme="minorEastAsia" w:hAnsiTheme="minorEastAsia" w:eastAsiaTheme="minorEastAsia"/>
          <w:color w:val="000000"/>
          <w:sz w:val="28"/>
          <w:szCs w:val="28"/>
          <w:highlight w:val="none"/>
        </w:rPr>
        <w:t>)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</w:rPr>
        <w:t>。</w:t>
      </w:r>
    </w:p>
    <w:p>
      <w:pPr>
        <w:pStyle w:val="8"/>
        <w:numPr>
          <w:ilvl w:val="0"/>
          <w:numId w:val="0"/>
        </w:numPr>
        <w:rPr>
          <w:rFonts w:hint="default"/>
          <w:highlight w:val="none"/>
        </w:rPr>
      </w:pPr>
    </w:p>
    <w:p>
      <w:pPr>
        <w:spacing w:before="101" w:line="228" w:lineRule="auto"/>
        <w:ind w:left="648"/>
        <w:rPr>
          <w:rFonts w:hint="eastAsia" w:ascii="黑体" w:hAnsi="黑体" w:eastAsia="黑体" w:cs="黑体"/>
          <w:sz w:val="32"/>
          <w:szCs w:val="32"/>
          <w:highlight w:val="none"/>
        </w:rPr>
      </w:pPr>
    </w:p>
    <w:p>
      <w:pPr>
        <w:spacing w:before="216" w:line="226" w:lineRule="auto"/>
        <w:ind w:firstLine="316" w:firstLineChars="100"/>
        <w:rPr>
          <w:rFonts w:hint="eastAsia" w:ascii="黑体" w:hAnsi="黑体" w:eastAsia="黑体" w:cs="黑体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spacing w:val="-2"/>
          <w:sz w:val="32"/>
          <w:szCs w:val="32"/>
          <w:highlight w:val="none"/>
        </w:rPr>
        <w:t>二、一般公共预算支出情况</w:t>
      </w:r>
    </w:p>
    <w:p>
      <w:pPr>
        <w:pStyle w:val="1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643" w:firstLineChars="200"/>
        <w:jc w:val="both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  <w:highlight w:val="none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  <w:highlight w:val="none"/>
        </w:rPr>
        <w:t>（一）基本支出情况</w:t>
      </w:r>
    </w:p>
    <w:p>
      <w:pPr>
        <w:pStyle w:val="1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560" w:firstLineChars="200"/>
        <w:jc w:val="both"/>
        <w:textAlignment w:val="auto"/>
        <w:rPr>
          <w:rFonts w:hint="default" w:ascii="Times New Roman" w:hAnsi="Times New Roman" w:eastAsia="黑体" w:cs="Times New Roman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highlight w:val="none"/>
          <w14:textFill>
            <w14:solidFill>
              <w14:schemeClr w14:val="tx1"/>
            </w14:solidFill>
          </w14:textFill>
        </w:rPr>
        <w:t>基本支出主要用于为保障机构正常运转、完成日常工作任务而发生的费用支出，包括人员经费支出和公用经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费支出。</w:t>
      </w:r>
      <w:r>
        <w:rPr>
          <w:rFonts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23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年基本支出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566.9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万元：其中：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人员经费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支出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478.96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万元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，公用经费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支出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87.94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万元。</w:t>
      </w:r>
    </w:p>
    <w:p>
      <w:pPr>
        <w:pStyle w:val="2"/>
        <w:ind w:left="0" w:leftChars="0" w:firstLine="0" w:firstLineChars="0"/>
        <w:rPr>
          <w:rFonts w:hint="eastAsia" w:ascii="楷体_GB2312" w:hAnsi="楷体_GB2312" w:eastAsia="楷体_GB2312" w:cs="楷体_GB2312"/>
          <w:b/>
          <w:bCs/>
          <w:sz w:val="32"/>
          <w:szCs w:val="32"/>
          <w:highlight w:val="yellow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  <w:highlight w:val="none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  <w:highlight w:val="none"/>
        </w:rPr>
        <w:t>项目支出情况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  <w:highlight w:val="yellow"/>
        </w:rPr>
      </w:pP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项目支出是县政府安排的特定行政工作任务而发生的支出，主要包括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债务利息支出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限上企业培育奖励资金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县粮食风险补贴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冷冻猪肉补贴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标准化储备仓建设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等。</w:t>
      </w:r>
      <w:r>
        <w:rPr>
          <w:rFonts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23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年项目总支出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4180.01</w:t>
      </w:r>
      <w:r>
        <w:rPr>
          <w:rFonts w:hint="eastAsia" w:asciiTheme="minorEastAsia" w:hAnsiTheme="minorEastAsia" w:eastAsiaTheme="minor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万元。</w:t>
      </w:r>
    </w:p>
    <w:p>
      <w:pPr>
        <w:numPr>
          <w:numId w:val="0"/>
        </w:numPr>
        <w:spacing w:before="224" w:line="227" w:lineRule="auto"/>
        <w:ind w:leftChars="150" w:firstLine="336" w:firstLineChars="100"/>
        <w:rPr>
          <w:rFonts w:hint="eastAsia" w:ascii="黑体" w:hAnsi="黑体" w:eastAsia="黑体" w:cs="黑体"/>
          <w:spacing w:val="8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spacing w:val="8"/>
          <w:sz w:val="32"/>
          <w:szCs w:val="32"/>
          <w:highlight w:val="none"/>
          <w:lang w:val="en-US" w:eastAsia="zh-CN"/>
        </w:rPr>
        <w:t>三、</w:t>
      </w:r>
      <w:r>
        <w:rPr>
          <w:rFonts w:hint="eastAsia" w:ascii="黑体" w:hAnsi="黑体" w:eastAsia="黑体" w:cs="黑体"/>
          <w:spacing w:val="8"/>
          <w:sz w:val="32"/>
          <w:szCs w:val="32"/>
          <w:highlight w:val="none"/>
        </w:rPr>
        <w:t>政府性基金预算支出情况</w:t>
      </w:r>
    </w:p>
    <w:p>
      <w:pPr>
        <w:pStyle w:val="2"/>
        <w:numPr>
          <w:numId w:val="0"/>
        </w:numPr>
        <w:ind w:leftChars="150"/>
        <w:rPr>
          <w:rFonts w:hint="default" w:cs="Times New Roman" w:asciiTheme="minorEastAsia" w:hAnsiTheme="minorEastAsia" w:eastAsiaTheme="minorEastAsia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/>
          <w:lang w:val="en-US" w:eastAsia="zh-CN"/>
        </w:rPr>
        <w:t xml:space="preserve">   </w:t>
      </w:r>
      <w:r>
        <w:rPr>
          <w:rFonts w:hint="eastAsia" w:cs="Times New Roman" w:asciiTheme="minorEastAsia" w:hAnsiTheme="minorEastAsia" w:eastAsiaTheme="minorEastAsia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 xml:space="preserve">  无政府性基金支出</w:t>
      </w:r>
    </w:p>
    <w:p>
      <w:pPr>
        <w:numPr>
          <w:ilvl w:val="0"/>
          <w:numId w:val="3"/>
        </w:numPr>
        <w:spacing w:before="219" w:line="600" w:lineRule="exact"/>
        <w:ind w:left="662"/>
        <w:rPr>
          <w:rFonts w:hint="eastAsia" w:ascii="黑体" w:hAnsi="黑体" w:eastAsia="黑体" w:cs="黑体"/>
          <w:spacing w:val="7"/>
          <w:position w:val="21"/>
          <w:sz w:val="32"/>
          <w:szCs w:val="32"/>
          <w:highlight w:val="yellow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  <w:highlight w:val="yellow"/>
        </w:rPr>
        <w:t>国有资本经营预算支出情况</w:t>
      </w:r>
    </w:p>
    <w:p>
      <w:pPr>
        <w:pStyle w:val="2"/>
        <w:numPr>
          <w:ilvl w:val="0"/>
          <w:numId w:val="0"/>
        </w:numPr>
        <w:ind w:leftChars="150" w:firstLine="280" w:firstLineChars="100"/>
        <w:rPr>
          <w:rFonts w:hint="default" w:cs="Times New Roman" w:asciiTheme="minorEastAsia" w:hAnsiTheme="minorEastAsia" w:eastAsiaTheme="minorEastAsia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cs="Times New Roman" w:asciiTheme="minorEastAsia" w:hAnsiTheme="minorEastAsia" w:eastAsiaTheme="minorEastAsia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粮食发展资金项目实施主体责任单位根据项目计划，分阶段落实项目建设任务，全程明确专人负责。项目协调小组和领导小组一月一督查、一季度一讲评。对照责任状和项目计划，采取现场勘查、设备清点、资料查阅、财务审计等措施，逐项进行检查验收。逐单位组织绩效评价，对全县的年度项目推进情况进行了整体评估。</w:t>
      </w:r>
    </w:p>
    <w:p>
      <w:pPr>
        <w:numPr>
          <w:ilvl w:val="0"/>
          <w:numId w:val="3"/>
        </w:numPr>
        <w:spacing w:line="227" w:lineRule="auto"/>
        <w:ind w:left="662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  <w:highlight w:val="yellow"/>
        </w:rPr>
      </w:pPr>
      <w:r>
        <w:rPr>
          <w:rFonts w:hint="eastAsia" w:ascii="黑体" w:hAnsi="黑体" w:eastAsia="黑体" w:cs="黑体"/>
          <w:spacing w:val="8"/>
          <w:sz w:val="32"/>
          <w:szCs w:val="32"/>
          <w:highlight w:val="yellow"/>
        </w:rPr>
        <w:t>社会保险基金预算支出情况</w:t>
      </w:r>
    </w:p>
    <w:p>
      <w:pPr>
        <w:pStyle w:val="2"/>
        <w:numPr>
          <w:ilvl w:val="0"/>
          <w:numId w:val="0"/>
        </w:numPr>
        <w:ind w:leftChars="150" w:firstLine="560" w:firstLineChars="200"/>
        <w:rPr>
          <w:rFonts w:hint="default" w:cs="Times New Roman" w:asciiTheme="minorEastAsia" w:hAnsiTheme="minorEastAsia" w:eastAsiaTheme="minorEastAsia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cs="Times New Roman" w:asciiTheme="minorEastAsia" w:hAnsiTheme="minorEastAsia" w:eastAsiaTheme="minorEastAsia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无社会保险基金支出</w:t>
      </w:r>
    </w:p>
    <w:p>
      <w:pPr>
        <w:spacing w:before="219" w:line="226" w:lineRule="auto"/>
        <w:ind w:left="653"/>
        <w:rPr>
          <w:rFonts w:hint="eastAsia" w:ascii="黑体" w:hAnsi="黑体" w:eastAsia="黑体" w:cs="黑体"/>
          <w:spacing w:val="8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spacing w:val="8"/>
          <w:sz w:val="32"/>
          <w:szCs w:val="32"/>
          <w:highlight w:val="none"/>
        </w:rPr>
        <w:t>六、部门整体支出绩效情况</w:t>
      </w:r>
    </w:p>
    <w:p>
      <w:pPr>
        <w:spacing w:before="219" w:line="226" w:lineRule="auto"/>
        <w:ind w:left="653"/>
        <w:rPr>
          <w:rFonts w:hint="eastAsia" w:asciiTheme="minorEastAsia" w:hAnsiTheme="minorEastAsia" w:eastAsiaTheme="minorEastAsia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  <w:lang w:val="en-US" w:eastAsia="zh-CN"/>
        </w:rPr>
        <w:t>2023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highlight w:val="none"/>
        </w:rPr>
        <w:t>年，根据局年初工作规划和重点性工作，围绕县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委、县政府“六大工程”和“四大会战”工作任务，积极履职，强化管理，较好的完成了年度工作目标。通过加强预算收支的管理，不断建立健全内部管理制度，梳理内部管理流程，部门整体支出管理情况得到了提升</w:t>
      </w:r>
    </w:p>
    <w:p>
      <w:pPr>
        <w:spacing w:before="219" w:line="226" w:lineRule="auto"/>
        <w:ind w:left="653"/>
        <w:rPr>
          <w:rFonts w:hint="eastAsia" w:ascii="黑体" w:hAnsi="黑体" w:eastAsia="黑体" w:cs="黑体"/>
          <w:spacing w:val="8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spacing w:val="8"/>
          <w:sz w:val="32"/>
          <w:szCs w:val="32"/>
          <w:highlight w:val="none"/>
        </w:rPr>
        <w:t>七、存在的问题及原因分析</w:t>
      </w:r>
    </w:p>
    <w:p>
      <w:pPr>
        <w:spacing w:line="520" w:lineRule="exact"/>
        <w:ind w:firstLine="840" w:firstLineChars="300"/>
        <w:rPr>
          <w:rFonts w:asciiTheme="minorEastAsia" w:hAnsiTheme="minorEastAsia" w:eastAsiaTheme="minorEastAsia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通过对我局整体支出情况的分析，反映出目前在整体支出的预算编制、执行和管理过程中，依然存在一些问题和不足；针对这些不足，我局将积极采取改进措施，持续改进，不断规范和强化管理。</w:t>
      </w:r>
    </w:p>
    <w:p>
      <w:pPr>
        <w:spacing w:line="520" w:lineRule="exact"/>
        <w:ind w:firstLine="420" w:firstLineChars="150"/>
        <w:rPr>
          <w:rFonts w:asciiTheme="minorEastAsia" w:hAnsiTheme="minorEastAsia" w:eastAsiaTheme="minorEastAsia"/>
          <w:color w:val="000000"/>
          <w:sz w:val="28"/>
          <w:szCs w:val="28"/>
        </w:rPr>
      </w:pPr>
      <w:r>
        <w:rPr>
          <w:rFonts w:asciiTheme="minorEastAsia" w:hAnsiTheme="minorEastAsia" w:eastAsiaTheme="minorEastAsia"/>
          <w:color w:val="000000"/>
          <w:sz w:val="28"/>
          <w:szCs w:val="28"/>
        </w:rPr>
        <w:t>1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、年度预算编制有待进一步加强，支出严格按预算执行。</w:t>
      </w:r>
    </w:p>
    <w:p>
      <w:pPr>
        <w:spacing w:line="520" w:lineRule="exact"/>
        <w:ind w:firstLine="420" w:firstLineChars="150"/>
        <w:rPr>
          <w:rFonts w:asciiTheme="minorEastAsia" w:hAnsiTheme="minorEastAsia" w:eastAsiaTheme="minorEastAsia"/>
          <w:color w:val="000000"/>
          <w:sz w:val="28"/>
          <w:szCs w:val="28"/>
        </w:rPr>
      </w:pPr>
      <w:r>
        <w:rPr>
          <w:rFonts w:asciiTheme="minorEastAsia" w:hAnsiTheme="minorEastAsia" w:eastAsiaTheme="minorEastAsia"/>
          <w:color w:val="000000"/>
          <w:sz w:val="28"/>
          <w:szCs w:val="28"/>
        </w:rPr>
        <w:t>2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、本年项目任务多，项目资金申请工作需与财政等相关部门加强联系。</w:t>
      </w:r>
    </w:p>
    <w:p>
      <w:pPr>
        <w:spacing w:line="520" w:lineRule="exact"/>
        <w:ind w:firstLine="420" w:firstLineChars="150"/>
        <w:rPr>
          <w:rFonts w:hint="eastAsia" w:asciiTheme="minorEastAsia" w:hAnsiTheme="minorEastAsia" w:eastAsiaTheme="minorEastAsia"/>
          <w:color w:val="000000"/>
          <w:sz w:val="28"/>
          <w:szCs w:val="28"/>
          <w:lang w:val="en-US" w:eastAsia="zh-CN"/>
        </w:rPr>
      </w:pPr>
      <w:r>
        <w:rPr>
          <w:rFonts w:asciiTheme="minorEastAsia" w:hAnsiTheme="minorEastAsia" w:eastAsiaTheme="minorEastAsia"/>
          <w:color w:val="000000"/>
          <w:sz w:val="28"/>
          <w:szCs w:val="28"/>
        </w:rPr>
        <w:t>3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、单位各项内部控制管理制度有待进一步完善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lang w:eastAsia="zh-CN"/>
        </w:rPr>
        <w:t>。</w:t>
      </w:r>
    </w:p>
    <w:p>
      <w:pPr>
        <w:spacing w:before="220" w:line="600" w:lineRule="exact"/>
        <w:ind w:left="641"/>
        <w:rPr>
          <w:rFonts w:hint="eastAsia" w:ascii="黑体" w:hAnsi="黑体" w:eastAsia="黑体" w:cs="黑体"/>
          <w:sz w:val="32"/>
          <w:szCs w:val="32"/>
          <w:highlight w:val="yellow"/>
        </w:rPr>
      </w:pPr>
    </w:p>
    <w:p>
      <w:pPr>
        <w:numPr>
          <w:ilvl w:val="0"/>
          <w:numId w:val="4"/>
        </w:numPr>
        <w:spacing w:line="520" w:lineRule="exact"/>
        <w:ind w:left="0" w:leftChars="0" w:firstLine="766" w:firstLineChars="228"/>
        <w:rPr>
          <w:rFonts w:hint="eastAsia" w:ascii="黑体" w:hAnsi="黑体" w:eastAsia="黑体" w:cs="黑体"/>
          <w:spacing w:val="8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spacing w:val="8"/>
          <w:sz w:val="32"/>
          <w:szCs w:val="32"/>
          <w:highlight w:val="none"/>
        </w:rPr>
        <w:t>下一步改进措施</w:t>
      </w:r>
    </w:p>
    <w:p>
      <w:pPr>
        <w:numPr>
          <w:numId w:val="0"/>
        </w:numPr>
        <w:spacing w:line="520" w:lineRule="exact"/>
        <w:ind w:leftChars="228" w:firstLine="280" w:firstLineChars="100"/>
        <w:rPr>
          <w:rFonts w:asciiTheme="minorEastAsia" w:hAnsiTheme="minorEastAsia" w:eastAsiaTheme="minorEastAsia"/>
          <w:color w:val="000000"/>
          <w:sz w:val="28"/>
          <w:szCs w:val="28"/>
        </w:rPr>
      </w:pPr>
      <w:r>
        <w:rPr>
          <w:rFonts w:asciiTheme="minorEastAsia" w:hAnsiTheme="minorEastAsia" w:eastAsiaTheme="minorEastAsia"/>
          <w:color w:val="000000"/>
          <w:sz w:val="28"/>
          <w:szCs w:val="28"/>
        </w:rPr>
        <w:t>1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、科学合理编制预算，严格执行预算。建议按照《预算法》及其实施条例的相关规定，参考上一年的预算执行情况和年度的收支预测科学编制预算。</w:t>
      </w:r>
    </w:p>
    <w:p>
      <w:pPr>
        <w:spacing w:line="520" w:lineRule="exact"/>
        <w:rPr>
          <w:rFonts w:asciiTheme="minorEastAsia" w:hAnsiTheme="minorEastAsia" w:eastAsiaTheme="minorEastAsia"/>
          <w:color w:val="000000"/>
          <w:sz w:val="28"/>
          <w:szCs w:val="28"/>
        </w:rPr>
      </w:pPr>
      <w:r>
        <w:rPr>
          <w:rFonts w:asciiTheme="minorEastAsia" w:hAnsiTheme="minorEastAsia" w:eastAsiaTheme="minorEastAsia"/>
          <w:color w:val="000000"/>
          <w:sz w:val="28"/>
          <w:szCs w:val="28"/>
        </w:rPr>
        <w:t>  2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、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lang w:eastAsia="zh-CN"/>
        </w:rPr>
        <w:t>进一步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加强财务管理，严格财务审核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lang w:eastAsia="zh-CN"/>
        </w:rPr>
        <w:t>。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按照实际的费用支出内容进行财务核算，在预算金额内严格控制费用的支出，控制超支现象的发生。</w:t>
      </w:r>
    </w:p>
    <w:p>
      <w:pPr>
        <w:spacing w:line="520" w:lineRule="exact"/>
        <w:ind w:firstLine="560" w:firstLineChars="200"/>
        <w:rPr>
          <w:rFonts w:hint="eastAsia" w:ascii="黑体" w:hAnsi="黑体" w:eastAsia="黑体" w:cs="黑体"/>
          <w:bCs/>
          <w:sz w:val="28"/>
          <w:szCs w:val="28"/>
        </w:rPr>
      </w:pPr>
      <w:r>
        <w:rPr>
          <w:rFonts w:asciiTheme="minorEastAsia" w:hAnsiTheme="minorEastAsia" w:eastAsiaTheme="minorEastAsia"/>
          <w:color w:val="000000"/>
          <w:sz w:val="28"/>
          <w:szCs w:val="28"/>
        </w:rPr>
        <w:t>3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、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lang w:eastAsia="zh-CN"/>
        </w:rPr>
        <w:t>进一步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完善管理制度。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lang w:eastAsia="zh-CN"/>
        </w:rPr>
        <w:t>认真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贯彻落实中央“八项规定”，建立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lang w:eastAsia="zh-CN"/>
        </w:rPr>
        <w:t>健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全新的财务管理制度，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lang w:eastAsia="zh-CN"/>
        </w:rPr>
        <w:t>严控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“三公”经费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lang w:eastAsia="zh-CN"/>
        </w:rPr>
        <w:t>使用，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</w:rPr>
        <w:t>规范支出标准与范围</w:t>
      </w:r>
      <w:r>
        <w:rPr>
          <w:rFonts w:hint="eastAsia" w:asciiTheme="minorEastAsia" w:hAnsiTheme="minorEastAsia" w:eastAsiaTheme="minorEastAsia"/>
          <w:color w:val="000000"/>
          <w:sz w:val="28"/>
          <w:szCs w:val="28"/>
          <w:lang w:eastAsia="zh-CN"/>
        </w:rPr>
        <w:t>。</w:t>
      </w:r>
    </w:p>
    <w:p>
      <w:pPr>
        <w:spacing w:line="227" w:lineRule="auto"/>
        <w:ind w:left="643"/>
        <w:rPr>
          <w:rFonts w:hint="eastAsia" w:ascii="黑体" w:hAnsi="黑体" w:eastAsia="黑体" w:cs="黑体"/>
          <w:sz w:val="32"/>
          <w:szCs w:val="32"/>
          <w:highlight w:val="yellow"/>
        </w:rPr>
      </w:pPr>
    </w:p>
    <w:p>
      <w:pPr>
        <w:numPr>
          <w:ilvl w:val="0"/>
          <w:numId w:val="4"/>
        </w:numPr>
        <w:spacing w:before="219" w:line="600" w:lineRule="exact"/>
        <w:ind w:left="0" w:leftChars="0" w:firstLine="770" w:firstLineChars="228"/>
        <w:rPr>
          <w:rFonts w:hint="eastAsia" w:ascii="黑体" w:hAnsi="黑体" w:eastAsia="黑体" w:cs="黑体"/>
          <w:spacing w:val="8"/>
          <w:position w:val="21"/>
          <w:sz w:val="32"/>
          <w:szCs w:val="32"/>
          <w:highlight w:val="yellow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  <w:highlight w:val="yellow"/>
        </w:rPr>
        <w:t>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  <w:highlight w:val="yellow"/>
        </w:rPr>
        <w:t>情况</w:t>
      </w:r>
    </w:p>
    <w:p>
      <w:pPr>
        <w:pStyle w:val="2"/>
        <w:numPr>
          <w:numId w:val="0"/>
        </w:numPr>
        <w:ind w:leftChars="228" w:firstLine="560" w:firstLineChars="200"/>
        <w:rPr>
          <w:rFonts w:hint="eastAsia" w:cs="Times New Roman" w:asciiTheme="minorEastAsia" w:hAnsiTheme="minorEastAsia" w:eastAsiaTheme="minorEastAsia"/>
          <w:color w:val="000000"/>
          <w:kern w:val="2"/>
          <w:sz w:val="28"/>
          <w:szCs w:val="28"/>
          <w:lang w:val="en-US" w:eastAsia="zh-CN" w:bidi="ar-SA"/>
        </w:rPr>
      </w:pPr>
      <w:r>
        <w:rPr>
          <w:rFonts w:hint="eastAsia" w:cs="Times New Roman" w:asciiTheme="minorEastAsia" w:hAnsiTheme="minorEastAsia" w:eastAsiaTheme="minorEastAsia"/>
          <w:color w:val="000000"/>
          <w:kern w:val="2"/>
          <w:sz w:val="28"/>
          <w:szCs w:val="28"/>
          <w:lang w:val="en-US" w:eastAsia="zh-CN" w:bidi="ar-SA"/>
        </w:rPr>
        <w:t>一是加</w:t>
      </w:r>
      <w:r>
        <w:rPr>
          <w:rFonts w:hint="eastAsia" w:cs="Times New Roman" w:asciiTheme="minorEastAsia" w:hAnsiTheme="minorEastAsia" w:eastAsiaTheme="minorEastAsia"/>
          <w:color w:val="000000"/>
          <w:kern w:val="2"/>
          <w:sz w:val="28"/>
          <w:szCs w:val="28"/>
          <w:lang w:val="en-US" w:eastAsia="zh-CN" w:bidi="ar-SA"/>
        </w:rPr>
        <w:t>强项目责任分解，各项目实施主体按照“六个落实”的要求，以法人代表的名义向华容县商务粮食局递交了《目标责任书》，围绕建设内容</w:t>
      </w:r>
      <w:r>
        <w:rPr>
          <w:rFonts w:hint="eastAsia" w:cs="Times New Roman" w:asciiTheme="minorEastAsia" w:hAnsiTheme="minorEastAsia" w:eastAsiaTheme="minorEastAsia"/>
          <w:color w:val="00000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 w:asciiTheme="minorEastAsia" w:hAnsiTheme="minorEastAsia" w:eastAsiaTheme="minorEastAsia"/>
          <w:color w:val="000000"/>
          <w:kern w:val="2"/>
          <w:sz w:val="28"/>
          <w:szCs w:val="28"/>
          <w:lang w:val="en-US" w:eastAsia="zh-CN" w:bidi="ar-SA"/>
        </w:rPr>
        <w:t>标准要求、配套资金</w:t>
      </w:r>
      <w:r>
        <w:rPr>
          <w:rFonts w:hint="eastAsia" w:cs="Times New Roman" w:asciiTheme="minorEastAsia" w:hAnsiTheme="minorEastAsia" w:eastAsiaTheme="minorEastAsia"/>
          <w:color w:val="000000"/>
          <w:kern w:val="2"/>
          <w:sz w:val="28"/>
          <w:szCs w:val="28"/>
          <w:lang w:val="en-US" w:eastAsia="zh-CN" w:bidi="ar-SA"/>
        </w:rPr>
        <w:t>、预期绩效等估摸了具体、明确的承诺。</w:t>
      </w:r>
    </w:p>
    <w:p>
      <w:pPr>
        <w:pStyle w:val="2"/>
        <w:numPr>
          <w:numId w:val="0"/>
        </w:numPr>
        <w:ind w:leftChars="228" w:firstLine="560" w:firstLineChars="200"/>
        <w:rPr>
          <w:rFonts w:hint="eastAsia" w:cs="Times New Roman" w:asciiTheme="minorEastAsia" w:hAnsiTheme="minorEastAsia" w:eastAsiaTheme="minorEastAsia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cs="Times New Roman" w:asciiTheme="minorEastAsia" w:hAnsiTheme="minorEastAsia" w:eastAsiaTheme="minorEastAsia"/>
          <w:color w:val="000000"/>
          <w:kern w:val="2"/>
          <w:sz w:val="28"/>
          <w:szCs w:val="28"/>
          <w:lang w:val="en-US" w:eastAsia="zh-CN" w:bidi="ar-SA"/>
        </w:rPr>
        <w:t>二是加强项目执行督查，县商务粮食局的主要领导多次深入企业现场指导，督查督办，</w:t>
      </w:r>
      <w:r>
        <w:rPr>
          <w:rFonts w:hint="eastAsia" w:cs="Times New Roman" w:asciiTheme="minorEastAsia" w:hAnsiTheme="minorEastAsia" w:eastAsiaTheme="minorEastAsia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一月一督查、一季度一讲评。都起到了较好的效果。</w:t>
      </w:r>
    </w:p>
    <w:p>
      <w:pPr>
        <w:pStyle w:val="2"/>
        <w:numPr>
          <w:numId w:val="0"/>
        </w:numPr>
        <w:ind w:leftChars="228" w:firstLine="840" w:firstLineChars="300"/>
        <w:rPr>
          <w:rFonts w:hint="default" w:cs="Times New Roman" w:asciiTheme="minorEastAsia" w:hAnsiTheme="minorEastAsia" w:eastAsiaTheme="minorEastAsia"/>
          <w:color w:val="000000"/>
          <w:kern w:val="2"/>
          <w:sz w:val="28"/>
          <w:szCs w:val="28"/>
          <w:lang w:val="en-US" w:eastAsia="zh-CN" w:bidi="ar-SA"/>
        </w:rPr>
      </w:pPr>
      <w:bookmarkStart w:id="0" w:name="_GoBack"/>
      <w:bookmarkEnd w:id="0"/>
      <w:r>
        <w:rPr>
          <w:rFonts w:hint="eastAsia" w:cs="Times New Roman" w:asciiTheme="minorEastAsia" w:hAnsiTheme="minorEastAsia" w:eastAsiaTheme="minorEastAsia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三是围绕15个预期绩效指标，组织项目实施主体培训，明确了方法和路径，引导企业有的放矢、创造性地开展工作，确保了投入到位，工作到位。</w:t>
      </w:r>
    </w:p>
    <w:p>
      <w:pPr>
        <w:spacing w:line="226" w:lineRule="auto"/>
        <w:ind w:left="647"/>
        <w:rPr>
          <w:rFonts w:hint="eastAsia" w:ascii="黑体" w:hAnsi="黑体" w:eastAsia="黑体" w:cs="黑体"/>
          <w:spacing w:val="-3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spacing w:val="-3"/>
          <w:sz w:val="32"/>
          <w:szCs w:val="32"/>
          <w:highlight w:val="none"/>
        </w:rPr>
        <w:t>十、其他需要说明的情况</w:t>
      </w:r>
    </w:p>
    <w:p>
      <w:pPr>
        <w:ind w:firstLine="1824" w:firstLineChars="600"/>
        <w:rPr>
          <w:rFonts w:hint="eastAsia" w:ascii="黑体" w:hAnsi="黑体" w:eastAsia="黑体" w:cs="黑体"/>
          <w:spacing w:val="-3"/>
          <w:sz w:val="31"/>
          <w:szCs w:val="31"/>
          <w:highlight w:val="none"/>
          <w:lang w:val="en-US" w:eastAsia="zh-CN"/>
        </w:rPr>
      </w:pPr>
      <w:r>
        <w:rPr>
          <w:rFonts w:hint="eastAsia" w:ascii="黑体" w:hAnsi="黑体" w:eastAsia="黑体" w:cs="黑体"/>
          <w:spacing w:val="-3"/>
          <w:sz w:val="31"/>
          <w:szCs w:val="31"/>
          <w:highlight w:val="none"/>
          <w:lang w:val="en-US" w:eastAsia="zh-CN"/>
        </w:rPr>
        <w:t>无</w:t>
      </w:r>
    </w:p>
    <w:p>
      <w:pPr>
        <w:jc w:val="both"/>
        <w:rPr>
          <w:rFonts w:hint="default" w:ascii="Times New Roman" w:hAnsi="Times New Roman" w:eastAsia="方正小标宋_GBK" w:cs="Times New Roman"/>
          <w:sz w:val="52"/>
          <w:szCs w:val="52"/>
          <w:highlight w:val="none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4</w:t>
      </w:r>
    </w:p>
    <w:p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2023年度部门整体支出绩效自评表</w:t>
      </w:r>
    </w:p>
    <w:p>
      <w:pPr>
        <w:spacing w:line="132" w:lineRule="exact"/>
      </w:pPr>
    </w:p>
    <w:tbl>
      <w:tblPr>
        <w:tblStyle w:val="16"/>
        <w:tblW w:w="5059" w:type="pct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20"/>
        <w:gridCol w:w="987"/>
        <w:gridCol w:w="960"/>
        <w:gridCol w:w="32"/>
        <w:gridCol w:w="989"/>
        <w:gridCol w:w="1053"/>
        <w:gridCol w:w="995"/>
        <w:gridCol w:w="692"/>
        <w:gridCol w:w="724"/>
        <w:gridCol w:w="1357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1" w:hRule="atLeast"/>
          <w:jc w:val="center"/>
        </w:trPr>
        <w:tc>
          <w:tcPr>
            <w:tcW w:w="1609" w:type="pct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省级预算部门、单位名称</w:t>
            </w:r>
          </w:p>
        </w:tc>
        <w:tc>
          <w:tcPr>
            <w:tcW w:w="3390" w:type="pct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华容县商务粮食局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  <w:jc w:val="center"/>
        </w:trPr>
        <w:tc>
          <w:tcPr>
            <w:tcW w:w="477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年度预算申请（万元）</w:t>
            </w:r>
          </w:p>
        </w:tc>
        <w:tc>
          <w:tcPr>
            <w:tcW w:w="113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3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61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40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1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132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年度资金总额</w:t>
            </w:r>
          </w:p>
        </w:tc>
        <w:tc>
          <w:tcPr>
            <w:tcW w:w="1022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1114.09</w:t>
            </w:r>
          </w:p>
        </w:tc>
        <w:tc>
          <w:tcPr>
            <w:tcW w:w="105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4746.92</w:t>
            </w:r>
          </w:p>
        </w:tc>
        <w:tc>
          <w:tcPr>
            <w:tcW w:w="993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4746.92</w:t>
            </w:r>
          </w:p>
        </w:tc>
        <w:tc>
          <w:tcPr>
            <w:tcW w:w="692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7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100.00%</w:t>
            </w:r>
          </w:p>
        </w:tc>
        <w:tc>
          <w:tcPr>
            <w:tcW w:w="1355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10.00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8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按收入性质分：</w:t>
            </w:r>
          </w:p>
        </w:tc>
        <w:tc>
          <w:tcPr>
            <w:tcW w:w="2184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按支出性质分：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8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其中：一般公共预算：3821.95</w:t>
            </w:r>
          </w:p>
        </w:tc>
        <w:tc>
          <w:tcPr>
            <w:tcW w:w="2184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其中：基本支出：566.90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8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政府性基金拨款：</w:t>
            </w:r>
          </w:p>
        </w:tc>
        <w:tc>
          <w:tcPr>
            <w:tcW w:w="2184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项目支出：4180.02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7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8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纳入专户管理的非税收入拨款：</w:t>
            </w:r>
          </w:p>
        </w:tc>
        <w:tc>
          <w:tcPr>
            <w:tcW w:w="2184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7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8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其他资金：924.97</w:t>
            </w:r>
          </w:p>
        </w:tc>
        <w:tc>
          <w:tcPr>
            <w:tcW w:w="2184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7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体目标</w:t>
            </w:r>
          </w:p>
        </w:tc>
        <w:tc>
          <w:tcPr>
            <w:tcW w:w="2338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84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7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24" w:type="dxa"/>
            <w:gridSpan w:val="5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1、加强城市商业体系建设和社区商业建设的指导;</w:t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2、做好电子商务发展规划，加大电子商务的推广应用;</w:t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3、抓好促消费计划的制订的组织实施;</w:t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4、抓好乡村振兴办点工作;</w:t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5、完善出台《华容县商贸流通“十四五”发展规划》并抓好组织实施;</w:t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6、加大外贸企业的引进力度，争创外贸全市先进序列;</w:t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7、落实粮食安全工作责任，抓好粮食产业发展;</w:t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8、做好全县战略物资储备和应急物资的储备服务工作;</w:t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_GB2312" w:hAnsi="宋体" w:eastAsia="仿宋_GB2312" w:cs="仿宋_GB2312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9、进一步加强党的建设和队伍建设工作。</w:t>
            </w:r>
          </w:p>
        </w:tc>
        <w:tc>
          <w:tcPr>
            <w:tcW w:w="3759" w:type="dxa"/>
            <w:gridSpan w:val="4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1、加强城市商业体系建设和社区商业建设的指导;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2、做好电子商务发展规划，加大电子商务的推广应用;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3、抓好促消费计划的制订的组织实施;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4、抓好乡村振兴办点工作;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5、完善出台《华容县商贸流通“十四五”发展规划》并抓好组织实施;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6、加大外贸企业的引进力度，争创外贸全市先进序列;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7、落实粮食安全工作责任，抓好粮食产业发展;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8、做好全县战略物资储备和应急物资的储备服务工作;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9、进一步加强党的建设和队伍建设工作</w:t>
            </w:r>
            <w:r>
              <w:rPr>
                <w:rFonts w:hint="eastAsia" w:cs="Times New Roman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5" w:hRule="atLeast"/>
          <w:jc w:val="center"/>
        </w:trPr>
        <w:tc>
          <w:tcPr>
            <w:tcW w:w="477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74" w:type="pct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77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7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61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57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40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1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77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577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5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粮食收购平稳有序</w:t>
            </w:r>
          </w:p>
        </w:tc>
        <w:tc>
          <w:tcPr>
            <w:tcW w:w="610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≧1.8万吨</w:t>
            </w:r>
          </w:p>
        </w:tc>
        <w:tc>
          <w:tcPr>
            <w:tcW w:w="57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≧1.8万吨</w:t>
            </w:r>
          </w:p>
        </w:tc>
        <w:tc>
          <w:tcPr>
            <w:tcW w:w="402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1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77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7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5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壮大外贸主体</w:t>
            </w:r>
          </w:p>
        </w:tc>
        <w:tc>
          <w:tcPr>
            <w:tcW w:w="610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新增2家</w:t>
            </w:r>
          </w:p>
        </w:tc>
        <w:tc>
          <w:tcPr>
            <w:tcW w:w="57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2家</w:t>
            </w:r>
          </w:p>
        </w:tc>
        <w:tc>
          <w:tcPr>
            <w:tcW w:w="402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1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77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7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5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预决算信息及时公开</w:t>
            </w:r>
          </w:p>
        </w:tc>
        <w:tc>
          <w:tcPr>
            <w:tcW w:w="610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100%</w:t>
            </w:r>
          </w:p>
        </w:tc>
        <w:tc>
          <w:tcPr>
            <w:tcW w:w="57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100%</w:t>
            </w:r>
          </w:p>
        </w:tc>
        <w:tc>
          <w:tcPr>
            <w:tcW w:w="402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1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7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7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577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5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保民生稳定</w:t>
            </w:r>
          </w:p>
        </w:tc>
        <w:tc>
          <w:tcPr>
            <w:tcW w:w="610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基本稳定</w:t>
            </w:r>
          </w:p>
        </w:tc>
        <w:tc>
          <w:tcPr>
            <w:tcW w:w="57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基本稳定</w:t>
            </w:r>
          </w:p>
        </w:tc>
        <w:tc>
          <w:tcPr>
            <w:tcW w:w="402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1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7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7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5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为企业提供服务</w:t>
            </w:r>
          </w:p>
        </w:tc>
        <w:tc>
          <w:tcPr>
            <w:tcW w:w="610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及时提供</w:t>
            </w:r>
          </w:p>
        </w:tc>
        <w:tc>
          <w:tcPr>
            <w:tcW w:w="57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及时提供</w:t>
            </w:r>
          </w:p>
        </w:tc>
        <w:tc>
          <w:tcPr>
            <w:tcW w:w="402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1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7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7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5" w:type="pct"/>
            <w:vAlign w:val="center"/>
          </w:tcPr>
          <w:p>
            <w:pPr>
              <w:bidi w:val="0"/>
              <w:rPr>
                <w:rFonts w:hint="eastAsia"/>
              </w:rPr>
            </w:pPr>
          </w:p>
        </w:tc>
        <w:tc>
          <w:tcPr>
            <w:tcW w:w="610" w:type="pct"/>
            <w:vAlign w:val="center"/>
          </w:tcPr>
          <w:p>
            <w:pPr>
              <w:bidi w:val="0"/>
              <w:rPr>
                <w:rFonts w:hint="eastAsia"/>
              </w:rPr>
            </w:pPr>
          </w:p>
        </w:tc>
        <w:tc>
          <w:tcPr>
            <w:tcW w:w="577" w:type="pct"/>
            <w:vAlign w:val="center"/>
          </w:tcPr>
          <w:p>
            <w:pPr>
              <w:bidi w:val="0"/>
              <w:rPr>
                <w:rFonts w:hint="eastAsia"/>
              </w:rPr>
            </w:pPr>
          </w:p>
        </w:tc>
        <w:tc>
          <w:tcPr>
            <w:tcW w:w="402" w:type="pct"/>
            <w:vAlign w:val="center"/>
          </w:tcPr>
          <w:p>
            <w:pPr>
              <w:bidi w:val="0"/>
              <w:rPr>
                <w:rFonts w:hint="eastAsia"/>
              </w:rPr>
            </w:pPr>
          </w:p>
        </w:tc>
        <w:tc>
          <w:tcPr>
            <w:tcW w:w="417" w:type="pct"/>
            <w:vAlign w:val="center"/>
          </w:tcPr>
          <w:p>
            <w:pPr>
              <w:bidi w:val="0"/>
              <w:rPr>
                <w:rFonts w:hint="eastAsia"/>
              </w:rPr>
            </w:pP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7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7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5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营商环境改善</w:t>
            </w:r>
          </w:p>
        </w:tc>
        <w:tc>
          <w:tcPr>
            <w:tcW w:w="610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有所提高</w:t>
            </w:r>
          </w:p>
        </w:tc>
        <w:tc>
          <w:tcPr>
            <w:tcW w:w="57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有所提高</w:t>
            </w:r>
          </w:p>
        </w:tc>
        <w:tc>
          <w:tcPr>
            <w:tcW w:w="402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1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7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577" w:type="pct"/>
            <w:gridSpan w:val="2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575" w:type="pct"/>
            <w:tcBorders>
              <w:left w:val="single" w:color="auto" w:sz="4" w:space="0"/>
            </w:tcBorders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群众满意度</w:t>
            </w:r>
          </w:p>
        </w:tc>
        <w:tc>
          <w:tcPr>
            <w:tcW w:w="610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≧90%</w:t>
            </w:r>
          </w:p>
        </w:tc>
        <w:tc>
          <w:tcPr>
            <w:tcW w:w="57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 xml:space="preserve">  ≧90%</w:t>
            </w:r>
          </w:p>
        </w:tc>
        <w:tc>
          <w:tcPr>
            <w:tcW w:w="402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1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9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7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577" w:type="pct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75" w:type="pct"/>
            <w:tcBorders>
              <w:left w:val="single" w:color="auto" w:sz="4" w:space="0"/>
            </w:tcBorders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预算费用控制</w:t>
            </w:r>
          </w:p>
        </w:tc>
        <w:tc>
          <w:tcPr>
            <w:tcW w:w="610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 xml:space="preserve">  ≧95%</w:t>
            </w:r>
          </w:p>
        </w:tc>
        <w:tc>
          <w:tcPr>
            <w:tcW w:w="57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 xml:space="preserve">  ≧95%</w:t>
            </w:r>
          </w:p>
        </w:tc>
        <w:tc>
          <w:tcPr>
            <w:tcW w:w="402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1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7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7" w:type="pct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75" w:type="pct"/>
            <w:tcBorders>
              <w:left w:val="single" w:color="auto" w:sz="4" w:space="0"/>
            </w:tcBorders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商贸流通稳定</w:t>
            </w:r>
          </w:p>
        </w:tc>
        <w:tc>
          <w:tcPr>
            <w:tcW w:w="610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基本稳定</w:t>
            </w:r>
          </w:p>
        </w:tc>
        <w:tc>
          <w:tcPr>
            <w:tcW w:w="57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基本稳定</w:t>
            </w:r>
          </w:p>
        </w:tc>
        <w:tc>
          <w:tcPr>
            <w:tcW w:w="402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417" w:type="pct"/>
            <w:vAlign w:val="center"/>
          </w:tcPr>
          <w:p>
            <w:pPr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7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4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7" w:type="pct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575" w:type="pct"/>
            <w:tcBorders>
              <w:left w:val="single" w:color="auto" w:sz="4" w:space="0"/>
            </w:tcBorders>
            <w:vAlign w:val="center"/>
          </w:tcPr>
          <w:p>
            <w:pPr>
              <w:bidi w:val="0"/>
              <w:rPr>
                <w:rFonts w:hint="eastAsia"/>
              </w:rPr>
            </w:pPr>
          </w:p>
        </w:tc>
        <w:tc>
          <w:tcPr>
            <w:tcW w:w="610" w:type="pct"/>
            <w:vAlign w:val="center"/>
          </w:tcPr>
          <w:p>
            <w:pPr>
              <w:bidi w:val="0"/>
              <w:rPr>
                <w:rFonts w:hint="eastAsia"/>
              </w:rPr>
            </w:pPr>
          </w:p>
        </w:tc>
        <w:tc>
          <w:tcPr>
            <w:tcW w:w="577" w:type="pct"/>
            <w:vAlign w:val="center"/>
          </w:tcPr>
          <w:p>
            <w:pPr>
              <w:bidi w:val="0"/>
              <w:rPr>
                <w:rFonts w:hint="eastAsia"/>
              </w:rPr>
            </w:pPr>
          </w:p>
        </w:tc>
        <w:tc>
          <w:tcPr>
            <w:tcW w:w="402" w:type="pct"/>
            <w:vAlign w:val="center"/>
          </w:tcPr>
          <w:p>
            <w:pPr>
              <w:bidi w:val="0"/>
              <w:rPr>
                <w:rFonts w:hint="eastAsia"/>
              </w:rPr>
            </w:pPr>
          </w:p>
        </w:tc>
        <w:tc>
          <w:tcPr>
            <w:tcW w:w="417" w:type="pct"/>
            <w:vAlign w:val="center"/>
          </w:tcPr>
          <w:p>
            <w:pPr>
              <w:bidi w:val="0"/>
              <w:rPr>
                <w:rFonts w:hint="eastAsia"/>
              </w:rPr>
            </w:pP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3392" w:type="pct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40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1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99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</w:p>
    <w:p>
      <w:pPr>
        <w:rPr>
          <w:rFonts w:hint="eastAsia" w:ascii="黑体" w:hAnsi="黑体" w:eastAsia="黑体" w:cs="黑体"/>
          <w:sz w:val="21"/>
          <w:szCs w:val="21"/>
          <w:lang w:val="en-US" w:eastAsia="zh-CN"/>
        </w:rPr>
      </w:pPr>
      <w:r>
        <w:rPr>
          <w:rFonts w:hint="eastAsia"/>
        </w:rPr>
        <w:t>填表人：</w:t>
      </w:r>
      <w:r>
        <w:rPr>
          <w:rFonts w:hint="eastAsia"/>
          <w:lang w:val="en-US" w:eastAsia="zh-CN"/>
        </w:rPr>
        <w:t>易文艳</w:t>
      </w:r>
      <w:r>
        <w:rPr>
          <w:rFonts w:hint="eastAsia"/>
        </w:rPr>
        <w:t xml:space="preserve"> 填报日期：</w:t>
      </w:r>
      <w:r>
        <w:rPr>
          <w:rFonts w:hint="eastAsia"/>
          <w:lang w:val="en-US" w:eastAsia="zh-CN"/>
        </w:rPr>
        <w:t>2024.5.28</w:t>
      </w:r>
      <w:r>
        <w:rPr>
          <w:rFonts w:hint="eastAsia"/>
        </w:rPr>
        <w:t xml:space="preserve">  联系电话：</w:t>
      </w:r>
      <w:r>
        <w:rPr>
          <w:rFonts w:hint="eastAsia"/>
          <w:lang w:val="en-US" w:eastAsia="zh-CN"/>
        </w:rPr>
        <w:t>15073036878</w:t>
      </w:r>
      <w:r>
        <w:rPr>
          <w:rFonts w:hint="eastAsia"/>
        </w:rPr>
        <w:t>单位负责人签字：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5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C4E5012-BE23-4F68-A7EA-A96C239E9C7D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007B9DC5-7F3C-498E-BE67-A4DE37AF3DA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2DD48A17-3FEE-48F1-8E08-BFF014A43BC6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CAF613D8-287A-4D6F-A878-AD062ABE873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F0E6D17-9074-40C1-B312-73FB739EF3E9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9D142A1E-E6EC-489A-8905-4B282459F347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E00B4F6B-8E78-4E20-A3CD-6B4237EC13B0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8" w:fontKey="{5A3A9737-1B40-4DB1-8073-FF8018606A02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A5CA8A97-BFE9-4F4D-8609-C23806109925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0" w:fontKey="{82615DA4-89E2-422B-B96B-E3FE368DA249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1" w:fontKey="{C1A21D9B-5756-4D35-87FB-E6DC7B611AA3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2" w:fontKey="{19BB4D49-B231-44BC-92E6-2A049FE4715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rPr>
                              <w:rFonts w:hint="default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rPr>
                        <w:rFonts w:hint="default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2AF9053"/>
    <w:multiLevelType w:val="singleLevel"/>
    <w:tmpl w:val="02AF9053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355A9789"/>
    <w:multiLevelType w:val="singleLevel"/>
    <w:tmpl w:val="355A9789"/>
    <w:lvl w:ilvl="0" w:tentative="0">
      <w:start w:val="8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45379AD9"/>
    <w:multiLevelType w:val="singleLevel"/>
    <w:tmpl w:val="45379AD9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68A64A3F"/>
    <w:multiLevelType w:val="singleLevel"/>
    <w:tmpl w:val="68A64A3F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QzZjc5NTllMGFiYmY5NmVhMTllZTJlYTQ3YTVjMjg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4F39FF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D12D5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485AF9"/>
    <w:rsid w:val="15604228"/>
    <w:rsid w:val="15A620D3"/>
    <w:rsid w:val="16A3369E"/>
    <w:rsid w:val="17114A8B"/>
    <w:rsid w:val="176B77A7"/>
    <w:rsid w:val="178536BD"/>
    <w:rsid w:val="193A703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136C3A"/>
    <w:rsid w:val="2A9A1E2C"/>
    <w:rsid w:val="2B515C11"/>
    <w:rsid w:val="2BF35971"/>
    <w:rsid w:val="2C487650"/>
    <w:rsid w:val="2C5A7AC4"/>
    <w:rsid w:val="2D774FD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039D9"/>
    <w:rsid w:val="36AD0EA9"/>
    <w:rsid w:val="36EF6C9C"/>
    <w:rsid w:val="36FF783F"/>
    <w:rsid w:val="37450F88"/>
    <w:rsid w:val="375F1A7E"/>
    <w:rsid w:val="378B026E"/>
    <w:rsid w:val="37B47BE4"/>
    <w:rsid w:val="37D6106F"/>
    <w:rsid w:val="37F52D97"/>
    <w:rsid w:val="38241593"/>
    <w:rsid w:val="38655C3A"/>
    <w:rsid w:val="38856E40"/>
    <w:rsid w:val="38BE1DF3"/>
    <w:rsid w:val="38F862EB"/>
    <w:rsid w:val="39343807"/>
    <w:rsid w:val="39887BBC"/>
    <w:rsid w:val="3A0F7AD4"/>
    <w:rsid w:val="3A393BF5"/>
    <w:rsid w:val="3A53023B"/>
    <w:rsid w:val="3AF42D2D"/>
    <w:rsid w:val="3B062751"/>
    <w:rsid w:val="3B3A041F"/>
    <w:rsid w:val="3BAE6BF9"/>
    <w:rsid w:val="3BC00D35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DE7587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1B93E61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687256B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E9316F2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AF70DC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136229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D349D4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5906FA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544BF6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qFormat="1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1">
    <w:name w:val="Default Paragraph Font"/>
    <w:semiHidden/>
    <w:qFormat/>
    <w:uiPriority w:val="99"/>
  </w:style>
  <w:style w:type="table" w:default="1" w:styleId="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0"/>
    <w:pPr>
      <w:ind w:firstLine="420" w:firstLineChars="200"/>
    </w:pPr>
  </w:style>
  <w:style w:type="paragraph" w:styleId="3">
    <w:name w:val="Body Text Indent"/>
    <w:basedOn w:val="1"/>
    <w:unhideWhenUsed/>
    <w:qFormat/>
    <w:uiPriority w:val="0"/>
    <w:pPr>
      <w:spacing w:after="120"/>
      <w:ind w:left="420" w:leftChars="200"/>
    </w:pPr>
  </w:style>
  <w:style w:type="paragraph" w:styleId="5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6">
    <w:name w:val="footer"/>
    <w:basedOn w:val="1"/>
    <w:link w:val="1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4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table" w:styleId="10">
    <w:name w:val="Table Grid"/>
    <w:basedOn w:val="9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page number"/>
    <w:basedOn w:val="11"/>
    <w:qFormat/>
    <w:uiPriority w:val="99"/>
    <w:rPr>
      <w:rFonts w:cs="Times New Roman"/>
    </w:rPr>
  </w:style>
  <w:style w:type="character" w:customStyle="1" w:styleId="13">
    <w:name w:val="Footer Char"/>
    <w:basedOn w:val="11"/>
    <w:link w:val="6"/>
    <w:semiHidden/>
    <w:qFormat/>
    <w:uiPriority w:val="99"/>
    <w:rPr>
      <w:sz w:val="18"/>
      <w:szCs w:val="18"/>
    </w:rPr>
  </w:style>
  <w:style w:type="character" w:customStyle="1" w:styleId="14">
    <w:name w:val="Header Char"/>
    <w:basedOn w:val="11"/>
    <w:link w:val="7"/>
    <w:semiHidden/>
    <w:qFormat/>
    <w:uiPriority w:val="99"/>
    <w:rPr>
      <w:sz w:val="18"/>
      <w:szCs w:val="18"/>
    </w:rPr>
  </w:style>
  <w:style w:type="paragraph" w:styleId="15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7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4354</Words>
  <Characters>4599</Characters>
  <Lines>0</Lines>
  <Paragraphs>0</Paragraphs>
  <TotalTime>1</TotalTime>
  <ScaleCrop>false</ScaleCrop>
  <LinksUpToDate>false</LinksUpToDate>
  <CharactersWithSpaces>4995</CharactersWithSpaces>
  <Application>WPS Office_11.1.0.11045_F1E327BC-269C-435d-A152-05C5408002CA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</cp:lastModifiedBy>
  <cp:lastPrinted>2024-05-20T07:59:00Z</cp:lastPrinted>
  <dcterms:modified xsi:type="dcterms:W3CDTF">2024-05-29T09:38:20Z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