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FB37D">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4300C5EE">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华容县团洲乡人民政府</w:t>
      </w:r>
      <w:r>
        <w:rPr>
          <w:rFonts w:hint="eastAsia" w:ascii="方正小标宋_GBK" w:hAnsi="方正小标宋_GBK" w:eastAsia="方正小标宋_GBK" w:cs="方正小标宋_GBK"/>
          <w:color w:val="auto"/>
          <w:sz w:val="84"/>
          <w:szCs w:val="84"/>
        </w:rPr>
        <w:t>部门决算</w:t>
      </w:r>
    </w:p>
    <w:p w14:paraId="5B9F907A">
      <w:pPr>
        <w:pStyle w:val="14"/>
        <w:spacing w:line="500" w:lineRule="exact"/>
        <w:jc w:val="both"/>
        <w:rPr>
          <w:b/>
          <w:color w:val="auto"/>
          <w:sz w:val="36"/>
          <w:szCs w:val="28"/>
        </w:rPr>
      </w:pPr>
    </w:p>
    <w:p w14:paraId="018860D3">
      <w:pPr>
        <w:pStyle w:val="14"/>
        <w:spacing w:line="500" w:lineRule="exact"/>
        <w:jc w:val="center"/>
        <w:rPr>
          <w:b/>
          <w:color w:val="auto"/>
          <w:sz w:val="36"/>
          <w:szCs w:val="28"/>
        </w:rPr>
      </w:pPr>
      <w:r>
        <w:rPr>
          <w:rFonts w:hint="eastAsia"/>
          <w:b/>
          <w:color w:val="auto"/>
          <w:sz w:val="36"/>
          <w:szCs w:val="28"/>
        </w:rPr>
        <w:t>目录</w:t>
      </w:r>
    </w:p>
    <w:p w14:paraId="512BFCD4">
      <w:pPr>
        <w:pStyle w:val="14"/>
        <w:spacing w:line="500" w:lineRule="exact"/>
        <w:rPr>
          <w:rFonts w:hAnsi="黑体"/>
          <w:bCs/>
          <w:color w:val="auto"/>
          <w:sz w:val="28"/>
          <w:szCs w:val="28"/>
        </w:rPr>
      </w:pPr>
      <w:r>
        <w:rPr>
          <w:rFonts w:hint="eastAsia" w:hAnsi="黑体"/>
          <w:bCs/>
          <w:color w:val="auto"/>
          <w:sz w:val="28"/>
          <w:szCs w:val="28"/>
        </w:rPr>
        <w:t>第一部分华容县团洲乡人民政府概况</w:t>
      </w:r>
    </w:p>
    <w:p w14:paraId="19F6882E">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1B8CF7D1">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321C4B44">
      <w:pPr>
        <w:pStyle w:val="14"/>
        <w:spacing w:line="500" w:lineRule="exact"/>
        <w:rPr>
          <w:rFonts w:hAnsi="黑体"/>
          <w:bCs/>
          <w:color w:val="auto"/>
          <w:sz w:val="28"/>
          <w:szCs w:val="28"/>
        </w:rPr>
      </w:pPr>
      <w:r>
        <w:rPr>
          <w:rFonts w:hint="eastAsia" w:hAnsi="黑体"/>
          <w:bCs/>
          <w:color w:val="auto"/>
          <w:sz w:val="28"/>
          <w:szCs w:val="28"/>
        </w:rPr>
        <w:t>第二部分 部门决算表</w:t>
      </w:r>
    </w:p>
    <w:p w14:paraId="68F639C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4DA13404">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62FF90D2">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1EB74335">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10296F52">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0036F486">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292DA699">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6015C49C">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6B84C044">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720E6552">
      <w:pPr>
        <w:pStyle w:val="14"/>
        <w:spacing w:line="500" w:lineRule="exact"/>
        <w:rPr>
          <w:rFonts w:hAnsi="黑体"/>
          <w:bCs/>
          <w:color w:val="auto"/>
          <w:sz w:val="28"/>
          <w:szCs w:val="28"/>
        </w:rPr>
      </w:pPr>
      <w:r>
        <w:rPr>
          <w:rFonts w:hint="eastAsia" w:hAnsi="黑体"/>
          <w:bCs/>
          <w:color w:val="auto"/>
          <w:sz w:val="28"/>
          <w:szCs w:val="28"/>
        </w:rPr>
        <w:t>第四部分 名词解释</w:t>
      </w:r>
    </w:p>
    <w:p w14:paraId="251F5405">
      <w:pPr>
        <w:pStyle w:val="14"/>
        <w:spacing w:line="500" w:lineRule="exact"/>
        <w:rPr>
          <w:rFonts w:hAnsi="黑体"/>
          <w:bCs/>
          <w:color w:val="auto"/>
          <w:sz w:val="28"/>
          <w:szCs w:val="28"/>
        </w:rPr>
      </w:pPr>
      <w:r>
        <w:rPr>
          <w:rFonts w:hint="eastAsia" w:hAnsi="黑体"/>
          <w:bCs/>
          <w:color w:val="auto"/>
          <w:sz w:val="28"/>
          <w:szCs w:val="28"/>
        </w:rPr>
        <w:t>第五部分 附件</w:t>
      </w:r>
    </w:p>
    <w:p w14:paraId="436D3E5F">
      <w:pPr>
        <w:pStyle w:val="14"/>
        <w:spacing w:line="500" w:lineRule="exact"/>
        <w:rPr>
          <w:rFonts w:hAnsi="黑体"/>
          <w:bCs/>
          <w:color w:val="auto"/>
          <w:sz w:val="28"/>
          <w:szCs w:val="28"/>
        </w:rPr>
      </w:pPr>
    </w:p>
    <w:p w14:paraId="48F48D73">
      <w:pPr>
        <w:pStyle w:val="14"/>
        <w:jc w:val="center"/>
        <w:rPr>
          <w:rFonts w:ascii="方正小标宋_GBK" w:hAnsi="方正小标宋_GBK" w:eastAsia="方正小标宋_GBK" w:cs="方正小标宋_GBK"/>
          <w:color w:val="auto"/>
          <w:sz w:val="48"/>
          <w:szCs w:val="48"/>
        </w:rPr>
      </w:pPr>
    </w:p>
    <w:p w14:paraId="1CAAE969">
      <w:pPr>
        <w:pStyle w:val="14"/>
        <w:jc w:val="center"/>
        <w:rPr>
          <w:rFonts w:ascii="方正小标宋_GBK" w:hAnsi="方正小标宋_GBK" w:eastAsia="方正小标宋_GBK" w:cs="方正小标宋_GBK"/>
          <w:color w:val="auto"/>
          <w:sz w:val="48"/>
          <w:szCs w:val="48"/>
        </w:rPr>
      </w:pPr>
    </w:p>
    <w:p w14:paraId="29DD54A3">
      <w:pPr>
        <w:pStyle w:val="14"/>
        <w:jc w:val="center"/>
        <w:rPr>
          <w:rFonts w:ascii="方正小标宋_GBK" w:hAnsi="方正小标宋_GBK" w:eastAsia="方正小标宋_GBK" w:cs="方正小标宋_GBK"/>
          <w:color w:val="auto"/>
          <w:sz w:val="48"/>
          <w:szCs w:val="48"/>
        </w:rPr>
      </w:pPr>
    </w:p>
    <w:p w14:paraId="7D59F2DE">
      <w:pPr>
        <w:pStyle w:val="14"/>
        <w:jc w:val="center"/>
        <w:rPr>
          <w:rFonts w:ascii="方正小标宋_GBK" w:hAnsi="方正小标宋_GBK" w:eastAsia="方正小标宋_GBK" w:cs="方正小标宋_GBK"/>
          <w:color w:val="auto"/>
          <w:sz w:val="48"/>
          <w:szCs w:val="48"/>
        </w:rPr>
      </w:pPr>
    </w:p>
    <w:p w14:paraId="69EB8F26">
      <w:pPr>
        <w:pStyle w:val="14"/>
        <w:jc w:val="center"/>
        <w:rPr>
          <w:rFonts w:ascii="方正小标宋_GBK" w:hAnsi="方正小标宋_GBK" w:eastAsia="方正小标宋_GBK" w:cs="方正小标宋_GBK"/>
          <w:color w:val="auto"/>
          <w:sz w:val="48"/>
          <w:szCs w:val="48"/>
        </w:rPr>
      </w:pPr>
    </w:p>
    <w:p w14:paraId="288DA45C">
      <w:pPr>
        <w:pStyle w:val="14"/>
        <w:jc w:val="center"/>
        <w:rPr>
          <w:rFonts w:ascii="方正小标宋_GBK" w:hAnsi="方正小标宋_GBK" w:eastAsia="方正小标宋_GBK" w:cs="方正小标宋_GBK"/>
          <w:color w:val="auto"/>
          <w:sz w:val="48"/>
          <w:szCs w:val="48"/>
        </w:rPr>
      </w:pPr>
    </w:p>
    <w:p w14:paraId="694B6A39">
      <w:pPr>
        <w:pStyle w:val="14"/>
        <w:jc w:val="center"/>
        <w:rPr>
          <w:rFonts w:ascii="方正小标宋_GBK" w:hAnsi="方正小标宋_GBK" w:eastAsia="方正小标宋_GBK" w:cs="方正小标宋_GBK"/>
          <w:color w:val="auto"/>
          <w:sz w:val="48"/>
          <w:szCs w:val="48"/>
        </w:rPr>
      </w:pPr>
    </w:p>
    <w:p w14:paraId="3DE04FFD">
      <w:pPr>
        <w:pStyle w:val="14"/>
        <w:jc w:val="center"/>
        <w:rPr>
          <w:rFonts w:ascii="方正小标宋_GBK" w:hAnsi="方正小标宋_GBK" w:eastAsia="方正小标宋_GBK" w:cs="方正小标宋_GBK"/>
          <w:color w:val="auto"/>
          <w:sz w:val="48"/>
          <w:szCs w:val="48"/>
        </w:rPr>
      </w:pPr>
    </w:p>
    <w:p w14:paraId="066054B7">
      <w:pPr>
        <w:pStyle w:val="14"/>
        <w:jc w:val="center"/>
        <w:rPr>
          <w:rFonts w:ascii="方正小标宋_GBK" w:hAnsi="方正小标宋_GBK" w:eastAsia="方正小标宋_GBK" w:cs="方正小标宋_GBK"/>
          <w:color w:val="auto"/>
          <w:sz w:val="48"/>
          <w:szCs w:val="48"/>
        </w:rPr>
      </w:pPr>
    </w:p>
    <w:p w14:paraId="0DD69CFF">
      <w:pPr>
        <w:pStyle w:val="14"/>
        <w:jc w:val="center"/>
        <w:rPr>
          <w:rFonts w:ascii="方正小标宋_GBK" w:hAnsi="方正小标宋_GBK" w:eastAsia="方正小标宋_GBK" w:cs="方正小标宋_GBK"/>
          <w:color w:val="auto"/>
          <w:sz w:val="48"/>
          <w:szCs w:val="48"/>
        </w:rPr>
      </w:pPr>
    </w:p>
    <w:p w14:paraId="162F4EE4">
      <w:pPr>
        <w:pStyle w:val="14"/>
        <w:jc w:val="center"/>
        <w:rPr>
          <w:rFonts w:ascii="方正小标宋_GBK" w:hAnsi="方正小标宋_GBK" w:eastAsia="方正小标宋_GBK" w:cs="方正小标宋_GBK"/>
          <w:color w:val="auto"/>
          <w:sz w:val="48"/>
          <w:szCs w:val="48"/>
        </w:rPr>
      </w:pPr>
    </w:p>
    <w:p w14:paraId="3116E166">
      <w:pPr>
        <w:pStyle w:val="14"/>
        <w:jc w:val="center"/>
        <w:rPr>
          <w:rFonts w:ascii="方正小标宋_GBK" w:hAnsi="方正小标宋_GBK" w:eastAsia="方正小标宋_GBK" w:cs="方正小标宋_GBK"/>
          <w:color w:val="auto"/>
          <w:sz w:val="48"/>
          <w:szCs w:val="48"/>
        </w:rPr>
      </w:pPr>
    </w:p>
    <w:p w14:paraId="07E1C909">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446DDE13">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华容县团洲乡人民政府概况</w:t>
      </w:r>
    </w:p>
    <w:p w14:paraId="1F185E2E">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1E8CABF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14:paraId="2DD8E35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14:paraId="4347686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14:paraId="3C88F5F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14:paraId="366F634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镇退役军人服务站：负责退役军人就业创业、优抚帮扶、权益保障、数据信息采集、走访慰问等事务性工作。</w:t>
      </w:r>
    </w:p>
    <w:p w14:paraId="73D4EF1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14:paraId="644DE85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p w14:paraId="3D95C1C4">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6D26EE7C">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376809C5">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华容县团洲乡人民政府单位内设机构包括：</w:t>
      </w:r>
      <w:r>
        <w:rPr>
          <w:rFonts w:hint="eastAsia" w:ascii="宋体" w:hAnsi="Times New Roman" w:eastAsia="宋体" w:cs="宋体"/>
          <w:sz w:val="32"/>
          <w:szCs w:val="32"/>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white"/>
        </w:rPr>
        <w:t>。</w:t>
      </w:r>
    </w:p>
    <w:p w14:paraId="7ABC6C14">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1C1701E0">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华容县团洲乡人民政府单位2023年部门决算汇总公开单位构成包括：</w:t>
      </w:r>
      <w:r>
        <w:rPr>
          <w:rFonts w:hint="eastAsia" w:ascii="宋体" w:hAnsi="Times New Roman" w:eastAsia="宋体" w:cs="宋体"/>
          <w:sz w:val="32"/>
          <w:szCs w:val="32"/>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white"/>
        </w:rPr>
        <w:t>。</w:t>
      </w:r>
    </w:p>
    <w:p w14:paraId="640A5778">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4C6F09E9">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143ED1F1">
      <w:pPr>
        <w:pStyle w:val="14"/>
        <w:jc w:val="center"/>
        <w:rPr>
          <w:rFonts w:hAnsi="黑体"/>
          <w:bCs/>
          <w:color w:val="auto"/>
          <w:kern w:val="2"/>
          <w:sz w:val="32"/>
          <w:szCs w:val="32"/>
        </w:rPr>
      </w:pPr>
      <w:r>
        <w:rPr>
          <w:rFonts w:hint="eastAsia" w:hAnsi="黑体"/>
          <w:bCs/>
          <w:color w:val="auto"/>
          <w:kern w:val="2"/>
          <w:sz w:val="32"/>
          <w:szCs w:val="32"/>
        </w:rPr>
        <w:t>详见附件表格</w:t>
      </w:r>
    </w:p>
    <w:p w14:paraId="3E57D2CC">
      <w:pPr>
        <w:pStyle w:val="14"/>
        <w:jc w:val="center"/>
        <w:rPr>
          <w:rFonts w:ascii="方正小标宋_GBK" w:hAnsi="方正小标宋_GBK" w:eastAsia="方正小标宋_GBK" w:cs="方正小标宋_GBK"/>
          <w:color w:val="auto"/>
          <w:sz w:val="48"/>
          <w:szCs w:val="48"/>
        </w:rPr>
      </w:pPr>
    </w:p>
    <w:p w14:paraId="609A6101">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63DC3DD0">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287469E3">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0CCA6C01">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2476.24</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年相比，收、支总计各减少</w:t>
      </w:r>
      <w:r>
        <w:rPr>
          <w:rFonts w:ascii="宋体" w:hAnsi="Times New Roman" w:eastAsia="宋体" w:cs="宋体"/>
          <w:sz w:val="32"/>
          <w:szCs w:val="32"/>
          <w:highlight w:val="white"/>
          <w:lang w:val="zh-CN"/>
        </w:rPr>
        <w:t>127.35</w:t>
      </w:r>
      <w:r>
        <w:rPr>
          <w:rFonts w:hint="eastAsia" w:ascii="宋体" w:hAnsi="Times New Roman" w:eastAsia="宋体" w:cs="宋体"/>
          <w:sz w:val="32"/>
          <w:szCs w:val="32"/>
          <w:highlight w:val="white"/>
          <w:lang w:val="zh-CN"/>
        </w:rPr>
        <w:t>万元，下降</w:t>
      </w:r>
      <w:r>
        <w:rPr>
          <w:rFonts w:ascii="宋体" w:hAnsi="Times New Roman" w:eastAsia="宋体" w:cs="宋体"/>
          <w:sz w:val="32"/>
          <w:szCs w:val="32"/>
          <w:highlight w:val="white"/>
          <w:lang w:val="zh-CN"/>
        </w:rPr>
        <w:t>4.89%</w:t>
      </w:r>
      <w:r>
        <w:rPr>
          <w:rFonts w:hint="eastAsia" w:ascii="宋体" w:hAnsi="Times New Roman" w:eastAsia="宋体" w:cs="宋体"/>
          <w:sz w:val="32"/>
          <w:szCs w:val="32"/>
          <w:highlight w:val="white"/>
          <w:lang w:val="zh-CN"/>
        </w:rPr>
        <w:t>。主要原因是业务工作任务调整，项目支出减少，财政拨款减少</w:t>
      </w:r>
      <w:r>
        <w:rPr>
          <w:rFonts w:hint="eastAsia" w:ascii="宋体" w:hAnsi="Times New Roman" w:eastAsia="宋体" w:cs="宋体"/>
          <w:sz w:val="32"/>
          <w:szCs w:val="32"/>
          <w:highlight w:val="white"/>
        </w:rPr>
        <w:t>。</w:t>
      </w:r>
    </w:p>
    <w:p w14:paraId="5B2F1BE1">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064186A5">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2476.24</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2476.24</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1DCCE3DA">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58D4EB14">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2476.24</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1100.11</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44.43%</w:t>
      </w:r>
      <w:r>
        <w:rPr>
          <w:rFonts w:hint="eastAsia" w:ascii="宋体" w:hAnsi="Times New Roman" w:eastAsia="宋体" w:cs="宋体"/>
          <w:sz w:val="32"/>
          <w:szCs w:val="32"/>
          <w:highlight w:val="white"/>
        </w:rPr>
        <w:t>；项目支出</w:t>
      </w:r>
      <w:r>
        <w:rPr>
          <w:rFonts w:ascii="宋体" w:hAnsi="Times New Roman" w:eastAsia="宋体" w:cs="宋体"/>
          <w:sz w:val="32"/>
          <w:szCs w:val="32"/>
          <w:highlight w:val="white"/>
        </w:rPr>
        <w:t>1376.1</w:t>
      </w:r>
      <w:r>
        <w:rPr>
          <w:rFonts w:hint="eastAsia" w:ascii="宋体" w:hAnsi="Times New Roman" w:eastAsia="宋体" w:cs="宋体"/>
          <w:sz w:val="32"/>
          <w:szCs w:val="32"/>
          <w:highlight w:val="white"/>
        </w:rPr>
        <w:t>3万元，占</w:t>
      </w:r>
      <w:r>
        <w:rPr>
          <w:rFonts w:ascii="宋体" w:hAnsi="Times New Roman" w:eastAsia="宋体" w:cs="宋体"/>
          <w:sz w:val="32"/>
          <w:szCs w:val="32"/>
          <w:highlight w:val="white"/>
        </w:rPr>
        <w:t>55.57%</w:t>
      </w:r>
      <w:r>
        <w:rPr>
          <w:rFonts w:hint="eastAsia" w:ascii="宋体" w:hAnsi="Times New Roman" w:eastAsia="宋体" w:cs="宋体"/>
          <w:sz w:val="32"/>
          <w:szCs w:val="32"/>
          <w:highlight w:val="white"/>
        </w:rPr>
        <w:t>。</w:t>
      </w:r>
    </w:p>
    <w:p w14:paraId="6119E4F1">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3C2DA260">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2476.24</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w:t>
      </w:r>
      <w:r>
        <w:rPr>
          <w:rFonts w:hint="eastAsia" w:ascii="宋体" w:hAnsi="Times New Roman" w:eastAsia="宋体" w:cs="宋体"/>
          <w:sz w:val="32"/>
          <w:szCs w:val="32"/>
          <w:highlight w:val="white"/>
        </w:rPr>
        <w:t>财政拨款收、支总计各减少</w:t>
      </w:r>
      <w:r>
        <w:rPr>
          <w:rFonts w:ascii="宋体" w:hAnsi="Times New Roman" w:eastAsia="宋体" w:cs="宋体"/>
          <w:sz w:val="32"/>
          <w:szCs w:val="32"/>
          <w:highlight w:val="white"/>
        </w:rPr>
        <w:t>127.35</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4.89%</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主要原因是业务工作任务调整，项目支出减少，财政拨款减少</w:t>
      </w:r>
      <w:r>
        <w:rPr>
          <w:rFonts w:hint="eastAsia" w:ascii="宋体" w:hAnsi="Times New Roman" w:eastAsia="宋体" w:cs="宋体"/>
          <w:sz w:val="32"/>
          <w:szCs w:val="32"/>
          <w:highlight w:val="white"/>
        </w:rPr>
        <w:t>。</w:t>
      </w:r>
    </w:p>
    <w:p w14:paraId="5D6A1C8D">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6836551B">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476CF754">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2398.24</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96.85%</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年度相比，财政拨款支出减少</w:t>
      </w:r>
      <w:r>
        <w:rPr>
          <w:rFonts w:ascii="宋体" w:hAnsi="Times New Roman" w:eastAsia="宋体" w:cs="宋体"/>
          <w:sz w:val="32"/>
          <w:szCs w:val="32"/>
          <w:highlight w:val="white"/>
        </w:rPr>
        <w:t>130</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5.14%,</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业务工作任务调整，项目支出减少，财政拨款减少。</w:t>
      </w:r>
    </w:p>
    <w:p w14:paraId="329C4A30">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2B4A863F">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2398.24</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1009.45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42.09%</w:t>
      </w:r>
      <w:r>
        <w:rPr>
          <w:rFonts w:hint="eastAsia" w:ascii="宋体" w:hAnsi="Times New Roman" w:eastAsia="宋体" w:cs="宋体"/>
          <w:kern w:val="0"/>
          <w:sz w:val="32"/>
          <w:szCs w:val="32"/>
          <w:highlight w:val="white"/>
        </w:rPr>
        <w:t>；公共安全（类）支出</w:t>
      </w:r>
      <w:r>
        <w:rPr>
          <w:rFonts w:ascii="宋体" w:hAnsi="Times New Roman" w:eastAsia="宋体" w:cs="宋体"/>
          <w:kern w:val="0"/>
          <w:sz w:val="32"/>
          <w:szCs w:val="32"/>
          <w:highlight w:val="white"/>
        </w:rPr>
        <w:t>1.02</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0.04%</w:t>
      </w:r>
      <w:r>
        <w:rPr>
          <w:rFonts w:hint="eastAsia" w:ascii="宋体" w:hAnsi="Times New Roman" w:eastAsia="宋体" w:cs="宋体"/>
          <w:kern w:val="0"/>
          <w:sz w:val="32"/>
          <w:szCs w:val="32"/>
          <w:highlight w:val="white"/>
        </w:rPr>
        <w:t>；文化旅游体育与传媒（类）支出</w:t>
      </w:r>
      <w:r>
        <w:rPr>
          <w:rFonts w:ascii="宋体" w:hAnsi="Times New Roman" w:eastAsia="宋体" w:cs="宋体"/>
          <w:kern w:val="0"/>
          <w:sz w:val="32"/>
          <w:szCs w:val="32"/>
          <w:highlight w:val="white"/>
        </w:rPr>
        <w:t>3</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0.13%</w:t>
      </w:r>
      <w:r>
        <w:rPr>
          <w:rFonts w:hint="eastAsia" w:ascii="宋体" w:hAnsi="Times New Roman" w:eastAsia="宋体" w:cs="宋体"/>
          <w:kern w:val="0"/>
          <w:sz w:val="32"/>
          <w:szCs w:val="32"/>
          <w:highlight w:val="white"/>
        </w:rPr>
        <w:t>；社会保障和就业（类）支出</w:t>
      </w:r>
      <w:r>
        <w:rPr>
          <w:rFonts w:ascii="宋体" w:hAnsi="Times New Roman" w:eastAsia="宋体" w:cs="宋体"/>
          <w:kern w:val="0"/>
          <w:sz w:val="32"/>
          <w:szCs w:val="32"/>
          <w:highlight w:val="white"/>
        </w:rPr>
        <w:t>218.78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9.12%</w:t>
      </w:r>
      <w:r>
        <w:rPr>
          <w:rFonts w:hint="eastAsia" w:ascii="宋体" w:hAnsi="Times New Roman" w:eastAsia="宋体" w:cs="宋体"/>
          <w:kern w:val="0"/>
          <w:sz w:val="32"/>
          <w:szCs w:val="32"/>
          <w:highlight w:val="white"/>
        </w:rPr>
        <w:t>；节能环保（类）支出</w:t>
      </w:r>
      <w:r>
        <w:rPr>
          <w:rFonts w:ascii="宋体" w:hAnsi="Times New Roman" w:eastAsia="宋体" w:cs="宋体"/>
          <w:kern w:val="0"/>
          <w:sz w:val="32"/>
          <w:szCs w:val="32"/>
          <w:highlight w:val="white"/>
        </w:rPr>
        <w:t>29.9</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1.25%</w:t>
      </w:r>
      <w:r>
        <w:rPr>
          <w:rFonts w:hint="eastAsia" w:ascii="宋体" w:hAnsi="Times New Roman" w:eastAsia="宋体" w:cs="宋体"/>
          <w:kern w:val="0"/>
          <w:sz w:val="32"/>
          <w:szCs w:val="32"/>
          <w:highlight w:val="white"/>
        </w:rPr>
        <w:t>；城乡社区（类）支出</w:t>
      </w:r>
      <w:r>
        <w:rPr>
          <w:rFonts w:ascii="宋体" w:hAnsi="Times New Roman" w:eastAsia="宋体" w:cs="宋体"/>
          <w:kern w:val="0"/>
          <w:sz w:val="32"/>
          <w:szCs w:val="32"/>
          <w:highlight w:val="white"/>
        </w:rPr>
        <w:t>14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0.58%</w:t>
      </w:r>
      <w:r>
        <w:rPr>
          <w:rFonts w:hint="eastAsia" w:ascii="宋体" w:hAnsi="Times New Roman" w:eastAsia="宋体" w:cs="宋体"/>
          <w:kern w:val="0"/>
          <w:sz w:val="32"/>
          <w:szCs w:val="32"/>
          <w:highlight w:val="white"/>
        </w:rPr>
        <w:t>；农林水（类）支出</w:t>
      </w:r>
      <w:r>
        <w:rPr>
          <w:rFonts w:ascii="宋体" w:hAnsi="Times New Roman" w:eastAsia="宋体" w:cs="宋体"/>
          <w:kern w:val="0"/>
          <w:sz w:val="32"/>
          <w:szCs w:val="32"/>
          <w:highlight w:val="white"/>
        </w:rPr>
        <w:t>1024.96</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42.74%</w:t>
      </w:r>
      <w:r>
        <w:rPr>
          <w:rFonts w:hint="eastAsia" w:ascii="宋体" w:hAnsi="Times New Roman" w:eastAsia="宋体" w:cs="宋体"/>
          <w:kern w:val="0"/>
          <w:sz w:val="32"/>
          <w:szCs w:val="32"/>
          <w:highlight w:val="white"/>
        </w:rPr>
        <w:t>；交通运输（类）支出</w:t>
      </w:r>
      <w:r>
        <w:rPr>
          <w:rFonts w:ascii="宋体" w:hAnsi="Times New Roman" w:eastAsia="宋体" w:cs="宋体"/>
          <w:kern w:val="0"/>
          <w:sz w:val="32"/>
          <w:szCs w:val="32"/>
          <w:highlight w:val="white"/>
        </w:rPr>
        <w:t>12.13</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0.51%</w:t>
      </w:r>
      <w:r>
        <w:rPr>
          <w:rFonts w:hint="eastAsia" w:ascii="宋体" w:hAnsi="Times New Roman" w:eastAsia="宋体" w:cs="宋体"/>
          <w:kern w:val="0"/>
          <w:sz w:val="32"/>
          <w:szCs w:val="32"/>
          <w:highlight w:val="white"/>
        </w:rPr>
        <w:t>；商业服务业等（类）支出</w:t>
      </w:r>
      <w:r>
        <w:rPr>
          <w:rFonts w:ascii="宋体" w:hAnsi="Times New Roman" w:eastAsia="宋体" w:cs="宋体"/>
          <w:kern w:val="0"/>
          <w:sz w:val="32"/>
          <w:szCs w:val="32"/>
          <w:highlight w:val="white"/>
        </w:rPr>
        <w:t>6.5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0.27%</w:t>
      </w:r>
      <w:r>
        <w:rPr>
          <w:rFonts w:hint="eastAsia" w:ascii="宋体" w:hAnsi="Times New Roman" w:eastAsia="宋体" w:cs="宋体"/>
          <w:kern w:val="0"/>
          <w:sz w:val="32"/>
          <w:szCs w:val="32"/>
          <w:highlight w:val="white"/>
        </w:rPr>
        <w:t>；然资源海洋气象等（类）支出</w:t>
      </w:r>
      <w:r>
        <w:rPr>
          <w:rFonts w:ascii="宋体" w:hAnsi="Times New Roman" w:eastAsia="宋体" w:cs="宋体"/>
          <w:kern w:val="0"/>
          <w:sz w:val="32"/>
          <w:szCs w:val="32"/>
          <w:highlight w:val="white"/>
        </w:rPr>
        <w:t>12</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0.5%</w:t>
      </w:r>
      <w:r>
        <w:rPr>
          <w:rFonts w:hint="eastAsia" w:ascii="宋体" w:hAnsi="Times New Roman" w:eastAsia="宋体" w:cs="宋体"/>
          <w:kern w:val="0"/>
          <w:sz w:val="32"/>
          <w:szCs w:val="32"/>
          <w:highlight w:val="white"/>
        </w:rPr>
        <w:t>；粮油物资储备（类）支出</w:t>
      </w:r>
      <w:r>
        <w:rPr>
          <w:rFonts w:ascii="宋体" w:hAnsi="Times New Roman" w:eastAsia="宋体" w:cs="宋体"/>
          <w:kern w:val="0"/>
          <w:sz w:val="32"/>
          <w:szCs w:val="32"/>
          <w:highlight w:val="white"/>
        </w:rPr>
        <w:t>60</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2.5%</w:t>
      </w:r>
      <w:r>
        <w:rPr>
          <w:rFonts w:hint="eastAsia" w:ascii="宋体" w:hAnsi="Times New Roman" w:eastAsia="宋体" w:cs="宋体"/>
          <w:kern w:val="0"/>
          <w:sz w:val="32"/>
          <w:szCs w:val="32"/>
          <w:highlight w:val="white"/>
        </w:rPr>
        <w:t>；其他（类）支出</w:t>
      </w:r>
      <w:r>
        <w:rPr>
          <w:rFonts w:ascii="宋体" w:hAnsi="Times New Roman" w:eastAsia="宋体" w:cs="宋体"/>
          <w:kern w:val="0"/>
          <w:sz w:val="32"/>
          <w:szCs w:val="32"/>
          <w:highlight w:val="white"/>
        </w:rPr>
        <w:t>6.5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0.27%</w:t>
      </w:r>
      <w:r>
        <w:rPr>
          <w:rFonts w:hint="eastAsia" w:ascii="宋体" w:hAnsi="Times New Roman" w:eastAsia="宋体" w:cs="宋体"/>
          <w:kern w:val="0"/>
          <w:sz w:val="32"/>
          <w:szCs w:val="32"/>
          <w:highlight w:val="white"/>
        </w:rPr>
        <w:t>。</w:t>
      </w:r>
    </w:p>
    <w:p w14:paraId="62FF7B5D">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5341D7DA">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2023年度财政拨款支出年初预算为778万元，支出决算为2398.24万元，完成年初预算的308.26%。其中：</w:t>
      </w:r>
    </w:p>
    <w:p w14:paraId="3C24893C">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人大事务（款）其他人大事务支出（项）。年初预算为0万元，支出决算为1.68万元，由于年初预算为0，无法计算百分比。决算数大于预算数的主要原因是业务工作任务增加，调整预算支出，财政追拨业务工作经费。  </w:t>
      </w:r>
    </w:p>
    <w:p w14:paraId="74EAC0D6">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一般公共服务支出（类）政协事务（款）其他政协事务支出（项）。年初预算为0万元，支出决算为0.24万元，由于年初预算为0，无法计算百分比。 决算数大于预算数的主要原因是业务工作任务增加，调整预算支出，财政追拨业务工作经费。 </w:t>
      </w:r>
    </w:p>
    <w:p w14:paraId="5A9970A3">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行政运行（项）。年初预算为778万元，支出决算为929.87万元，完成年初预算的119.52%。决算数大于预算数的主要原因是业务工作任务增加，调整预算支出，财政追拨业务工作经费。  </w:t>
      </w:r>
    </w:p>
    <w:p w14:paraId="6CE8E54F">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信访事务（项）。年初预算为0万元，支出决算为6万元，由于年初预算为0，无法计算百分比。决算数大于预算数的主要原因是业务工作任务增加，调整预算支出，财政追拨业务工作经费。  </w:t>
      </w:r>
    </w:p>
    <w:p w14:paraId="6587E3BB">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财政事务（款）一般行政管理事务（项）。年初预算为0万元，支出决算为3万元，由于年初预算为0，无法计算百分比。决算数大于预算数的主要原因是业务工作任务增加，调整预算支出，财政追拨业务工作经费。  </w:t>
      </w:r>
    </w:p>
    <w:p w14:paraId="4D03E8A3">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税收事务（款）其他税收事务支出（项）。年初预算为0万元，支出决算为68.29万元，由于年初预算为0，无法计算百分比。决算数大于预算数的主要原因是业务工作任务增加，调整预算支出，财政追拨业务工作经费。  </w:t>
      </w:r>
    </w:p>
    <w:p w14:paraId="7344FE1D">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一般公共服务支出（类）党委办公厅（室）及相关机构事务（款）行政运行（项）。年初预算为0万元，支出决算为0.07万元，由于年初预算为0，无法计算百分比。 决算数大于预算数的主要原因是业务工作任务增加，调整预算支出，财政追拨业务工作经费。 </w:t>
      </w:r>
    </w:p>
    <w:p w14:paraId="4379938C">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一般公共服务支出（类）其他一般公共服务支出（款）其他一般公共服务支出（项）。年初预算为0万元，支出决算为0.3万元，由于年初预算为0，无法计算百分比。 决算数大于预算数的主要原因是业务工作任务增加，调整预算支出，财政追拨业务工作经费。 </w:t>
      </w:r>
    </w:p>
    <w:p w14:paraId="4D0423AC">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公共安全支出（类）公安（款）其他公安支出（项）。年初预算为0万元，支出决算为1.02万元，由于年初预算为0，无法计算百分比。决算数大于预算数的主要原因是业务工作任务增加，调整预算支出，财政追拨业务工作经费。  </w:t>
      </w:r>
    </w:p>
    <w:p w14:paraId="2838FC87">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文化旅游体育与传媒支出（类）文化和旅游（款）其他文化和旅游支出（项）。年初预算为0万元，支出决算为3万元，由于年初预算为0，无法计算百分比。决算数大于预算数的主要原因是业务工作任务增加，调整预算支出，财政追拨业务工作经费。  </w:t>
      </w:r>
    </w:p>
    <w:p w14:paraId="4EB3F55D">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民政管理事务（款）基层政权建设和社区治理（项）。年初预算为0万元，支出决算为3万元，由于年初预算为0，无法计算百分比。决算数大于预算数的主要原因是业务工作任务增加，调整预算支出，财政追拨业务工作经费。  </w:t>
      </w:r>
    </w:p>
    <w:p w14:paraId="64025FB3">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抚恤（款）其他优抚支出（项）。年初预算为0万元，支出决算为14.36万元，由于年初预算为0，无法计算百分比。决算数大于预算数的主要原因是业务工作任务增加，调整预算支出，财政追拨业务工作经费。  </w:t>
      </w:r>
    </w:p>
    <w:p w14:paraId="27712259">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社会福利（款）儿童福利（项）。年初预算为0万元，支出决算为6万元，由于年初预算为0，无法计算百分比，决算数大于预算数的主要原因是业务工作任务增加，调整预算支出，财政追拨业务工作经费。  </w:t>
      </w:r>
    </w:p>
    <w:p w14:paraId="15871DE0">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社会福利（款）老年福利（项）。年初预算为0万元，支出决算为6万元，由于年初预算为0，无法计算百分比。决算数大于预算数的主要原因是业务工作任务增加，调整预算支出，财政追拨业务工作经费。  </w:t>
      </w:r>
    </w:p>
    <w:p w14:paraId="754B4B65">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残疾人事业（款）行政运行（项）。年初预算为0万元，支出决算为1.5万元，由于年初预算为0，无法计算百分比。决算数大于预算数的主要原因是业务工作任务增加，调整预算支出，财政追拨业务工作经费。  </w:t>
      </w:r>
    </w:p>
    <w:p w14:paraId="2987F52B">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临时救助（款）临时救助支出（项）。年初预算为0万元，支出决算为52.5万元，由于年初预算为0，无法计算百分比。决算数大于预算数的主要原因是业务工作任务增加，调整预算支出，财政追拨业务工作经费。  </w:t>
      </w:r>
    </w:p>
    <w:p w14:paraId="3C39B5EE">
      <w:pPr>
        <w:pStyle w:val="14"/>
        <w:spacing w:line="600" w:lineRule="exact"/>
        <w:ind w:firstLine="640" w:firstLineChars="200"/>
        <w:rPr>
          <w:rFonts w:ascii="宋体" w:hAnsi="Times New Roman" w:eastAsia="宋体" w:cs="宋体"/>
          <w:color w:val="auto"/>
          <w:sz w:val="32"/>
          <w:szCs w:val="32"/>
        </w:rPr>
      </w:pPr>
      <w:r>
        <w:rPr>
          <w:rFonts w:ascii="宋体" w:hAnsi="Times New Roman" w:eastAsia="宋体" w:cs="宋体"/>
          <w:color w:val="auto"/>
          <w:sz w:val="32"/>
          <w:szCs w:val="32"/>
        </w:rPr>
        <w:t xml:space="preserve">    </w:t>
      </w:r>
    </w:p>
    <w:p w14:paraId="1316818A">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特困人员救助供养（款）城市特困人员救助供养支出（项）。年初预算为0万元，支出决算为32.65万元，由于年初预算为0，无法计算百分比。决算数大于预算数的主要原因是业务工作任务增加，调整预算支出，财政追拨业务工作经费。  </w:t>
      </w:r>
    </w:p>
    <w:p w14:paraId="6AC747CC">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特困人员救助供养（款）农村特困人员救助供养支出（项）。年初预算为0万元，支出决算为102.77万元，由于年初预算为0，无法计算百分比。决算数大于预算数的主要原因是业务工作任务增加，调整预算支出，财政追拨业务工作经费。  </w:t>
      </w:r>
    </w:p>
    <w:p w14:paraId="0FC9344D">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节能环保支出（类）自然生态保护（款）农村环境保护（项）。年初预算为0万元，支出决算为10万元，由于年初预算为0，无法计算百分比。决算数大于预算数的主要原因是业务工作任务增加，调整预算支出，财政追拨业务工作经费。  </w:t>
      </w:r>
    </w:p>
    <w:p w14:paraId="522C9DBA">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节能环保支出（类）自然生态保护（款）其他自然生态保护支出（项）。年初预算为0万元，支出决算为19.9万元，由于年初预算为0，无法计算百分比。决算数大于预算数的主要原因是业务工作任务增加，调整预算支出，财政追拨业务工作经费。  </w:t>
      </w:r>
    </w:p>
    <w:p w14:paraId="1A1707F7">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公共设施（款）其他城乡社区公共设施支出（项）。年初预算为0万元，支出决算为14万元，由于年初预算为0，无法计算百分比。决算数大于预算数的主要原因是业务工作任务增加，调整预算支出，财政追拨业务工作经费。  </w:t>
      </w:r>
    </w:p>
    <w:p w14:paraId="09488547">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科技转化与推广服务（项）。年初预算为0万元，支出决算为6.8万元，由于年初预算为0，无法计算百分比。决算数大于预算数的主要原因是业务工作任务增加，调整预算支出，财政追拨业务工作经费。  </w:t>
      </w:r>
    </w:p>
    <w:p w14:paraId="518F639D">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病虫害控制（项）。年初预算为0万元，支出决算为4万元，由于年初预算为0，无法计算百分比。决算数大于预算数的主要原因是业务工作任务增加，调整预算支出，财政追拨业务工作经费。  </w:t>
      </w:r>
    </w:p>
    <w:p w14:paraId="670B17A8">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防灾救灾（项）。年初预算为0万元，支出决算为5.93万元，由于年初预算为0，无法计算百分比。决算数大于预算数的主要原因是业务工作任务增加，调整预算支出，财政追拨业务工作经费。  </w:t>
      </w:r>
    </w:p>
    <w:p w14:paraId="5DBADAD9">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农村社会事业（项）。年初预算为0万元，支出决算为68.57万元，由于年初预算为0，无法计算百分比。决算数大于预算数的主要原因是业务工作任务增加，调整预算支出，财政追拨业务工作经费。  </w:t>
      </w:r>
    </w:p>
    <w:p w14:paraId="76D4B789">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其他农业农村支出（项）。年初预算为0万元，支出决算为9万元，由于年初预算为0，无法计算百分比。决算数大于预算数的主要原因是业务工作任务增加，调整预算支出，财政追拨业务工作经费。  </w:t>
      </w:r>
    </w:p>
    <w:p w14:paraId="26D8FFDE">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林业和草原（款）一般行政管理事务（项）。年初预算为0万元，支出决算为3万元，由于年初预算为0，无法计算百分比。决算数大于预算数的主要原因是业务工作任务增加，调整预算支出，财政追拨业务工作经费。  </w:t>
      </w:r>
    </w:p>
    <w:p w14:paraId="3681D050">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林业和草原（款）森林资源培育（项）。年初预算为0万元，支出决算为1.98万元，由于年初预算为0，无法计算百分比。决算数大于预算数的主要原因是业务工作任务增加，调整预算支出，财政追拨业务工作经费。  </w:t>
      </w:r>
    </w:p>
    <w:p w14:paraId="4A0AEF1D">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行政运行（项）。年初预算为0万元，支出决算为34万元，由于年初预算为0，无法计算百分比。决算数大于预算数的主要原因是业务工作任务增加，调整预算支出，财政追拨业务工作经费。  </w:t>
      </w:r>
    </w:p>
    <w:p w14:paraId="5799BC62">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水利工程建设（项）。年初预算为0万元，支出决算为30万元，由于年初预算为0，无法计算百分比。决算数大于预算数的主要原因是业务工作任务增加，调整预算支出，财政追拨业务工作经费。  </w:t>
      </w:r>
    </w:p>
    <w:p w14:paraId="1C93B783">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水利工程运行与维护（项）。年初预算为0万元，支出决算为3.55万元，由于年初预算为0，无法计算百分比。决算数大于预算数的主要原因是业务工作任务增加，调整预算支出，财政追拨业务工作经费。  </w:t>
      </w:r>
    </w:p>
    <w:p w14:paraId="2B9CEEF7">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农林水支出（类）水利（款）防汛（项）。年初预算为0万元，支出决算为5万元，由于年初预算为0，无法计算百分比。决算数大于预算数的主要原因是业务工作任务增加，调整预算支出，财政追拨业务工作经费。  </w:t>
      </w:r>
    </w:p>
    <w:p w14:paraId="651C014C">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抗旱（项）。年初预算为0万元，支出决算为8.36万元，由于年初预算为0，无法计算百分比。决算数大于预算数的主要原因是业务工作任务增加，调整预算支出，财政追拨业务工作经费。  </w:t>
      </w:r>
    </w:p>
    <w:p w14:paraId="5452D7FD">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其他水利支出（项）。年初预算为0万元，支出决算为12万元，由于年初预算为0，无法计算百分比。决算数大于预算数的主要原因是业务工作任务增加，调整预算支出，财政追拨业务工作经费。  </w:t>
      </w:r>
    </w:p>
    <w:p w14:paraId="028E0D79">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巩固脱贫攻坚成果衔接乡村振兴（款）其他巩固脱贫衔接乡村振兴支出（项）。年初预算为0万元，支出决算为267万元，由于年初预算为0，无法计算百分比。决算数大于预算数的主要原因是业务工作任务增加，调整预算支出，财政追拨业务工作经费。  </w:t>
      </w:r>
    </w:p>
    <w:p w14:paraId="3B980605">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级公益事业建设的补助（项）。年初预算为0万元，支出决算为77万元，由于年初预算为0，无法计算百分比。决算数大于预算数的主要原因是业务工作任务增加，调整预算支出，财政追拨业务工作经费。  </w:t>
      </w:r>
    </w:p>
    <w:p w14:paraId="4CDF07E0">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民委员会和村党支部的补助（项）。年初预算为0万元，支出决算为186.26万元，由于年初预算为0，无法计算百分比。决算数大于预算数的主要原因是业务工作任务增加，调整预算支出，财政追拨业务工作经费。  </w:t>
      </w:r>
    </w:p>
    <w:p w14:paraId="77AB1A57">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集体经济组织的补助（项）。年初预算为0万元，支出决算为5万元，由于年初预算为0，无法计算百分比。决算数大于预算数的主要原因是业务工作任务增加，调整预算支出，财政追拨业务工作经费。  </w:t>
      </w:r>
    </w:p>
    <w:p w14:paraId="43A8B99A">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农村综合改革示范试点补助（项）。年初预算为0万元，支出决算为200万元，由于年初预算为0，无法计算百分比。决算数大于预算数的主要原因是业务工作任务增加，调整预算支出，财政追拨业务工作经费。  </w:t>
      </w:r>
    </w:p>
    <w:p w14:paraId="03244EE0">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目标价格补贴（款）棉花目标价格补贴（项）。年初预算为0万元，支出决算为97.52万元，由于年初预算为0，无法计算百分比。决算数大于预算数的主要原因是业务工作任务增加，调整预算支出，财政追拨业务工作经费。  </w:t>
      </w:r>
    </w:p>
    <w:p w14:paraId="7CCF0835">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交通运输支出（类）公路水路运输（款）公路养护（项）。年初预算为0万元，支出决算为10.97万元，由于年初预算为0，无法计算百分比。决算数大于预算数的主要原因是业务工作任务增加，调整预算支出，财政追拨业务工作经费。  </w:t>
      </w:r>
    </w:p>
    <w:p w14:paraId="2FB9FC60">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交通运输支出（类）公路水路运输（款）其他公路水路运输支出（项）。年初预算为0万元，支出决算为1.16万元，由于年初预算为0，无法计算百分比。决算数大于预算数的主要原因是业务工作任务增加，调整预算支出，财政追拨业务工作经费。  </w:t>
      </w:r>
    </w:p>
    <w:p w14:paraId="2AA60E75">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商业服务业等支出（类）商业流通事务（款）其他商业流通事务支出（项）。年初预算为0万元，支出决算为6.5万元，由于年初预算为0，无法计算百分比。决算数大于预算数的主要原因是业务工作任务增加，调整预算支出，财政追拨业务工作经费。  </w:t>
      </w:r>
    </w:p>
    <w:p w14:paraId="01913CE0">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自然资源海洋气象等支出（类）自然资源事务（款）行政运行（项）。年初预算为0万元，支出决算为2万元，由于年初预算为0，无法计算百分比。决算数大于预算数的主要原因是业务工作任务增加，调整预算支出，财政追拨业务工作经费。  </w:t>
      </w:r>
    </w:p>
    <w:p w14:paraId="159358E7">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自然资源海洋气象等支出（类）自然资源事务（款）自然资源利用与保护（项）。年初预算为0万元，支出决算为10万元，由于年初预算为0，无法计算百分比。决算数大于预算数的主要原因是业务工作任务增加，调整预算支出，财政追拨业务工作经费。  </w:t>
      </w:r>
    </w:p>
    <w:p w14:paraId="558EA0B1">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 xml:space="preserve">粮油物资储备支出（类）粮油物资事务（款）其他粮油物资事务支出（项）。年初预算为0万元，支出决算为60万元，由于年初预算为0，无法计算百分比。决算数大于预算数的主要原因是业务工作任务增加，调整预算支出，财政追拨业务工作经费。  </w:t>
      </w:r>
    </w:p>
    <w:p w14:paraId="56714354">
      <w:pPr>
        <w:pStyle w:val="14"/>
        <w:spacing w:line="600" w:lineRule="exact"/>
        <w:ind w:firstLine="640" w:firstLineChars="200"/>
        <w:rPr>
          <w:rFonts w:ascii="宋体" w:hAnsi="Calibri" w:eastAsia="宋体" w:cs="宋体"/>
          <w:color w:val="auto"/>
          <w:sz w:val="32"/>
          <w:szCs w:val="32"/>
        </w:rPr>
      </w:pPr>
      <w:r>
        <w:rPr>
          <w:rFonts w:hint="eastAsia" w:ascii="宋体" w:hAnsi="Times New Roman" w:eastAsia="宋体" w:cs="宋体"/>
          <w:color w:val="auto"/>
          <w:sz w:val="32"/>
          <w:szCs w:val="32"/>
        </w:rPr>
        <w:t>其他支出（类）其他支出（款）其他支出（项）。年初预算为0万元，支出决算为6.5万元，由于年初预算为0，无法计算百分比。决算数大于预算数的主要原因是业务工作任务增加，调整预算支出，财政追拨业务工作经费</w:t>
      </w:r>
      <w:r>
        <w:rPr>
          <w:rFonts w:hint="eastAsia" w:ascii="宋体" w:cs="宋体"/>
          <w:color w:val="auto"/>
          <w:sz w:val="32"/>
          <w:szCs w:val="32"/>
        </w:rPr>
        <w:t>。</w:t>
      </w:r>
      <w:r>
        <w:rPr>
          <w:rFonts w:ascii="宋体" w:hAnsi="Calibri" w:eastAsia="宋体" w:cs="宋体"/>
          <w:color w:val="auto"/>
          <w:sz w:val="32"/>
          <w:szCs w:val="32"/>
        </w:rPr>
        <w:t xml:space="preserve">  </w:t>
      </w:r>
    </w:p>
    <w:p w14:paraId="09D0F21E">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34B170DE">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1100.11</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49A2DA4F">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900.83</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81.89%</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5CCADA3F">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199.28</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18.11%</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0A2AA383">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374DD165">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1E746A45">
      <w:pPr>
        <w:pStyle w:val="14"/>
        <w:spacing w:line="600" w:lineRule="exact"/>
        <w:ind w:firstLine="640" w:firstLineChars="20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2023年“三公”经费财政拨款支出预算为0万元，支出决算为0万元，由于年初预算为0，无法计算百分比，与上年相比减少0.95万元，下降100%,减少主要原因是认真贯彻落实中央八项规定精神和厉行节约要求，从严控制“三公”经费开支，全年实际支出比预算有所节约。其中：</w:t>
      </w:r>
    </w:p>
    <w:p w14:paraId="3596233D">
      <w:pPr>
        <w:pStyle w:val="14"/>
        <w:spacing w:line="600" w:lineRule="exact"/>
        <w:ind w:firstLine="640" w:firstLineChars="20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 xml:space="preserve">因公出国（境）费支出预算为0万元，支出决算为0万元，由于年初预算为0，无法计算百分比，与上年相比减少0万元，减少0%。   </w:t>
      </w:r>
    </w:p>
    <w:p w14:paraId="65F0B4B4">
      <w:pPr>
        <w:pStyle w:val="14"/>
        <w:spacing w:line="600" w:lineRule="exact"/>
        <w:ind w:firstLine="640" w:firstLineChars="20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公务接待费支出预算为0万元，支出决算为0万元，由于年初预算为0，无法计算百分比，与上年相比减少0.95万元，下降100%,减少主要原因是认真贯彻落实中央八项规定精神和厉行节约要求，从严控制“三公”经费开支，全年实际支出比预算有所节约。</w:t>
      </w:r>
    </w:p>
    <w:p w14:paraId="2EA54F9C">
      <w:pPr>
        <w:pStyle w:val="14"/>
        <w:spacing w:line="600" w:lineRule="exact"/>
        <w:ind w:firstLine="640" w:firstLineChars="20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 xml:space="preserve">公务用车购置费支出预算为0万元，支出决算为0万元，由于年初预算为0，无法计算百分比，与上年相比减少0万元，减少0%。   </w:t>
      </w:r>
    </w:p>
    <w:p w14:paraId="3EBBA35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kern w:val="2"/>
          <w:sz w:val="32"/>
          <w:szCs w:val="32"/>
          <w:lang w:val="zh-CN"/>
        </w:rPr>
        <w:t>公务用车购置费及运行维护费支出预算为0万元，支出决算为0万元，由于年初预算为0，无法计算百分比，与上年相比减少0万元，减少0%</w:t>
      </w:r>
      <w:r>
        <w:rPr>
          <w:rFonts w:hint="eastAsia" w:ascii="宋体" w:hAnsi="Times New Roman" w:eastAsia="宋体" w:cs="宋体"/>
          <w:color w:val="auto"/>
          <w:sz w:val="32"/>
          <w:szCs w:val="32"/>
          <w:highlight w:val="white"/>
        </w:rPr>
        <w:t>。</w:t>
      </w:r>
    </w:p>
    <w:p w14:paraId="2F0AC32D">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4BCE297C">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2023</w:t>
      </w:r>
      <w:r>
        <w:rPr>
          <w:rFonts w:hint="eastAsia" w:ascii="宋体" w:hAnsi="Times New Roman" w:eastAsia="宋体" w:cs="宋体"/>
          <w:kern w:val="0"/>
          <w:sz w:val="32"/>
          <w:szCs w:val="32"/>
          <w:lang w:val="zh-CN"/>
        </w:rPr>
        <w:t>年度</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三公</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经费财政拨款支出决算中，因公出国（境）费支出决算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；公务用车购置费及运行维护费支出决算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w:t>
      </w:r>
    </w:p>
    <w:p w14:paraId="31E0D50F">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1</w:t>
      </w:r>
      <w:r>
        <w:rPr>
          <w:rFonts w:hint="eastAsia" w:ascii="宋体" w:hAnsi="Times New Roman" w:eastAsia="宋体" w:cs="宋体"/>
          <w:kern w:val="0"/>
          <w:sz w:val="32"/>
          <w:szCs w:val="32"/>
          <w:lang w:val="zh-CN"/>
        </w:rPr>
        <w:t>、因公出国（境）费支出决算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万元，全年安排因公出国（境）团组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个，累计</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w:t>
      </w:r>
    </w:p>
    <w:p w14:paraId="00EF4C12">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万元，全年共接待来访团组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个、来宾</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人次。主要用于与有关单位交流工作情况及接受相关部门检查指导工作发生的接待支出。</w:t>
      </w:r>
    </w:p>
    <w:p w14:paraId="577B4299">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lang w:val="zh-CN"/>
        </w:rPr>
        <w:t xml:space="preserve"> 3</w:t>
      </w:r>
      <w:r>
        <w:rPr>
          <w:rFonts w:hint="eastAsia" w:ascii="宋体" w:hAnsi="Times New Roman" w:eastAsia="宋体" w:cs="宋体"/>
          <w:color w:val="auto"/>
          <w:sz w:val="32"/>
          <w:szCs w:val="32"/>
          <w:lang w:val="zh-CN"/>
        </w:rPr>
        <w:t>、公务用车购置费及运行维护费支出决算</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万元，其中：公务用车购置费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万元，更新公务用车</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辆。公务用车运行维护费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元，截止</w:t>
      </w:r>
      <w:r>
        <w:rPr>
          <w:rFonts w:ascii="宋体" w:hAnsi="Times New Roman" w:eastAsia="宋体" w:cs="宋体"/>
          <w:color w:val="auto"/>
          <w:sz w:val="32"/>
          <w:szCs w:val="32"/>
          <w:lang w:val="zh-CN"/>
        </w:rPr>
        <w:t>2023</w:t>
      </w:r>
      <w:r>
        <w:rPr>
          <w:rFonts w:hint="eastAsia" w:ascii="宋体" w:hAnsi="Times New Roman" w:eastAsia="宋体" w:cs="宋体"/>
          <w:color w:val="auto"/>
          <w:sz w:val="32"/>
          <w:szCs w:val="32"/>
          <w:lang w:val="zh-CN"/>
        </w:rPr>
        <w:t>年</w:t>
      </w:r>
      <w:r>
        <w:rPr>
          <w:rFonts w:ascii="宋体" w:hAnsi="Times New Roman" w:eastAsia="宋体" w:cs="宋体"/>
          <w:color w:val="auto"/>
          <w:sz w:val="32"/>
          <w:szCs w:val="32"/>
          <w:lang w:val="zh-CN"/>
        </w:rPr>
        <w:t>12</w:t>
      </w:r>
      <w:r>
        <w:rPr>
          <w:rFonts w:hint="eastAsia" w:ascii="宋体" w:hAnsi="Times New Roman" w:eastAsia="宋体" w:cs="宋体"/>
          <w:color w:val="auto"/>
          <w:sz w:val="32"/>
          <w:szCs w:val="32"/>
          <w:lang w:val="zh-CN"/>
        </w:rPr>
        <w:t>月</w:t>
      </w:r>
      <w:r>
        <w:rPr>
          <w:rFonts w:ascii="宋体" w:hAnsi="Times New Roman" w:eastAsia="宋体" w:cs="宋体"/>
          <w:color w:val="auto"/>
          <w:sz w:val="32"/>
          <w:szCs w:val="32"/>
          <w:lang w:val="zh-CN"/>
        </w:rPr>
        <w:t>31</w:t>
      </w:r>
      <w:r>
        <w:rPr>
          <w:rFonts w:hint="eastAsia" w:ascii="宋体" w:hAnsi="Times New Roman" w:eastAsia="宋体" w:cs="宋体"/>
          <w:color w:val="auto"/>
          <w:sz w:val="32"/>
          <w:szCs w:val="32"/>
          <w:lang w:val="zh-CN"/>
        </w:rPr>
        <w:t>日，我单位开支财政拨款的公务用车保有量为</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w:t>
      </w:r>
      <w:r>
        <w:rPr>
          <w:rFonts w:hint="eastAsia" w:ascii="宋体" w:hAnsi="Times New Roman" w:eastAsia="宋体" w:cs="宋体"/>
          <w:color w:val="auto"/>
          <w:sz w:val="32"/>
          <w:szCs w:val="32"/>
          <w:highlight w:val="white"/>
        </w:rPr>
        <w:t>。</w:t>
      </w:r>
    </w:p>
    <w:p w14:paraId="30258C38">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42E6D12A">
      <w:pPr>
        <w:pStyle w:val="14"/>
        <w:spacing w:line="600" w:lineRule="exact"/>
        <w:ind w:firstLine="63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2023年政府性基金预算财政拨款收入78万元，年初结转和结余0万元,本年支出78万元,其中：基本支出0元万元,项目支出78万元,年末结转和结余0万元,具体情况如下：</w:t>
      </w:r>
    </w:p>
    <w:p w14:paraId="0F6D082E">
      <w:pPr>
        <w:pStyle w:val="14"/>
        <w:spacing w:line="600" w:lineRule="exact"/>
        <w:ind w:firstLine="63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社会保障和就业支出（类）大中型水库移民后期扶持基金支出（款）移民补助（项）。年初预算为0万元，支出决算为25.46万元，由于年初预算为0，无法计算百分比。决算数大于预算数的主要原因是业务工作任务增加，调整预算支出，财政追拨业务工作经费。</w:t>
      </w:r>
    </w:p>
    <w:p w14:paraId="23BFC749">
      <w:pPr>
        <w:pStyle w:val="14"/>
        <w:spacing w:line="600" w:lineRule="exact"/>
        <w:ind w:firstLine="63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社会保障和就业支出（类）大中型水库移民后期扶持基金支出（款）基础设施建设和经济发展（项）。年初预算为0万元，支出决算为40.54万元，由于年初预算为0，无法计算百分比。决算数大于预算数的主要原因是业务工作任务增加，调整预算支出，财政追拨业务工作经费。</w:t>
      </w:r>
    </w:p>
    <w:p w14:paraId="5C7D47AA">
      <w:pPr>
        <w:pStyle w:val="14"/>
        <w:spacing w:line="600" w:lineRule="exact"/>
        <w:ind w:firstLine="630"/>
        <w:rPr>
          <w:rFonts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其他支出（类）彩票公益金安排的支出（款）用于社会福利的彩票公益金支出（项）。年初预算为0万元，支出决算为10万元，由于年初预算为0，无法计算百分比。决算数大于预算数的主要原因是业务工作任务增加，调整预算支出，财政追拨业务工作经费。</w:t>
      </w:r>
    </w:p>
    <w:p w14:paraId="6DB56C28">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宋体" w:hAnsi="Times New Roman" w:eastAsia="宋体" w:cs="宋体"/>
          <w:color w:val="auto"/>
          <w:kern w:val="2"/>
          <w:sz w:val="32"/>
          <w:szCs w:val="32"/>
          <w:lang w:val="zh-CN"/>
        </w:rPr>
        <w:t>其他支出（类）彩票公益金安排的支出（款）用于体育事业的彩票公益金支出（项）。年初预算为0万元，支出决算为2万元，由于年初预算为0，无法计算百分比。决算数大于预算数的主要原因是业务工作任务增加，调整预算支出，财政追拨业务工作经费</w:t>
      </w:r>
      <w:r>
        <w:rPr>
          <w:rFonts w:hint="eastAsia" w:ascii="宋体" w:hAnsi="Times New Roman" w:eastAsia="宋体" w:cs="宋体"/>
          <w:color w:val="auto"/>
          <w:sz w:val="32"/>
          <w:szCs w:val="32"/>
          <w:highlight w:val="white"/>
          <w:lang w:val="zh-CN"/>
        </w:rPr>
        <w:t>。</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11D3321C">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6D515D92">
      <w:pPr>
        <w:pStyle w:val="14"/>
        <w:spacing w:line="600" w:lineRule="exact"/>
        <w:ind w:firstLine="63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028BE840">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年度机关运行经费支出</w:t>
      </w:r>
      <w:r>
        <w:rPr>
          <w:rFonts w:ascii="宋体" w:hAnsi="Times New Roman" w:eastAsia="宋体" w:cs="宋体"/>
          <w:sz w:val="32"/>
          <w:szCs w:val="32"/>
          <w:highlight w:val="white"/>
        </w:rPr>
        <w:t>199.28</w:t>
      </w:r>
      <w:r>
        <w:rPr>
          <w:rFonts w:hint="eastAsia" w:ascii="宋体" w:hAnsi="Times New Roman" w:eastAsia="宋体" w:cs="宋体"/>
          <w:sz w:val="32"/>
          <w:szCs w:val="32"/>
          <w:highlight w:val="white"/>
        </w:rPr>
        <w:t>万元。比年初预算数增加</w:t>
      </w:r>
      <w:r>
        <w:rPr>
          <w:rFonts w:ascii="宋体" w:hAnsi="Times New Roman" w:eastAsia="宋体" w:cs="宋体"/>
          <w:sz w:val="32"/>
          <w:szCs w:val="32"/>
          <w:highlight w:val="white"/>
        </w:rPr>
        <w:t>151.04</w:t>
      </w:r>
      <w:r>
        <w:rPr>
          <w:rFonts w:hint="eastAsia" w:ascii="宋体" w:hAnsi="Times New Roman" w:eastAsia="宋体" w:cs="宋体"/>
          <w:sz w:val="32"/>
          <w:szCs w:val="32"/>
          <w:highlight w:val="white"/>
        </w:rPr>
        <w:t>万元。增加</w:t>
      </w:r>
      <w:r>
        <w:rPr>
          <w:rFonts w:ascii="宋体" w:hAnsi="Times New Roman" w:eastAsia="宋体" w:cs="宋体"/>
          <w:sz w:val="32"/>
          <w:szCs w:val="32"/>
          <w:highlight w:val="white"/>
        </w:rPr>
        <w:t>313.1%</w:t>
      </w:r>
      <w:r>
        <w:rPr>
          <w:rFonts w:hint="eastAsia" w:ascii="宋体" w:hAnsi="Times New Roman" w:eastAsia="宋体" w:cs="宋体"/>
          <w:sz w:val="32"/>
          <w:szCs w:val="32"/>
          <w:highlight w:val="white"/>
        </w:rPr>
        <w:t>，主要原因是：</w:t>
      </w:r>
      <w:r>
        <w:rPr>
          <w:rFonts w:hint="eastAsia" w:ascii="宋体" w:hAnsi="Times New Roman" w:cs="宋体"/>
          <w:sz w:val="32"/>
          <w:szCs w:val="32"/>
        </w:rPr>
        <w:t>业务工作任务增加，为保障机构正常运转，完成年度目标任务，财政追拨机关运行经费</w:t>
      </w:r>
      <w:r>
        <w:rPr>
          <w:rFonts w:hint="eastAsia" w:ascii="宋体" w:hAnsi="Times New Roman" w:eastAsia="宋体" w:cs="宋体"/>
          <w:kern w:val="0"/>
          <w:sz w:val="32"/>
          <w:szCs w:val="32"/>
          <w:lang w:val="zh-CN"/>
        </w:rPr>
        <w:t>。</w:t>
      </w:r>
    </w:p>
    <w:p w14:paraId="7D74A9BE">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3BB66139">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万元，开支培训费</w:t>
      </w:r>
      <w:r>
        <w:rPr>
          <w:rFonts w:ascii="宋体" w:hAnsi="Times New Roman" w:eastAsia="宋体" w:cs="宋体"/>
          <w:kern w:val="0"/>
          <w:sz w:val="32"/>
          <w:szCs w:val="32"/>
          <w:highlight w:val="white"/>
        </w:rPr>
        <w:t>0.24</w:t>
      </w:r>
      <w:r>
        <w:rPr>
          <w:rFonts w:hint="eastAsia" w:ascii="宋体" w:hAnsi="Times New Roman" w:eastAsia="宋体" w:cs="宋体"/>
          <w:kern w:val="0"/>
          <w:sz w:val="32"/>
          <w:szCs w:val="32"/>
          <w:highlight w:val="white"/>
        </w:rPr>
        <w:t>万元，用于开展知识技能培训，人数</w:t>
      </w:r>
      <w:r>
        <w:rPr>
          <w:rFonts w:ascii="宋体" w:hAnsi="Times New Roman" w:eastAsia="宋体" w:cs="宋体"/>
          <w:kern w:val="0"/>
          <w:sz w:val="32"/>
          <w:szCs w:val="32"/>
          <w:highlight w:val="white"/>
        </w:rPr>
        <w:t>10</w:t>
      </w:r>
      <w:r>
        <w:rPr>
          <w:rFonts w:hint="eastAsia" w:ascii="宋体" w:hAnsi="Times New Roman" w:eastAsia="宋体" w:cs="宋体"/>
          <w:kern w:val="0"/>
          <w:sz w:val="32"/>
          <w:szCs w:val="32"/>
          <w:highlight w:val="white"/>
        </w:rPr>
        <w:t>人，内容为继续教育等培训；</w:t>
      </w:r>
      <w:r>
        <w:rPr>
          <w:rFonts w:ascii="宋体" w:hAnsi="Times New Roman" w:eastAsia="宋体" w:cs="宋体"/>
          <w:kern w:val="0"/>
          <w:sz w:val="32"/>
          <w:szCs w:val="32"/>
          <w:highlight w:val="white"/>
        </w:rPr>
        <w:t xml:space="preserve"> 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5B47906B">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358E5102">
      <w:pPr>
        <w:keepNext/>
        <w:keepLines/>
        <w:autoSpaceDE w:val="0"/>
        <w:autoSpaceDN w:val="0"/>
        <w:adjustRightInd w:val="0"/>
        <w:ind w:firstLine="641"/>
        <w:rPr>
          <w:rFonts w:ascii="宋体" w:hAnsi="Times New Roman" w:eastAsia="宋体" w:cs="宋体"/>
          <w:sz w:val="32"/>
          <w:szCs w:val="32"/>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年度政府采购支出总额</w:t>
      </w:r>
      <w:r>
        <w:rPr>
          <w:rFonts w:ascii="宋体" w:hAnsi="Times New Roman" w:eastAsia="宋体" w:cs="宋体"/>
          <w:sz w:val="32"/>
          <w:szCs w:val="32"/>
          <w:highlight w:val="white"/>
        </w:rPr>
        <w:t>318.21</w:t>
      </w:r>
      <w:r>
        <w:rPr>
          <w:rFonts w:hint="eastAsia" w:ascii="宋体" w:hAnsi="Times New Roman" w:eastAsia="宋体" w:cs="宋体"/>
          <w:sz w:val="32"/>
          <w:szCs w:val="32"/>
          <w:highlight w:val="white"/>
        </w:rPr>
        <w:t>万元，其中：政府采购货物支出</w:t>
      </w:r>
      <w:r>
        <w:rPr>
          <w:rFonts w:ascii="宋体" w:hAnsi="Times New Roman" w:eastAsia="宋体" w:cs="宋体"/>
          <w:sz w:val="32"/>
          <w:szCs w:val="32"/>
          <w:highlight w:val="white"/>
        </w:rPr>
        <w:t>15.07</w:t>
      </w:r>
      <w:r>
        <w:rPr>
          <w:rFonts w:hint="eastAsia" w:ascii="宋体" w:hAnsi="Times New Roman" w:eastAsia="宋体" w:cs="宋体"/>
          <w:sz w:val="32"/>
          <w:szCs w:val="32"/>
          <w:highlight w:val="white"/>
        </w:rPr>
        <w:t>万元；政府采购工程支出</w:t>
      </w:r>
      <w:r>
        <w:rPr>
          <w:rFonts w:ascii="宋体" w:hAnsi="Times New Roman" w:eastAsia="宋体" w:cs="宋体"/>
          <w:sz w:val="32"/>
          <w:szCs w:val="32"/>
          <w:highlight w:val="white"/>
        </w:rPr>
        <w:t>203.64</w:t>
      </w:r>
      <w:r>
        <w:rPr>
          <w:rFonts w:hint="eastAsia" w:ascii="宋体" w:hAnsi="Times New Roman" w:eastAsia="宋体" w:cs="宋体"/>
          <w:sz w:val="32"/>
          <w:szCs w:val="32"/>
          <w:highlight w:val="white"/>
        </w:rPr>
        <w:t>万元；政府采购服务支出</w:t>
      </w:r>
      <w:r>
        <w:rPr>
          <w:rFonts w:ascii="宋体" w:hAnsi="Times New Roman" w:eastAsia="宋体" w:cs="宋体"/>
          <w:sz w:val="32"/>
          <w:szCs w:val="32"/>
          <w:highlight w:val="white"/>
        </w:rPr>
        <w:t>99.5</w:t>
      </w:r>
      <w:r>
        <w:rPr>
          <w:rFonts w:hint="eastAsia" w:ascii="宋体" w:hAnsi="Times New Roman" w:eastAsia="宋体" w:cs="宋体"/>
          <w:sz w:val="32"/>
          <w:szCs w:val="32"/>
          <w:highlight w:val="white"/>
        </w:rPr>
        <w:t>万元。授予中小企业合同金额</w:t>
      </w:r>
      <w:r>
        <w:rPr>
          <w:rFonts w:ascii="宋体" w:hAnsi="Times New Roman" w:eastAsia="宋体" w:cs="宋体"/>
          <w:sz w:val="32"/>
          <w:szCs w:val="32"/>
          <w:highlight w:val="white"/>
        </w:rPr>
        <w:t>318.21</w:t>
      </w:r>
      <w:r>
        <w:rPr>
          <w:rFonts w:hint="eastAsia" w:ascii="宋体" w:hAnsi="Times New Roman" w:eastAsia="宋体" w:cs="宋体"/>
          <w:sz w:val="32"/>
          <w:szCs w:val="32"/>
          <w:highlight w:val="white"/>
        </w:rPr>
        <w:t>万元，占政府采购支出总额的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。其中：授予小微企业合同金额</w:t>
      </w:r>
      <w:r>
        <w:rPr>
          <w:rFonts w:ascii="宋体" w:hAnsi="Times New Roman" w:eastAsia="宋体" w:cs="宋体"/>
          <w:sz w:val="32"/>
          <w:szCs w:val="32"/>
          <w:highlight w:val="white"/>
        </w:rPr>
        <w:t>318.21</w:t>
      </w:r>
      <w:r>
        <w:rPr>
          <w:rFonts w:hint="eastAsia" w:ascii="宋体" w:hAnsi="Times New Roman" w:eastAsia="宋体" w:cs="宋体"/>
          <w:sz w:val="32"/>
          <w:szCs w:val="32"/>
          <w:highlight w:val="white"/>
        </w:rPr>
        <w:t>万元，占授予中小企业合同金额的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。货物采购授予中小企业合同金额占货物支出金额的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。工程采购授予中小企业合同金额占工程支出金额的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。服务采购授予中小企业合同金额占服务支出金额的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13ACEB83">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3E452953">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6F9D70C6">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bookmarkStart w:id="0" w:name="_GoBack"/>
      <w:bookmarkEnd w:id="0"/>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147DE765">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29D50F6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74D247B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部门开展整体支出绩效评价，涉及一般公共预算支出2398.24万元，政府性基金预算支出78万元，国有资本经营预算支出0万元, 合计2476.24万元，其中：基本支出1100.11万元，占44.43%；项目支出1376.13万元，占55.57%。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66074C89">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74A0AE5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42784CF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45BED580">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4590F97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一是预算执行的精细化程度还不够，预算调整的情况时有发生。需强化预算的刚性约束，提高财政资金使用效率，提高预算执行的严肃性。</w:t>
      </w:r>
    </w:p>
    <w:p w14:paraId="6258DC1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二是绩效评价结果的应用还不够充分。需加强完善单位的内部控制制度，强化绩效评价结果的应用，充分发挥绩效评价的导向作用。</w:t>
      </w:r>
    </w:p>
    <w:p w14:paraId="66BA4F6E">
      <w:pPr>
        <w:pStyle w:val="14"/>
        <w:jc w:val="both"/>
        <w:rPr>
          <w:color w:val="auto"/>
          <w:sz w:val="72"/>
          <w:szCs w:val="72"/>
        </w:rPr>
      </w:pPr>
    </w:p>
    <w:p w14:paraId="72A09071">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29CA6CFC">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6F6A33C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财政拨款收入：指本级财政当年拨付的资金。</w:t>
      </w:r>
    </w:p>
    <w:p w14:paraId="0CF967C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政府性基金预算财政拨款收入：指本级财政当年拨付的政府性基金预算资金。</w:t>
      </w:r>
    </w:p>
    <w:p w14:paraId="45C5635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2B54040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国防支出（类）：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w:t>
      </w: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4F17FBC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公共安全支出（类）：是指用于内卫、消防等武装警察部队的支出，包括保障机构正常运转、完成日常和特定的工作任务或事业发展目标的支出。</w:t>
      </w:r>
    </w:p>
    <w:p w14:paraId="7965C72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文化体育与传媒支出（类）：是指用于文化、文物、体育、新闻出版广播影视等方面的支出，包括保障机构正常运转、完成日常和特定的工作任务或事业发展目标的支出。</w:t>
      </w:r>
    </w:p>
    <w:p w14:paraId="73FC22B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2775AC8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节能环保支出（类）：是指用于节能环保支出，包括保障机构正常运转、完成日常和特定的工作任务或事业发展目标的支出。</w:t>
      </w:r>
    </w:p>
    <w:p w14:paraId="0634912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城乡社区支出（类）：是指用于城乡社区事务支出，包括保障机构正常运转、完成日常和特定的工作任务或事业发展目标的支出。</w:t>
      </w:r>
    </w:p>
    <w:p w14:paraId="42520B4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农林水支出（类）：是指用于农林水事务支出，包括保障机构正常运转、完成日常和特定的工作任务或事业发展目标的支出。</w:t>
      </w:r>
    </w:p>
    <w:p w14:paraId="0D2181F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交通运输支出（类）：是指用于交通运输和邮政业方面的支出，包括保障机构正常运转、完成日常和特定的工作任务或事业发展目标的支出。</w:t>
      </w:r>
    </w:p>
    <w:p w14:paraId="194243D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商业服务业等支出（类）：是指用于商业服务业等方面的支出</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包括保障机构正常运转、完成日常和特定的工作任务或事业发展目标的支出。</w:t>
      </w:r>
    </w:p>
    <w:p w14:paraId="0150050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自然资源海洋气象等支出（类）：是指用于自然资源、海洋、测绘、气象等公益服务事业方面的支出，包括保障机构正常运转、完成日常和特定的工作任务或事业发展目标的支出。</w:t>
      </w:r>
    </w:p>
    <w:p w14:paraId="750026D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住房保障支出（类）：是指用于住房方面的支出，包括保障机构正常运转、完成日常和特定的工作任务或事业发展目标的支出。</w:t>
      </w:r>
    </w:p>
    <w:p w14:paraId="757E825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粮油物资储备支出（类）：是指用于粮油物资储备方面的支出，包括保障机构正常运转、完成日常和特定的工作任务或事业发展目标的支出。</w:t>
      </w:r>
    </w:p>
    <w:p w14:paraId="13EB398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其他支出（类）：是指用于反映除上述项目以外其他不能划分到具体功能科目中的支出项目，包括保障机构正常运转、完成日常和特定的工作任务或事业发展目标的支出。</w:t>
      </w:r>
    </w:p>
    <w:p w14:paraId="1060E60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基本支出：指保障机构正常运转、完成支日常工作任务而发生的人员支出和公用支出。</w:t>
      </w:r>
    </w:p>
    <w:p w14:paraId="7B8CA6B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项目支出：指在基本支出之外为完成特定行政任务和事业发展目标所发生的支出。</w:t>
      </w:r>
    </w:p>
    <w:p w14:paraId="658F7519">
      <w:pPr>
        <w:keepNext/>
        <w:keepLines/>
        <w:autoSpaceDE w:val="0"/>
        <w:autoSpaceDN w:val="0"/>
        <w:adjustRightInd w:val="0"/>
        <w:ind w:firstLine="640"/>
        <w:rPr>
          <w:rFonts w:ascii="宋体" w:hAnsi="Times New Roman" w:eastAsia="宋体" w:cs="宋体"/>
          <w:kern w:val="0"/>
          <w:sz w:val="32"/>
          <w:szCs w:val="32"/>
          <w:highlight w:val="white"/>
        </w:rPr>
      </w:pPr>
    </w:p>
    <w:p w14:paraId="4AAC0E7D">
      <w:pPr>
        <w:keepNext/>
        <w:keepLines/>
        <w:autoSpaceDE w:val="0"/>
        <w:autoSpaceDN w:val="0"/>
        <w:adjustRightInd w:val="0"/>
        <w:ind w:firstLine="640"/>
        <w:rPr>
          <w:rFonts w:ascii="宋体" w:hAnsi="Times New Roman" w:eastAsia="宋体" w:cs="宋体"/>
          <w:kern w:val="0"/>
          <w:sz w:val="32"/>
          <w:szCs w:val="32"/>
          <w:highlight w:val="white"/>
        </w:rPr>
      </w:pPr>
    </w:p>
    <w:p w14:paraId="21CD9EA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政府采购</w:t>
      </w: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：是指国家各级政府为从事日常的政务活动或为了满足公共服务的目的，利用国家财政性资金和政府借款购买货物、工程和服务的行为。</w:t>
      </w:r>
    </w:p>
    <w:p w14:paraId="24B9BFB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工资福利支出：反映单位开支的在职职工和编制外长期聘用人员的各类劳动报酬，以及为上述人员缴纳的各项社会保险费等。</w:t>
      </w:r>
    </w:p>
    <w:p w14:paraId="11AAA7B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见习期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18A3722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津贴补贴：反映经国家批准建立的机关事业单位艰苦边远地区津贴、机关工作人员地区附加津贴、机关工作人员岗位津贴、事业单位工作人员特殊岗位津贴补贴等。</w:t>
      </w:r>
    </w:p>
    <w:p w14:paraId="5EFA1BB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奖金：反映机关工作人员年终一次性奖金。</w:t>
      </w:r>
    </w:p>
    <w:p w14:paraId="066E533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绩效工资：反映事业单位工作人员的绩效工资。</w:t>
      </w:r>
    </w:p>
    <w:p w14:paraId="666088F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机关事业单位基本养老保险缴费：反映机关事业单位缴纳的基本养老保险费。由单位代扣的工作人员基本养老保险缴费，不在此科目反映。</w:t>
      </w:r>
    </w:p>
    <w:p w14:paraId="44DCFD9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职工基本医疗保险缴费：反映单位为职工缴纳的基本医疗保险费。</w:t>
      </w:r>
    </w:p>
    <w:p w14:paraId="0B490D8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其他社会保障缴费：反映单位为职工缴纳的基本医疗、失业、工伤、生育等社会保险费，残疾人就业保障金，军队（含武警）为军人缴纳的伤亡、退役医疗等社会保险费。</w:t>
      </w:r>
    </w:p>
    <w:p w14:paraId="56C0EDC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住房公积金：反映行政事业单位按人力资源和社会保障部、财政部规定的基本工资和津贴补贴以及规定比例为职工缴纳的住房公积金。</w:t>
      </w:r>
    </w:p>
    <w:p w14:paraId="44AB5593">
      <w:pPr>
        <w:keepNext/>
        <w:keepLines/>
        <w:autoSpaceDE w:val="0"/>
        <w:autoSpaceDN w:val="0"/>
        <w:adjustRightInd w:val="0"/>
        <w:ind w:firstLine="640"/>
        <w:rPr>
          <w:rFonts w:ascii="宋体" w:hAnsi="Times New Roman" w:eastAsia="宋体" w:cs="宋体"/>
          <w:kern w:val="0"/>
          <w:sz w:val="32"/>
          <w:szCs w:val="32"/>
          <w:highlight w:val="white"/>
        </w:rPr>
      </w:pPr>
    </w:p>
    <w:p w14:paraId="442872F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商品和服务支出：反映单位购买商品和服务的支出（不包括用于购置固定资产的支出、战略性和应急储备支出）。</w:t>
      </w:r>
    </w:p>
    <w:p w14:paraId="54E59EB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办公费：反映单位购买按财务会计制度规定不符合固定资产确认标准的日常办公用品、书报杂志等支出。</w:t>
      </w:r>
    </w:p>
    <w:p w14:paraId="5F1BCFE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印刷费：反映单位的印刷费支出。</w:t>
      </w:r>
    </w:p>
    <w:p w14:paraId="3222512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咨询费：反映单位咨询方面的支出。</w:t>
      </w:r>
    </w:p>
    <w:p w14:paraId="00024EE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水费：反映单位支付的水费、污水处理费等支出。</w:t>
      </w:r>
    </w:p>
    <w:p w14:paraId="10B5A41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电费：反映单位的电费支出。</w:t>
      </w:r>
    </w:p>
    <w:p w14:paraId="5FE960E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邮电费：反映单位开支的信函、包裹、货物等物品的邮寄费及电话费、电报费、传真费、网络通讯费等。</w:t>
      </w:r>
    </w:p>
    <w:p w14:paraId="75BF41B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差旅费：反映单位工作人员出差发生的城市间交通费、住宿费、伙食补贴费和市内交通费。</w:t>
      </w:r>
    </w:p>
    <w:p w14:paraId="009DD63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维修</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护</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费：反映单位日常开支的固定资产（不包括车船等交通工具）修理和维护费用，网络信息系统运行与维护费用，以及按规定提取的修购基金。</w:t>
      </w:r>
    </w:p>
    <w:p w14:paraId="56728CE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会议费：反映会议中按规定开支的住宿费、伙食费、会议室租金、交通费、文件印刷费、医药费等。</w:t>
      </w:r>
    </w:p>
    <w:p w14:paraId="62C186F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培训费：反映除因公出国（境）培训费以外的各类培训支出。</w:t>
      </w:r>
    </w:p>
    <w:p w14:paraId="5BB6879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595FDDE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劳务费：反映支付给单位和个人的劳务费用，如临时聘用人员、钟点工工资，稿费、翻译费，评审费等。</w:t>
      </w:r>
    </w:p>
    <w:p w14:paraId="0599825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委托业务费：反映因委托外单位办理业务而支付的委托业务费。</w:t>
      </w:r>
    </w:p>
    <w:p w14:paraId="2D0D6FA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工会经费：反映单位按规定提取的工会经费。</w:t>
      </w:r>
    </w:p>
    <w:p w14:paraId="05B8BCC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福利费：反映单位按规定提取的福利费。</w:t>
      </w:r>
    </w:p>
    <w:p w14:paraId="5C9F2A3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其他交通费用：反映单位除公务用车运行维护费以外的其他交通费用。如公务交通补贴，租车费用、出租车费用，飞机、船舶等的燃料费、维修费、保险费等。</w:t>
      </w:r>
    </w:p>
    <w:p w14:paraId="56B2157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其他商品和服务支出：反映上述科目未包括的日常公用支出。如行政赔偿费和诉讼费、国内组织的会员费、来访费、广告宣传、其他劳务费及离休人员特需费、公用经费等。</w:t>
      </w:r>
    </w:p>
    <w:p w14:paraId="0840859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对个人和家庭的补助：反映政府用于对个人和家庭的补助支出。</w:t>
      </w:r>
    </w:p>
    <w:p w14:paraId="13CDFC9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抚恤金：反映按规定开支的烈士遗属、牺牲病故人员遗属的一次性和定期抚恤金，伤残人员的抚恤金，离退休人员等其他人员的各项抚恤金。</w:t>
      </w:r>
    </w:p>
    <w:p w14:paraId="74737BB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0F8AD05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72993F4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其他对个人和家庭的补助支出：反映未包括在上述科目的对个人和家庭的补助支出，</w:t>
      </w:r>
    </w:p>
    <w:p w14:paraId="0162C4A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385610A3">
      <w:pPr>
        <w:pStyle w:val="14"/>
        <w:jc w:val="center"/>
        <w:rPr>
          <w:rFonts w:ascii="方正小标宋_GBK" w:hAnsi="方正小标宋_GBK" w:eastAsia="方正小标宋_GBK" w:cs="方正小标宋_GBK"/>
          <w:color w:val="auto"/>
          <w:sz w:val="48"/>
          <w:szCs w:val="48"/>
        </w:rPr>
      </w:pPr>
    </w:p>
    <w:p w14:paraId="67C4414D">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3C7C76DF">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11C6658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年度华容县团洲乡人民政府部门决算公开表格</w:t>
      </w:r>
    </w:p>
    <w:p w14:paraId="69FDEA1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年度华容县团洲乡人民政府整体支出绩效自评报告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07CED"/>
    <w:rsid w:val="0002229B"/>
    <w:rsid w:val="000273BD"/>
    <w:rsid w:val="00027A5A"/>
    <w:rsid w:val="00031476"/>
    <w:rsid w:val="00040CBC"/>
    <w:rsid w:val="000415B7"/>
    <w:rsid w:val="00041E3F"/>
    <w:rsid w:val="00055DAA"/>
    <w:rsid w:val="00061F7B"/>
    <w:rsid w:val="000658A3"/>
    <w:rsid w:val="00074155"/>
    <w:rsid w:val="000A3F69"/>
    <w:rsid w:val="000E3B6C"/>
    <w:rsid w:val="00103957"/>
    <w:rsid w:val="00103ADF"/>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A01AB"/>
    <w:rsid w:val="002E0A30"/>
    <w:rsid w:val="002E3273"/>
    <w:rsid w:val="003130C4"/>
    <w:rsid w:val="00316C4B"/>
    <w:rsid w:val="0032192B"/>
    <w:rsid w:val="003479BD"/>
    <w:rsid w:val="0037197D"/>
    <w:rsid w:val="003768D5"/>
    <w:rsid w:val="003926B9"/>
    <w:rsid w:val="003C45C9"/>
    <w:rsid w:val="003C47E6"/>
    <w:rsid w:val="003C4FC2"/>
    <w:rsid w:val="003C658E"/>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427FA"/>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36CF8"/>
    <w:rsid w:val="00787B42"/>
    <w:rsid w:val="007C4539"/>
    <w:rsid w:val="007F3657"/>
    <w:rsid w:val="00812ED5"/>
    <w:rsid w:val="008277D9"/>
    <w:rsid w:val="0084478C"/>
    <w:rsid w:val="0086638C"/>
    <w:rsid w:val="0087345F"/>
    <w:rsid w:val="008A3E8D"/>
    <w:rsid w:val="008D1FB3"/>
    <w:rsid w:val="00904967"/>
    <w:rsid w:val="009237C4"/>
    <w:rsid w:val="00944C48"/>
    <w:rsid w:val="00950252"/>
    <w:rsid w:val="00967F5D"/>
    <w:rsid w:val="009A0F95"/>
    <w:rsid w:val="009B3ADF"/>
    <w:rsid w:val="009C3B52"/>
    <w:rsid w:val="009E6817"/>
    <w:rsid w:val="009E6E9A"/>
    <w:rsid w:val="00A01D2B"/>
    <w:rsid w:val="00A4162F"/>
    <w:rsid w:val="00A42218"/>
    <w:rsid w:val="00A70249"/>
    <w:rsid w:val="00A70B02"/>
    <w:rsid w:val="00A71D9F"/>
    <w:rsid w:val="00A92E9F"/>
    <w:rsid w:val="00AB18FF"/>
    <w:rsid w:val="00B1240F"/>
    <w:rsid w:val="00B33BEA"/>
    <w:rsid w:val="00B57C9F"/>
    <w:rsid w:val="00B63572"/>
    <w:rsid w:val="00B651CF"/>
    <w:rsid w:val="00B845B3"/>
    <w:rsid w:val="00B85D8B"/>
    <w:rsid w:val="00BB4A40"/>
    <w:rsid w:val="00BD286D"/>
    <w:rsid w:val="00BD6C3E"/>
    <w:rsid w:val="00BE3674"/>
    <w:rsid w:val="00C10681"/>
    <w:rsid w:val="00C3049A"/>
    <w:rsid w:val="00C31B1E"/>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F74360"/>
    <w:rsid w:val="00FB462F"/>
    <w:rsid w:val="00FB6634"/>
    <w:rsid w:val="00FE16FA"/>
    <w:rsid w:val="00FE328A"/>
    <w:rsid w:val="00FE6269"/>
    <w:rsid w:val="00FF5CD6"/>
    <w:rsid w:val="1D97DEFF"/>
    <w:rsid w:val="1DFF72E5"/>
    <w:rsid w:val="1EFC6F07"/>
    <w:rsid w:val="2FDF85B8"/>
    <w:rsid w:val="2FFFEE04"/>
    <w:rsid w:val="34DF85B0"/>
    <w:rsid w:val="3B8F36BC"/>
    <w:rsid w:val="491FF225"/>
    <w:rsid w:val="4E395582"/>
    <w:rsid w:val="4FFD214C"/>
    <w:rsid w:val="5777D4F5"/>
    <w:rsid w:val="59DD8326"/>
    <w:rsid w:val="5DEF592A"/>
    <w:rsid w:val="5FC6BB1E"/>
    <w:rsid w:val="5FF720F1"/>
    <w:rsid w:val="60454613"/>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13413</Words>
  <Characters>13962</Characters>
  <Lines>101</Lines>
  <Paragraphs>28</Paragraphs>
  <TotalTime>0</TotalTime>
  <ScaleCrop>false</ScaleCrop>
  <LinksUpToDate>false</LinksUpToDate>
  <CharactersWithSpaces>14079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2025-11-12T13:11:50Z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