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8733E">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3BBEB377">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rPr>
        <w:t>华容县插旗镇</w:t>
      </w:r>
      <w:r>
        <w:rPr>
          <w:rFonts w:hint="eastAsia" w:ascii="方正小标宋_GBK" w:hAnsi="方正小标宋_GBK" w:eastAsia="方正小标宋_GBK" w:cs="方正小标宋_GBK"/>
          <w:sz w:val="84"/>
          <w:szCs w:val="84"/>
          <w:lang w:eastAsia="zh-CN"/>
        </w:rPr>
        <w:t>人民政府</w:t>
      </w:r>
    </w:p>
    <w:p w14:paraId="145AEB0F">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0F32C571">
      <w:pPr>
        <w:pStyle w:val="13"/>
        <w:spacing w:line="500" w:lineRule="exact"/>
        <w:jc w:val="both"/>
        <w:rPr>
          <w:b/>
          <w:sz w:val="36"/>
          <w:szCs w:val="28"/>
        </w:rPr>
      </w:pPr>
    </w:p>
    <w:p w14:paraId="22B77FA3">
      <w:pPr>
        <w:pStyle w:val="13"/>
        <w:spacing w:line="500" w:lineRule="exact"/>
        <w:jc w:val="center"/>
        <w:rPr>
          <w:b/>
          <w:sz w:val="36"/>
          <w:szCs w:val="28"/>
        </w:rPr>
      </w:pPr>
      <w:r>
        <w:rPr>
          <w:rFonts w:hint="eastAsia"/>
          <w:b/>
          <w:sz w:val="36"/>
          <w:szCs w:val="28"/>
        </w:rPr>
        <w:t>目录</w:t>
      </w:r>
    </w:p>
    <w:p w14:paraId="51CEC4E9">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lang w:eastAsia="zh-CN"/>
        </w:rPr>
        <w:t>华容县插旗镇</w:t>
      </w:r>
      <w:r>
        <w:rPr>
          <w:rFonts w:hint="eastAsia" w:hAnsi="黑体" w:cs="黑体"/>
          <w:b w:val="0"/>
          <w:bCs/>
          <w:sz w:val="28"/>
          <w:szCs w:val="28"/>
          <w:lang w:eastAsia="zh-CN"/>
        </w:rPr>
        <w:t>人民政府</w:t>
      </w:r>
      <w:r>
        <w:rPr>
          <w:rFonts w:hint="eastAsia" w:ascii="黑体" w:hAnsi="黑体" w:eastAsia="黑体" w:cs="黑体"/>
          <w:b w:val="0"/>
          <w:bCs/>
          <w:sz w:val="28"/>
          <w:szCs w:val="28"/>
        </w:rPr>
        <w:t>概况</w:t>
      </w:r>
    </w:p>
    <w:p w14:paraId="0CA33FA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7063A3B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ABC08DC">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0E46300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4858A79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04D1C4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BC0A5B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7FE020C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190346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4D67346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7B08A5B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06E041C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58E6B2E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10BDF6B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17BD150E">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34AA8F82">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0E1DC5FD">
      <w:pPr>
        <w:pStyle w:val="13"/>
        <w:spacing w:line="500" w:lineRule="exact"/>
        <w:rPr>
          <w:rFonts w:hint="eastAsia" w:ascii="黑体" w:hAnsi="黑体" w:eastAsia="黑体" w:cs="黑体"/>
          <w:b w:val="0"/>
          <w:bCs/>
          <w:sz w:val="28"/>
          <w:szCs w:val="28"/>
        </w:rPr>
      </w:pPr>
    </w:p>
    <w:p w14:paraId="7EDF2D0B">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 xml:space="preserve">第一部分 </w:t>
      </w:r>
    </w:p>
    <w:p w14:paraId="5D87CBD2">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48"/>
          <w:szCs w:val="48"/>
        </w:rPr>
        <w:t>华容县插旗镇人民政府概况</w:t>
      </w:r>
    </w:p>
    <w:p w14:paraId="0ECA72AC">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2AC67AEA">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插旗镇人民政府：全民贯彻落实党和国家在农村的各项方针政策和法律法规，加强基层组织建设，完善党对农村工作的领导，紧紧围绕促进经济发展、增加农民收入，强化公共服务、着力改善民生，加强社会管理、维护农村稳定，推进基层民主、促进农村和谐四个方面履职。</w:t>
      </w:r>
    </w:p>
    <w:p w14:paraId="18062391">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插旗镇财政所：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14:paraId="73C50CFF">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三</w:t>
      </w:r>
      <w:r>
        <w:rPr>
          <w:rFonts w:hint="eastAsia" w:ascii="Times New Roman" w:hAnsi="Times New Roman" w:eastAsia="仿宋_GB2312" w:cs="仿宋_GB2312"/>
          <w:sz w:val="32"/>
          <w:szCs w:val="32"/>
        </w:rPr>
        <w:t>）插旗镇农业综合服务中心：具体负责种植业、养殖业、林业、水产业、农业机械新技术的引进、试验示范、培训推广、技术服务和农业林业病虫害预测预报及防治指导工作；负责国家强制免疫的动物疫病免疫接种和重大动物疫病监测、报告、控制与扑灭以及动物检疫等工作；负责农机购置补贴核实，协助处理农业机械安全事故；负责农产品质量安全检测监督服务工作；承办农民负担监督、农村经济经营管理、农村经济统计、集体资产与村级财务管理、农民专业合作组织管理、土地流转、移民安置和后期扶持、扶贫开发、森林防灭火等方面的事务性工作。</w:t>
      </w:r>
    </w:p>
    <w:p w14:paraId="4A3C47D2">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四</w:t>
      </w:r>
      <w:r>
        <w:rPr>
          <w:rFonts w:hint="eastAsia" w:ascii="Times New Roman" w:hAnsi="Times New Roman" w:eastAsia="仿宋_GB2312" w:cs="仿宋_GB2312"/>
          <w:sz w:val="32"/>
          <w:szCs w:val="32"/>
        </w:rPr>
        <w:t>）插旗镇社会事业综合服务中心：具体承办科技、教育体育、文化旅游广电、卫生健康与计划生育、人力资源和社会保障、民政、社区建设、医疗保障、住房和城乡建设、村镇规划、村镇建设、住房保障、交通运输、生态环境保护、残疾人事业、慈善等方面的公益服务性、技术性工作。</w:t>
      </w:r>
    </w:p>
    <w:p w14:paraId="3B2F6484">
      <w:pPr>
        <w:ind w:firstLine="800" w:firstLineChars="250"/>
        <w:jc w:val="left"/>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五</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插旗镇退役军人服务站：负责退役军人就业创业、优抚帮扶、权益保障、数据信息采集、走访慰问等事务性工作。</w:t>
      </w:r>
    </w:p>
    <w:p w14:paraId="6C294F9A">
      <w:pPr>
        <w:ind w:firstLine="800" w:firstLineChars="250"/>
        <w:jc w:val="left"/>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六</w:t>
      </w:r>
      <w:r>
        <w:rPr>
          <w:rFonts w:hint="eastAsia" w:ascii="Times New Roman" w:hAnsi="Times New Roman" w:eastAsia="仿宋_GB2312" w:cs="仿宋_GB2312"/>
          <w:sz w:val="32"/>
          <w:szCs w:val="32"/>
          <w:lang w:val="en-US" w:eastAsia="zh-CN"/>
        </w:rPr>
        <w:t>）插旗镇综合行政执法大队：负责本辖区内综合行政执法工作；依法依规相对集中行使乡村集镇管理、住房建设、自然资源、生态环境保护、市场监管、交通运输、应急管理、安全生产、农业农村、文化旅游等方面的行政执法权；负责执法信息报送；配合县级执法部门开展联合执法、专业执法，负责日常巡查、综合检查、接受投诉举报、协助调查取证等工作。</w:t>
      </w:r>
    </w:p>
    <w:p w14:paraId="6E7F4FA3">
      <w:pPr>
        <w:pStyle w:val="2"/>
        <w:rPr>
          <w:rFonts w:hint="eastAsia"/>
          <w:lang w:val="en-US" w:eastAsia="zh-CN"/>
        </w:rPr>
      </w:pPr>
    </w:p>
    <w:p w14:paraId="72EE2D70">
      <w:pPr>
        <w:ind w:firstLine="800" w:firstLineChars="250"/>
        <w:jc w:val="left"/>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七</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插旗镇水利服务站：负责防汛抗旱、水利工程维护管理、水旱灾害防御、应急管理、堤防维护管理、机电排灌、水资源和水土保持等方面的事务性、技术性工作，承担乡镇防汛抗旱指挥部办公室的日常工作。</w:t>
      </w:r>
    </w:p>
    <w:p w14:paraId="189DED88">
      <w:pPr>
        <w:pStyle w:val="2"/>
        <w:rPr>
          <w:rFonts w:hint="eastAsia"/>
          <w:lang w:val="en-US" w:eastAsia="zh-CN"/>
        </w:rPr>
      </w:pPr>
    </w:p>
    <w:p w14:paraId="61795C4A">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10DDB66A">
      <w:pPr>
        <w:widowControl/>
        <w:spacing w:line="600" w:lineRule="exact"/>
        <w:rPr>
          <w:rFonts w:hint="eastAsia" w:ascii="宋体" w:hAnsi="宋体" w:eastAsia="宋体"/>
          <w:color w:val="000000"/>
          <w:sz w:val="32"/>
          <w:szCs w:val="24"/>
          <w:highlight w:val="white"/>
          <w:lang w:val="en-US" w:eastAsia="zh-CN"/>
        </w:rPr>
      </w:pPr>
      <w:r>
        <w:rPr>
          <w:rFonts w:hint="eastAsia" w:ascii="Times New Roman" w:hAnsi="Times New Roman" w:eastAsia="仿宋_GB2312" w:cs="仿宋_GB2312"/>
          <w:bCs/>
          <w:kern w:val="0"/>
          <w:sz w:val="32"/>
          <w:szCs w:val="32"/>
        </w:rPr>
        <w:t>（一）内设机构设置。</w:t>
      </w:r>
      <w:r>
        <w:rPr>
          <w:rFonts w:hint="eastAsia" w:ascii="宋体" w:hAnsi="宋体" w:eastAsia="宋体"/>
          <w:color w:val="000000"/>
          <w:sz w:val="32"/>
          <w:szCs w:val="24"/>
          <w:highlight w:val="none"/>
          <w:lang w:val="en-US" w:eastAsia="zh-CN"/>
        </w:rPr>
        <w:t>华容县插旗镇人民政府内设机构包括：镇政府机关、镇财政所、镇农业综合服务中心、镇社会事业综合服务中心、镇退役军人服务站、镇综合行政执法大队、镇水利服务站。 </w:t>
      </w:r>
    </w:p>
    <w:p w14:paraId="1BB64136">
      <w:pPr>
        <w:widowControl/>
        <w:spacing w:line="600" w:lineRule="exact"/>
        <w:rPr>
          <w:rFonts w:hint="eastAsia" w:ascii="Times New Roman" w:hAnsi="Times New Roman" w:eastAsia="仿宋_GB2312" w:cs="仿宋_GB2312"/>
          <w:bCs/>
          <w:kern w:val="0"/>
          <w:sz w:val="32"/>
          <w:szCs w:val="32"/>
        </w:rPr>
      </w:pPr>
    </w:p>
    <w:p w14:paraId="4FAD3CB9">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华容县插旗镇人民政府</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宋体" w:hAnsi="宋体" w:eastAsia="宋体"/>
          <w:color w:val="000000"/>
          <w:sz w:val="32"/>
          <w:szCs w:val="24"/>
          <w:highlight w:val="none"/>
          <w:lang w:val="en-US" w:eastAsia="zh-CN"/>
        </w:rPr>
        <w:t>镇人民政府本级以及镇财政所本级、镇农业综合服务中心本级、镇社会事业综合服务中心本级、镇退役军人服务站本级、镇综合行政执法大队本级、镇水利服务站本级。</w:t>
      </w:r>
    </w:p>
    <w:p w14:paraId="31A052AA">
      <w:pPr>
        <w:jc w:val="left"/>
        <w:rPr>
          <w:rFonts w:ascii="仿宋_GB2312" w:eastAsia="仿宋_GB2312" w:hAnsiTheme="minorEastAsia"/>
          <w:sz w:val="28"/>
          <w:szCs w:val="32"/>
        </w:rPr>
      </w:pPr>
    </w:p>
    <w:p w14:paraId="7F0BCE57">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第二部分</w:t>
      </w:r>
    </w:p>
    <w:p w14:paraId="6099231D">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部门决算表</w:t>
      </w:r>
    </w:p>
    <w:p w14:paraId="52B31D47">
      <w:pPr>
        <w:pStyle w:val="13"/>
        <w:jc w:val="center"/>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详见附件表格</w:t>
      </w:r>
    </w:p>
    <w:p w14:paraId="74715B1A">
      <w:pPr>
        <w:pStyle w:val="13"/>
        <w:jc w:val="center"/>
        <w:rPr>
          <w:rFonts w:hint="eastAsia" w:ascii="方正小标宋_GBK" w:hAnsi="方正小标宋_GBK" w:eastAsia="方正小标宋_GBK" w:cs="方正小标宋_GBK"/>
          <w:sz w:val="48"/>
          <w:szCs w:val="48"/>
        </w:rPr>
      </w:pPr>
    </w:p>
    <w:p w14:paraId="6D0E9712">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第三部分</w:t>
      </w:r>
    </w:p>
    <w:p w14:paraId="2F2576BB">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w:t>
      </w:r>
      <w:r>
        <w:rPr>
          <w:rFonts w:hint="eastAsia" w:ascii="方正小标宋_GBK" w:hAnsi="方正小标宋_GBK" w:eastAsia="方正小标宋_GBK" w:cs="方正小标宋_GBK"/>
          <w:sz w:val="48"/>
          <w:szCs w:val="48"/>
          <w:lang w:val="en-US" w:eastAsia="zh-CN"/>
        </w:rPr>
        <w:t>3</w:t>
      </w:r>
      <w:r>
        <w:rPr>
          <w:rFonts w:hint="eastAsia" w:ascii="方正小标宋_GBK" w:hAnsi="方正小标宋_GBK" w:eastAsia="方正小标宋_GBK" w:cs="方正小标宋_GBK"/>
          <w:sz w:val="48"/>
          <w:szCs w:val="48"/>
        </w:rPr>
        <w:t>年度部门决算情况说明</w:t>
      </w:r>
    </w:p>
    <w:p w14:paraId="6F32661C">
      <w:pPr>
        <w:widowControl/>
        <w:jc w:val="left"/>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16E83F60">
      <w:pPr>
        <w:autoSpaceDE w:val="0"/>
        <w:autoSpaceDN w:val="0"/>
        <w:adjustRightInd w:val="0"/>
        <w:ind w:firstLine="640"/>
        <w:rPr>
          <w:rFonts w:ascii="Times New Roman" w:hAnsi="Times New Roman" w:eastAsia="仿宋_GB2312"/>
          <w:sz w:val="32"/>
          <w:szCs w:val="32"/>
          <w:highlight w:val="yellow"/>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2262.53</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123.31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5.76</w:t>
      </w:r>
      <w:r>
        <w:rPr>
          <w:rFonts w:hint="eastAsia" w:ascii="Times New Roman" w:hAnsi="Times New Roman" w:eastAsia="仿宋_GB2312"/>
          <w:sz w:val="32"/>
          <w:szCs w:val="32"/>
        </w:rPr>
        <w:t xml:space="preserve">%，主要是因为业务工作任务增加，调整预算支出，财政追拨经费。 </w:t>
      </w:r>
      <w:r>
        <w:rPr>
          <w:rFonts w:hint="eastAsia" w:ascii="宋体" w:eastAsia="宋体"/>
          <w:sz w:val="32"/>
        </w:rPr>
        <w:t xml:space="preserve"> </w:t>
      </w:r>
    </w:p>
    <w:p w14:paraId="41E23EE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950FE5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年度收入合计2,262.53万元，其中：财政拨款收入2262.53万元，占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BA93EE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68178EB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年度支出合计2,262.53万元，其中：基本支出1,218.98万元，占</w:t>
      </w:r>
      <w:r>
        <w:rPr>
          <w:rFonts w:hint="eastAsia" w:ascii="Times New Roman" w:hAnsi="Times New Roman" w:eastAsia="仿宋_GB2312"/>
          <w:sz w:val="32"/>
          <w:szCs w:val="32"/>
          <w:lang w:val="en-US" w:eastAsia="zh-CN"/>
        </w:rPr>
        <w:t>53.88</w:t>
      </w:r>
      <w:r>
        <w:rPr>
          <w:rFonts w:hint="eastAsia" w:ascii="Times New Roman" w:hAnsi="Times New Roman" w:eastAsia="仿宋_GB2312"/>
          <w:sz w:val="32"/>
          <w:szCs w:val="32"/>
        </w:rPr>
        <w:t>%；项目支出1,043.55万元，占</w:t>
      </w:r>
      <w:r>
        <w:rPr>
          <w:rFonts w:hint="eastAsia" w:ascii="Times New Roman" w:hAnsi="Times New Roman" w:eastAsia="仿宋_GB2312"/>
          <w:sz w:val="32"/>
          <w:szCs w:val="32"/>
          <w:lang w:val="en-US" w:eastAsia="zh-CN"/>
        </w:rPr>
        <w:t>46.12</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FCD15B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rPr>
        <w:t>四、财政</w:t>
      </w:r>
      <w:r>
        <w:rPr>
          <w:rFonts w:hint="eastAsia" w:ascii="黑体" w:hAnsi="黑体" w:eastAsia="黑体" w:cs="黑体"/>
          <w:b w:val="0"/>
          <w:bCs/>
          <w:sz w:val="32"/>
          <w:szCs w:val="32"/>
          <w:highlight w:val="none"/>
        </w:rPr>
        <w:t>拨款收入支出决算总体情况说明</w:t>
      </w:r>
    </w:p>
    <w:p w14:paraId="343C0575">
      <w:pPr>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 xml:space="preserve">    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年度财政拨款收、支总计</w:t>
      </w:r>
      <w:r>
        <w:rPr>
          <w:rFonts w:hint="eastAsia" w:ascii="Times New Roman" w:hAnsi="Times New Roman" w:eastAsia="仿宋_GB2312"/>
          <w:sz w:val="32"/>
          <w:szCs w:val="32"/>
          <w:highlight w:val="none"/>
          <w:lang w:val="en-US" w:eastAsia="zh-CN"/>
        </w:rPr>
        <w:t>2262.53</w:t>
      </w:r>
      <w:r>
        <w:rPr>
          <w:rFonts w:hint="eastAsia" w:ascii="Times New Roman" w:hAnsi="Times New Roman" w:eastAsia="仿宋_GB2312"/>
          <w:sz w:val="32"/>
          <w:szCs w:val="32"/>
          <w:highlight w:val="none"/>
        </w:rPr>
        <w:t>万元，与上年相比，增加</w:t>
      </w:r>
      <w:r>
        <w:rPr>
          <w:rFonts w:hint="eastAsia" w:ascii="Times New Roman" w:hAnsi="Times New Roman" w:eastAsia="仿宋_GB2312"/>
          <w:sz w:val="32"/>
          <w:szCs w:val="32"/>
          <w:highlight w:val="none"/>
          <w:lang w:val="en-US" w:eastAsia="zh-CN"/>
        </w:rPr>
        <w:t>123.31</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5.76</w:t>
      </w:r>
      <w:r>
        <w:rPr>
          <w:rFonts w:hint="eastAsia" w:ascii="Times New Roman" w:hAnsi="Times New Roman" w:eastAsia="仿宋_GB2312"/>
          <w:sz w:val="32"/>
          <w:szCs w:val="32"/>
          <w:highlight w:val="none"/>
        </w:rPr>
        <w:t>%，主要是因为</w:t>
      </w:r>
      <w:r>
        <w:rPr>
          <w:rFonts w:hint="eastAsia" w:ascii="宋体" w:eastAsia="宋体"/>
          <w:sz w:val="32"/>
          <w:highlight w:val="none"/>
        </w:rPr>
        <w:t>业务工作任务增加</w:t>
      </w:r>
      <w:r>
        <w:rPr>
          <w:rFonts w:hint="eastAsia" w:ascii="宋体" w:eastAsia="宋体"/>
          <w:sz w:val="32"/>
          <w:highlight w:val="none"/>
          <w:lang w:eastAsia="zh-CN"/>
        </w:rPr>
        <w:t>、</w:t>
      </w:r>
      <w:r>
        <w:rPr>
          <w:rFonts w:hint="eastAsia" w:ascii="宋体"/>
          <w:sz w:val="32"/>
          <w:highlight w:val="none"/>
          <w:lang w:val="zh-CN"/>
        </w:rPr>
        <w:t>基本支出增加</w:t>
      </w:r>
      <w:r>
        <w:rPr>
          <w:rFonts w:hint="eastAsia" w:ascii="宋体"/>
          <w:sz w:val="32"/>
          <w:highlight w:val="none"/>
          <w:lang w:val="en-US" w:eastAsia="zh-CN"/>
        </w:rPr>
        <w:t>、</w:t>
      </w:r>
      <w:r>
        <w:rPr>
          <w:rFonts w:hint="eastAsia" w:ascii="宋体"/>
          <w:sz w:val="32"/>
          <w:highlight w:val="none"/>
          <w:lang w:val="zh-CN"/>
        </w:rPr>
        <w:t>202</w:t>
      </w:r>
      <w:r>
        <w:rPr>
          <w:rFonts w:hint="eastAsia" w:ascii="宋体"/>
          <w:sz w:val="32"/>
          <w:highlight w:val="none"/>
          <w:lang w:val="en-US" w:eastAsia="zh-CN"/>
        </w:rPr>
        <w:t>3</w:t>
      </w:r>
      <w:r>
        <w:rPr>
          <w:rFonts w:hint="eastAsia" w:ascii="宋体"/>
          <w:sz w:val="32"/>
          <w:highlight w:val="none"/>
          <w:lang w:val="zh-CN"/>
        </w:rPr>
        <w:t>年度</w:t>
      </w:r>
      <w:r>
        <w:rPr>
          <w:rFonts w:hint="eastAsia" w:ascii="宋体"/>
          <w:sz w:val="32"/>
          <w:highlight w:val="none"/>
        </w:rPr>
        <w:t>财政拨款支出</w:t>
      </w:r>
      <w:r>
        <w:rPr>
          <w:rFonts w:hint="eastAsia" w:ascii="宋体"/>
          <w:sz w:val="32"/>
          <w:highlight w:val="none"/>
          <w:lang w:val="zh-CN"/>
        </w:rPr>
        <w:t>增加</w:t>
      </w:r>
      <w:r>
        <w:rPr>
          <w:rFonts w:hint="eastAsia" w:ascii="宋体" w:eastAsia="宋体"/>
          <w:sz w:val="32"/>
          <w:highlight w:val="none"/>
        </w:rPr>
        <w:t xml:space="preserve">。  </w:t>
      </w:r>
    </w:p>
    <w:p w14:paraId="7279BBA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30955CD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（一）一般公共预算财政拨款支出决算总体情况</w:t>
      </w:r>
    </w:p>
    <w:p w14:paraId="2B8157F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年度财政拨款支出2,199.48万元，占本年支出合计的</w:t>
      </w:r>
      <w:r>
        <w:rPr>
          <w:rFonts w:hint="eastAsia" w:ascii="Times New Roman" w:hAnsi="Times New Roman" w:eastAsia="仿宋_GB2312"/>
          <w:sz w:val="32"/>
          <w:szCs w:val="32"/>
          <w:highlight w:val="none"/>
          <w:lang w:val="en-US" w:eastAsia="zh-CN"/>
        </w:rPr>
        <w:t>97.21</w:t>
      </w:r>
      <w:r>
        <w:rPr>
          <w:rFonts w:hint="eastAsia" w:ascii="Times New Roman" w:hAnsi="Times New Roman" w:eastAsia="仿宋_GB2312"/>
          <w:sz w:val="32"/>
          <w:szCs w:val="32"/>
          <w:highlight w:val="none"/>
        </w:rPr>
        <w:t>%，与上年相比，财政拨款支出增加</w:t>
      </w:r>
      <w:r>
        <w:rPr>
          <w:rFonts w:hint="eastAsia" w:ascii="Times New Roman" w:hAnsi="Times New Roman" w:eastAsia="仿宋_GB2312"/>
          <w:sz w:val="32"/>
          <w:szCs w:val="32"/>
          <w:highlight w:val="none"/>
          <w:lang w:val="en-US" w:eastAsia="zh-CN"/>
        </w:rPr>
        <w:t>89.26</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4.23</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2023年新增人员预算增加、业务量增加。</w:t>
      </w:r>
    </w:p>
    <w:p w14:paraId="51C16142">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（二）一般公共预算财政拨款支出决算结构情况</w:t>
      </w:r>
    </w:p>
    <w:p w14:paraId="7EA9D90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年度财政拨款支出2,199.48万元，主要用于以下方面：一般公共服务（类）支出979.71万元，占</w:t>
      </w:r>
      <w:r>
        <w:rPr>
          <w:rFonts w:hint="eastAsia" w:ascii="Times New Roman" w:hAnsi="Times New Roman" w:eastAsia="仿宋_GB2312"/>
          <w:sz w:val="32"/>
          <w:szCs w:val="32"/>
          <w:highlight w:val="none"/>
          <w:lang w:val="en-US" w:eastAsia="zh-CN"/>
        </w:rPr>
        <w:t>44.54</w:t>
      </w:r>
      <w:r>
        <w:rPr>
          <w:rFonts w:hint="eastAsia" w:ascii="Times New Roman" w:hAnsi="Times New Roman" w:eastAsia="仿宋_GB2312"/>
          <w:sz w:val="32"/>
          <w:szCs w:val="32"/>
          <w:highlight w:val="none"/>
        </w:rPr>
        <w:t>%；社会保障和就业（类）支出</w:t>
      </w:r>
      <w:r>
        <w:rPr>
          <w:rFonts w:hint="eastAsia" w:ascii="Times New Roman" w:hAnsi="Times New Roman" w:eastAsia="仿宋_GB2312"/>
          <w:sz w:val="32"/>
          <w:szCs w:val="32"/>
          <w:highlight w:val="none"/>
          <w:lang w:val="en-US" w:eastAsia="zh-CN"/>
        </w:rPr>
        <w:t>201.79</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9.17</w:t>
      </w:r>
      <w:r>
        <w:rPr>
          <w:rFonts w:hint="eastAsia" w:ascii="Times New Roman" w:hAnsi="Times New Roman" w:eastAsia="仿宋_GB2312"/>
          <w:sz w:val="32"/>
          <w:szCs w:val="32"/>
          <w:highlight w:val="none"/>
        </w:rPr>
        <w:t>%;农林水（类）支出</w:t>
      </w:r>
      <w:r>
        <w:rPr>
          <w:rFonts w:hint="eastAsia" w:ascii="Times New Roman" w:hAnsi="Times New Roman" w:eastAsia="仿宋_GB2312"/>
          <w:sz w:val="32"/>
          <w:szCs w:val="32"/>
          <w:highlight w:val="none"/>
          <w:lang w:val="en-US" w:eastAsia="zh-CN"/>
        </w:rPr>
        <w:t>806.46万元，占36.67%</w:t>
      </w:r>
    </w:p>
    <w:p w14:paraId="386B3FB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（三）一般公共预算财政拨款支出决算具体情况</w:t>
      </w:r>
    </w:p>
    <w:p w14:paraId="4977395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年度财政拨款支出年初预算数为</w:t>
      </w:r>
      <w:r>
        <w:rPr>
          <w:rFonts w:hint="eastAsia" w:ascii="Times New Roman" w:hAnsi="Times New Roman" w:eastAsia="仿宋_GB2312"/>
          <w:sz w:val="32"/>
          <w:szCs w:val="32"/>
          <w:highlight w:val="none"/>
          <w:lang w:val="en-US" w:eastAsia="zh-CN"/>
        </w:rPr>
        <w:t>721.59</w:t>
      </w:r>
      <w:r>
        <w:rPr>
          <w:rFonts w:hint="eastAsia" w:ascii="Times New Roman" w:hAnsi="Times New Roman" w:eastAsia="仿宋_GB2312"/>
          <w:sz w:val="32"/>
          <w:szCs w:val="32"/>
          <w:highlight w:val="none"/>
        </w:rPr>
        <w:t>万元，支出决算数为979.71万元，完成年初预算的</w:t>
      </w:r>
      <w:r>
        <w:rPr>
          <w:rFonts w:hint="eastAsia" w:ascii="Times New Roman" w:hAnsi="Times New Roman" w:eastAsia="仿宋_GB2312"/>
          <w:sz w:val="32"/>
          <w:szCs w:val="32"/>
          <w:highlight w:val="none"/>
          <w:lang w:val="en-US" w:eastAsia="zh-CN"/>
        </w:rPr>
        <w:t>135.77</w:t>
      </w:r>
      <w:r>
        <w:rPr>
          <w:rFonts w:hint="eastAsia" w:ascii="Times New Roman" w:hAnsi="Times New Roman" w:eastAsia="仿宋_GB2312"/>
          <w:sz w:val="32"/>
          <w:szCs w:val="32"/>
          <w:highlight w:val="none"/>
        </w:rPr>
        <w:t>%，其中：</w:t>
      </w:r>
    </w:p>
    <w:p w14:paraId="5C1D581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1、一般公共服务（类）人大事务（款）其他人大事务支出（项）。</w:t>
      </w:r>
    </w:p>
    <w:p w14:paraId="2974F3DB">
      <w:pPr>
        <w:keepNext/>
        <w:keepLines/>
        <w:ind w:firstLine="640" w:firstLineChars="200"/>
        <w:rPr>
          <w:rFonts w:hint="eastAsia" w:ascii="宋体" w:hAnsi="宋体" w:eastAsia="宋体"/>
          <w:color w:val="000000"/>
          <w:sz w:val="32"/>
          <w:highlight w:val="none"/>
          <w:lang w:val="en-US"/>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2.8</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由于年初预算为0，无法计算百分比</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业务工作任务增加，调整预算支出，财政追拨经费。</w:t>
      </w:r>
    </w:p>
    <w:p w14:paraId="3FF09DC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、一般公共服务（类）政协事务（款）其他政协事务支出（项）。</w:t>
      </w:r>
    </w:p>
    <w:p w14:paraId="6FA83E76">
      <w:pPr>
        <w:keepNext/>
        <w:keepLines/>
        <w:ind w:firstLine="640" w:firstLineChars="200"/>
        <w:rPr>
          <w:rFonts w:hint="eastAsia" w:ascii="宋体" w:hAnsi="宋体" w:eastAsia="宋体"/>
          <w:color w:val="000000"/>
          <w:sz w:val="32"/>
          <w:highlight w:val="none"/>
          <w:lang w:val="en-US"/>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0.36</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由于年初预算为0，无法计算百分比</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业务工作任务增加，调整预算支出，财政追拨经费。</w:t>
      </w:r>
    </w:p>
    <w:p w14:paraId="5DAE6FD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、一般公共服务（类）政府办公厅（室）及相关机构事务（款）行政运行（项）。</w:t>
      </w:r>
    </w:p>
    <w:p w14:paraId="0618108E">
      <w:pPr>
        <w:keepNext/>
        <w:keepLines/>
        <w:ind w:firstLine="640" w:firstLineChars="200"/>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721.59</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936.63</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由于年初预算为0，无法计算百分比</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业务工作任务增加，调整预算支出，财政追拨经费。</w:t>
      </w:r>
    </w:p>
    <w:p w14:paraId="5C93CE3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、一般公共服务（类）政府办公厅（室）及相关机构事务（款）信访事务（项）。</w:t>
      </w:r>
    </w:p>
    <w:p w14:paraId="4709A7A9">
      <w:pPr>
        <w:keepNext/>
        <w:keepLines/>
        <w:ind w:firstLine="640" w:firstLineChars="200"/>
        <w:rPr>
          <w:rFonts w:hint="eastAsia"/>
          <w:highlight w:val="none"/>
          <w:lang w:val="en-US"/>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13</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由于年初预算为0，无法计算百分比</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业务工作任务增加，调整预算支出，财政追拨经费。</w:t>
      </w:r>
    </w:p>
    <w:p w14:paraId="6E7F7A2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、一般公共服务（类）财政事务（款）一般行政管理事务（项）。</w:t>
      </w:r>
    </w:p>
    <w:p w14:paraId="27D67800">
      <w:pPr>
        <w:keepNext/>
        <w:keepLines/>
        <w:ind w:firstLine="640" w:firstLineChars="200"/>
        <w:rPr>
          <w:rFonts w:hint="eastAsia" w:ascii="宋体" w:hAnsi="宋体" w:eastAsia="宋体"/>
          <w:color w:val="000000"/>
          <w:sz w:val="32"/>
          <w:highlight w:val="none"/>
          <w:lang w:val="en-US"/>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6.7</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由于年初预算为0，无法计算百分比</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业务工作任务增加，调整预算支出，财政追拨经费。</w:t>
      </w:r>
    </w:p>
    <w:p w14:paraId="3D3E4B1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、一般公共服务（类）税收事务（款）其他税收事务支出（项）。</w:t>
      </w:r>
    </w:p>
    <w:p w14:paraId="6A416A39">
      <w:pPr>
        <w:keepNext/>
        <w:keepLines/>
        <w:ind w:firstLine="640" w:firstLineChars="200"/>
        <w:rPr>
          <w:rFonts w:hint="eastAsia" w:ascii="宋体" w:hAnsi="宋体" w:eastAsia="宋体"/>
          <w:color w:val="000000"/>
          <w:sz w:val="32"/>
          <w:highlight w:val="none"/>
          <w:lang w:val="en-US"/>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14.62</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由于年初预算为0，无法计算百分比</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业务工作任务增加，调整预算支出，财政追拨经费。</w:t>
      </w:r>
    </w:p>
    <w:p w14:paraId="3139833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7</w:t>
      </w:r>
      <w:r>
        <w:rPr>
          <w:rFonts w:hint="eastAsia" w:ascii="Times New Roman" w:hAnsi="Times New Roman" w:eastAsia="仿宋_GB2312"/>
          <w:sz w:val="32"/>
          <w:szCs w:val="32"/>
          <w:highlight w:val="none"/>
        </w:rPr>
        <w:t>、一般公共服务（类）纪检监察事务（款）行政运行（项）。</w:t>
      </w:r>
    </w:p>
    <w:p w14:paraId="1498EEB3">
      <w:pPr>
        <w:keepNext/>
        <w:keepLines/>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由于年初预算为0，无法计算百分比</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业务工作任务增加，调整预算支出，财政追拨经费。</w:t>
      </w:r>
    </w:p>
    <w:p w14:paraId="04230D0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rPr>
        <w:t>、一般公共服务（类）党委办公厅（室）及相关机构事务（款）行政运行（项）。</w:t>
      </w:r>
    </w:p>
    <w:p w14:paraId="7FEA9BF9">
      <w:pPr>
        <w:keepNext/>
        <w:keepLines/>
        <w:ind w:firstLine="640" w:firstLineChars="200"/>
        <w:rPr>
          <w:rFonts w:hint="eastAsia" w:ascii="宋体" w:hAnsi="宋体" w:eastAsia="宋体"/>
          <w:color w:val="000000"/>
          <w:sz w:val="32"/>
          <w:highlight w:val="none"/>
          <w:lang w:val="en-US"/>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由于年初预算为0，无法计算百分比</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业务工作任务增加，调整预算支出，财政追拨经费。</w:t>
      </w:r>
    </w:p>
    <w:p w14:paraId="1A129CE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9</w:t>
      </w:r>
      <w:r>
        <w:rPr>
          <w:rFonts w:hint="eastAsia" w:ascii="Times New Roman" w:hAnsi="Times New Roman" w:eastAsia="仿宋_GB2312"/>
          <w:sz w:val="32"/>
          <w:szCs w:val="32"/>
          <w:highlight w:val="none"/>
        </w:rPr>
        <w:t>、一般公共服务（类）其他一般公共服务支出（款）其他一般公共服务支出（项）。</w:t>
      </w:r>
    </w:p>
    <w:p w14:paraId="6F0C6257">
      <w:pPr>
        <w:keepNext/>
        <w:keepLines/>
        <w:ind w:firstLine="640"/>
        <w:rPr>
          <w:rFonts w:hint="eastAsia" w:ascii="宋体" w:eastAsia="宋体"/>
          <w:kern w:val="0"/>
          <w:sz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0.6</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由于年初预算为0，无法计算百分比</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业务工作任务增加，调整预算支出，财政追拨经费。</w:t>
      </w:r>
    </w:p>
    <w:p w14:paraId="73342A4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4E198AD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年度财政拨款基本支出</w:t>
      </w:r>
      <w:r>
        <w:rPr>
          <w:rFonts w:hint="eastAsia" w:ascii="Times New Roman" w:hAnsi="Times New Roman" w:eastAsia="仿宋_GB2312"/>
          <w:sz w:val="32"/>
          <w:szCs w:val="32"/>
          <w:highlight w:val="none"/>
          <w:lang w:val="en-US" w:eastAsia="zh-CN"/>
        </w:rPr>
        <w:t>1218.99</w:t>
      </w:r>
      <w:r>
        <w:rPr>
          <w:rFonts w:hint="eastAsia" w:ascii="Times New Roman" w:hAnsi="Times New Roman" w:eastAsia="仿宋_GB2312"/>
          <w:sz w:val="32"/>
          <w:szCs w:val="32"/>
          <w:highlight w:val="none"/>
        </w:rPr>
        <w:t>万元，其中：</w:t>
      </w:r>
    </w:p>
    <w:p w14:paraId="1E63AF3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b/>
          <w:bCs/>
          <w:sz w:val="32"/>
          <w:szCs w:val="32"/>
          <w:highlight w:val="none"/>
        </w:rPr>
        <w:t>人员经费</w:t>
      </w:r>
      <w:r>
        <w:rPr>
          <w:rFonts w:hint="eastAsia" w:ascii="Times New Roman" w:hAnsi="Times New Roman" w:eastAsia="仿宋_GB2312"/>
          <w:sz w:val="32"/>
          <w:szCs w:val="32"/>
          <w:highlight w:val="none"/>
        </w:rPr>
        <w:t>1094.7万元，占基本支出的</w:t>
      </w:r>
      <w:r>
        <w:rPr>
          <w:rFonts w:hint="eastAsia" w:ascii="Times New Roman" w:hAnsi="Times New Roman" w:eastAsia="仿宋_GB2312"/>
          <w:sz w:val="32"/>
          <w:szCs w:val="32"/>
          <w:highlight w:val="none"/>
          <w:lang w:val="en-US" w:eastAsia="zh-CN"/>
        </w:rPr>
        <w:t>89.80</w:t>
      </w:r>
      <w:r>
        <w:rPr>
          <w:rFonts w:hint="eastAsia" w:ascii="Times New Roman" w:hAnsi="Times New Roman" w:eastAsia="仿宋_GB2312"/>
          <w:sz w:val="32"/>
          <w:szCs w:val="32"/>
          <w:highlight w:val="none"/>
        </w:rPr>
        <w:t>%,主要包括基本工资、津贴补贴、奖金、伙食补助费、绩效工资、机关事业单位基本养老保险缴费、职业年金缴费、职工基本医疗保险缴费、公务员医疗补助缴费、其他社会保障缴费、住房公积金医疗费、其他工资福利支出离休费、退休费、退职（役）费、抚恤金、生活补助、救济费医疗费补助、助学金、奖励金、个人农业生产补贴、代缴社会保险费、其他对个人和家庭的补助</w:t>
      </w:r>
      <w:r>
        <w:rPr>
          <w:rFonts w:hint="eastAsia" w:ascii="Times New Roman" w:hAnsi="Times New Roman" w:eastAsia="仿宋_GB2312"/>
          <w:sz w:val="32"/>
          <w:szCs w:val="32"/>
          <w:highlight w:val="none"/>
          <w:lang w:eastAsia="zh-CN"/>
        </w:rPr>
        <w:t>。</w:t>
      </w:r>
    </w:p>
    <w:p w14:paraId="430F9EB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b/>
          <w:bCs/>
          <w:sz w:val="32"/>
          <w:szCs w:val="32"/>
          <w:highlight w:val="none"/>
        </w:rPr>
        <w:t>公用经费</w:t>
      </w:r>
      <w:r>
        <w:rPr>
          <w:rFonts w:hint="eastAsia" w:ascii="Times New Roman" w:hAnsi="Times New Roman" w:eastAsia="仿宋_GB2312"/>
          <w:sz w:val="32"/>
          <w:szCs w:val="32"/>
          <w:highlight w:val="none"/>
          <w:lang w:val="en-US" w:eastAsia="zh-CN"/>
        </w:rPr>
        <w:t>124.29</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10.20</w:t>
      </w:r>
      <w:r>
        <w:rPr>
          <w:rFonts w:hint="eastAsia" w:ascii="Times New Roman" w:hAnsi="Times New Roman" w:eastAsia="仿宋_GB2312"/>
          <w:sz w:val="32"/>
          <w:szCs w:val="32"/>
          <w:highlight w:val="none"/>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01A157F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FF0000"/>
          <w:sz w:val="32"/>
          <w:szCs w:val="32"/>
          <w:highlight w:val="none"/>
        </w:rPr>
      </w:pPr>
      <w:r>
        <w:rPr>
          <w:rFonts w:hint="eastAsia" w:ascii="黑体" w:hAnsi="黑体" w:eastAsia="黑体" w:cs="黑体"/>
          <w:b w:val="0"/>
          <w:bCs/>
          <w:sz w:val="32"/>
          <w:szCs w:val="32"/>
          <w:highlight w:val="none"/>
        </w:rPr>
        <w:t>七、财政拨款三公经费支出决算情况说明</w:t>
      </w:r>
    </w:p>
    <w:p w14:paraId="2695512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（一）“三公”经费财政拨款支出决算总体情况说明</w:t>
      </w:r>
    </w:p>
    <w:p w14:paraId="689C1B0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rPr>
      </w:pPr>
      <w:r>
        <w:rPr>
          <w:rFonts w:hint="eastAsia" w:ascii="Times New Roman" w:hAnsi="Times New Roman" w:eastAsia="仿宋_GB2312"/>
          <w:sz w:val="32"/>
          <w:szCs w:val="32"/>
          <w:highlight w:val="none"/>
        </w:rPr>
        <w:t>“三公”经费财政拨款支出预算为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%，决算数小于预算数的主要原因是认真贯彻落实</w:t>
      </w:r>
      <w:r>
        <w:rPr>
          <w:rFonts w:hint="eastAsia" w:ascii="Times New Roman" w:hAnsi="Times New Roman" w:eastAsia="仿宋_GB2312"/>
          <w:sz w:val="32"/>
          <w:szCs w:val="32"/>
          <w:highlight w:val="none"/>
          <w:lang w:eastAsia="zh-CN"/>
        </w:rPr>
        <w:t>中央八项规定</w:t>
      </w:r>
      <w:r>
        <w:rPr>
          <w:rFonts w:hint="eastAsia" w:ascii="Times New Roman" w:hAnsi="Times New Roman" w:eastAsia="仿宋_GB2312"/>
          <w:sz w:val="32"/>
          <w:szCs w:val="32"/>
          <w:highlight w:val="none"/>
        </w:rPr>
        <w:t>精神和厉行节约要求，从严控制“三公”经费开支，全年实际支出比预算有所节约。与上年相比减少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万元，下降</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%,减少主要原因是认真贯彻落实</w:t>
      </w:r>
      <w:r>
        <w:rPr>
          <w:rFonts w:hint="eastAsia" w:ascii="Times New Roman" w:hAnsi="Times New Roman" w:eastAsia="仿宋_GB2312"/>
          <w:sz w:val="32"/>
          <w:szCs w:val="32"/>
          <w:highlight w:val="none"/>
          <w:lang w:eastAsia="zh-CN"/>
        </w:rPr>
        <w:t>中央八项规定</w:t>
      </w:r>
      <w:r>
        <w:rPr>
          <w:rFonts w:hint="eastAsia" w:ascii="Times New Roman" w:hAnsi="Times New Roman" w:eastAsia="仿宋_GB2312"/>
          <w:sz w:val="32"/>
          <w:szCs w:val="32"/>
          <w:highlight w:val="none"/>
        </w:rPr>
        <w:t>精神和厉行节约要求，从严控制“三公”经费开支，全年实际支出比预算有所节约。与上年相比增加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0%。</w:t>
      </w:r>
    </w:p>
    <w:p w14:paraId="3534454D">
      <w:pPr>
        <w:keepNext/>
        <w:keepLines/>
        <w:ind w:firstLine="64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因公出国（境）费支出预算为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p>
    <w:p w14:paraId="1BB594F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val="en-US" w:eastAsia="zh-CN"/>
        </w:rPr>
        <w:t>4.7</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%，决算数大于（小于）预算数的主要原因是认真贯彻落实</w:t>
      </w:r>
      <w:r>
        <w:rPr>
          <w:rFonts w:hint="eastAsia" w:ascii="Times New Roman" w:hAnsi="Times New Roman" w:eastAsia="仿宋_GB2312"/>
          <w:sz w:val="32"/>
          <w:szCs w:val="32"/>
          <w:highlight w:val="none"/>
          <w:lang w:eastAsia="zh-CN"/>
        </w:rPr>
        <w:t>中央八项规定</w:t>
      </w:r>
      <w:r>
        <w:rPr>
          <w:rFonts w:hint="eastAsia" w:ascii="Times New Roman" w:hAnsi="Times New Roman" w:eastAsia="仿宋_GB2312"/>
          <w:sz w:val="32"/>
          <w:szCs w:val="32"/>
          <w:highlight w:val="none"/>
        </w:rPr>
        <w:t>精神和厉行节约要求，从严控制“三公”经费开支，全年实际支出比预算有所节约。与上年相比减少0.01万元，下降0.27%,减少主要原因是认真贯彻落实</w:t>
      </w:r>
      <w:r>
        <w:rPr>
          <w:rFonts w:hint="eastAsia" w:ascii="Times New Roman" w:hAnsi="Times New Roman" w:eastAsia="仿宋_GB2312"/>
          <w:sz w:val="32"/>
          <w:szCs w:val="32"/>
          <w:highlight w:val="none"/>
          <w:lang w:eastAsia="zh-CN"/>
        </w:rPr>
        <w:t>中央八项规定</w:t>
      </w:r>
      <w:r>
        <w:rPr>
          <w:rFonts w:hint="eastAsia" w:ascii="Times New Roman" w:hAnsi="Times New Roman" w:eastAsia="仿宋_GB2312"/>
          <w:sz w:val="32"/>
          <w:szCs w:val="32"/>
          <w:highlight w:val="none"/>
        </w:rPr>
        <w:t>精神和厉行节约要求，从严控制“三公”经费开支，全年实际支出比预算有所节约。与上年相比增加</w:t>
      </w:r>
      <w:r>
        <w:rPr>
          <w:rFonts w:hint="eastAsia" w:ascii="Times New Roman" w:hAnsi="Times New Roman" w:eastAsia="仿宋_GB2312"/>
          <w:sz w:val="32"/>
          <w:szCs w:val="32"/>
          <w:highlight w:val="none"/>
          <w:lang w:val="en-US" w:eastAsia="zh-CN"/>
        </w:rPr>
        <w:t>0.7</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17.5</w:t>
      </w:r>
      <w:r>
        <w:rPr>
          <w:rFonts w:hint="eastAsia" w:ascii="Times New Roman" w:hAnsi="Times New Roman" w:eastAsia="仿宋_GB2312"/>
          <w:sz w:val="32"/>
          <w:szCs w:val="32"/>
          <w:highlight w:val="none"/>
        </w:rPr>
        <w:t>%,增长的主要原因是</w:t>
      </w:r>
      <w:r>
        <w:rPr>
          <w:rFonts w:hint="eastAsia" w:ascii="Times New Roman" w:hAnsi="Times New Roman" w:eastAsia="仿宋_GB2312"/>
          <w:sz w:val="32"/>
          <w:szCs w:val="32"/>
          <w:highlight w:val="none"/>
          <w:lang w:val="en-US" w:eastAsia="zh-CN"/>
        </w:rPr>
        <w:t>业务工作任务增加，调整预算支出，财政追拨经费</w:t>
      </w:r>
      <w:r>
        <w:rPr>
          <w:rFonts w:hint="eastAsia" w:ascii="Times New Roman" w:hAnsi="Times New Roman" w:eastAsia="仿宋_GB2312"/>
          <w:sz w:val="32"/>
          <w:szCs w:val="32"/>
          <w:highlight w:val="none"/>
        </w:rPr>
        <w:t>。</w:t>
      </w:r>
    </w:p>
    <w:p w14:paraId="5C44102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公务用车购置费支出预算为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p>
    <w:p w14:paraId="71A51DA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p>
    <w:p w14:paraId="7C803D1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（二）“三公”经费财政拨款支出决算具体情况说明</w:t>
      </w:r>
    </w:p>
    <w:p w14:paraId="65501C7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年度“三公”经费财政拨款支出决算中，公务接待费支出决算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%,因公出国（境）费支出决算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%,公务用车购置费及运行维护费支出决算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%。其中：</w:t>
      </w:r>
    </w:p>
    <w:p w14:paraId="0CE55109">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sz w:val="32"/>
          <w:szCs w:val="32"/>
          <w:highlight w:val="none"/>
        </w:rPr>
      </w:pP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因公出国（境）费支出决算为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万元，全年安排因公出国（境）团组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个，累计</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人次</w:t>
      </w:r>
      <w:r>
        <w:rPr>
          <w:rFonts w:hint="eastAsia" w:ascii="楷体" w:hAnsi="楷体" w:eastAsia="楷体" w:cs="楷体"/>
          <w:b/>
          <w:bCs/>
          <w:i/>
          <w:color w:val="auto"/>
          <w:sz w:val="32"/>
          <w:szCs w:val="32"/>
          <w:highlight w:val="none"/>
        </w:rPr>
        <w:t>,</w:t>
      </w:r>
      <w:r>
        <w:rPr>
          <w:rFonts w:hint="eastAsia" w:ascii="Times New Roman" w:hAnsi="Times New Roman" w:eastAsia="仿宋_GB2312"/>
          <w:sz w:val="32"/>
          <w:szCs w:val="32"/>
          <w:highlight w:val="none"/>
        </w:rPr>
        <w:t>开支内容包括：</w:t>
      </w:r>
    </w:p>
    <w:p w14:paraId="171B969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2、公务接待费支出决算为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万元，全年共接待来访团组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人次。</w:t>
      </w:r>
    </w:p>
    <w:p w14:paraId="439A0A2B">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FF0000"/>
          <w:kern w:val="0"/>
          <w:sz w:val="32"/>
          <w:szCs w:val="32"/>
          <w:highlight w:val="none"/>
          <w:lang w:val="en-US" w:eastAsia="zh-CN" w:bidi="ar-SA"/>
        </w:rPr>
      </w:pPr>
      <w:r>
        <w:rPr>
          <w:rFonts w:hint="eastAsia" w:ascii="Times New Roman" w:hAnsi="Times New Roman" w:eastAsia="仿宋_GB2312"/>
          <w:sz w:val="32"/>
          <w:szCs w:val="32"/>
          <w:highlight w:val="none"/>
        </w:rPr>
        <w:t>3、公务用车购置费及运行维护费支出决算为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万元，其中：公务用车购置费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万元，华容县插旗镇人民政府更新公务用车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sz w:val="32"/>
          <w:szCs w:val="32"/>
          <w:highlight w:val="none"/>
        </w:rPr>
        <w:t>公务用车运行维护费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截止202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年12月31日，我单位开支财政拨款的公务用车保有量为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p>
    <w:p w14:paraId="455E8F4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八、政府性基金预算收入支出决算情况</w:t>
      </w:r>
    </w:p>
    <w:p w14:paraId="4E5D9023">
      <w:pPr>
        <w:pStyle w:val="13"/>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FF0000"/>
          <w:kern w:val="0"/>
          <w:sz w:val="32"/>
          <w:szCs w:val="32"/>
          <w:highlight w:val="none"/>
          <w:lang w:val="en-US" w:eastAsia="zh-CN" w:bidi="ar-SA"/>
        </w:rPr>
      </w:pPr>
      <w:r>
        <w:rPr>
          <w:rFonts w:hint="eastAsia" w:ascii="Times New Roman" w:hAnsi="Times New Roman" w:eastAsia="仿宋_GB2312"/>
          <w:sz w:val="32"/>
          <w:szCs w:val="32"/>
          <w:highlight w:val="none"/>
        </w:rPr>
        <w:t xml:space="preserve">     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年度政府性基金预算财政拨款收入</w:t>
      </w:r>
      <w:r>
        <w:rPr>
          <w:rFonts w:hint="eastAsia" w:ascii="Times New Roman" w:hAnsi="Times New Roman" w:eastAsia="仿宋_GB2312"/>
          <w:sz w:val="32"/>
          <w:szCs w:val="32"/>
          <w:highlight w:val="none"/>
          <w:lang w:val="en-US" w:eastAsia="zh-CN"/>
        </w:rPr>
        <w:t>63</w:t>
      </w:r>
      <w:r>
        <w:rPr>
          <w:rFonts w:hint="eastAsia" w:ascii="Times New Roman" w:hAnsi="Times New Roman" w:eastAsia="仿宋_GB2312"/>
          <w:sz w:val="32"/>
          <w:szCs w:val="32"/>
          <w:highlight w:val="none"/>
        </w:rPr>
        <w:t>万元；年初结转和结余</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w:t>
      </w:r>
      <w:r>
        <w:rPr>
          <w:rFonts w:hint="eastAsia" w:ascii="Times New Roman" w:hAnsi="Times New Roman" w:eastAsia="仿宋_GB2312"/>
          <w:sz w:val="32"/>
          <w:szCs w:val="32"/>
          <w:highlight w:val="none"/>
          <w:lang w:val="en-US" w:eastAsia="zh-CN"/>
        </w:rPr>
        <w:t>63</w:t>
      </w:r>
      <w:r>
        <w:rPr>
          <w:rFonts w:hint="eastAsia" w:ascii="Times New Roman" w:hAnsi="Times New Roman" w:eastAsia="仿宋_GB2312"/>
          <w:sz w:val="32"/>
          <w:szCs w:val="32"/>
          <w:highlight w:val="none"/>
        </w:rPr>
        <w:t>万元，其中基本支出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万元，项目支出</w:t>
      </w:r>
      <w:r>
        <w:rPr>
          <w:rFonts w:hint="eastAsia" w:ascii="Times New Roman" w:hAnsi="Times New Roman" w:eastAsia="仿宋_GB2312"/>
          <w:sz w:val="32"/>
          <w:szCs w:val="32"/>
          <w:highlight w:val="none"/>
          <w:lang w:val="en-US" w:eastAsia="zh-CN"/>
        </w:rPr>
        <w:t>63</w:t>
      </w:r>
      <w:r>
        <w:rPr>
          <w:rFonts w:hint="eastAsia" w:ascii="Times New Roman" w:hAnsi="Times New Roman" w:eastAsia="仿宋_GB2312"/>
          <w:sz w:val="32"/>
          <w:szCs w:val="32"/>
          <w:highlight w:val="none"/>
        </w:rPr>
        <w:t>万元；年末结转和结余</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万元。具体情况如下：</w:t>
      </w:r>
    </w:p>
    <w:p w14:paraId="395D5D48">
      <w:pPr>
        <w:pStyle w:val="13"/>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社会保障和就业支出（类）大中型水库移民后期扶持基金支出（款）基础设施建设和经济发展（项）。</w:t>
      </w:r>
    </w:p>
    <w:p w14:paraId="74315905">
      <w:pPr>
        <w:keepNext/>
        <w:keepLines/>
        <w:ind w:firstLine="640"/>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41</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由于年初预算为0，无法计算百分比</w:t>
      </w:r>
      <w:r>
        <w:rPr>
          <w:rFonts w:hint="eastAsia" w:ascii="Times New Roman" w:hAnsi="Times New Roman" w:eastAsia="仿宋_GB2312"/>
          <w:sz w:val="32"/>
          <w:szCs w:val="32"/>
          <w:highlight w:val="none"/>
        </w:rPr>
        <w:t>，决算数大于年初预算数的主要原因是：业务工作任务增加，调整预算支出，财政追拨经费。</w:t>
      </w:r>
    </w:p>
    <w:p w14:paraId="09257381">
      <w:pPr>
        <w:pStyle w:val="13"/>
        <w:keepNext w:val="0"/>
        <w:keepLines w:val="0"/>
        <w:pageBreakBefore w:val="0"/>
        <w:widowControl w:val="0"/>
        <w:numPr>
          <w:ilvl w:val="0"/>
          <w:numId w:val="2"/>
        </w:numPr>
        <w:kinsoku/>
        <w:wordWrap/>
        <w:overflowPunct/>
        <w:topLinePunct w:val="0"/>
        <w:bidi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社会保障和就业支出（类）小型水库移民扶助基金安排的支出（款）基础设施建设和经济发展（项）。</w:t>
      </w:r>
    </w:p>
    <w:p w14:paraId="327A55EF">
      <w:pPr>
        <w:keepNext/>
        <w:keepLines/>
        <w:ind w:firstLine="640"/>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由于年初预算为0，无法计算百分比</w:t>
      </w:r>
      <w:r>
        <w:rPr>
          <w:rFonts w:hint="eastAsia" w:ascii="Times New Roman" w:hAnsi="Times New Roman" w:eastAsia="仿宋_GB2312"/>
          <w:sz w:val="32"/>
          <w:szCs w:val="32"/>
          <w:highlight w:val="none"/>
        </w:rPr>
        <w:t>，决算数大于年初预算数的主要原因是：业务工作任务增加，调整预算支出，财政追拨经费。</w:t>
      </w:r>
    </w:p>
    <w:p w14:paraId="0CCB801F">
      <w:pPr>
        <w:pStyle w:val="13"/>
        <w:keepNext w:val="0"/>
        <w:keepLines w:val="0"/>
        <w:pageBreakBefore w:val="0"/>
        <w:widowControl w:val="0"/>
        <w:numPr>
          <w:ilvl w:val="0"/>
          <w:numId w:val="2"/>
        </w:numPr>
        <w:kinsoku/>
        <w:wordWrap/>
        <w:overflowPunct/>
        <w:topLinePunct w:val="0"/>
        <w:bidi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其他支出（类）彩票公益金安排的支出（款）用于社会福利的彩票公益金支出（项）。</w:t>
      </w:r>
    </w:p>
    <w:p w14:paraId="5E703772">
      <w:pPr>
        <w:keepNext/>
        <w:keepLines/>
        <w:ind w:firstLine="640"/>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15</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由于年初预算为0，无法计算百分比</w:t>
      </w:r>
      <w:r>
        <w:rPr>
          <w:rFonts w:hint="eastAsia" w:ascii="Times New Roman" w:hAnsi="Times New Roman" w:eastAsia="仿宋_GB2312"/>
          <w:sz w:val="32"/>
          <w:szCs w:val="32"/>
          <w:highlight w:val="none"/>
        </w:rPr>
        <w:t>，决算数大于年初预算数的主要原因是：业务工作任务增加，调整预算支出，财政追拨经费。</w:t>
      </w:r>
    </w:p>
    <w:p w14:paraId="6EEE30E0">
      <w:pPr>
        <w:pStyle w:val="13"/>
        <w:keepNext w:val="0"/>
        <w:keepLines w:val="0"/>
        <w:pageBreakBefore w:val="0"/>
        <w:widowControl w:val="0"/>
        <w:numPr>
          <w:ilvl w:val="0"/>
          <w:numId w:val="2"/>
        </w:numPr>
        <w:kinsoku/>
        <w:wordWrap/>
        <w:overflowPunct/>
        <w:topLinePunct w:val="0"/>
        <w:bidi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其他支出（类）彩票公益金安排的支出（款）用于体育事业的彩票公益金支出（项）。</w:t>
      </w:r>
    </w:p>
    <w:p w14:paraId="3950D579">
      <w:pPr>
        <w:keepNext/>
        <w:keepLines/>
        <w:ind w:firstLine="640"/>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由于年初预算为0，无法计算百分比</w:t>
      </w:r>
      <w:r>
        <w:rPr>
          <w:rFonts w:hint="eastAsia" w:ascii="Times New Roman" w:hAnsi="Times New Roman" w:eastAsia="仿宋_GB2312"/>
          <w:sz w:val="32"/>
          <w:szCs w:val="32"/>
          <w:highlight w:val="none"/>
        </w:rPr>
        <w:t>，决算数大于年初预算数的主要原因是：业务工作任务增加，调整预算支出，财政追拨经费。</w:t>
      </w:r>
    </w:p>
    <w:p w14:paraId="32029FE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highlight w:val="none"/>
        </w:rPr>
      </w:pPr>
      <w:bookmarkStart w:id="0" w:name="_GoBack"/>
      <w:bookmarkEnd w:id="0"/>
      <w:r>
        <w:rPr>
          <w:rFonts w:hint="eastAsia" w:ascii="Times New Roman" w:hAnsi="Times New Roman" w:eastAsia="仿宋_GB2312"/>
          <w:b/>
          <w:color w:val="auto"/>
          <w:sz w:val="32"/>
          <w:szCs w:val="32"/>
          <w:highlight w:val="none"/>
          <w:lang w:val="en-US" w:eastAsia="zh-CN"/>
        </w:rPr>
        <w:t>十</w:t>
      </w:r>
      <w:r>
        <w:rPr>
          <w:rFonts w:hint="eastAsia" w:ascii="Times New Roman" w:hAnsi="Times New Roman" w:eastAsia="仿宋_GB2312"/>
          <w:b/>
          <w:color w:val="auto"/>
          <w:sz w:val="32"/>
          <w:szCs w:val="32"/>
          <w:highlight w:val="none"/>
        </w:rPr>
        <w:t>、关于机关运行经费支出说明</w:t>
      </w:r>
    </w:p>
    <w:p w14:paraId="251B945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年度机关运行经费支出</w:t>
      </w:r>
      <w:r>
        <w:rPr>
          <w:rFonts w:hint="eastAsia" w:ascii="Times New Roman" w:hAnsi="Times New Roman" w:eastAsia="仿宋_GB2312"/>
          <w:sz w:val="32"/>
          <w:szCs w:val="32"/>
          <w:highlight w:val="none"/>
          <w:lang w:val="en-US" w:eastAsia="zh-CN"/>
        </w:rPr>
        <w:t>124.29</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w:t>
      </w:r>
      <w:r>
        <w:rPr>
          <w:rFonts w:hint="eastAsia" w:ascii="Times New Roman" w:hAnsi="Times New Roman" w:eastAsia="仿宋_GB2312"/>
          <w:sz w:val="32"/>
          <w:szCs w:val="32"/>
          <w:highlight w:val="none"/>
        </w:rPr>
        <w:t>比年初预算数（或者上年决算数）增加</w:t>
      </w:r>
      <w:r>
        <w:rPr>
          <w:rFonts w:hint="eastAsia" w:ascii="Times New Roman" w:hAnsi="Times New Roman" w:eastAsia="仿宋_GB2312"/>
          <w:sz w:val="32"/>
          <w:szCs w:val="32"/>
          <w:highlight w:val="none"/>
          <w:lang w:val="en-US" w:eastAsia="zh-CN"/>
        </w:rPr>
        <w:t>37.99</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44.02</w:t>
      </w:r>
      <w:r>
        <w:rPr>
          <w:rFonts w:hint="eastAsia" w:ascii="Times New Roman" w:hAnsi="Times New Roman" w:eastAsia="仿宋_GB2312"/>
          <w:sz w:val="32"/>
          <w:szCs w:val="32"/>
          <w:highlight w:val="none"/>
        </w:rPr>
        <w:t>%。主要原因是：业务工作任务增加，调整预算支出，财政追拨经费。</w:t>
      </w:r>
    </w:p>
    <w:p w14:paraId="739C55C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一</w:t>
      </w:r>
      <w:r>
        <w:rPr>
          <w:rFonts w:hint="eastAsia" w:ascii="黑体" w:hAnsi="黑体" w:eastAsia="黑体" w:cs="黑体"/>
          <w:b w:val="0"/>
          <w:bCs/>
          <w:sz w:val="32"/>
          <w:szCs w:val="32"/>
          <w:highlight w:val="none"/>
        </w:rPr>
        <w:t>、一般性支出情况说明</w:t>
      </w:r>
    </w:p>
    <w:p w14:paraId="6AAE1ED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FF0000"/>
          <w:kern w:val="0"/>
          <w:sz w:val="32"/>
          <w:szCs w:val="32"/>
          <w:highlight w:val="none"/>
          <w:lang w:val="en-US" w:eastAsia="zh-CN" w:bidi="ar-SA"/>
        </w:rPr>
      </w:pPr>
      <w:r>
        <w:rPr>
          <w:rFonts w:hint="eastAsia" w:ascii="Times New Roman" w:hAnsi="Times New Roman" w:eastAsia="仿宋_GB2312"/>
          <w:sz w:val="32"/>
          <w:szCs w:val="32"/>
          <w:highlight w:val="none"/>
        </w:rPr>
        <w:t>2023年本部门开支会议费0万元；开支培训费</w:t>
      </w:r>
      <w:r>
        <w:rPr>
          <w:rFonts w:hint="eastAsia" w:ascii="Times New Roman" w:hAnsi="Times New Roman" w:eastAsia="仿宋_GB2312"/>
          <w:sz w:val="32"/>
          <w:szCs w:val="32"/>
          <w:highlight w:val="none"/>
          <w:lang w:val="en-US" w:eastAsia="zh-CN"/>
        </w:rPr>
        <w:t>0.83</w:t>
      </w:r>
      <w:r>
        <w:rPr>
          <w:rFonts w:hint="eastAsia" w:ascii="Times New Roman" w:hAnsi="Times New Roman" w:eastAsia="仿宋_GB2312"/>
          <w:sz w:val="32"/>
          <w:szCs w:val="32"/>
          <w:highlight w:val="none"/>
        </w:rPr>
        <w:t>万元，用于开展</w:t>
      </w:r>
      <w:r>
        <w:rPr>
          <w:rFonts w:hint="eastAsia" w:ascii="Times New Roman" w:hAnsi="Times New Roman" w:eastAsia="仿宋_GB2312"/>
          <w:sz w:val="32"/>
          <w:szCs w:val="32"/>
          <w:highlight w:val="none"/>
          <w:lang w:eastAsia="zh-CN"/>
        </w:rPr>
        <w:t>部门业务培训和党校培训，</w:t>
      </w:r>
      <w:r>
        <w:rPr>
          <w:rFonts w:hint="eastAsia" w:ascii="Times New Roman" w:hAnsi="Times New Roman" w:eastAsia="仿宋_GB2312"/>
          <w:sz w:val="32"/>
          <w:szCs w:val="32"/>
          <w:highlight w:val="none"/>
        </w:rPr>
        <w:t>人数</w:t>
      </w:r>
      <w:r>
        <w:rPr>
          <w:rFonts w:hint="eastAsia" w:ascii="Times New Roman" w:hAnsi="Times New Roman" w:eastAsia="仿宋_GB2312"/>
          <w:sz w:val="32"/>
          <w:szCs w:val="32"/>
          <w:highlight w:val="none"/>
          <w:lang w:val="en-US" w:eastAsia="zh-CN"/>
        </w:rPr>
        <w:t>11</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eastAsia="zh-CN"/>
        </w:rPr>
        <w:t>基层统战干部培训与党校培训费用是</w:t>
      </w:r>
      <w:r>
        <w:rPr>
          <w:rFonts w:hint="eastAsia" w:ascii="Times New Roman" w:hAnsi="Times New Roman" w:eastAsia="仿宋_GB2312"/>
          <w:sz w:val="32"/>
          <w:szCs w:val="32"/>
          <w:highlight w:val="none"/>
        </w:rPr>
        <w:t>；未举办节庆、晚会、论坛、赛事等活动，开支0万元。</w:t>
      </w:r>
    </w:p>
    <w:p w14:paraId="16D2843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二</w:t>
      </w:r>
      <w:r>
        <w:rPr>
          <w:rFonts w:hint="eastAsia" w:ascii="黑体" w:hAnsi="黑体" w:eastAsia="黑体" w:cs="黑体"/>
          <w:b w:val="0"/>
          <w:bCs/>
          <w:sz w:val="32"/>
          <w:szCs w:val="32"/>
          <w:highlight w:val="none"/>
        </w:rPr>
        <w:t>、关于政府采购支出说明</w:t>
      </w:r>
    </w:p>
    <w:p w14:paraId="4B46343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FF0000"/>
          <w:kern w:val="0"/>
          <w:sz w:val="32"/>
          <w:szCs w:val="32"/>
          <w:highlight w:val="none"/>
          <w:lang w:val="en-US" w:eastAsia="zh-CN" w:bidi="ar-SA"/>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年度政府采购支出总额</w:t>
      </w:r>
      <w:r>
        <w:rPr>
          <w:rFonts w:hint="eastAsia" w:ascii="Times New Roman" w:hAnsi="Times New Roman" w:eastAsia="仿宋_GB2312"/>
          <w:sz w:val="32"/>
          <w:szCs w:val="32"/>
          <w:highlight w:val="none"/>
          <w:lang w:val="en-US" w:eastAsia="zh-CN"/>
        </w:rPr>
        <w:t>375.66</w:t>
      </w:r>
      <w:r>
        <w:rPr>
          <w:rFonts w:hint="eastAsia" w:ascii="Times New Roman" w:hAnsi="Times New Roman" w:eastAsia="仿宋_GB2312"/>
          <w:sz w:val="32"/>
          <w:szCs w:val="32"/>
          <w:highlight w:val="none"/>
        </w:rPr>
        <w:t>万元，其中：政府采购货物支出</w:t>
      </w:r>
      <w:r>
        <w:rPr>
          <w:rFonts w:hint="eastAsia" w:ascii="Times New Roman" w:hAnsi="Times New Roman" w:eastAsia="仿宋_GB2312"/>
          <w:sz w:val="32"/>
          <w:szCs w:val="32"/>
          <w:highlight w:val="none"/>
          <w:lang w:val="en-US" w:eastAsia="zh-CN"/>
        </w:rPr>
        <w:t>22.38</w:t>
      </w:r>
      <w:r>
        <w:rPr>
          <w:rFonts w:hint="eastAsia" w:ascii="Times New Roman" w:hAnsi="Times New Roman" w:eastAsia="仿宋_GB2312"/>
          <w:sz w:val="32"/>
          <w:szCs w:val="32"/>
          <w:highlight w:val="none"/>
        </w:rPr>
        <w:t>万元、政府采购工程支出</w:t>
      </w:r>
      <w:r>
        <w:rPr>
          <w:rFonts w:hint="eastAsia" w:ascii="Times New Roman" w:hAnsi="Times New Roman" w:eastAsia="仿宋_GB2312"/>
          <w:sz w:val="32"/>
          <w:szCs w:val="32"/>
          <w:highlight w:val="none"/>
          <w:lang w:val="en-US" w:eastAsia="zh-CN"/>
        </w:rPr>
        <w:t>196.02</w:t>
      </w:r>
      <w:r>
        <w:rPr>
          <w:rFonts w:hint="eastAsia" w:ascii="Times New Roman" w:hAnsi="Times New Roman" w:eastAsia="仿宋_GB2312"/>
          <w:sz w:val="32"/>
          <w:szCs w:val="32"/>
          <w:highlight w:val="none"/>
        </w:rPr>
        <w:t>万元、政府采购服务支出</w:t>
      </w:r>
      <w:r>
        <w:rPr>
          <w:rFonts w:hint="eastAsia" w:ascii="Times New Roman" w:hAnsi="Times New Roman" w:eastAsia="仿宋_GB2312"/>
          <w:sz w:val="32"/>
          <w:szCs w:val="32"/>
          <w:highlight w:val="none"/>
          <w:lang w:val="en-US" w:eastAsia="zh-CN"/>
        </w:rPr>
        <w:t>157.26</w:t>
      </w:r>
      <w:r>
        <w:rPr>
          <w:rFonts w:hint="eastAsia" w:ascii="Times New Roman" w:hAnsi="Times New Roman" w:eastAsia="仿宋_GB2312"/>
          <w:sz w:val="32"/>
          <w:szCs w:val="32"/>
          <w:highlight w:val="none"/>
        </w:rPr>
        <w:t>万元。授予中小企业合同金额</w:t>
      </w:r>
      <w:r>
        <w:rPr>
          <w:rFonts w:hint="eastAsia" w:ascii="Times New Roman" w:hAnsi="Times New Roman" w:eastAsia="仿宋_GB2312"/>
          <w:sz w:val="32"/>
          <w:szCs w:val="32"/>
          <w:highlight w:val="none"/>
          <w:lang w:val="en-US" w:eastAsia="zh-CN"/>
        </w:rPr>
        <w:t>375.66</w:t>
      </w:r>
      <w:r>
        <w:rPr>
          <w:rFonts w:hint="eastAsia" w:ascii="Times New Roman" w:hAnsi="Times New Roman" w:eastAsia="仿宋_GB2312"/>
          <w:sz w:val="32"/>
          <w:szCs w:val="32"/>
          <w:highlight w:val="none"/>
        </w:rPr>
        <w:t>万元，占政府采购支出总额的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%，其中：授予小微企业合同金额</w:t>
      </w:r>
      <w:r>
        <w:rPr>
          <w:rFonts w:hint="eastAsia" w:ascii="Times New Roman" w:hAnsi="Times New Roman" w:eastAsia="仿宋_GB2312"/>
          <w:sz w:val="32"/>
          <w:szCs w:val="32"/>
          <w:highlight w:val="none"/>
          <w:lang w:val="en-US" w:eastAsia="zh-CN"/>
        </w:rPr>
        <w:t>375.66</w:t>
      </w:r>
      <w:r>
        <w:rPr>
          <w:rFonts w:hint="eastAsia" w:ascii="Times New Roman" w:hAnsi="Times New Roman" w:eastAsia="仿宋_GB2312"/>
          <w:sz w:val="32"/>
          <w:szCs w:val="32"/>
          <w:highlight w:val="none"/>
        </w:rPr>
        <w:t>万元，</w:t>
      </w:r>
      <w:r>
        <w:rPr>
          <w:rFonts w:hint="eastAsia" w:ascii="Times New Roman" w:hAnsi="Times New Roman" w:eastAsia="仿宋_GB2312"/>
          <w:color w:val="auto"/>
          <w:sz w:val="32"/>
          <w:szCs w:val="32"/>
          <w:highlight w:val="none"/>
        </w:rPr>
        <w:t>占</w:t>
      </w:r>
      <w:r>
        <w:rPr>
          <w:rFonts w:hint="eastAsia" w:ascii="Times New Roman" w:hAnsi="Times New Roman" w:eastAsia="仿宋_GB2312"/>
          <w:color w:val="auto"/>
          <w:sz w:val="32"/>
          <w:szCs w:val="32"/>
          <w:highlight w:val="none"/>
          <w:lang w:eastAsia="zh-CN"/>
        </w:rPr>
        <w:t>授予中小企业合同金额</w:t>
      </w:r>
      <w:r>
        <w:rPr>
          <w:rFonts w:hint="eastAsia" w:ascii="Times New Roman" w:hAnsi="Times New Roman" w:eastAsia="仿宋_GB2312"/>
          <w:color w:val="auto"/>
          <w:sz w:val="32"/>
          <w:szCs w:val="32"/>
          <w:highlight w:val="none"/>
        </w:rPr>
        <w:t>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%。货物采购授予中小企业合同金额占货物支出金额的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%，工程采购授予中小企业合同金额占工程支出金额的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%，服务采购授予中小企业合同金额占服务支出金额的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w:t>
      </w:r>
    </w:p>
    <w:p w14:paraId="5B1619F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三</w:t>
      </w:r>
      <w:r>
        <w:rPr>
          <w:rFonts w:hint="eastAsia" w:ascii="黑体" w:hAnsi="黑体" w:eastAsia="黑体" w:cs="黑体"/>
          <w:b w:val="0"/>
          <w:bCs/>
          <w:color w:val="auto"/>
          <w:sz w:val="32"/>
          <w:szCs w:val="32"/>
          <w:highlight w:val="none"/>
        </w:rPr>
        <w:t>、关于国有资产占用情况说明</w:t>
      </w:r>
    </w:p>
    <w:p w14:paraId="70EA64B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截至202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年12月31日，</w:t>
      </w:r>
      <w:r>
        <w:rPr>
          <w:rFonts w:hint="eastAsia" w:ascii="Times New Roman" w:hAnsi="Times New Roman" w:eastAsia="仿宋_GB2312"/>
          <w:color w:val="auto"/>
          <w:sz w:val="32"/>
          <w:szCs w:val="32"/>
          <w:highlight w:val="none"/>
          <w:lang w:eastAsia="zh-CN"/>
        </w:rPr>
        <w:t>部门（单位）</w:t>
      </w:r>
      <w:r>
        <w:rPr>
          <w:rFonts w:hint="eastAsia" w:ascii="Times New Roman" w:hAnsi="Times New Roman" w:eastAsia="仿宋_GB2312"/>
          <w:color w:val="auto"/>
          <w:sz w:val="32"/>
          <w:szCs w:val="32"/>
          <w:highlight w:val="none"/>
        </w:rPr>
        <w:t>共有车辆</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单位价值100万元以上设备</w:t>
      </w:r>
      <w:r>
        <w:rPr>
          <w:rFonts w:hint="eastAsia" w:ascii="Times New Roman" w:hAnsi="Times New Roman" w:eastAsia="仿宋_GB2312"/>
          <w:color w:val="auto"/>
          <w:sz w:val="32"/>
          <w:szCs w:val="32"/>
          <w:highlight w:val="none"/>
          <w:lang w:eastAsia="zh-CN"/>
        </w:rPr>
        <w:t>（不含车辆）</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台（套）。</w:t>
      </w:r>
    </w:p>
    <w:p w14:paraId="5931AF0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四</w:t>
      </w:r>
      <w:r>
        <w:rPr>
          <w:rFonts w:hint="eastAsia" w:ascii="黑体" w:hAnsi="黑体" w:eastAsia="黑体" w:cs="黑体"/>
          <w:b w:val="0"/>
          <w:bCs/>
          <w:color w:val="auto"/>
          <w:sz w:val="32"/>
          <w:szCs w:val="32"/>
          <w:highlight w:val="none"/>
        </w:rPr>
        <w:t>、关于</w:t>
      </w: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黑体" w:hAnsi="黑体" w:eastAsia="黑体" w:cs="黑体"/>
          <w:b w:val="0"/>
          <w:bCs/>
          <w:color w:val="auto"/>
          <w:sz w:val="32"/>
          <w:szCs w:val="32"/>
          <w:highlight w:val="none"/>
        </w:rPr>
        <w:t>年度</w:t>
      </w:r>
      <w:r>
        <w:rPr>
          <w:rFonts w:hint="eastAsia" w:hAnsi="黑体" w:cs="黑体"/>
          <w:b w:val="0"/>
          <w:bCs/>
          <w:color w:val="auto"/>
          <w:sz w:val="32"/>
          <w:szCs w:val="32"/>
          <w:highlight w:val="none"/>
          <w:lang w:eastAsia="zh-CN"/>
        </w:rPr>
        <w:t>预算</w:t>
      </w:r>
      <w:r>
        <w:rPr>
          <w:rFonts w:hint="eastAsia" w:ascii="黑体" w:hAnsi="黑体" w:eastAsia="黑体" w:cs="黑体"/>
          <w:b w:val="0"/>
          <w:bCs/>
          <w:color w:val="auto"/>
          <w:sz w:val="32"/>
          <w:szCs w:val="32"/>
          <w:highlight w:val="none"/>
        </w:rPr>
        <w:t>绩效情况的说明</w:t>
      </w:r>
    </w:p>
    <w:p w14:paraId="4684E68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lang w:eastAsia="zh-CN"/>
        </w:rPr>
      </w:pPr>
      <w:r>
        <w:rPr>
          <w:rFonts w:hint="eastAsia" w:ascii="楷体" w:hAnsi="楷体" w:eastAsia="楷体" w:cs="楷体"/>
          <w:b/>
          <w:bCs/>
          <w:sz w:val="32"/>
          <w:szCs w:val="32"/>
          <w:highlight w:val="none"/>
          <w:lang w:eastAsia="zh-CN"/>
        </w:rPr>
        <w:t>（一）绩效管理工作开展情况</w:t>
      </w:r>
    </w:p>
    <w:p w14:paraId="3055F4F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olor w:val="000000" w:themeColor="text1"/>
          <w:sz w:val="32"/>
          <w:szCs w:val="32"/>
          <w:highlight w:val="none"/>
          <w:lang w:eastAsia="zh-CN"/>
          <w14:textFill>
            <w14:solidFill>
              <w14:schemeClr w14:val="tx1"/>
            </w14:solidFill>
          </w14:textFill>
        </w:rPr>
        <w:t>通过绩效监控管理，强化资金监管理念，坚持绩效有效管理导向，实现资金投入、效益管理之间的有效衔接。加强绩效监控，考核中情况，是否存在偏离绩效目标等问题，考核结果作为资金支付重要参考，切实提高管理质效。对于以人员工资为主的项目，要求预算单位提供明确的人员数量测算依据和工作点位分布图，编制每一类工作人员的工作内容和考核标准，作为项目实施过程中开展绩效监控的依据。不定期实施绩效监控，发现问题的，坚持成效优先，要求预算单位加强管理、增派人力，保障实现项目预期标准，做到“花一样的钱要多干事”；确实无法达到预期标准的，据实压减项目预算，做到“干一样的事要少花钱”。</w:t>
      </w:r>
    </w:p>
    <w:p w14:paraId="77318AD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（二）</w:t>
      </w:r>
      <w:r>
        <w:rPr>
          <w:rFonts w:hint="eastAsia" w:ascii="楷体" w:hAnsi="楷体" w:eastAsia="楷体" w:cs="楷体"/>
          <w:b/>
          <w:bCs/>
          <w:sz w:val="32"/>
          <w:szCs w:val="32"/>
          <w:highlight w:val="none"/>
        </w:rPr>
        <w:t>部门</w:t>
      </w:r>
      <w:r>
        <w:rPr>
          <w:rFonts w:hint="eastAsia" w:ascii="楷体" w:hAnsi="楷体" w:eastAsia="楷体" w:cs="楷体"/>
          <w:b/>
          <w:bCs/>
          <w:sz w:val="32"/>
          <w:szCs w:val="32"/>
          <w:highlight w:val="none"/>
          <w:lang w:eastAsia="zh-CN"/>
        </w:rPr>
        <w:t>（单位）</w:t>
      </w:r>
      <w:r>
        <w:rPr>
          <w:rFonts w:hint="eastAsia" w:ascii="楷体" w:hAnsi="楷体" w:eastAsia="楷体" w:cs="楷体"/>
          <w:b/>
          <w:bCs/>
          <w:sz w:val="32"/>
          <w:szCs w:val="32"/>
          <w:highlight w:val="none"/>
        </w:rPr>
        <w:t>整体支出绩效情况</w:t>
      </w:r>
    </w:p>
    <w:p w14:paraId="54619E8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为贯彻落实《中共中央国务院关于全面实施预算绩效管理的意见》的精神，落实《关于开展202</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3</w:t>
      </w:r>
      <w:r>
        <w:rPr>
          <w:rFonts w:hint="eastAsia" w:ascii="Times New Roman" w:hAnsi="Times New Roman" w:eastAsia="仿宋_GB2312"/>
          <w:color w:val="000000" w:themeColor="text1"/>
          <w:sz w:val="32"/>
          <w:szCs w:val="32"/>
          <w:highlight w:val="none"/>
          <w14:textFill>
            <w14:solidFill>
              <w14:schemeClr w14:val="tx1"/>
            </w14:solidFill>
          </w14:textFill>
        </w:rPr>
        <w:t>年度财政预算支出绩效自评工作的通知》的要求，我部门积极组织开展202</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3</w:t>
      </w:r>
      <w:r>
        <w:rPr>
          <w:rFonts w:hint="eastAsia" w:ascii="Times New Roman" w:hAnsi="Times New Roman" w:eastAsia="仿宋_GB2312"/>
          <w:color w:val="000000" w:themeColor="text1"/>
          <w:sz w:val="32"/>
          <w:szCs w:val="32"/>
          <w:highlight w:val="none"/>
          <w14:textFill>
            <w14:solidFill>
              <w14:schemeClr w14:val="tx1"/>
            </w14:solidFill>
          </w14:textFill>
        </w:rPr>
        <w:t>年度整体支出绩效自评工作，强化财政支出绩效理念和责任意识，以切实提高财政资金使用效益。</w:t>
      </w:r>
    </w:p>
    <w:p w14:paraId="5444EE9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部门开展整体支出绩效评价，涉及一般公共预算支出</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2262.53</w:t>
      </w:r>
      <w:r>
        <w:rPr>
          <w:rFonts w:hint="eastAsia" w:ascii="Times New Roman" w:hAnsi="Times New Roman" w:eastAsia="仿宋_GB2312"/>
          <w:color w:val="000000" w:themeColor="text1"/>
          <w:sz w:val="32"/>
          <w:szCs w:val="32"/>
          <w:highlight w:val="none"/>
          <w14:textFill>
            <w14:solidFill>
              <w14:schemeClr w14:val="tx1"/>
            </w14:solidFill>
          </w14:textFill>
        </w:rPr>
        <w:t>万元，政府性基金预算支出0万元，国有资本经营预算支出0万元, 合计</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2262.53</w:t>
      </w:r>
      <w:r>
        <w:rPr>
          <w:rFonts w:hint="eastAsia" w:ascii="Times New Roman" w:hAnsi="Times New Roman" w:eastAsia="仿宋_GB2312"/>
          <w:color w:val="000000" w:themeColor="text1"/>
          <w:sz w:val="32"/>
          <w:szCs w:val="32"/>
          <w:highlight w:val="none"/>
          <w14:textFill>
            <w14:solidFill>
              <w14:schemeClr w14:val="tx1"/>
            </w14:solidFill>
          </w14:textFill>
        </w:rPr>
        <w:t>万元，其中：基本支出</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1218.98</w:t>
      </w:r>
      <w:r>
        <w:rPr>
          <w:rFonts w:hint="eastAsia" w:ascii="Times New Roman" w:hAnsi="Times New Roman" w:eastAsia="仿宋_GB2312"/>
          <w:color w:val="000000" w:themeColor="text1"/>
          <w:sz w:val="32"/>
          <w:szCs w:val="32"/>
          <w:highlight w:val="none"/>
          <w14:textFill>
            <w14:solidFill>
              <w14:schemeClr w14:val="tx1"/>
            </w14:solidFill>
          </w14:textFill>
        </w:rPr>
        <w:t>万元，占</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53.88</w:t>
      </w:r>
      <w:r>
        <w:rPr>
          <w:rFonts w:hint="eastAsia" w:ascii="Times New Roman" w:hAnsi="Times New Roman" w:eastAsia="仿宋_GB2312"/>
          <w:color w:val="000000" w:themeColor="text1"/>
          <w:sz w:val="32"/>
          <w:szCs w:val="32"/>
          <w:highlight w:val="none"/>
          <w14:textFill>
            <w14:solidFill>
              <w14:schemeClr w14:val="tx1"/>
            </w14:solidFill>
          </w14:textFill>
        </w:rPr>
        <w:t>%；项目支出</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1043.55</w:t>
      </w:r>
      <w:r>
        <w:rPr>
          <w:rFonts w:hint="eastAsia" w:ascii="Times New Roman" w:hAnsi="Times New Roman" w:eastAsia="仿宋_GB2312"/>
          <w:color w:val="000000" w:themeColor="text1"/>
          <w:sz w:val="32"/>
          <w:szCs w:val="32"/>
          <w:highlight w:val="none"/>
          <w14:textFill>
            <w14:solidFill>
              <w14:schemeClr w14:val="tx1"/>
            </w14:solidFill>
          </w14:textFill>
        </w:rPr>
        <w:t>万元，占</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46.12</w:t>
      </w:r>
      <w:r>
        <w:rPr>
          <w:rFonts w:hint="eastAsia" w:ascii="Times New Roman" w:hAnsi="Times New Roman" w:eastAsia="仿宋_GB2312"/>
          <w:color w:val="000000" w:themeColor="text1"/>
          <w:sz w:val="32"/>
          <w:szCs w:val="32"/>
          <w:highlight w:val="none"/>
          <w14:textFill>
            <w14:solidFill>
              <w14:schemeClr w14:val="tx1"/>
            </w14:solidFill>
          </w14:textFill>
        </w:rPr>
        <w:t>%。通过成立评价小组，依据相关政策规定、部门职能职责、年度工作计划、专项资金绩效目标及专项资金管理办法，对202</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3</w:t>
      </w:r>
      <w:r>
        <w:rPr>
          <w:rFonts w:hint="eastAsia" w:ascii="Times New Roman" w:hAnsi="Times New Roman" w:eastAsia="仿宋_GB2312"/>
          <w:color w:val="000000" w:themeColor="text1"/>
          <w:sz w:val="32"/>
          <w:szCs w:val="32"/>
          <w:highlight w:val="none"/>
          <w14:textFill>
            <w14:solidFill>
              <w14:schemeClr w14:val="tx1"/>
            </w14:solidFill>
          </w14:textFill>
        </w:rPr>
        <w:t>年度预算配置、预算执行、预算管理、资产管理、职责履行等指标完成情况、效益情况进行自评。</w:t>
      </w:r>
    </w:p>
    <w:p w14:paraId="1BFD995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202</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3</w:t>
      </w:r>
      <w:r>
        <w:rPr>
          <w:rFonts w:hint="eastAsia" w:ascii="Times New Roman" w:hAnsi="Times New Roman" w:eastAsia="仿宋_GB2312"/>
          <w:color w:val="000000" w:themeColor="text1"/>
          <w:sz w:val="32"/>
          <w:szCs w:val="32"/>
          <w:highlight w:val="none"/>
          <w14:textFill>
            <w14:solidFill>
              <w14:schemeClr w14:val="tx1"/>
            </w14:solidFill>
          </w14:textFill>
        </w:rPr>
        <w:t>年度整体绩效目标完成情况较好。</w:t>
      </w:r>
    </w:p>
    <w:p w14:paraId="6201332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部门整体支出绩效评价报告详见附件，同本部门的部门决算一同公开。</w:t>
      </w:r>
    </w:p>
    <w:p w14:paraId="1D9F375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（三）</w:t>
      </w:r>
      <w:r>
        <w:rPr>
          <w:rFonts w:hint="eastAsia" w:ascii="楷体" w:hAnsi="楷体" w:eastAsia="楷体" w:cs="楷体"/>
          <w:b/>
          <w:bCs/>
          <w:sz w:val="32"/>
          <w:szCs w:val="32"/>
          <w:highlight w:val="none"/>
        </w:rPr>
        <w:t>存在的问题及原因分析</w:t>
      </w:r>
    </w:p>
    <w:p w14:paraId="320BB56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一是进一步加强厉行节约机制，提高单位三保支出的保障能力。</w:t>
      </w:r>
    </w:p>
    <w:p w14:paraId="6512DB5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二是预算编制与实际支出项目有的存在差异，有待进一步优化预算，提高预算编制的准确性。</w:t>
      </w:r>
    </w:p>
    <w:p w14:paraId="6DA636EE">
      <w:pPr>
        <w:pStyle w:val="13"/>
        <w:jc w:val="both"/>
        <w:rPr>
          <w:sz w:val="72"/>
          <w:szCs w:val="72"/>
          <w:highlight w:val="none"/>
        </w:rPr>
      </w:pPr>
    </w:p>
    <w:p w14:paraId="2BE00A0B">
      <w:pPr>
        <w:pStyle w:val="13"/>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第四部分</w:t>
      </w:r>
    </w:p>
    <w:p w14:paraId="78D56604">
      <w:pPr>
        <w:pStyle w:val="13"/>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名词解释</w:t>
      </w:r>
    </w:p>
    <w:p w14:paraId="2BCB044B">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财政拨款收入：指本级财政当年拨付的资金。</w:t>
      </w:r>
    </w:p>
    <w:p w14:paraId="5CB1F1E0">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6E3F64FB">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文化体育与传媒支出（类）：是指用于文化、文物、体育、新闻出版广播影视等方面的支出，包括保障机构正常运转、完成日常和特定的工作任务或事业发展目标的支出。</w:t>
      </w:r>
    </w:p>
    <w:p w14:paraId="0FA358BF">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14:paraId="71D7AACB">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卫生健康支出（类）：是指用于医疗卫生与计划生育方面的支出，包括保障机构正常运转、完成日常和特定的工作任务或事业发展目标的支出。</w:t>
      </w:r>
    </w:p>
    <w:p w14:paraId="070A24F2">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节能环保支出（类）：是指用于节能环保支出，包括保障机构正常运转、完成日常和特定的工作任务或事业发展目标的支出。</w:t>
      </w:r>
    </w:p>
    <w:p w14:paraId="51F6D9CF">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城乡社区支出（类）：是指用于城乡社区事务支出，包括保障机构正常运转、完成日常和特定的工作任务或事业发展目标的支出。</w:t>
      </w:r>
    </w:p>
    <w:p w14:paraId="45141301">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农林水支出（类）：是指用于农林水事务支出，包括保障机构正常运转、完成日常和特定的工作任务或事业发展目标的支出。</w:t>
      </w:r>
    </w:p>
    <w:p w14:paraId="7E384D0D">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交通运输支出（类）：是指用于交通运输和邮政业方面的支出，包括保障机构正常运转、完成日常和特定的工作任务或事业发展目标的支出。</w:t>
      </w:r>
    </w:p>
    <w:p w14:paraId="70CDC96A">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商业服务业等支出（类）：是指用于商业服务业等方面的支出,包括保障机构正常运转、完成日常和特定的工作任务或事业发展目标的支出。</w:t>
      </w:r>
    </w:p>
    <w:p w14:paraId="7A9418D0">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自然资源海洋气象等支出（类）：是指用于自然资源、海洋、测绘、气象等公益服务事业方面的支出，包括保障机构正常运转、完成日常和特定的工作任务或事业发展目标的支出。</w:t>
      </w:r>
    </w:p>
    <w:p w14:paraId="29EB0EA8">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粮油物资储备支出（类）：是指用于粮油物资储备方面的支出，包括保障机构正常运转、完成日常和特定的工作任务或事业发展目标的支出。</w:t>
      </w:r>
    </w:p>
    <w:p w14:paraId="2956BC4C">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其他支出（类）：是指用于反映除上述项目以外其他不能划分到具体功能科目中的支出项目，包括保障机构正常运转、完成日常和特定的工作任务或事业发展目标的支出。</w:t>
      </w:r>
    </w:p>
    <w:p w14:paraId="4D108211">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基本支出：指保障机构正常运转、完成支日常工作任务而发生的人员支出和公用支出。</w:t>
      </w:r>
    </w:p>
    <w:p w14:paraId="5AEF5BFB">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项目支出：指在基本支出之外为完成特定行政任务和事业发展目标所发生的支出。</w:t>
      </w:r>
    </w:p>
    <w:p w14:paraId="2504589B">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6C66EAEB">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政府采购 ：是指国家各级政府为从事日常的政务活动或为了满足公共服务的目的，利用国家财政性资金和政府借款购买货物、工程和服务的行为。</w:t>
      </w:r>
    </w:p>
    <w:p w14:paraId="4E00081C">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工资福利支出：反映单位开支的在职职工和编制外长期聘用人员的各类劳动报酬，以及为上述人员缴纳的各项社会保险费等。</w:t>
      </w:r>
    </w:p>
    <w:p w14:paraId="458B8B40">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2FAE9723">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津贴补贴：反映经国家批准建立的机关事业单位艰苦边远地区津贴、机关工作人员地区附加津贴、机关工作人员岗位津贴、事业单位工作人员特殊岗位津贴补贴等。</w:t>
      </w:r>
    </w:p>
    <w:p w14:paraId="373CA046">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奖金：反映机关工作人员年终一次性奖金。</w:t>
      </w:r>
    </w:p>
    <w:p w14:paraId="2724EC74">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机关事业单位基本养老保险缴费：反映机关事业单位缴纳的基本养老保险费。由单位代扣的工作人员基本养老保险缴费，不在此科目反映。</w:t>
      </w:r>
    </w:p>
    <w:p w14:paraId="6BE8A5BE">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职业年金缴费：反映机关事业单位实际缴纳的职业年金支出。由单位代扣的工作人员职业年金缴费，不在此科目反映。</w:t>
      </w:r>
    </w:p>
    <w:p w14:paraId="1D816238">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职工基本医疗保险缴费：反映单位为职工缴纳的基本医疗保险费。</w:t>
      </w:r>
    </w:p>
    <w:p w14:paraId="63C3D8C2">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住房公积金：反映行政事业单位按人力资源和社会保障部、财政部规定的基本工资和津贴补贴以及规定比例为职工缴纳的住房公积金。</w:t>
      </w:r>
    </w:p>
    <w:p w14:paraId="679D79EC">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240B1735">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商品和服务支出：反映单位购买商品和服务的支出（不包括用于购置固定资产的支出、战略性和应急储备支出）。</w:t>
      </w:r>
    </w:p>
    <w:p w14:paraId="49389B24">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办公费：反映单位购买按财务会计制度规定不符合固定资产确认标准的日常办公用品、书报杂志等支出。</w:t>
      </w:r>
    </w:p>
    <w:p w14:paraId="24CFEA3B">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会议费：反映会议中按规定开支的住宿费、伙食费、会议室租金、交通费、文件印刷费、医药费等。</w:t>
      </w:r>
    </w:p>
    <w:p w14:paraId="555EA90D">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培训费：反映除因公出国（境）培训费以外的各类培训支出。</w:t>
      </w:r>
    </w:p>
    <w:p w14:paraId="67C5AF5D">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公务接待费：反映单位按规定开支的各类公务接待（含外宾接待）费用。</w:t>
      </w:r>
    </w:p>
    <w:p w14:paraId="71BD64DC">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255C5F86">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工会经费：反映单位按规定提取的工会经费。</w:t>
      </w:r>
    </w:p>
    <w:p w14:paraId="6187A0DD">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福利费：反映单位按规定提取的福利费。</w:t>
      </w:r>
    </w:p>
    <w:p w14:paraId="08CC1C48">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其他交通费用：反映单位除公务用车运行维护费以外的其他交通费用。如公务交通补贴，租车费用、出租车费用，飞机、船舶等的燃料费、维修费、保险费等。</w:t>
      </w:r>
    </w:p>
    <w:p w14:paraId="6C73FA14">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对个人和家庭的补助：反映政府用于对个人和家庭的补助支出。</w:t>
      </w:r>
    </w:p>
    <w:p w14:paraId="72772423">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抚恤金：反映按规定开支的烈士遗属、牺牲病故人员遗属的一次性和定期抚恤金，伤残人员的抚恤金，离退休人员等其他人员的各项抚恤金。</w:t>
      </w:r>
    </w:p>
    <w:p w14:paraId="0CEEE8B1">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7E2713B6">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救济费：反映按规定开支的城乡贫困人员、灾民、归侨、外侨及其他人员的生活救济费，包括城市居民的最低生活保障费，随同资源枯竭矿山破产但未参加养老保险统筹的矿山所属集体企业退休人员按最低生活保障标准发放的生活费，农村五保供养对象、贫困户、麻风病人的生活救济费，精简退职老弱残职工救济费，福利、救助机构发生的收养费以及救助支出等。实物形式的救济也在此科目反映。</w:t>
      </w:r>
    </w:p>
    <w:p w14:paraId="08781309">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医疗费：反映行政事业单位在职职工、离退休人员的医疗费，军队移交政府安置的离退休人员的医疗费，学生医疗费，优抚对象医疗补助，以及按国家规定资助农民参加新型农村合作医疗和城镇居民参加城镇居民基本医疗保险的支出和对城乡贫困家庭的医疗救助支出。</w:t>
      </w:r>
    </w:p>
    <w:p w14:paraId="5F69115A">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奖励金：反映政府各部门的奖励支出，如对个体私营经济的奖励、计划生育目标责任奖励、独生子女父母奖励等。</w:t>
      </w:r>
    </w:p>
    <w:p w14:paraId="475FD368">
      <w:pPr>
        <w:widowControl/>
        <w:ind w:firstLine="640" w:firstLineChars="200"/>
        <w:jc w:val="left"/>
        <w:rPr>
          <w:rFonts w:hint="eastAsia"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个人农业生产补贴：反映各种对个人发放的生产补贴支出，如国家对农民发放的农机具购置补贴、良种补贴、粮食直补以及发放给残疾人的各种生产经营补贴等。</w:t>
      </w:r>
    </w:p>
    <w:p w14:paraId="1DC7A32E">
      <w:pPr>
        <w:widowControl/>
        <w:ind w:firstLine="640" w:firstLineChars="200"/>
        <w:jc w:val="left"/>
        <w:rPr>
          <w:rFonts w:cs="黑体" w:asciiTheme="minorEastAsia" w:hAnsiTheme="minorEastAsia"/>
          <w:color w:val="000000"/>
          <w:kern w:val="0"/>
          <w:sz w:val="32"/>
          <w:szCs w:val="32"/>
          <w:highlight w:val="none"/>
        </w:rPr>
      </w:pPr>
      <w:r>
        <w:rPr>
          <w:rFonts w:hint="eastAsia" w:cs="黑体" w:asciiTheme="minorEastAsia" w:hAnsiTheme="minorEastAsia"/>
          <w:color w:val="000000"/>
          <w:kern w:val="0"/>
          <w:sz w:val="32"/>
          <w:szCs w:val="32"/>
          <w:highlight w:val="non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13715C6C">
      <w:pPr>
        <w:pStyle w:val="13"/>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第</w:t>
      </w:r>
      <w:r>
        <w:rPr>
          <w:rFonts w:hint="eastAsia" w:ascii="方正小标宋_GBK" w:hAnsi="方正小标宋_GBK" w:eastAsia="方正小标宋_GBK" w:cs="方正小标宋_GBK"/>
          <w:sz w:val="48"/>
          <w:szCs w:val="48"/>
          <w:highlight w:val="none"/>
          <w:lang w:eastAsia="zh-CN"/>
        </w:rPr>
        <w:t>五</w:t>
      </w:r>
      <w:r>
        <w:rPr>
          <w:rFonts w:hint="eastAsia" w:ascii="方正小标宋_GBK" w:hAnsi="方正小标宋_GBK" w:eastAsia="方正小标宋_GBK" w:cs="方正小标宋_GBK"/>
          <w:sz w:val="48"/>
          <w:szCs w:val="48"/>
          <w:highlight w:val="none"/>
        </w:rPr>
        <w:t>部分</w:t>
      </w:r>
    </w:p>
    <w:p w14:paraId="72D53453">
      <w:pPr>
        <w:pStyle w:val="13"/>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lang w:eastAsia="zh-CN"/>
        </w:rPr>
        <w:t>附</w:t>
      </w:r>
      <w:r>
        <w:rPr>
          <w:rFonts w:hint="eastAsia" w:ascii="方正小标宋_GBK" w:hAnsi="方正小标宋_GBK" w:eastAsia="方正小标宋_GBK" w:cs="方正小标宋_GBK"/>
          <w:sz w:val="48"/>
          <w:szCs w:val="48"/>
          <w:highlight w:val="none"/>
          <w:lang w:val="en-US" w:eastAsia="zh-CN"/>
        </w:rPr>
        <w:t xml:space="preserve"> </w:t>
      </w:r>
      <w:r>
        <w:rPr>
          <w:rFonts w:hint="eastAsia" w:ascii="方正小标宋_GBK" w:hAnsi="方正小标宋_GBK" w:eastAsia="方正小标宋_GBK" w:cs="方正小标宋_GBK"/>
          <w:sz w:val="48"/>
          <w:szCs w:val="48"/>
          <w:highlight w:val="none"/>
          <w:lang w:eastAsia="zh-CN"/>
        </w:rPr>
        <w:t>件</w:t>
      </w:r>
    </w:p>
    <w:p w14:paraId="7C2BCDED">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highlight w:val="none"/>
          <w:lang w:val="en-US" w:eastAsia="zh-CN"/>
        </w:rPr>
      </w:pPr>
      <w:r>
        <w:rPr>
          <w:rFonts w:hint="eastAsia" w:ascii="楷体" w:hAnsi="楷体" w:eastAsia="楷体" w:cs="楷体"/>
          <w:b/>
          <w:bCs/>
          <w:sz w:val="32"/>
          <w:szCs w:val="32"/>
          <w:highlight w:val="none"/>
          <w:lang w:eastAsia="zh-CN"/>
        </w:rPr>
        <w:t>一、</w:t>
      </w:r>
      <w:r>
        <w:rPr>
          <w:rFonts w:hint="eastAsia" w:ascii="Times New Roman" w:hAnsi="Times New Roman" w:eastAsia="仿宋_GB2312"/>
          <w:sz w:val="32"/>
          <w:szCs w:val="32"/>
          <w:highlight w:val="none"/>
          <w:lang w:val="en-US" w:eastAsia="zh-CN"/>
        </w:rPr>
        <w:t>华容县插旗镇人民政府2023年度部门决算公开表格</w:t>
      </w:r>
    </w:p>
    <w:p w14:paraId="6061C61A">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highlight w:val="none"/>
          <w:lang w:eastAsia="zh-CN"/>
        </w:rPr>
        <w:t>二、</w:t>
      </w:r>
      <w:r>
        <w:rPr>
          <w:rFonts w:hint="eastAsia" w:ascii="Times New Roman" w:hAnsi="Times New Roman" w:eastAsia="仿宋_GB2312"/>
          <w:sz w:val="32"/>
          <w:szCs w:val="32"/>
          <w:highlight w:val="none"/>
          <w:lang w:val="en-US" w:eastAsia="zh-CN"/>
        </w:rPr>
        <w:t>2023年度插旗镇人民政府整体支</w:t>
      </w:r>
      <w:r>
        <w:rPr>
          <w:rFonts w:hint="eastAsia" w:ascii="Times New Roman" w:hAnsi="Times New Roman" w:eastAsia="仿宋_GB2312"/>
          <w:sz w:val="32"/>
          <w:szCs w:val="32"/>
          <w:lang w:val="en-US" w:eastAsia="zh-CN"/>
        </w:rPr>
        <w:t>出绩效自评报告。</w:t>
      </w:r>
    </w:p>
    <w:p w14:paraId="468ED0BF">
      <w:pPr>
        <w:pStyle w:val="13"/>
        <w:jc w:val="center"/>
        <w:rPr>
          <w:sz w:val="72"/>
          <w:szCs w:val="72"/>
        </w:rPr>
      </w:pPr>
    </w:p>
    <w:p w14:paraId="1D60E490">
      <w:pPr>
        <w:pStyle w:val="13"/>
        <w:jc w:val="center"/>
        <w:rPr>
          <w:sz w:val="72"/>
          <w:szCs w:val="72"/>
        </w:rPr>
      </w:pPr>
    </w:p>
    <w:p w14:paraId="36000A5B">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0750C4"/>
    <w:multiLevelType w:val="singleLevel"/>
    <w:tmpl w:val="0E0750C4"/>
    <w:lvl w:ilvl="0" w:tentative="0">
      <w:start w:val="1"/>
      <w:numFmt w:val="decimal"/>
      <w:suff w:val="nothing"/>
      <w:lvlText w:val="%1、"/>
      <w:lvlJc w:val="left"/>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2I2YTM4MzJlNjhmNGU5ZGMyMTAxNTcyNGFlMDI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8DA05F3"/>
    <w:rsid w:val="0E2F7C96"/>
    <w:rsid w:val="14D04D98"/>
    <w:rsid w:val="1D97DEFF"/>
    <w:rsid w:val="1DFF72E5"/>
    <w:rsid w:val="1EFC6F07"/>
    <w:rsid w:val="1F077698"/>
    <w:rsid w:val="23FF36F3"/>
    <w:rsid w:val="2FDF85B8"/>
    <w:rsid w:val="2FFFEE04"/>
    <w:rsid w:val="34DF85B0"/>
    <w:rsid w:val="393B3E67"/>
    <w:rsid w:val="3B4D7CCD"/>
    <w:rsid w:val="3B8F36BC"/>
    <w:rsid w:val="441578D7"/>
    <w:rsid w:val="44701FD5"/>
    <w:rsid w:val="491FF225"/>
    <w:rsid w:val="4E395582"/>
    <w:rsid w:val="4ECA6C53"/>
    <w:rsid w:val="4FFD214C"/>
    <w:rsid w:val="5777D4F5"/>
    <w:rsid w:val="58E01F18"/>
    <w:rsid w:val="59DD8326"/>
    <w:rsid w:val="5DEF592A"/>
    <w:rsid w:val="5FC6BB1E"/>
    <w:rsid w:val="5FF720F1"/>
    <w:rsid w:val="67AF5D43"/>
    <w:rsid w:val="67FF5C0B"/>
    <w:rsid w:val="6A165680"/>
    <w:rsid w:val="6A4D683D"/>
    <w:rsid w:val="6D281506"/>
    <w:rsid w:val="6EFC0924"/>
    <w:rsid w:val="6F4064D3"/>
    <w:rsid w:val="6FB74722"/>
    <w:rsid w:val="6FEF8B7E"/>
    <w:rsid w:val="71A6591B"/>
    <w:rsid w:val="7250395E"/>
    <w:rsid w:val="737D59BA"/>
    <w:rsid w:val="77C37683"/>
    <w:rsid w:val="79A626D4"/>
    <w:rsid w:val="79FF515B"/>
    <w:rsid w:val="7AB5542D"/>
    <w:rsid w:val="7E530BCE"/>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12"/>
    <w:unhideWhenUsed/>
    <w:qFormat/>
    <w:uiPriority w:val="99"/>
    <w:pPr>
      <w:tabs>
        <w:tab w:val="center" w:pos="4153"/>
        <w:tab w:val="right" w:pos="8306"/>
      </w:tabs>
      <w:snapToGrid w:val="0"/>
      <w:jc w:val="left"/>
    </w:pPr>
    <w:rPr>
      <w:sz w:val="18"/>
      <w:szCs w:val="18"/>
    </w:rPr>
  </w:style>
  <w:style w:type="paragraph" w:styleId="8">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页眉 Char"/>
    <w:basedOn w:val="10"/>
    <w:link w:val="8"/>
    <w:qFormat/>
    <w:uiPriority w:val="99"/>
    <w:rPr>
      <w:sz w:val="18"/>
      <w:szCs w:val="18"/>
    </w:rPr>
  </w:style>
  <w:style w:type="character" w:customStyle="1" w:styleId="12">
    <w:name w:val="页脚 Char"/>
    <w:basedOn w:val="10"/>
    <w:link w:val="7"/>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6"/>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17</Pages>
  <Words>9659</Words>
  <Characters>10098</Characters>
  <Lines>63</Lines>
  <Paragraphs>18</Paragraphs>
  <TotalTime>1</TotalTime>
  <ScaleCrop>false</ScaleCrop>
  <LinksUpToDate>false</LinksUpToDate>
  <CharactersWithSpaces>10122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2025-11-12T13:35:41Z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6973A58C54C64F9B98DFC34B88E62D85</vt:lpwstr>
  </property>
  <property fmtid="{D5CDD505-2E9C-101B-9397-08002B2CF9AE}" pid="4" name="KSOTemplateDocerSaveRecord">
    <vt:lpwstr>eyJoZGlkIjoiYWNjNTk2OTRjYzEzNTI3Yzk4MDU3ZTg2ZjlhODM2NDAiLCJ1c2VySWQiOiIxNDkyNDM0OTU4In0=</vt:lpwstr>
  </property>
</Properties>
</file>