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3E05AE">
      <w:pPr>
        <w:keepNext w:val="0"/>
        <w:keepLines w:val="0"/>
        <w:pageBreakBefore w:val="0"/>
        <w:widowControl w:val="0"/>
        <w:kinsoku/>
        <w:wordWrap/>
        <w:overflowPunct/>
        <w:topLinePunct w:val="0"/>
        <w:autoSpaceDE w:val="0"/>
        <w:autoSpaceDN w:val="0"/>
        <w:bidi w:val="0"/>
        <w:adjustRightInd w:val="0"/>
        <w:snapToGrid/>
        <w:jc w:val="center"/>
        <w:textAlignment w:val="auto"/>
        <w:rPr>
          <w:rFonts w:ascii="Times New Roman" w:hAnsi="Times New Roman" w:eastAsia="黑体"/>
          <w:color w:val="000000"/>
          <w:kern w:val="0"/>
          <w:sz w:val="84"/>
          <w:szCs w:val="84"/>
          <w:highlight w:val="none"/>
        </w:rPr>
      </w:pPr>
      <w:r>
        <w:rPr>
          <w:rFonts w:ascii="黑体" w:eastAsia="黑体" w:cs="黑体"/>
          <w:color w:val="000000"/>
          <w:kern w:val="0"/>
          <w:sz w:val="84"/>
          <w:szCs w:val="84"/>
          <w:highlight w:val="none"/>
        </w:rPr>
        <w:t>2023</w:t>
      </w:r>
      <w:r>
        <w:rPr>
          <w:rFonts w:hint="eastAsia" w:ascii="黑体" w:eastAsia="黑体" w:cs="黑体"/>
          <w:color w:val="000000"/>
          <w:kern w:val="0"/>
          <w:sz w:val="84"/>
          <w:szCs w:val="84"/>
          <w:highlight w:val="none"/>
        </w:rPr>
        <w:t>年度</w:t>
      </w:r>
    </w:p>
    <w:p w14:paraId="3EDB56E3">
      <w:pPr>
        <w:keepNext w:val="0"/>
        <w:keepLines w:val="0"/>
        <w:pageBreakBefore w:val="0"/>
        <w:widowControl w:val="0"/>
        <w:kinsoku/>
        <w:wordWrap/>
        <w:overflowPunct/>
        <w:topLinePunct w:val="0"/>
        <w:autoSpaceDE w:val="0"/>
        <w:autoSpaceDN w:val="0"/>
        <w:bidi w:val="0"/>
        <w:adjustRightInd w:val="0"/>
        <w:snapToGrid/>
        <w:jc w:val="center"/>
        <w:textAlignment w:val="auto"/>
        <w:rPr>
          <w:rFonts w:ascii="Times New Roman" w:hAnsi="Times New Roman" w:eastAsia="黑体"/>
          <w:color w:val="000000"/>
          <w:kern w:val="0"/>
          <w:sz w:val="84"/>
          <w:szCs w:val="84"/>
          <w:highlight w:val="none"/>
        </w:rPr>
      </w:pPr>
      <w:r>
        <w:rPr>
          <w:rFonts w:hint="eastAsia" w:ascii="黑体" w:hAnsi="Times New Roman" w:eastAsia="黑体" w:cs="黑体"/>
          <w:sz w:val="84"/>
          <w:szCs w:val="84"/>
          <w:highlight w:val="none"/>
          <w:lang w:val="zh-CN"/>
        </w:rPr>
        <w:t>华容县操军镇人民政府</w:t>
      </w:r>
      <w:r>
        <w:rPr>
          <w:rFonts w:hint="eastAsia" w:ascii="黑体" w:hAnsi="Times New Roman" w:eastAsia="黑体" w:cs="黑体"/>
          <w:color w:val="000000"/>
          <w:kern w:val="0"/>
          <w:sz w:val="84"/>
          <w:szCs w:val="84"/>
          <w:highlight w:val="none"/>
        </w:rPr>
        <w:t>部门决算</w:t>
      </w:r>
    </w:p>
    <w:p w14:paraId="766D81DC">
      <w:pPr>
        <w:keepNext w:val="0"/>
        <w:keepLines w:val="0"/>
        <w:pageBreakBefore w:val="0"/>
        <w:widowControl w:val="0"/>
        <w:kinsoku/>
        <w:wordWrap/>
        <w:overflowPunct/>
        <w:topLinePunct w:val="0"/>
        <w:autoSpaceDE w:val="0"/>
        <w:autoSpaceDN w:val="0"/>
        <w:bidi w:val="0"/>
        <w:adjustRightInd w:val="0"/>
        <w:snapToGrid/>
        <w:jc w:val="center"/>
        <w:textAlignment w:val="auto"/>
        <w:rPr>
          <w:rFonts w:ascii="Times New Roman" w:hAnsi="Times New Roman" w:eastAsia="黑体"/>
          <w:color w:val="000000"/>
          <w:kern w:val="0"/>
          <w:sz w:val="56"/>
          <w:szCs w:val="56"/>
          <w:highlight w:val="none"/>
        </w:rPr>
      </w:pPr>
    </w:p>
    <w:p w14:paraId="354FA3FE">
      <w:pPr>
        <w:keepNext w:val="0"/>
        <w:keepLines w:val="0"/>
        <w:pageBreakBefore w:val="0"/>
        <w:widowControl w:val="0"/>
        <w:kinsoku/>
        <w:wordWrap/>
        <w:overflowPunct/>
        <w:topLinePunct w:val="0"/>
        <w:autoSpaceDE w:val="0"/>
        <w:autoSpaceDN w:val="0"/>
        <w:bidi w:val="0"/>
        <w:adjustRightInd w:val="0"/>
        <w:snapToGrid/>
        <w:spacing w:line="520" w:lineRule="exact"/>
        <w:jc w:val="center"/>
        <w:textAlignment w:val="auto"/>
        <w:rPr>
          <w:rFonts w:ascii="宋体" w:hAnsi="Times New Roman" w:cs="宋体"/>
          <w:b/>
          <w:bCs/>
          <w:color w:val="000000"/>
          <w:kern w:val="0"/>
          <w:sz w:val="44"/>
          <w:szCs w:val="44"/>
          <w:highlight w:val="none"/>
        </w:rPr>
      </w:pPr>
      <w:r>
        <w:rPr>
          <w:rFonts w:hint="eastAsia" w:ascii="宋体" w:hAnsi="Times New Roman" w:cs="宋体"/>
          <w:b/>
          <w:bCs/>
          <w:color w:val="000000"/>
          <w:kern w:val="0"/>
          <w:sz w:val="44"/>
          <w:szCs w:val="44"/>
          <w:highlight w:val="none"/>
        </w:rPr>
        <w:t>目</w:t>
      </w:r>
      <w:r>
        <w:rPr>
          <w:rFonts w:ascii="宋体" w:hAnsi="Times New Roman" w:cs="宋体"/>
          <w:b/>
          <w:bCs/>
          <w:color w:val="000000"/>
          <w:kern w:val="0"/>
          <w:sz w:val="44"/>
          <w:szCs w:val="44"/>
          <w:highlight w:val="none"/>
        </w:rPr>
        <w:t xml:space="preserve"> </w:t>
      </w:r>
      <w:r>
        <w:rPr>
          <w:rFonts w:hint="eastAsia" w:ascii="宋体" w:hAnsi="Times New Roman" w:cs="宋体"/>
          <w:b/>
          <w:bCs/>
          <w:color w:val="000000"/>
          <w:kern w:val="0"/>
          <w:sz w:val="44"/>
          <w:szCs w:val="44"/>
          <w:highlight w:val="none"/>
        </w:rPr>
        <w:t>录</w:t>
      </w:r>
    </w:p>
    <w:p w14:paraId="028B4D55">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ascii="Times New Roman" w:hAnsi="Times New Roman" w:eastAsia="黑体"/>
          <w:b/>
          <w:bCs/>
          <w:color w:val="000000"/>
          <w:kern w:val="0"/>
          <w:sz w:val="28"/>
          <w:szCs w:val="28"/>
          <w:highlight w:val="none"/>
        </w:rPr>
      </w:pPr>
      <w:r>
        <w:rPr>
          <w:rFonts w:hint="eastAsia" w:ascii="黑体" w:hAnsi="Times New Roman" w:eastAsia="黑体" w:cs="黑体"/>
          <w:b/>
          <w:bCs/>
          <w:color w:val="000000"/>
          <w:kern w:val="0"/>
          <w:sz w:val="28"/>
          <w:szCs w:val="28"/>
          <w:highlight w:val="none"/>
        </w:rPr>
        <w:t>第一部分</w:t>
      </w:r>
      <w:r>
        <w:rPr>
          <w:rFonts w:hint="eastAsia" w:ascii="黑体" w:hAnsi="Times New Roman" w:eastAsia="黑体" w:cs="黑体"/>
          <w:b/>
          <w:bCs/>
          <w:sz w:val="28"/>
          <w:szCs w:val="28"/>
          <w:highlight w:val="none"/>
          <w:lang w:val="zh-CN"/>
        </w:rPr>
        <w:t>华容县操军镇人民政府</w:t>
      </w:r>
      <w:r>
        <w:rPr>
          <w:rFonts w:hint="eastAsia" w:ascii="黑体" w:hAnsi="Times New Roman" w:eastAsia="黑体" w:cs="黑体"/>
          <w:b/>
          <w:bCs/>
          <w:color w:val="000000"/>
          <w:kern w:val="0"/>
          <w:sz w:val="28"/>
          <w:szCs w:val="28"/>
          <w:highlight w:val="none"/>
        </w:rPr>
        <w:t>概况</w:t>
      </w:r>
    </w:p>
    <w:p w14:paraId="4BB67639">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一、部门职责</w:t>
      </w:r>
    </w:p>
    <w:p w14:paraId="53D83A5E">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二、机构设置</w:t>
      </w:r>
    </w:p>
    <w:p w14:paraId="261EC28B">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ascii="Times New Roman" w:hAnsi="Times New Roman" w:eastAsia="黑体"/>
          <w:b/>
          <w:bCs/>
          <w:color w:val="000000"/>
          <w:kern w:val="0"/>
          <w:sz w:val="28"/>
          <w:szCs w:val="28"/>
          <w:highlight w:val="none"/>
        </w:rPr>
      </w:pPr>
      <w:r>
        <w:rPr>
          <w:rFonts w:hint="eastAsia" w:ascii="黑体" w:hAnsi="Times New Roman" w:eastAsia="黑体" w:cs="黑体"/>
          <w:b/>
          <w:bCs/>
          <w:color w:val="000000"/>
          <w:kern w:val="0"/>
          <w:sz w:val="28"/>
          <w:szCs w:val="28"/>
          <w:highlight w:val="none"/>
        </w:rPr>
        <w:t>第二部分</w:t>
      </w:r>
      <w:r>
        <w:rPr>
          <w:rFonts w:ascii="黑体" w:hAnsi="Times New Roman" w:eastAsia="黑体" w:cs="黑体"/>
          <w:b/>
          <w:bCs/>
          <w:color w:val="000000"/>
          <w:kern w:val="0"/>
          <w:sz w:val="28"/>
          <w:szCs w:val="28"/>
          <w:highlight w:val="none"/>
        </w:rPr>
        <w:t>2023</w:t>
      </w:r>
      <w:r>
        <w:rPr>
          <w:rFonts w:hint="eastAsia" w:ascii="黑体" w:hAnsi="Times New Roman" w:eastAsia="黑体" w:cs="黑体"/>
          <w:b/>
          <w:bCs/>
          <w:color w:val="000000"/>
          <w:kern w:val="0"/>
          <w:sz w:val="28"/>
          <w:szCs w:val="28"/>
          <w:highlight w:val="none"/>
        </w:rPr>
        <w:t>年度部门决算表</w:t>
      </w:r>
    </w:p>
    <w:p w14:paraId="655568E5">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一、收入支出决算总表</w:t>
      </w:r>
    </w:p>
    <w:p w14:paraId="1559EDB0">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二、收入决算表</w:t>
      </w:r>
    </w:p>
    <w:p w14:paraId="33562E19">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三、支出决算表</w:t>
      </w:r>
    </w:p>
    <w:p w14:paraId="7D7A0548">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四、财政拨款收入支出决算总表</w:t>
      </w:r>
    </w:p>
    <w:p w14:paraId="21E66DB9">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五、一般公共预算财政拨款支出决算表</w:t>
      </w:r>
    </w:p>
    <w:p w14:paraId="2DD4D8B0">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六、一般公共预算财政拨款基本支出决算明细表</w:t>
      </w:r>
    </w:p>
    <w:p w14:paraId="29B29098">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宋体" w:hAnsi="Times New Roman" w:cs="宋体"/>
          <w:color w:val="000000"/>
          <w:kern w:val="0"/>
          <w:sz w:val="28"/>
          <w:szCs w:val="28"/>
          <w:highlight w:val="none"/>
        </w:rPr>
      </w:pPr>
      <w:r>
        <w:rPr>
          <w:rFonts w:hint="eastAsia" w:ascii="宋体" w:hAnsi="Times New Roman" w:cs="宋体"/>
          <w:color w:val="000000"/>
          <w:kern w:val="0"/>
          <w:sz w:val="28"/>
          <w:szCs w:val="28"/>
          <w:highlight w:val="none"/>
        </w:rPr>
        <w:t>七、政府性基金预算财政拨款收入支出决算表</w:t>
      </w:r>
    </w:p>
    <w:p w14:paraId="23ECA513">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宋体" w:hAnsi="Times New Roman" w:cs="宋体"/>
          <w:color w:val="000000"/>
          <w:kern w:val="0"/>
          <w:sz w:val="28"/>
          <w:szCs w:val="28"/>
          <w:highlight w:val="none"/>
        </w:rPr>
      </w:pPr>
      <w:r>
        <w:rPr>
          <w:rFonts w:hint="eastAsia" w:ascii="宋体" w:hAnsi="Times New Roman" w:cs="宋体"/>
          <w:color w:val="000000"/>
          <w:kern w:val="0"/>
          <w:sz w:val="28"/>
          <w:szCs w:val="28"/>
          <w:highlight w:val="none"/>
        </w:rPr>
        <w:t>八、国有资本经营预算财政拨款支出决算表</w:t>
      </w:r>
    </w:p>
    <w:p w14:paraId="37F7E77F">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九、财政拨款</w:t>
      </w:r>
      <w:r>
        <w:rPr>
          <w:rFonts w:ascii="Times New Roman" w:hAnsi="Times New Roman"/>
          <w:color w:val="000000"/>
          <w:kern w:val="0"/>
          <w:sz w:val="28"/>
          <w:szCs w:val="28"/>
          <w:highlight w:val="none"/>
        </w:rPr>
        <w:t>“</w:t>
      </w:r>
      <w:r>
        <w:rPr>
          <w:rFonts w:hint="eastAsia" w:ascii="宋体" w:hAnsi="Times New Roman" w:cs="宋体"/>
          <w:color w:val="000000"/>
          <w:kern w:val="0"/>
          <w:sz w:val="28"/>
          <w:szCs w:val="28"/>
          <w:highlight w:val="none"/>
        </w:rPr>
        <w:t>三公</w:t>
      </w:r>
      <w:r>
        <w:rPr>
          <w:rFonts w:ascii="Times New Roman" w:hAnsi="Times New Roman"/>
          <w:color w:val="000000"/>
          <w:kern w:val="0"/>
          <w:sz w:val="28"/>
          <w:szCs w:val="28"/>
          <w:highlight w:val="none"/>
        </w:rPr>
        <w:t>”</w:t>
      </w:r>
      <w:r>
        <w:rPr>
          <w:rFonts w:hint="eastAsia" w:ascii="宋体" w:hAnsi="Times New Roman" w:cs="宋体"/>
          <w:color w:val="000000"/>
          <w:kern w:val="0"/>
          <w:sz w:val="28"/>
          <w:szCs w:val="28"/>
          <w:highlight w:val="none"/>
        </w:rPr>
        <w:t>经费支出决算表</w:t>
      </w:r>
    </w:p>
    <w:p w14:paraId="1AFA7F98">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ascii="Times New Roman" w:hAnsi="Times New Roman" w:eastAsia="黑体"/>
          <w:b/>
          <w:bCs/>
          <w:color w:val="000000"/>
          <w:kern w:val="0"/>
          <w:sz w:val="28"/>
          <w:szCs w:val="28"/>
          <w:highlight w:val="none"/>
        </w:rPr>
      </w:pPr>
      <w:r>
        <w:rPr>
          <w:rFonts w:hint="eastAsia" w:ascii="黑体" w:hAnsi="Times New Roman" w:eastAsia="黑体" w:cs="黑体"/>
          <w:b/>
          <w:bCs/>
          <w:color w:val="000000"/>
          <w:kern w:val="0"/>
          <w:sz w:val="28"/>
          <w:szCs w:val="28"/>
          <w:highlight w:val="none"/>
        </w:rPr>
        <w:t>第三部分</w:t>
      </w:r>
      <w:r>
        <w:rPr>
          <w:rFonts w:ascii="黑体" w:hAnsi="Times New Roman" w:eastAsia="黑体" w:cs="黑体"/>
          <w:b/>
          <w:bCs/>
          <w:color w:val="000000"/>
          <w:kern w:val="0"/>
          <w:sz w:val="28"/>
          <w:szCs w:val="28"/>
          <w:highlight w:val="none"/>
        </w:rPr>
        <w:t>2023</w:t>
      </w:r>
      <w:r>
        <w:rPr>
          <w:rFonts w:hint="eastAsia" w:ascii="黑体" w:hAnsi="Times New Roman" w:eastAsia="黑体" w:cs="黑体"/>
          <w:b/>
          <w:bCs/>
          <w:color w:val="000000"/>
          <w:kern w:val="0"/>
          <w:sz w:val="28"/>
          <w:szCs w:val="28"/>
          <w:highlight w:val="none"/>
        </w:rPr>
        <w:t>年度部门决算情况说明</w:t>
      </w:r>
    </w:p>
    <w:p w14:paraId="5A6F6039">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一、收入支出决算总体情况说明</w:t>
      </w:r>
    </w:p>
    <w:p w14:paraId="5F52F71B">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sz w:val="28"/>
          <w:szCs w:val="28"/>
          <w:highlight w:val="none"/>
        </w:rPr>
      </w:pPr>
      <w:r>
        <w:rPr>
          <w:rFonts w:hint="eastAsia" w:ascii="宋体" w:hAnsi="Times New Roman" w:cs="宋体"/>
          <w:sz w:val="28"/>
          <w:szCs w:val="28"/>
          <w:highlight w:val="none"/>
        </w:rPr>
        <w:t>二、收入决算情况说明</w:t>
      </w:r>
    </w:p>
    <w:p w14:paraId="430FD048">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三、支出决算情况说明</w:t>
      </w:r>
    </w:p>
    <w:p w14:paraId="7ACF0507">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四、财政拨款收入支出决算总体情况说明</w:t>
      </w:r>
    </w:p>
    <w:p w14:paraId="02D6A5D5">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五、一般公共预算财政拨款支出决算情况说明</w:t>
      </w:r>
    </w:p>
    <w:p w14:paraId="54B3566C">
      <w:pPr>
        <w:keepNext w:val="0"/>
        <w:keepLines w:val="0"/>
        <w:pageBreakBefore w:val="0"/>
        <w:widowControl w:val="0"/>
        <w:kinsoku/>
        <w:wordWrap/>
        <w:overflowPunct/>
        <w:topLinePunct w:val="0"/>
        <w:autoSpaceDE w:val="0"/>
        <w:autoSpaceDN w:val="0"/>
        <w:bidi w:val="0"/>
        <w:adjustRightInd w:val="0"/>
        <w:snapToGrid/>
        <w:spacing w:line="520" w:lineRule="exact"/>
        <w:ind w:firstLine="700"/>
        <w:jc w:val="left"/>
        <w:textAlignment w:val="auto"/>
        <w:rPr>
          <w:rFonts w:ascii="Times New Roman" w:hAnsi="Times New Roman"/>
          <w:color w:val="000000"/>
          <w:kern w:val="0"/>
          <w:sz w:val="28"/>
          <w:szCs w:val="28"/>
          <w:highlight w:val="none"/>
        </w:rPr>
      </w:pPr>
      <w:r>
        <w:rPr>
          <w:rFonts w:hint="eastAsia" w:ascii="宋体" w:hAnsi="Times New Roman" w:cs="宋体"/>
          <w:color w:val="000000"/>
          <w:kern w:val="0"/>
          <w:sz w:val="28"/>
          <w:szCs w:val="28"/>
          <w:highlight w:val="none"/>
        </w:rPr>
        <w:t>六、一般公共预算财政拨款基本支出决算情况说明</w:t>
      </w:r>
    </w:p>
    <w:p w14:paraId="6E37D457">
      <w:pPr>
        <w:keepNext w:val="0"/>
        <w:keepLines w:val="0"/>
        <w:pageBreakBefore w:val="0"/>
        <w:widowControl w:val="0"/>
        <w:kinsoku/>
        <w:wordWrap/>
        <w:overflowPunct/>
        <w:topLinePunct w:val="0"/>
        <w:autoSpaceDE w:val="0"/>
        <w:autoSpaceDN w:val="0"/>
        <w:bidi w:val="0"/>
        <w:adjustRightInd w:val="0"/>
        <w:snapToGrid/>
        <w:spacing w:line="500" w:lineRule="exact"/>
        <w:ind w:firstLine="700"/>
        <w:jc w:val="left"/>
        <w:textAlignment w:val="auto"/>
        <w:rPr>
          <w:rFonts w:hint="eastAsia" w:ascii="宋体" w:hAnsi="Times New Roman" w:cs="宋体"/>
          <w:color w:val="000000"/>
          <w:kern w:val="0"/>
          <w:sz w:val="28"/>
          <w:szCs w:val="28"/>
          <w:highlight w:val="none"/>
        </w:rPr>
      </w:pPr>
      <w:r>
        <w:rPr>
          <w:rFonts w:hint="eastAsia" w:ascii="宋体" w:hAnsi="Times New Roman" w:cs="宋体"/>
          <w:color w:val="000000"/>
          <w:kern w:val="0"/>
          <w:sz w:val="28"/>
          <w:szCs w:val="28"/>
          <w:highlight w:val="none"/>
        </w:rPr>
        <w:t>七、财政拨款“三公”经费支出决算情况说明</w:t>
      </w:r>
    </w:p>
    <w:p w14:paraId="116B937D">
      <w:pPr>
        <w:keepNext w:val="0"/>
        <w:keepLines w:val="0"/>
        <w:pageBreakBefore w:val="0"/>
        <w:widowControl w:val="0"/>
        <w:kinsoku/>
        <w:wordWrap/>
        <w:overflowPunct/>
        <w:topLinePunct w:val="0"/>
        <w:autoSpaceDE w:val="0"/>
        <w:autoSpaceDN w:val="0"/>
        <w:bidi w:val="0"/>
        <w:adjustRightInd w:val="0"/>
        <w:snapToGrid/>
        <w:spacing w:line="500" w:lineRule="exact"/>
        <w:ind w:firstLine="700"/>
        <w:jc w:val="left"/>
        <w:textAlignment w:val="auto"/>
        <w:rPr>
          <w:rFonts w:hint="eastAsia" w:ascii="宋体" w:hAnsi="Times New Roman" w:cs="宋体"/>
          <w:color w:val="000000"/>
          <w:kern w:val="0"/>
          <w:sz w:val="28"/>
          <w:szCs w:val="28"/>
          <w:highlight w:val="none"/>
        </w:rPr>
      </w:pPr>
      <w:r>
        <w:rPr>
          <w:rFonts w:hint="eastAsia" w:ascii="宋体" w:hAnsi="Times New Roman" w:cs="宋体"/>
          <w:color w:val="000000"/>
          <w:kern w:val="0"/>
          <w:sz w:val="28"/>
          <w:szCs w:val="28"/>
          <w:highlight w:val="none"/>
        </w:rPr>
        <w:t>八、政府性基金预算收入支出决算情况</w:t>
      </w:r>
    </w:p>
    <w:p w14:paraId="47ECE4C7">
      <w:pPr>
        <w:keepNext w:val="0"/>
        <w:keepLines w:val="0"/>
        <w:pageBreakBefore w:val="0"/>
        <w:widowControl w:val="0"/>
        <w:kinsoku/>
        <w:wordWrap/>
        <w:overflowPunct/>
        <w:topLinePunct w:val="0"/>
        <w:autoSpaceDE w:val="0"/>
        <w:autoSpaceDN w:val="0"/>
        <w:bidi w:val="0"/>
        <w:adjustRightInd w:val="0"/>
        <w:snapToGrid/>
        <w:spacing w:line="500" w:lineRule="exact"/>
        <w:ind w:firstLine="700"/>
        <w:jc w:val="left"/>
        <w:textAlignment w:val="auto"/>
        <w:rPr>
          <w:rFonts w:hint="eastAsia" w:ascii="宋体" w:hAnsi="Times New Roman" w:cs="宋体"/>
          <w:color w:val="000000"/>
          <w:kern w:val="0"/>
          <w:sz w:val="28"/>
          <w:szCs w:val="28"/>
          <w:highlight w:val="none"/>
        </w:rPr>
      </w:pPr>
      <w:r>
        <w:rPr>
          <w:rFonts w:hint="eastAsia" w:ascii="宋体" w:hAnsi="Times New Roman" w:cs="宋体"/>
          <w:color w:val="000000"/>
          <w:kern w:val="0"/>
          <w:sz w:val="28"/>
          <w:szCs w:val="28"/>
          <w:highlight w:val="none"/>
        </w:rPr>
        <w:t>九、国有资本经营预算财政拨款支出决算情况</w:t>
      </w:r>
    </w:p>
    <w:p w14:paraId="0F3080E4">
      <w:pPr>
        <w:keepNext w:val="0"/>
        <w:keepLines w:val="0"/>
        <w:pageBreakBefore w:val="0"/>
        <w:widowControl w:val="0"/>
        <w:kinsoku/>
        <w:wordWrap/>
        <w:overflowPunct/>
        <w:topLinePunct w:val="0"/>
        <w:autoSpaceDE w:val="0"/>
        <w:autoSpaceDN w:val="0"/>
        <w:bidi w:val="0"/>
        <w:adjustRightInd w:val="0"/>
        <w:snapToGrid/>
        <w:spacing w:line="500" w:lineRule="exact"/>
        <w:ind w:firstLine="700"/>
        <w:jc w:val="left"/>
        <w:textAlignment w:val="auto"/>
        <w:rPr>
          <w:rFonts w:ascii="仿宋_GB2312" w:hAnsi="Times New Roman" w:eastAsia="仿宋_GB2312" w:cs="仿宋_GB2312"/>
          <w:color w:val="000000"/>
          <w:kern w:val="0"/>
          <w:sz w:val="28"/>
          <w:szCs w:val="28"/>
          <w:highlight w:val="none"/>
        </w:rPr>
      </w:pPr>
      <w:bookmarkStart w:id="0" w:name="_GoBack"/>
      <w:bookmarkEnd w:id="0"/>
      <w:r>
        <w:rPr>
          <w:rFonts w:hint="eastAsia" w:ascii="宋体" w:hAnsi="Times New Roman" w:cs="宋体"/>
          <w:color w:val="000000"/>
          <w:kern w:val="0"/>
          <w:sz w:val="28"/>
          <w:szCs w:val="28"/>
          <w:highlight w:val="none"/>
        </w:rPr>
        <w:t>十、机关运行经费支出说明</w:t>
      </w:r>
    </w:p>
    <w:p w14:paraId="344823DE">
      <w:pPr>
        <w:keepNext w:val="0"/>
        <w:keepLines w:val="0"/>
        <w:pageBreakBefore w:val="0"/>
        <w:widowControl w:val="0"/>
        <w:kinsoku/>
        <w:wordWrap/>
        <w:overflowPunct/>
        <w:topLinePunct w:val="0"/>
        <w:autoSpaceDE w:val="0"/>
        <w:autoSpaceDN w:val="0"/>
        <w:bidi w:val="0"/>
        <w:adjustRightInd w:val="0"/>
        <w:snapToGrid/>
        <w:spacing w:line="500" w:lineRule="exact"/>
        <w:ind w:firstLine="700"/>
        <w:jc w:val="left"/>
        <w:textAlignment w:val="auto"/>
        <w:rPr>
          <w:rFonts w:ascii="仿宋_GB2312" w:hAnsi="Times New Roman" w:eastAsia="仿宋_GB2312" w:cs="仿宋_GB2312"/>
          <w:color w:val="000000"/>
          <w:kern w:val="0"/>
          <w:sz w:val="28"/>
          <w:szCs w:val="28"/>
          <w:highlight w:val="none"/>
        </w:rPr>
      </w:pPr>
      <w:r>
        <w:rPr>
          <w:rFonts w:hint="eastAsia" w:ascii="宋体" w:hAnsi="Times New Roman" w:cs="宋体"/>
          <w:color w:val="000000"/>
          <w:kern w:val="0"/>
          <w:sz w:val="28"/>
          <w:szCs w:val="28"/>
          <w:highlight w:val="none"/>
        </w:rPr>
        <w:t>十一、一般性支出情况</w:t>
      </w:r>
    </w:p>
    <w:p w14:paraId="76BB2771">
      <w:pPr>
        <w:keepNext w:val="0"/>
        <w:keepLines w:val="0"/>
        <w:pageBreakBefore w:val="0"/>
        <w:widowControl w:val="0"/>
        <w:kinsoku/>
        <w:wordWrap/>
        <w:overflowPunct/>
        <w:topLinePunct w:val="0"/>
        <w:autoSpaceDE w:val="0"/>
        <w:autoSpaceDN w:val="0"/>
        <w:bidi w:val="0"/>
        <w:adjustRightInd w:val="0"/>
        <w:snapToGrid/>
        <w:spacing w:line="500" w:lineRule="exact"/>
        <w:ind w:firstLine="700"/>
        <w:jc w:val="left"/>
        <w:textAlignment w:val="auto"/>
        <w:rPr>
          <w:rFonts w:ascii="仿宋_GB2312" w:hAnsi="Times New Roman" w:eastAsia="仿宋_GB2312" w:cs="仿宋_GB2312"/>
          <w:color w:val="000000"/>
          <w:kern w:val="0"/>
          <w:sz w:val="28"/>
          <w:szCs w:val="28"/>
          <w:highlight w:val="none"/>
        </w:rPr>
      </w:pPr>
      <w:r>
        <w:rPr>
          <w:rFonts w:hint="eastAsia" w:ascii="宋体" w:hAnsi="Times New Roman" w:cs="宋体"/>
          <w:color w:val="000000"/>
          <w:kern w:val="0"/>
          <w:sz w:val="28"/>
          <w:szCs w:val="28"/>
          <w:highlight w:val="none"/>
        </w:rPr>
        <w:t>十二、政府采购支出说明</w:t>
      </w:r>
    </w:p>
    <w:p w14:paraId="4EC39A1B">
      <w:pPr>
        <w:keepNext w:val="0"/>
        <w:keepLines w:val="0"/>
        <w:pageBreakBefore w:val="0"/>
        <w:widowControl w:val="0"/>
        <w:kinsoku/>
        <w:wordWrap/>
        <w:overflowPunct/>
        <w:topLinePunct w:val="0"/>
        <w:autoSpaceDE w:val="0"/>
        <w:autoSpaceDN w:val="0"/>
        <w:bidi w:val="0"/>
        <w:adjustRightInd w:val="0"/>
        <w:snapToGrid/>
        <w:spacing w:line="500" w:lineRule="exact"/>
        <w:ind w:firstLine="700"/>
        <w:jc w:val="left"/>
        <w:textAlignment w:val="auto"/>
        <w:rPr>
          <w:rFonts w:ascii="仿宋_GB2312" w:hAnsi="Times New Roman" w:eastAsia="仿宋_GB2312" w:cs="仿宋_GB2312"/>
          <w:color w:val="000000"/>
          <w:kern w:val="0"/>
          <w:sz w:val="28"/>
          <w:szCs w:val="28"/>
          <w:highlight w:val="none"/>
        </w:rPr>
      </w:pPr>
      <w:r>
        <w:rPr>
          <w:rFonts w:hint="eastAsia" w:ascii="宋体" w:hAnsi="Times New Roman" w:cs="宋体"/>
          <w:color w:val="000000"/>
          <w:kern w:val="0"/>
          <w:sz w:val="28"/>
          <w:szCs w:val="28"/>
          <w:highlight w:val="none"/>
        </w:rPr>
        <w:t>十三、国有资产占用情况说明</w:t>
      </w:r>
    </w:p>
    <w:p w14:paraId="01665804">
      <w:pPr>
        <w:keepNext w:val="0"/>
        <w:keepLines w:val="0"/>
        <w:pageBreakBefore w:val="0"/>
        <w:widowControl w:val="0"/>
        <w:kinsoku/>
        <w:wordWrap/>
        <w:overflowPunct/>
        <w:topLinePunct w:val="0"/>
        <w:autoSpaceDE w:val="0"/>
        <w:autoSpaceDN w:val="0"/>
        <w:bidi w:val="0"/>
        <w:adjustRightInd w:val="0"/>
        <w:snapToGrid/>
        <w:spacing w:line="500" w:lineRule="exact"/>
        <w:ind w:firstLine="700"/>
        <w:jc w:val="left"/>
        <w:textAlignment w:val="auto"/>
        <w:rPr>
          <w:rFonts w:ascii="宋体" w:hAnsi="Times New Roman" w:cs="宋体"/>
          <w:color w:val="000000"/>
          <w:sz w:val="28"/>
          <w:szCs w:val="28"/>
          <w:highlight w:val="none"/>
        </w:rPr>
      </w:pPr>
      <w:r>
        <w:rPr>
          <w:rFonts w:hint="eastAsia" w:ascii="宋体" w:hAnsi="Times New Roman" w:cs="宋体"/>
          <w:color w:val="000000"/>
          <w:kern w:val="0"/>
          <w:sz w:val="28"/>
          <w:szCs w:val="28"/>
          <w:highlight w:val="none"/>
        </w:rPr>
        <w:t>十四、</w:t>
      </w:r>
      <w:r>
        <w:rPr>
          <w:rFonts w:ascii="宋体" w:hAnsi="Times New Roman" w:cs="宋体"/>
          <w:color w:val="000000"/>
          <w:kern w:val="0"/>
          <w:sz w:val="28"/>
          <w:szCs w:val="28"/>
          <w:highlight w:val="none"/>
        </w:rPr>
        <w:t>2023</w:t>
      </w:r>
      <w:r>
        <w:rPr>
          <w:rFonts w:hint="eastAsia" w:ascii="宋体" w:hAnsi="Times New Roman" w:cs="宋体"/>
          <w:color w:val="000000"/>
          <w:kern w:val="0"/>
          <w:sz w:val="28"/>
          <w:szCs w:val="28"/>
          <w:highlight w:val="none"/>
        </w:rPr>
        <w:t>年度预算绩效情况的说明</w:t>
      </w:r>
    </w:p>
    <w:p w14:paraId="536AF918">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ascii="Times New Roman" w:hAnsi="Times New Roman" w:eastAsia="黑体"/>
          <w:b/>
          <w:bCs/>
          <w:color w:val="000000"/>
          <w:kern w:val="0"/>
          <w:sz w:val="28"/>
          <w:szCs w:val="28"/>
          <w:highlight w:val="none"/>
        </w:rPr>
      </w:pPr>
      <w:r>
        <w:rPr>
          <w:rFonts w:hint="eastAsia" w:ascii="黑体" w:hAnsi="Times New Roman" w:eastAsia="黑体" w:cs="黑体"/>
          <w:b/>
          <w:bCs/>
          <w:color w:val="000000"/>
          <w:kern w:val="0"/>
          <w:sz w:val="28"/>
          <w:szCs w:val="28"/>
          <w:highlight w:val="none"/>
        </w:rPr>
        <w:t>第四部分名词解释</w:t>
      </w:r>
    </w:p>
    <w:p w14:paraId="2FC42EEA">
      <w:pPr>
        <w:keepNext w:val="0"/>
        <w:keepLines w:val="0"/>
        <w:pageBreakBefore w:val="0"/>
        <w:widowControl w:val="0"/>
        <w:kinsoku/>
        <w:wordWrap/>
        <w:overflowPunct/>
        <w:topLinePunct w:val="0"/>
        <w:bidi w:val="0"/>
        <w:snapToGrid/>
        <w:spacing w:line="520" w:lineRule="exact"/>
        <w:jc w:val="left"/>
        <w:textAlignment w:val="auto"/>
        <w:rPr>
          <w:sz w:val="44"/>
          <w:szCs w:val="24"/>
          <w:highlight w:val="none"/>
          <w:lang w:val="zh-CN"/>
        </w:rPr>
      </w:pPr>
      <w:r>
        <w:rPr>
          <w:rFonts w:hint="eastAsia" w:ascii="黑体" w:hAnsi="黑体" w:eastAsia="黑体"/>
          <w:b/>
          <w:color w:val="000000"/>
          <w:kern w:val="0"/>
          <w:sz w:val="28"/>
          <w:szCs w:val="24"/>
          <w:highlight w:val="none"/>
        </w:rPr>
        <w:t>第五部分附件</w:t>
      </w:r>
    </w:p>
    <w:p w14:paraId="2D97C0DD">
      <w:pPr>
        <w:keepNext w:val="0"/>
        <w:keepLines w:val="0"/>
        <w:pageBreakBefore w:val="0"/>
        <w:widowControl w:val="0"/>
        <w:kinsoku/>
        <w:wordWrap/>
        <w:overflowPunct/>
        <w:topLinePunct w:val="0"/>
        <w:autoSpaceDE w:val="0"/>
        <w:autoSpaceDN w:val="0"/>
        <w:bidi w:val="0"/>
        <w:adjustRightInd w:val="0"/>
        <w:snapToGrid/>
        <w:spacing w:line="520" w:lineRule="exact"/>
        <w:jc w:val="left"/>
        <w:textAlignment w:val="auto"/>
        <w:rPr>
          <w:rFonts w:ascii="Times New Roman" w:hAnsi="Times New Roman" w:eastAsia="黑体"/>
          <w:sz w:val="32"/>
          <w:szCs w:val="32"/>
          <w:highlight w:val="none"/>
        </w:rPr>
      </w:pPr>
    </w:p>
    <w:p w14:paraId="3803DB04">
      <w:pPr>
        <w:keepNext w:val="0"/>
        <w:keepLines w:val="0"/>
        <w:pageBreakBefore w:val="0"/>
        <w:widowControl w:val="0"/>
        <w:kinsoku/>
        <w:wordWrap/>
        <w:overflowPunct/>
        <w:topLinePunct w:val="0"/>
        <w:autoSpaceDE w:val="0"/>
        <w:autoSpaceDN w:val="0"/>
        <w:bidi w:val="0"/>
        <w:adjustRightInd w:val="0"/>
        <w:snapToGrid/>
        <w:textAlignment w:val="auto"/>
        <w:rPr>
          <w:rFonts w:ascii="黑体" w:hAnsi="Times New Roman" w:eastAsia="黑体" w:cs="黑体"/>
          <w:sz w:val="32"/>
          <w:szCs w:val="32"/>
          <w:highlight w:val="none"/>
        </w:rPr>
      </w:pPr>
      <w:r>
        <w:rPr>
          <w:rFonts w:hint="eastAsia" w:ascii="黑体" w:hAnsi="Times New Roman" w:eastAsia="黑体" w:cs="黑体"/>
          <w:sz w:val="32"/>
          <w:szCs w:val="32"/>
          <w:highlight w:val="none"/>
        </w:rPr>
        <w:t xml:space="preserve">    第一部分</w:t>
      </w:r>
    </w:p>
    <w:p w14:paraId="21195423">
      <w:pPr>
        <w:keepNext w:val="0"/>
        <w:keepLines w:val="0"/>
        <w:pageBreakBefore w:val="0"/>
        <w:widowControl w:val="0"/>
        <w:kinsoku/>
        <w:wordWrap/>
        <w:overflowPunct/>
        <w:topLinePunct w:val="0"/>
        <w:autoSpaceDE w:val="0"/>
        <w:autoSpaceDN w:val="0"/>
        <w:bidi w:val="0"/>
        <w:adjustRightInd w:val="0"/>
        <w:snapToGrid/>
        <w:textAlignment w:val="auto"/>
        <w:rPr>
          <w:rFonts w:ascii="Times New Roman" w:hAnsi="Times New Roman" w:eastAsia="黑体"/>
          <w:sz w:val="32"/>
          <w:szCs w:val="32"/>
          <w:highlight w:val="none"/>
        </w:rPr>
      </w:pPr>
    </w:p>
    <w:p w14:paraId="65DC9486">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Times New Roman" w:hAnsi="Times New Roman" w:eastAsia="黑体"/>
          <w:sz w:val="32"/>
          <w:szCs w:val="32"/>
          <w:highlight w:val="none"/>
        </w:rPr>
      </w:pPr>
      <w:r>
        <w:rPr>
          <w:rFonts w:hint="eastAsia" w:ascii="黑体" w:hAnsi="Times New Roman" w:eastAsia="黑体" w:cs="黑体"/>
          <w:sz w:val="32"/>
          <w:szCs w:val="32"/>
          <w:highlight w:val="none"/>
          <w:lang w:val="zh-CN"/>
        </w:rPr>
        <w:t>华容县操军镇人民政府</w:t>
      </w:r>
      <w:r>
        <w:rPr>
          <w:rFonts w:hint="eastAsia" w:ascii="黑体" w:hAnsi="Times New Roman" w:eastAsia="黑体" w:cs="黑体"/>
          <w:sz w:val="32"/>
          <w:szCs w:val="32"/>
          <w:highlight w:val="none"/>
        </w:rPr>
        <w:t>概况</w:t>
      </w:r>
    </w:p>
    <w:p w14:paraId="1AAFCC2F">
      <w:pPr>
        <w:keepNext w:val="0"/>
        <w:keepLines w:val="0"/>
        <w:pageBreakBefore w:val="0"/>
        <w:widowControl w:val="0"/>
        <w:kinsoku/>
        <w:wordWrap/>
        <w:overflowPunct/>
        <w:topLinePunct w:val="0"/>
        <w:bidi w:val="0"/>
        <w:snapToGrid/>
        <w:spacing w:line="560" w:lineRule="exact"/>
        <w:ind w:firstLine="640" w:firstLineChars="200"/>
        <w:textAlignment w:val="auto"/>
        <w:rPr>
          <w:rFonts w:ascii="宋体" w:hAnsi="Times New Roman" w:cs="宋体"/>
          <w:sz w:val="32"/>
          <w:szCs w:val="32"/>
          <w:highlight w:val="none"/>
        </w:rPr>
      </w:pPr>
      <w:r>
        <w:rPr>
          <w:rFonts w:hint="eastAsia" w:ascii="宋体" w:hAnsi="Times New Roman" w:cs="宋体"/>
          <w:sz w:val="32"/>
          <w:szCs w:val="32"/>
          <w:highlight w:val="none"/>
        </w:rPr>
        <w:t>人民政府：全民贯彻落实党和国家在农村的各项方针政策和法律法规，加强基层组织建设，完善党对农村工作的领导，紧紧围绕促进经济发展、增加农民收入，强化公共服务、着力改善民生，加强社会管理、维护农村稳定，推进基层民主、促进农村和谐四个方面履职。</w:t>
      </w:r>
    </w:p>
    <w:p w14:paraId="200A85FC">
      <w:pPr>
        <w:keepNext w:val="0"/>
        <w:keepLines w:val="0"/>
        <w:pageBreakBefore w:val="0"/>
        <w:widowControl w:val="0"/>
        <w:kinsoku/>
        <w:wordWrap/>
        <w:overflowPunct/>
        <w:topLinePunct w:val="0"/>
        <w:bidi w:val="0"/>
        <w:snapToGrid/>
        <w:spacing w:line="560" w:lineRule="exact"/>
        <w:ind w:firstLine="640" w:firstLineChars="200"/>
        <w:textAlignment w:val="auto"/>
        <w:rPr>
          <w:rFonts w:ascii="宋体" w:hAnsi="Times New Roman" w:cs="宋体"/>
          <w:sz w:val="32"/>
          <w:szCs w:val="32"/>
          <w:highlight w:val="none"/>
        </w:rPr>
      </w:pPr>
      <w:r>
        <w:rPr>
          <w:rFonts w:hint="eastAsia" w:ascii="宋体" w:hAnsi="Times New Roman" w:cs="宋体"/>
          <w:sz w:val="32"/>
          <w:szCs w:val="32"/>
          <w:highlight w:val="none"/>
        </w:rPr>
        <w:t>财政所：负责贯彻执行有关财政、预算、财务、会计等方面的法律法规和政策；编制本镇财政预决算、管理和监督全镇各项财政收支，资金调度和拨款；指导全镇的会计工作，加强对农村财务工作的指导和监督；加强对国家专项资金的监督、将惠民政策落到实处；完成上级财政和乡镇安排的其他工作。</w:t>
      </w:r>
    </w:p>
    <w:p w14:paraId="0B9ADC56">
      <w:pPr>
        <w:keepNext w:val="0"/>
        <w:keepLines w:val="0"/>
        <w:pageBreakBefore w:val="0"/>
        <w:widowControl w:val="0"/>
        <w:kinsoku/>
        <w:wordWrap/>
        <w:overflowPunct/>
        <w:topLinePunct w:val="0"/>
        <w:bidi w:val="0"/>
        <w:snapToGrid/>
        <w:spacing w:line="560" w:lineRule="exact"/>
        <w:ind w:firstLine="640" w:firstLineChars="200"/>
        <w:textAlignment w:val="auto"/>
        <w:rPr>
          <w:rFonts w:ascii="宋体" w:hAnsi="Times New Roman" w:cs="宋体"/>
          <w:sz w:val="32"/>
          <w:szCs w:val="32"/>
          <w:highlight w:val="none"/>
        </w:rPr>
      </w:pPr>
      <w:r>
        <w:rPr>
          <w:rFonts w:hint="eastAsia" w:ascii="宋体" w:hAnsi="Times New Roman" w:cs="宋体"/>
          <w:sz w:val="32"/>
          <w:szCs w:val="32"/>
          <w:highlight w:val="none"/>
        </w:rPr>
        <w:t>镇农业综合服务中心：负责种植业、养殖业、林业、水产业、农业机械新技术的引进、试验示范、培训推广、技术服务和农业林业病虫害预测预报及防治指导工作；负责国家强制免疫的动物疫病免疫接种以及相关工作；负责农产品质量安全检测监督服务工作；承办农村经济统计、农民专业合作组织管理等工作。</w:t>
      </w:r>
    </w:p>
    <w:p w14:paraId="30C164C8">
      <w:pPr>
        <w:keepNext w:val="0"/>
        <w:keepLines w:val="0"/>
        <w:pageBreakBefore w:val="0"/>
        <w:widowControl w:val="0"/>
        <w:kinsoku/>
        <w:wordWrap/>
        <w:overflowPunct/>
        <w:topLinePunct w:val="0"/>
        <w:bidi w:val="0"/>
        <w:snapToGrid/>
        <w:spacing w:line="560" w:lineRule="exact"/>
        <w:ind w:firstLine="640" w:firstLineChars="200"/>
        <w:textAlignment w:val="auto"/>
        <w:rPr>
          <w:rFonts w:ascii="宋体" w:hAnsi="Times New Roman" w:cs="宋体"/>
          <w:sz w:val="32"/>
          <w:szCs w:val="32"/>
          <w:highlight w:val="none"/>
        </w:rPr>
      </w:pPr>
      <w:r>
        <w:rPr>
          <w:rFonts w:hint="eastAsia" w:ascii="宋体" w:hAnsi="Times New Roman" w:cs="宋体"/>
          <w:sz w:val="32"/>
          <w:szCs w:val="32"/>
          <w:highlight w:val="none"/>
        </w:rPr>
        <w:t>镇社会事业综合服务中心：协助社会事务办公室的工作，具体承办科技、教育体育、文化旅游广电、卫生健康与计划生育、人力资源和社会保障、民政、社区建设、医疗保障、住房和城乡建设、村镇规划、村镇建设、住房保障、交通运输、生态环境保护、残疾人事业、慈善等方面的公益服务性、技术性工作。</w:t>
      </w:r>
    </w:p>
    <w:p w14:paraId="2E6B16A8">
      <w:pPr>
        <w:keepNext w:val="0"/>
        <w:keepLines w:val="0"/>
        <w:pageBreakBefore w:val="0"/>
        <w:widowControl w:val="0"/>
        <w:kinsoku/>
        <w:wordWrap/>
        <w:overflowPunct/>
        <w:topLinePunct w:val="0"/>
        <w:bidi w:val="0"/>
        <w:snapToGrid/>
        <w:spacing w:line="560" w:lineRule="exact"/>
        <w:ind w:firstLine="640" w:firstLineChars="200"/>
        <w:textAlignment w:val="auto"/>
        <w:rPr>
          <w:rFonts w:ascii="宋体" w:hAnsi="Times New Roman" w:cs="宋体"/>
          <w:sz w:val="32"/>
          <w:szCs w:val="32"/>
          <w:highlight w:val="none"/>
        </w:rPr>
      </w:pPr>
      <w:r>
        <w:rPr>
          <w:rFonts w:hint="eastAsia" w:ascii="宋体" w:hAnsi="Times New Roman" w:cs="宋体"/>
          <w:sz w:val="32"/>
          <w:szCs w:val="32"/>
          <w:highlight w:val="none"/>
        </w:rPr>
        <w:t>镇退役军人服务站：负责退役军人就业创业、优抚帮扶、权益保障、数据信息采集、走访慰问等事务性工作。</w:t>
      </w:r>
    </w:p>
    <w:p w14:paraId="261EDAA9">
      <w:pPr>
        <w:keepNext w:val="0"/>
        <w:keepLines w:val="0"/>
        <w:pageBreakBefore w:val="0"/>
        <w:widowControl w:val="0"/>
        <w:kinsoku/>
        <w:wordWrap/>
        <w:overflowPunct/>
        <w:topLinePunct w:val="0"/>
        <w:bidi w:val="0"/>
        <w:snapToGrid/>
        <w:spacing w:line="560" w:lineRule="exact"/>
        <w:ind w:firstLine="640" w:firstLineChars="200"/>
        <w:textAlignment w:val="auto"/>
        <w:rPr>
          <w:rFonts w:ascii="宋体" w:hAnsi="Times New Roman" w:cs="宋体"/>
          <w:sz w:val="32"/>
          <w:szCs w:val="32"/>
          <w:highlight w:val="none"/>
        </w:rPr>
      </w:pPr>
      <w:r>
        <w:rPr>
          <w:rFonts w:hint="eastAsia" w:ascii="宋体" w:hAnsi="Times New Roman" w:cs="宋体"/>
          <w:sz w:val="32"/>
          <w:szCs w:val="32"/>
          <w:highlight w:val="none"/>
        </w:rPr>
        <w:t>镇综合行政执法大队：负责本辖区内综合行政执法工作；依法依规相对集中行使乡村集镇管理、住房建设、自然资源、生态环境保护、市场监管、交通运输、应急管理、安全生产、农业农村、文化旅游等方面的行政执法权；负责执法信息报送；配合县级执法部门开展联合执法、专业执法，负责日常巡查、综合检查、接受投诉举报、协助调查取证等工作。</w:t>
      </w:r>
    </w:p>
    <w:p w14:paraId="53D2D217">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sz w:val="32"/>
          <w:szCs w:val="32"/>
          <w:highlight w:val="none"/>
          <w:lang w:val="zh-CN"/>
        </w:rPr>
      </w:pPr>
      <w:r>
        <w:rPr>
          <w:rFonts w:hint="eastAsia" w:ascii="宋体" w:hAnsi="Times New Roman" w:cs="宋体"/>
          <w:sz w:val="32"/>
          <w:szCs w:val="32"/>
          <w:highlight w:val="none"/>
          <w:lang w:val="zh-CN"/>
        </w:rPr>
        <w:t>镇水利管理服务站：负责宣传防汛、水土保持、水资源等法律法规的宣传；负责农田水利规划、堤防建设与管理及防汛救灾工作；辖区内农村供水工程的规划、质量监督和安全运营；乡镇党委政府及其他业务部门安排的其他事项。</w:t>
      </w:r>
    </w:p>
    <w:p w14:paraId="3D742A61">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Times New Roman" w:hAnsi="Times New Roman" w:eastAsia="黑体"/>
          <w:sz w:val="32"/>
          <w:szCs w:val="32"/>
          <w:highlight w:val="none"/>
        </w:rPr>
      </w:pPr>
      <w:r>
        <w:rPr>
          <w:rFonts w:hint="eastAsia" w:ascii="黑体" w:hAnsi="Times New Roman" w:eastAsia="黑体" w:cs="黑体"/>
          <w:sz w:val="32"/>
          <w:szCs w:val="32"/>
          <w:highlight w:val="none"/>
        </w:rPr>
        <w:t>第二部分</w:t>
      </w:r>
      <w:r>
        <w:rPr>
          <w:rFonts w:ascii="黑体" w:hAnsi="Times New Roman" w:eastAsia="黑体" w:cs="黑体"/>
          <w:sz w:val="32"/>
          <w:szCs w:val="32"/>
          <w:highlight w:val="none"/>
        </w:rPr>
        <w:t xml:space="preserve"> </w:t>
      </w:r>
      <w:r>
        <w:rPr>
          <w:rFonts w:hint="eastAsia" w:ascii="黑体" w:hAnsi="Times New Roman" w:eastAsia="黑体" w:cs="黑体"/>
          <w:sz w:val="32"/>
          <w:szCs w:val="32"/>
          <w:highlight w:val="none"/>
          <w:lang w:val="zh-CN"/>
        </w:rPr>
        <w:t>华容县操军镇人民政府</w:t>
      </w:r>
      <w:r>
        <w:rPr>
          <w:rFonts w:ascii="黑体" w:hAnsi="Times New Roman" w:eastAsia="黑体" w:cs="黑体"/>
          <w:sz w:val="32"/>
          <w:szCs w:val="32"/>
          <w:highlight w:val="none"/>
        </w:rPr>
        <w:t>2023</w:t>
      </w:r>
      <w:r>
        <w:rPr>
          <w:rFonts w:hint="eastAsia" w:ascii="黑体" w:hAnsi="Times New Roman" w:eastAsia="黑体" w:cs="黑体"/>
          <w:sz w:val="32"/>
          <w:szCs w:val="32"/>
          <w:highlight w:val="none"/>
        </w:rPr>
        <w:t>年度部门决算表（见附表）</w:t>
      </w:r>
    </w:p>
    <w:p w14:paraId="66C4EE72">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Times New Roman" w:hAnsi="Times New Roman" w:eastAsia="黑体"/>
          <w:sz w:val="32"/>
          <w:szCs w:val="32"/>
          <w:highlight w:val="none"/>
        </w:rPr>
      </w:pPr>
    </w:p>
    <w:p w14:paraId="41FDD53C">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Times New Roman" w:hAnsi="Times New Roman" w:eastAsia="黑体"/>
          <w:sz w:val="32"/>
          <w:szCs w:val="32"/>
          <w:highlight w:val="none"/>
        </w:rPr>
      </w:pPr>
      <w:r>
        <w:rPr>
          <w:rFonts w:hint="eastAsia" w:ascii="黑体" w:hAnsi="Times New Roman" w:eastAsia="黑体" w:cs="黑体"/>
          <w:sz w:val="32"/>
          <w:szCs w:val="32"/>
          <w:highlight w:val="none"/>
        </w:rPr>
        <w:t>第三部分</w:t>
      </w:r>
      <w:r>
        <w:rPr>
          <w:rFonts w:ascii="黑体" w:hAnsi="Times New Roman" w:eastAsia="黑体" w:cs="黑体"/>
          <w:sz w:val="32"/>
          <w:szCs w:val="32"/>
          <w:highlight w:val="none"/>
        </w:rPr>
        <w:t xml:space="preserve"> </w:t>
      </w:r>
      <w:r>
        <w:rPr>
          <w:rFonts w:hint="eastAsia" w:ascii="黑体" w:hAnsi="Times New Roman" w:eastAsia="黑体" w:cs="黑体"/>
          <w:sz w:val="32"/>
          <w:szCs w:val="32"/>
          <w:highlight w:val="none"/>
          <w:lang w:val="zh-CN"/>
        </w:rPr>
        <w:t>华容县操军镇人民政府</w:t>
      </w:r>
      <w:r>
        <w:rPr>
          <w:rFonts w:ascii="黑体" w:hAnsi="Times New Roman" w:eastAsia="黑体" w:cs="黑体"/>
          <w:sz w:val="32"/>
          <w:szCs w:val="32"/>
          <w:highlight w:val="none"/>
        </w:rPr>
        <w:t>2023</w:t>
      </w:r>
      <w:r>
        <w:rPr>
          <w:rFonts w:hint="eastAsia" w:ascii="黑体" w:hAnsi="Times New Roman" w:eastAsia="黑体" w:cs="黑体"/>
          <w:sz w:val="32"/>
          <w:szCs w:val="32"/>
          <w:highlight w:val="none"/>
        </w:rPr>
        <w:t>年度部门决算情况说明</w:t>
      </w:r>
    </w:p>
    <w:p w14:paraId="788F5B71">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黑体" w:hAnsi="Times New Roman" w:eastAsia="黑体" w:cs="黑体"/>
          <w:sz w:val="32"/>
          <w:szCs w:val="32"/>
          <w:highlight w:val="none"/>
          <w:lang w:val="zh-CN"/>
        </w:rPr>
      </w:pPr>
      <w:r>
        <w:rPr>
          <w:rFonts w:hint="eastAsia" w:ascii="黑体" w:hAnsi="Times New Roman" w:eastAsia="黑体" w:cs="黑体"/>
          <w:sz w:val="32"/>
          <w:szCs w:val="32"/>
          <w:highlight w:val="none"/>
          <w:lang w:val="zh-CN"/>
        </w:rPr>
        <w:t>一、收入支出决算总体情况说明</w:t>
      </w:r>
    </w:p>
    <w:p w14:paraId="2DC91954">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Times New Roman" w:hAnsi="Times New Roman"/>
          <w:sz w:val="32"/>
          <w:szCs w:val="32"/>
          <w:highlight w:val="none"/>
          <w:lang w:val="zh-CN"/>
        </w:rPr>
      </w:pPr>
      <w:r>
        <w:rPr>
          <w:rFonts w:ascii="宋体" w:hAnsi="Times New Roman" w:cs="宋体"/>
          <w:sz w:val="32"/>
          <w:szCs w:val="32"/>
          <w:highlight w:val="none"/>
          <w:lang w:val="zh-CN"/>
        </w:rPr>
        <w:t>2023</w:t>
      </w:r>
      <w:r>
        <w:rPr>
          <w:rFonts w:hint="eastAsia" w:ascii="宋体" w:hAnsi="Times New Roman" w:cs="宋体"/>
          <w:sz w:val="32"/>
          <w:szCs w:val="32"/>
          <w:highlight w:val="none"/>
          <w:lang w:val="zh-CN"/>
        </w:rPr>
        <w:t>年度收、支总计均为</w:t>
      </w:r>
      <w:r>
        <w:rPr>
          <w:rFonts w:ascii="宋体" w:hAnsi="Times New Roman" w:cs="宋体"/>
          <w:sz w:val="32"/>
          <w:szCs w:val="32"/>
          <w:highlight w:val="none"/>
          <w:lang w:val="zh-CN"/>
        </w:rPr>
        <w:t>3268.74</w:t>
      </w:r>
      <w:r>
        <w:rPr>
          <w:rFonts w:hint="eastAsia" w:ascii="宋体" w:hAnsi="Times New Roman" w:cs="宋体"/>
          <w:sz w:val="32"/>
          <w:szCs w:val="32"/>
          <w:highlight w:val="none"/>
          <w:lang w:val="zh-CN"/>
        </w:rPr>
        <w:t>万元，与</w:t>
      </w:r>
      <w:r>
        <w:rPr>
          <w:rFonts w:ascii="宋体" w:hAnsi="Times New Roman" w:cs="宋体"/>
          <w:sz w:val="32"/>
          <w:szCs w:val="32"/>
          <w:highlight w:val="none"/>
          <w:lang w:val="zh-CN"/>
        </w:rPr>
        <w:t>202</w:t>
      </w:r>
      <w:r>
        <w:rPr>
          <w:rFonts w:hint="eastAsia" w:ascii="宋体" w:hAnsi="Times New Roman" w:cs="宋体"/>
          <w:sz w:val="32"/>
          <w:szCs w:val="32"/>
          <w:highlight w:val="none"/>
          <w:lang w:val="zh-CN"/>
        </w:rPr>
        <w:t>2年相比，收、支总计各增加</w:t>
      </w:r>
      <w:r>
        <w:rPr>
          <w:rFonts w:ascii="宋体" w:hAnsi="Times New Roman" w:cs="宋体"/>
          <w:sz w:val="32"/>
          <w:szCs w:val="32"/>
          <w:highlight w:val="none"/>
          <w:lang w:val="zh-CN"/>
        </w:rPr>
        <w:t>229.03</w:t>
      </w:r>
      <w:r>
        <w:rPr>
          <w:rFonts w:hint="eastAsia" w:ascii="宋体" w:hAnsi="Times New Roman" w:cs="宋体"/>
          <w:sz w:val="32"/>
          <w:szCs w:val="32"/>
          <w:highlight w:val="none"/>
          <w:lang w:val="zh-CN"/>
        </w:rPr>
        <w:t>万元，增长</w:t>
      </w:r>
      <w:r>
        <w:rPr>
          <w:rFonts w:ascii="宋体" w:hAnsi="Times New Roman" w:cs="宋体"/>
          <w:sz w:val="32"/>
          <w:szCs w:val="32"/>
          <w:highlight w:val="none"/>
          <w:lang w:val="zh-CN"/>
        </w:rPr>
        <w:t>7.53%</w:t>
      </w:r>
      <w:r>
        <w:rPr>
          <w:rFonts w:hint="eastAsia" w:ascii="宋体" w:hAnsi="Times New Roman" w:cs="宋体"/>
          <w:sz w:val="32"/>
          <w:szCs w:val="32"/>
          <w:highlight w:val="none"/>
          <w:lang w:val="zh-CN"/>
        </w:rPr>
        <w:t>。主要原因是业务工作任务增加，调整预算支出，财政追拨经费。</w:t>
      </w:r>
    </w:p>
    <w:p w14:paraId="6B6420B8">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黑体" w:hAnsi="Times New Roman" w:eastAsia="黑体" w:cs="黑体"/>
          <w:sz w:val="32"/>
          <w:szCs w:val="32"/>
          <w:highlight w:val="none"/>
        </w:rPr>
      </w:pPr>
      <w:r>
        <w:rPr>
          <w:rFonts w:hint="eastAsia" w:ascii="黑体" w:hAnsi="Times New Roman" w:eastAsia="黑体" w:cs="黑体"/>
          <w:sz w:val="32"/>
          <w:szCs w:val="32"/>
          <w:highlight w:val="none"/>
        </w:rPr>
        <w:t>二、收入决算情况说明</w:t>
      </w:r>
    </w:p>
    <w:p w14:paraId="30FC750B">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宋体" w:hAnsi="Times New Roman" w:cs="宋体"/>
          <w:sz w:val="32"/>
          <w:szCs w:val="32"/>
          <w:highlight w:val="none"/>
        </w:rPr>
      </w:pPr>
      <w:r>
        <w:rPr>
          <w:rFonts w:ascii="宋体" w:hAnsi="Times New Roman" w:cs="宋体"/>
          <w:sz w:val="32"/>
          <w:szCs w:val="32"/>
          <w:highlight w:val="none"/>
        </w:rPr>
        <w:t>2023</w:t>
      </w:r>
      <w:r>
        <w:rPr>
          <w:rFonts w:hint="eastAsia" w:ascii="宋体" w:hAnsi="Times New Roman" w:cs="宋体"/>
          <w:sz w:val="32"/>
          <w:szCs w:val="32"/>
          <w:highlight w:val="none"/>
        </w:rPr>
        <w:t>年度收入合计</w:t>
      </w:r>
      <w:r>
        <w:rPr>
          <w:rFonts w:ascii="宋体" w:hAnsi="Times New Roman" w:cs="宋体"/>
          <w:sz w:val="32"/>
          <w:szCs w:val="32"/>
          <w:highlight w:val="none"/>
        </w:rPr>
        <w:t>3268.74</w:t>
      </w:r>
      <w:r>
        <w:rPr>
          <w:rFonts w:hint="eastAsia" w:ascii="宋体" w:hAnsi="Times New Roman" w:cs="宋体"/>
          <w:sz w:val="32"/>
          <w:szCs w:val="32"/>
          <w:highlight w:val="none"/>
        </w:rPr>
        <w:t>万元，其中：财政拨款收入</w:t>
      </w:r>
      <w:r>
        <w:rPr>
          <w:rFonts w:ascii="宋体" w:hAnsi="Times New Roman" w:cs="宋体"/>
          <w:sz w:val="32"/>
          <w:szCs w:val="32"/>
          <w:highlight w:val="none"/>
        </w:rPr>
        <w:t>3268.74</w:t>
      </w:r>
      <w:r>
        <w:rPr>
          <w:rFonts w:hint="eastAsia" w:ascii="宋体" w:hAnsi="Times New Roman" w:cs="宋体"/>
          <w:sz w:val="32"/>
          <w:szCs w:val="32"/>
          <w:highlight w:val="none"/>
        </w:rPr>
        <w:t>万元，占</w:t>
      </w:r>
      <w:r>
        <w:rPr>
          <w:rFonts w:ascii="宋体" w:hAnsi="Times New Roman" w:cs="宋体"/>
          <w:sz w:val="32"/>
          <w:szCs w:val="32"/>
          <w:highlight w:val="none"/>
        </w:rPr>
        <w:t>100%</w:t>
      </w:r>
      <w:r>
        <w:rPr>
          <w:rFonts w:hint="eastAsia" w:ascii="宋体" w:hAnsi="Times New Roman" w:cs="宋体"/>
          <w:sz w:val="32"/>
          <w:szCs w:val="32"/>
          <w:highlight w:val="none"/>
        </w:rPr>
        <w:t>；</w:t>
      </w:r>
    </w:p>
    <w:p w14:paraId="604DD916">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黑体" w:hAnsi="Times New Roman" w:eastAsia="黑体" w:cs="黑体"/>
          <w:sz w:val="32"/>
          <w:szCs w:val="32"/>
          <w:highlight w:val="none"/>
        </w:rPr>
      </w:pPr>
      <w:r>
        <w:rPr>
          <w:rFonts w:hint="eastAsia" w:ascii="黑体" w:hAnsi="Times New Roman" w:eastAsia="黑体" w:cs="黑体"/>
          <w:sz w:val="32"/>
          <w:szCs w:val="32"/>
          <w:highlight w:val="none"/>
        </w:rPr>
        <w:t>三、支出决算情况说明</w:t>
      </w:r>
    </w:p>
    <w:p w14:paraId="008D4976">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sz w:val="32"/>
          <w:szCs w:val="32"/>
          <w:highlight w:val="none"/>
          <w:lang w:val="zh-CN"/>
        </w:rPr>
      </w:pPr>
      <w:r>
        <w:rPr>
          <w:rFonts w:ascii="宋体" w:hAnsi="Times New Roman" w:cs="宋体"/>
          <w:sz w:val="32"/>
          <w:szCs w:val="32"/>
          <w:highlight w:val="none"/>
        </w:rPr>
        <w:t>2023</w:t>
      </w:r>
      <w:r>
        <w:rPr>
          <w:rFonts w:hint="eastAsia" w:ascii="宋体" w:hAnsi="Times New Roman" w:cs="宋体"/>
          <w:sz w:val="32"/>
          <w:szCs w:val="32"/>
          <w:highlight w:val="none"/>
        </w:rPr>
        <w:t>年度支出合计</w:t>
      </w:r>
      <w:r>
        <w:rPr>
          <w:rFonts w:ascii="宋体" w:hAnsi="Times New Roman" w:cs="宋体"/>
          <w:sz w:val="32"/>
          <w:szCs w:val="32"/>
          <w:highlight w:val="none"/>
        </w:rPr>
        <w:t>3268.74</w:t>
      </w:r>
      <w:r>
        <w:rPr>
          <w:rFonts w:hint="eastAsia" w:ascii="宋体" w:hAnsi="Times New Roman" w:cs="宋体"/>
          <w:sz w:val="32"/>
          <w:szCs w:val="32"/>
          <w:highlight w:val="none"/>
        </w:rPr>
        <w:t>万元，其中：基本支出</w:t>
      </w:r>
      <w:r>
        <w:rPr>
          <w:rFonts w:ascii="宋体" w:hAnsi="Times New Roman" w:cs="宋体"/>
          <w:sz w:val="32"/>
          <w:szCs w:val="32"/>
          <w:highlight w:val="none"/>
          <w:lang w:val="zh-CN"/>
        </w:rPr>
        <w:t>1429.58</w:t>
      </w:r>
      <w:r>
        <w:rPr>
          <w:rFonts w:hint="eastAsia" w:ascii="宋体" w:hAnsi="Times New Roman" w:cs="宋体"/>
          <w:sz w:val="32"/>
          <w:szCs w:val="32"/>
          <w:highlight w:val="none"/>
          <w:lang w:val="zh-CN"/>
        </w:rPr>
        <w:t>万元，</w:t>
      </w:r>
      <w:r>
        <w:rPr>
          <w:rFonts w:hint="eastAsia" w:ascii="宋体" w:hAnsi="Times New Roman" w:cs="宋体"/>
          <w:sz w:val="32"/>
          <w:szCs w:val="32"/>
          <w:highlight w:val="none"/>
        </w:rPr>
        <w:t>占</w:t>
      </w:r>
      <w:r>
        <w:rPr>
          <w:rFonts w:ascii="宋体" w:hAnsi="Times New Roman" w:cs="宋体"/>
          <w:sz w:val="32"/>
          <w:szCs w:val="32"/>
          <w:highlight w:val="none"/>
        </w:rPr>
        <w:t>43.73%</w:t>
      </w:r>
      <w:r>
        <w:rPr>
          <w:rFonts w:hint="eastAsia" w:ascii="宋体" w:hAnsi="Times New Roman" w:cs="宋体"/>
          <w:sz w:val="32"/>
          <w:szCs w:val="32"/>
          <w:highlight w:val="none"/>
        </w:rPr>
        <w:t>；项目支出</w:t>
      </w:r>
      <w:r>
        <w:rPr>
          <w:rFonts w:ascii="宋体" w:hAnsi="Times New Roman" w:cs="宋体"/>
          <w:sz w:val="32"/>
          <w:szCs w:val="32"/>
          <w:highlight w:val="none"/>
        </w:rPr>
        <w:t>1839.19</w:t>
      </w:r>
      <w:r>
        <w:rPr>
          <w:rFonts w:hint="eastAsia" w:ascii="宋体" w:hAnsi="Times New Roman" w:cs="宋体"/>
          <w:sz w:val="32"/>
          <w:szCs w:val="32"/>
          <w:highlight w:val="none"/>
        </w:rPr>
        <w:t>万元，占</w:t>
      </w:r>
      <w:r>
        <w:rPr>
          <w:rFonts w:ascii="宋体" w:hAnsi="Times New Roman" w:cs="宋体"/>
          <w:sz w:val="32"/>
          <w:szCs w:val="32"/>
          <w:highlight w:val="none"/>
        </w:rPr>
        <w:t>56.27%</w:t>
      </w:r>
      <w:r>
        <w:rPr>
          <w:rFonts w:hint="eastAsia" w:ascii="宋体" w:hAnsi="Times New Roman" w:cs="宋体"/>
          <w:sz w:val="32"/>
          <w:szCs w:val="32"/>
          <w:highlight w:val="none"/>
        </w:rPr>
        <w:t>；</w:t>
      </w:r>
    </w:p>
    <w:p w14:paraId="6D34214C">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黑体" w:hAnsi="Times New Roman" w:eastAsia="黑体" w:cs="黑体"/>
          <w:sz w:val="32"/>
          <w:szCs w:val="32"/>
          <w:highlight w:val="none"/>
        </w:rPr>
      </w:pPr>
      <w:r>
        <w:rPr>
          <w:rFonts w:hint="eastAsia" w:ascii="黑体" w:hAnsi="Times New Roman" w:eastAsia="黑体" w:cs="黑体"/>
          <w:sz w:val="32"/>
          <w:szCs w:val="32"/>
          <w:highlight w:val="none"/>
        </w:rPr>
        <w:t>四、财政拨款收入支出决算总体情况说明</w:t>
      </w:r>
      <w:r>
        <w:rPr>
          <w:rFonts w:ascii="黑体" w:hAnsi="Times New Roman" w:eastAsia="黑体" w:cs="黑体"/>
          <w:sz w:val="32"/>
          <w:szCs w:val="32"/>
          <w:highlight w:val="none"/>
        </w:rPr>
        <w:t xml:space="preserve"> </w:t>
      </w:r>
    </w:p>
    <w:p w14:paraId="65EEB11D">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color w:val="000000"/>
          <w:kern w:val="0"/>
          <w:sz w:val="32"/>
          <w:szCs w:val="32"/>
          <w:highlight w:val="none"/>
        </w:rPr>
      </w:pPr>
      <w:r>
        <w:rPr>
          <w:rFonts w:ascii="宋体" w:hAnsi="Times New Roman" w:cs="宋体"/>
          <w:sz w:val="32"/>
          <w:szCs w:val="32"/>
          <w:highlight w:val="none"/>
        </w:rPr>
        <w:t>2023</w:t>
      </w:r>
      <w:r>
        <w:rPr>
          <w:rFonts w:hint="eastAsia" w:ascii="宋体" w:hAnsi="Times New Roman" w:cs="宋体"/>
          <w:sz w:val="32"/>
          <w:szCs w:val="32"/>
          <w:highlight w:val="none"/>
        </w:rPr>
        <w:t>年度财政拨款收、支总计均为</w:t>
      </w:r>
      <w:r>
        <w:rPr>
          <w:rFonts w:ascii="宋体" w:hAnsi="Times New Roman" w:cs="宋体"/>
          <w:sz w:val="32"/>
          <w:szCs w:val="32"/>
          <w:highlight w:val="none"/>
        </w:rPr>
        <w:t>3268.74</w:t>
      </w:r>
      <w:r>
        <w:rPr>
          <w:rFonts w:hint="eastAsia" w:ascii="宋体" w:hAnsi="Times New Roman" w:cs="宋体"/>
          <w:sz w:val="32"/>
          <w:szCs w:val="32"/>
          <w:highlight w:val="none"/>
        </w:rPr>
        <w:t>万元，</w:t>
      </w:r>
      <w:r>
        <w:rPr>
          <w:rFonts w:hint="eastAsia" w:ascii="宋体" w:hAnsi="Times New Roman" w:cs="宋体"/>
          <w:sz w:val="32"/>
          <w:szCs w:val="32"/>
          <w:highlight w:val="none"/>
          <w:lang w:val="zh-CN"/>
        </w:rPr>
        <w:t>与</w:t>
      </w:r>
      <w:r>
        <w:rPr>
          <w:rFonts w:ascii="宋体" w:hAnsi="Times New Roman" w:cs="宋体"/>
          <w:sz w:val="32"/>
          <w:szCs w:val="32"/>
          <w:highlight w:val="none"/>
          <w:lang w:val="zh-CN"/>
        </w:rPr>
        <w:t>202</w:t>
      </w:r>
      <w:r>
        <w:rPr>
          <w:rFonts w:hint="eastAsia" w:ascii="宋体" w:hAnsi="Times New Roman" w:cs="宋体"/>
          <w:sz w:val="32"/>
          <w:szCs w:val="32"/>
          <w:highlight w:val="none"/>
          <w:lang w:val="zh-CN"/>
        </w:rPr>
        <w:t>2年相比，</w:t>
      </w:r>
      <w:r>
        <w:rPr>
          <w:rFonts w:hint="eastAsia" w:ascii="宋体" w:hAnsi="Times New Roman" w:cs="宋体"/>
          <w:sz w:val="32"/>
          <w:szCs w:val="32"/>
          <w:highlight w:val="none"/>
        </w:rPr>
        <w:t>财政拨款收、支总计各增加</w:t>
      </w:r>
      <w:r>
        <w:rPr>
          <w:rFonts w:ascii="宋体" w:hAnsi="Times New Roman" w:cs="宋体"/>
          <w:sz w:val="32"/>
          <w:szCs w:val="32"/>
          <w:highlight w:val="none"/>
        </w:rPr>
        <w:t>229.03</w:t>
      </w:r>
      <w:r>
        <w:rPr>
          <w:rFonts w:hint="eastAsia" w:ascii="宋体" w:hAnsi="Times New Roman" w:cs="宋体"/>
          <w:sz w:val="32"/>
          <w:szCs w:val="32"/>
          <w:highlight w:val="none"/>
        </w:rPr>
        <w:t>万元，增长</w:t>
      </w:r>
      <w:r>
        <w:rPr>
          <w:rFonts w:ascii="宋体" w:hAnsi="Times New Roman" w:cs="宋体"/>
          <w:sz w:val="32"/>
          <w:szCs w:val="32"/>
          <w:highlight w:val="none"/>
        </w:rPr>
        <w:t>7.53%</w:t>
      </w:r>
      <w:r>
        <w:rPr>
          <w:rFonts w:hint="eastAsia" w:ascii="宋体" w:hAnsi="Times New Roman" w:cs="宋体"/>
          <w:sz w:val="32"/>
          <w:szCs w:val="32"/>
          <w:highlight w:val="none"/>
        </w:rPr>
        <w:t>。</w:t>
      </w:r>
      <w:r>
        <w:rPr>
          <w:rFonts w:hint="eastAsia" w:ascii="宋体" w:hAnsi="Times New Roman" w:cs="宋体"/>
          <w:sz w:val="32"/>
          <w:szCs w:val="32"/>
          <w:highlight w:val="none"/>
          <w:lang w:val="zh-CN"/>
        </w:rPr>
        <w:t>主要原因是业务工作任务增加，调整预算支出，财政追拨经费。</w:t>
      </w:r>
    </w:p>
    <w:p w14:paraId="73734885">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黑体" w:hAnsi="Times New Roman" w:eastAsia="黑体" w:cs="黑体"/>
          <w:sz w:val="32"/>
          <w:szCs w:val="32"/>
          <w:highlight w:val="none"/>
        </w:rPr>
      </w:pPr>
      <w:r>
        <w:rPr>
          <w:rFonts w:hint="eastAsia" w:ascii="黑体" w:hAnsi="Times New Roman" w:eastAsia="黑体" w:cs="黑体"/>
          <w:sz w:val="32"/>
          <w:szCs w:val="32"/>
          <w:highlight w:val="none"/>
        </w:rPr>
        <w:t>五、一般公共预算财政拨款支出决算情况说明</w:t>
      </w:r>
    </w:p>
    <w:p w14:paraId="1114A45C">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宋体" w:hAnsi="Times New Roman" w:cs="宋体"/>
          <w:b/>
          <w:bCs/>
          <w:sz w:val="32"/>
          <w:szCs w:val="32"/>
          <w:highlight w:val="none"/>
        </w:rPr>
      </w:pPr>
      <w:r>
        <w:rPr>
          <w:rFonts w:hint="eastAsia" w:ascii="宋体" w:hAnsi="Times New Roman" w:cs="宋体"/>
          <w:b/>
          <w:bCs/>
          <w:sz w:val="32"/>
          <w:szCs w:val="32"/>
          <w:highlight w:val="none"/>
        </w:rPr>
        <w:t>（一）</w:t>
      </w:r>
      <w:r>
        <w:rPr>
          <w:rFonts w:hint="eastAsia" w:ascii="宋体" w:hAnsi="Times New Roman" w:cs="宋体"/>
          <w:b/>
          <w:bCs/>
          <w:sz w:val="32"/>
          <w:szCs w:val="32"/>
          <w:highlight w:val="none"/>
          <w:lang w:val="zh-CN"/>
        </w:rPr>
        <w:t>财政</w:t>
      </w:r>
      <w:r>
        <w:rPr>
          <w:rFonts w:hint="eastAsia" w:ascii="宋体" w:hAnsi="Times New Roman" w:cs="宋体"/>
          <w:b/>
          <w:bCs/>
          <w:sz w:val="32"/>
          <w:szCs w:val="32"/>
          <w:highlight w:val="none"/>
        </w:rPr>
        <w:t>拨款支出决算总体情况</w:t>
      </w:r>
    </w:p>
    <w:p w14:paraId="43ABBD21">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color w:val="FF0000"/>
          <w:sz w:val="32"/>
          <w:szCs w:val="32"/>
          <w:highlight w:val="none"/>
        </w:rPr>
      </w:pPr>
      <w:r>
        <w:rPr>
          <w:rFonts w:ascii="宋体" w:hAnsi="Times New Roman" w:cs="宋体"/>
          <w:sz w:val="32"/>
          <w:szCs w:val="32"/>
          <w:highlight w:val="none"/>
        </w:rPr>
        <w:t>2023</w:t>
      </w:r>
      <w:r>
        <w:rPr>
          <w:rFonts w:hint="eastAsia" w:ascii="宋体" w:hAnsi="Times New Roman" w:cs="宋体"/>
          <w:sz w:val="32"/>
          <w:szCs w:val="32"/>
          <w:highlight w:val="none"/>
        </w:rPr>
        <w:t>年度财政拨款支出</w:t>
      </w:r>
      <w:r>
        <w:rPr>
          <w:rFonts w:ascii="宋体" w:hAnsi="Times New Roman" w:cs="宋体"/>
          <w:sz w:val="32"/>
          <w:szCs w:val="32"/>
          <w:highlight w:val="none"/>
        </w:rPr>
        <w:t>3024.68</w:t>
      </w:r>
      <w:r>
        <w:rPr>
          <w:rFonts w:hint="eastAsia" w:ascii="宋体" w:hAnsi="Times New Roman" w:cs="宋体"/>
          <w:sz w:val="32"/>
          <w:szCs w:val="32"/>
          <w:highlight w:val="none"/>
        </w:rPr>
        <w:t>万元，占本年支出合计的</w:t>
      </w:r>
      <w:r>
        <w:rPr>
          <w:rFonts w:ascii="宋体" w:hAnsi="Times New Roman" w:cs="宋体"/>
          <w:sz w:val="32"/>
          <w:szCs w:val="32"/>
          <w:highlight w:val="none"/>
        </w:rPr>
        <w:t>92.53%</w:t>
      </w:r>
      <w:r>
        <w:rPr>
          <w:rFonts w:hint="eastAsia" w:ascii="宋体" w:hAnsi="Times New Roman" w:cs="宋体"/>
          <w:sz w:val="32"/>
          <w:szCs w:val="32"/>
          <w:highlight w:val="none"/>
        </w:rPr>
        <w:t>。与</w:t>
      </w:r>
      <w:r>
        <w:rPr>
          <w:rFonts w:ascii="宋体" w:hAnsi="Times New Roman" w:cs="宋体"/>
          <w:sz w:val="32"/>
          <w:szCs w:val="32"/>
          <w:highlight w:val="none"/>
        </w:rPr>
        <w:t>202</w:t>
      </w:r>
      <w:r>
        <w:rPr>
          <w:rFonts w:hint="eastAsia" w:ascii="宋体" w:hAnsi="Times New Roman" w:cs="宋体"/>
          <w:sz w:val="32"/>
          <w:szCs w:val="32"/>
          <w:highlight w:val="none"/>
        </w:rPr>
        <w:t>2年度相比，财政拨款支出增加</w:t>
      </w:r>
      <w:r>
        <w:rPr>
          <w:rFonts w:ascii="宋体" w:hAnsi="Times New Roman" w:cs="宋体"/>
          <w:sz w:val="32"/>
          <w:szCs w:val="32"/>
          <w:highlight w:val="none"/>
        </w:rPr>
        <w:t>98</w:t>
      </w:r>
      <w:r>
        <w:rPr>
          <w:rFonts w:hint="eastAsia" w:ascii="宋体" w:hAnsi="Times New Roman" w:cs="宋体"/>
          <w:sz w:val="32"/>
          <w:szCs w:val="32"/>
          <w:highlight w:val="none"/>
        </w:rPr>
        <w:t>万元，增长</w:t>
      </w:r>
      <w:r>
        <w:rPr>
          <w:rFonts w:ascii="宋体" w:hAnsi="Times New Roman" w:cs="宋体"/>
          <w:sz w:val="32"/>
          <w:szCs w:val="32"/>
          <w:highlight w:val="none"/>
        </w:rPr>
        <w:t>3.37%,</w:t>
      </w:r>
      <w:r>
        <w:rPr>
          <w:rFonts w:hint="eastAsia" w:ascii="宋体" w:hAnsi="Times New Roman" w:cs="宋体"/>
          <w:sz w:val="32"/>
          <w:szCs w:val="32"/>
          <w:highlight w:val="none"/>
          <w:lang w:val="zh-CN"/>
        </w:rPr>
        <w:t>主要原因是业务工作任务增加，调整预算支出，财政追拨经费。</w:t>
      </w:r>
    </w:p>
    <w:p w14:paraId="32ED1F89">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宋体" w:hAnsi="Times New Roman" w:cs="宋体"/>
          <w:b/>
          <w:bCs/>
          <w:sz w:val="32"/>
          <w:szCs w:val="32"/>
          <w:highlight w:val="none"/>
        </w:rPr>
      </w:pPr>
      <w:r>
        <w:rPr>
          <w:rFonts w:hint="eastAsia" w:ascii="宋体" w:hAnsi="Times New Roman" w:cs="宋体"/>
          <w:b/>
          <w:bCs/>
          <w:sz w:val="32"/>
          <w:szCs w:val="32"/>
          <w:highlight w:val="none"/>
        </w:rPr>
        <w:t>（二）财政拨款支出决算结构情况</w:t>
      </w:r>
    </w:p>
    <w:p w14:paraId="36C5CED9">
      <w:pPr>
        <w:keepNext w:val="0"/>
        <w:keepLines w:val="0"/>
        <w:pageBreakBefore w:val="0"/>
        <w:widowControl w:val="0"/>
        <w:kinsoku/>
        <w:wordWrap/>
        <w:overflowPunct/>
        <w:topLinePunct w:val="0"/>
        <w:autoSpaceDE w:val="0"/>
        <w:autoSpaceDN w:val="0"/>
        <w:bidi w:val="0"/>
        <w:adjustRightInd w:val="0"/>
        <w:snapToGrid/>
        <w:ind w:firstLine="641"/>
        <w:textAlignment w:val="auto"/>
        <w:rPr>
          <w:rFonts w:cs="Calibri"/>
          <w:szCs w:val="21"/>
          <w:highlight w:val="none"/>
          <w:lang w:val="zh-CN"/>
        </w:rPr>
      </w:pPr>
      <w:r>
        <w:rPr>
          <w:rFonts w:ascii="宋体" w:hAnsi="Times New Roman" w:cs="宋体"/>
          <w:color w:val="000000"/>
          <w:kern w:val="0"/>
          <w:sz w:val="32"/>
          <w:szCs w:val="32"/>
          <w:highlight w:val="none"/>
        </w:rPr>
        <w:t>2023</w:t>
      </w:r>
      <w:r>
        <w:rPr>
          <w:rFonts w:hint="eastAsia" w:ascii="宋体" w:hAnsi="Times New Roman" w:cs="宋体"/>
          <w:color w:val="000000"/>
          <w:kern w:val="0"/>
          <w:sz w:val="32"/>
          <w:szCs w:val="32"/>
          <w:highlight w:val="none"/>
        </w:rPr>
        <w:t>年度财政拨款支出</w:t>
      </w:r>
      <w:r>
        <w:rPr>
          <w:rFonts w:ascii="宋体" w:hAnsi="Times New Roman" w:cs="宋体"/>
          <w:color w:val="000000"/>
          <w:kern w:val="0"/>
          <w:sz w:val="32"/>
          <w:szCs w:val="32"/>
          <w:highlight w:val="none"/>
        </w:rPr>
        <w:t>3024.68</w:t>
      </w:r>
      <w:r>
        <w:rPr>
          <w:rFonts w:hint="eastAsia" w:ascii="宋体" w:hAnsi="Times New Roman" w:cs="宋体"/>
          <w:color w:val="000000"/>
          <w:kern w:val="0"/>
          <w:sz w:val="32"/>
          <w:szCs w:val="32"/>
          <w:highlight w:val="none"/>
        </w:rPr>
        <w:t>万元，主要用于以下方面：一般公共服务（类）支出</w:t>
      </w:r>
      <w:r>
        <w:rPr>
          <w:rFonts w:ascii="宋体" w:hAnsi="Times New Roman" w:cs="宋体"/>
          <w:color w:val="000000"/>
          <w:kern w:val="0"/>
          <w:sz w:val="32"/>
          <w:szCs w:val="32"/>
          <w:highlight w:val="none"/>
        </w:rPr>
        <w:t>1300.33</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42.99%</w:t>
      </w:r>
      <w:r>
        <w:rPr>
          <w:rFonts w:hint="eastAsia" w:ascii="宋体" w:hAnsi="Times New Roman" w:cs="宋体"/>
          <w:color w:val="000000"/>
          <w:kern w:val="0"/>
          <w:sz w:val="32"/>
          <w:szCs w:val="32"/>
          <w:highlight w:val="none"/>
        </w:rPr>
        <w:t>；国防（类）支出</w:t>
      </w:r>
      <w:r>
        <w:rPr>
          <w:rFonts w:ascii="宋体" w:hAnsi="Times New Roman" w:cs="宋体"/>
          <w:color w:val="000000"/>
          <w:kern w:val="0"/>
          <w:sz w:val="32"/>
          <w:szCs w:val="32"/>
          <w:highlight w:val="none"/>
        </w:rPr>
        <w:t>4</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0.13%</w:t>
      </w:r>
      <w:r>
        <w:rPr>
          <w:rFonts w:hint="eastAsia" w:ascii="宋体" w:hAnsi="Times New Roman" w:cs="宋体"/>
          <w:color w:val="000000"/>
          <w:kern w:val="0"/>
          <w:sz w:val="32"/>
          <w:szCs w:val="32"/>
          <w:highlight w:val="none"/>
        </w:rPr>
        <w:t>；公共安全（类）支出</w:t>
      </w:r>
      <w:r>
        <w:rPr>
          <w:rFonts w:ascii="宋体" w:hAnsi="Times New Roman" w:cs="宋体"/>
          <w:color w:val="000000"/>
          <w:kern w:val="0"/>
          <w:sz w:val="32"/>
          <w:szCs w:val="32"/>
          <w:highlight w:val="none"/>
        </w:rPr>
        <w:t>1.74</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0.06%</w:t>
      </w:r>
      <w:r>
        <w:rPr>
          <w:rFonts w:hint="eastAsia" w:ascii="宋体" w:hAnsi="Times New Roman" w:cs="宋体"/>
          <w:color w:val="000000"/>
          <w:kern w:val="0"/>
          <w:sz w:val="32"/>
          <w:szCs w:val="32"/>
          <w:highlight w:val="none"/>
        </w:rPr>
        <w:t>；文化旅游体育与传媒（类）支出</w:t>
      </w:r>
      <w:r>
        <w:rPr>
          <w:rFonts w:ascii="宋体" w:hAnsi="Times New Roman" w:cs="宋体"/>
          <w:color w:val="000000"/>
          <w:kern w:val="0"/>
          <w:sz w:val="32"/>
          <w:szCs w:val="32"/>
          <w:highlight w:val="none"/>
        </w:rPr>
        <w:t>10.8</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0.36%</w:t>
      </w:r>
      <w:r>
        <w:rPr>
          <w:rFonts w:hint="eastAsia" w:ascii="宋体" w:hAnsi="Times New Roman" w:cs="宋体"/>
          <w:color w:val="000000"/>
          <w:kern w:val="0"/>
          <w:sz w:val="32"/>
          <w:szCs w:val="32"/>
          <w:highlight w:val="none"/>
        </w:rPr>
        <w:t>；社会保障和就业（类）支出</w:t>
      </w:r>
      <w:r>
        <w:rPr>
          <w:rFonts w:ascii="宋体" w:hAnsi="Times New Roman" w:cs="宋体"/>
          <w:color w:val="000000"/>
          <w:kern w:val="0"/>
          <w:sz w:val="32"/>
          <w:szCs w:val="32"/>
          <w:highlight w:val="none"/>
        </w:rPr>
        <w:t>396.58</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13.11%</w:t>
      </w:r>
      <w:r>
        <w:rPr>
          <w:rFonts w:hint="eastAsia" w:ascii="宋体" w:hAnsi="Times New Roman" w:cs="宋体"/>
          <w:color w:val="000000"/>
          <w:kern w:val="0"/>
          <w:sz w:val="32"/>
          <w:szCs w:val="32"/>
          <w:highlight w:val="none"/>
        </w:rPr>
        <w:t>；节能环保（类）支出</w:t>
      </w:r>
      <w:r>
        <w:rPr>
          <w:rFonts w:ascii="宋体" w:hAnsi="Times New Roman" w:cs="宋体"/>
          <w:color w:val="000000"/>
          <w:kern w:val="0"/>
          <w:sz w:val="32"/>
          <w:szCs w:val="32"/>
          <w:highlight w:val="none"/>
        </w:rPr>
        <w:t>28</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0.93%</w:t>
      </w:r>
      <w:r>
        <w:rPr>
          <w:rFonts w:hint="eastAsia" w:ascii="宋体" w:hAnsi="Times New Roman" w:cs="宋体"/>
          <w:color w:val="000000"/>
          <w:kern w:val="0"/>
          <w:sz w:val="32"/>
          <w:szCs w:val="32"/>
          <w:highlight w:val="none"/>
        </w:rPr>
        <w:t>；城乡社区（类）支出</w:t>
      </w:r>
      <w:r>
        <w:rPr>
          <w:rFonts w:ascii="宋体" w:hAnsi="Times New Roman" w:cs="宋体"/>
          <w:color w:val="000000"/>
          <w:kern w:val="0"/>
          <w:sz w:val="32"/>
          <w:szCs w:val="32"/>
          <w:highlight w:val="none"/>
        </w:rPr>
        <w:t>60.27</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1.99%</w:t>
      </w:r>
      <w:r>
        <w:rPr>
          <w:rFonts w:hint="eastAsia" w:ascii="宋体" w:hAnsi="Times New Roman" w:cs="宋体"/>
          <w:color w:val="000000"/>
          <w:kern w:val="0"/>
          <w:sz w:val="32"/>
          <w:szCs w:val="32"/>
          <w:highlight w:val="none"/>
        </w:rPr>
        <w:t>；农林水（类）支出</w:t>
      </w:r>
      <w:r>
        <w:rPr>
          <w:rFonts w:ascii="宋体" w:hAnsi="Times New Roman" w:cs="宋体"/>
          <w:color w:val="000000"/>
          <w:kern w:val="0"/>
          <w:sz w:val="32"/>
          <w:szCs w:val="32"/>
          <w:highlight w:val="none"/>
        </w:rPr>
        <w:t>1029.44</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34.03%</w:t>
      </w:r>
      <w:r>
        <w:rPr>
          <w:rFonts w:hint="eastAsia" w:ascii="宋体" w:hAnsi="Times New Roman" w:cs="宋体"/>
          <w:color w:val="000000"/>
          <w:kern w:val="0"/>
          <w:sz w:val="32"/>
          <w:szCs w:val="32"/>
          <w:highlight w:val="none"/>
        </w:rPr>
        <w:t>；交通运输（类）支出</w:t>
      </w:r>
      <w:r>
        <w:rPr>
          <w:rFonts w:ascii="宋体" w:hAnsi="Times New Roman" w:cs="宋体"/>
          <w:color w:val="000000"/>
          <w:kern w:val="0"/>
          <w:sz w:val="32"/>
          <w:szCs w:val="32"/>
          <w:highlight w:val="none"/>
        </w:rPr>
        <w:t>35.58</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1.18%</w:t>
      </w:r>
      <w:r>
        <w:rPr>
          <w:rFonts w:hint="eastAsia" w:ascii="宋体" w:hAnsi="Times New Roman" w:cs="宋体"/>
          <w:color w:val="000000"/>
          <w:kern w:val="0"/>
          <w:sz w:val="32"/>
          <w:szCs w:val="32"/>
          <w:highlight w:val="none"/>
        </w:rPr>
        <w:t>；商业服务业等（类）支出</w:t>
      </w:r>
      <w:r>
        <w:rPr>
          <w:rFonts w:ascii="宋体" w:hAnsi="Times New Roman" w:cs="宋体"/>
          <w:color w:val="000000"/>
          <w:kern w:val="0"/>
          <w:sz w:val="32"/>
          <w:szCs w:val="32"/>
          <w:highlight w:val="none"/>
        </w:rPr>
        <w:t>33</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1.09%</w:t>
      </w:r>
      <w:r>
        <w:rPr>
          <w:rFonts w:hint="eastAsia" w:ascii="宋体" w:hAnsi="Times New Roman" w:cs="宋体"/>
          <w:color w:val="000000"/>
          <w:kern w:val="0"/>
          <w:sz w:val="32"/>
          <w:szCs w:val="32"/>
          <w:highlight w:val="none"/>
        </w:rPr>
        <w:t>；然资源海洋气象等（类）支出</w:t>
      </w:r>
      <w:r>
        <w:rPr>
          <w:rFonts w:ascii="宋体" w:hAnsi="Times New Roman" w:cs="宋体"/>
          <w:color w:val="000000"/>
          <w:kern w:val="0"/>
          <w:sz w:val="32"/>
          <w:szCs w:val="32"/>
          <w:highlight w:val="none"/>
        </w:rPr>
        <w:t>44</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1.45%</w:t>
      </w:r>
      <w:r>
        <w:rPr>
          <w:rFonts w:hint="eastAsia" w:ascii="宋体" w:hAnsi="Times New Roman" w:cs="宋体"/>
          <w:color w:val="000000"/>
          <w:kern w:val="0"/>
          <w:sz w:val="32"/>
          <w:szCs w:val="32"/>
          <w:highlight w:val="none"/>
        </w:rPr>
        <w:t>；粮油物资储备（类）支出</w:t>
      </w:r>
      <w:r>
        <w:rPr>
          <w:rFonts w:ascii="宋体" w:hAnsi="Times New Roman" w:cs="宋体"/>
          <w:color w:val="000000"/>
          <w:kern w:val="0"/>
          <w:sz w:val="32"/>
          <w:szCs w:val="32"/>
          <w:highlight w:val="none"/>
        </w:rPr>
        <w:t>72</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2.38%</w:t>
      </w:r>
      <w:r>
        <w:rPr>
          <w:rFonts w:hint="eastAsia" w:ascii="宋体" w:hAnsi="Times New Roman" w:cs="宋体"/>
          <w:color w:val="000000"/>
          <w:kern w:val="0"/>
          <w:sz w:val="32"/>
          <w:szCs w:val="32"/>
          <w:highlight w:val="none"/>
        </w:rPr>
        <w:t>；其他（类）支出</w:t>
      </w:r>
      <w:r>
        <w:rPr>
          <w:rFonts w:ascii="宋体" w:hAnsi="Times New Roman" w:cs="宋体"/>
          <w:color w:val="000000"/>
          <w:kern w:val="0"/>
          <w:sz w:val="32"/>
          <w:szCs w:val="32"/>
          <w:highlight w:val="none"/>
        </w:rPr>
        <w:t>8.95</w:t>
      </w:r>
      <w:r>
        <w:rPr>
          <w:rFonts w:hint="eastAsia" w:ascii="宋体" w:hAnsi="Times New Roman" w:cs="宋体"/>
          <w:color w:val="000000"/>
          <w:kern w:val="0"/>
          <w:sz w:val="32"/>
          <w:szCs w:val="32"/>
          <w:highlight w:val="none"/>
        </w:rPr>
        <w:t>万元，占</w:t>
      </w:r>
      <w:r>
        <w:rPr>
          <w:rFonts w:ascii="宋体" w:hAnsi="Times New Roman" w:cs="宋体"/>
          <w:color w:val="000000"/>
          <w:kern w:val="0"/>
          <w:sz w:val="32"/>
          <w:szCs w:val="32"/>
          <w:highlight w:val="none"/>
        </w:rPr>
        <w:t>0.3%</w:t>
      </w:r>
      <w:r>
        <w:rPr>
          <w:rFonts w:hint="eastAsia" w:ascii="宋体" w:hAnsi="Times New Roman" w:cs="宋体"/>
          <w:color w:val="000000"/>
          <w:kern w:val="0"/>
          <w:sz w:val="32"/>
          <w:szCs w:val="32"/>
          <w:highlight w:val="none"/>
        </w:rPr>
        <w:t>。</w:t>
      </w:r>
    </w:p>
    <w:p w14:paraId="30BB6F78">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宋体" w:cs="宋体"/>
          <w:b/>
          <w:bCs/>
          <w:sz w:val="32"/>
          <w:szCs w:val="32"/>
          <w:highlight w:val="none"/>
        </w:rPr>
      </w:pPr>
      <w:r>
        <w:rPr>
          <w:rFonts w:hint="eastAsia" w:ascii="宋体" w:cs="宋体"/>
          <w:b/>
          <w:bCs/>
          <w:sz w:val="32"/>
          <w:szCs w:val="32"/>
          <w:highlight w:val="none"/>
        </w:rPr>
        <w:t>（三）财政拨款支出决算具体情况</w:t>
      </w:r>
    </w:p>
    <w:p w14:paraId="6C302BCE">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宋体" w:cs="宋体"/>
          <w:color w:val="000000"/>
          <w:sz w:val="32"/>
          <w:szCs w:val="32"/>
          <w:highlight w:val="none"/>
          <w:lang w:val="zh-CN"/>
        </w:rPr>
      </w:pPr>
      <w:r>
        <w:rPr>
          <w:rFonts w:ascii="宋体" w:cs="宋体"/>
          <w:color w:val="000000"/>
          <w:sz w:val="32"/>
          <w:szCs w:val="32"/>
          <w:highlight w:val="none"/>
          <w:lang w:val="zh-CN"/>
        </w:rPr>
        <w:t>2023</w:t>
      </w:r>
      <w:r>
        <w:rPr>
          <w:rFonts w:hint="eastAsia" w:ascii="宋体" w:cs="宋体"/>
          <w:color w:val="000000"/>
          <w:sz w:val="32"/>
          <w:szCs w:val="32"/>
          <w:highlight w:val="none"/>
          <w:lang w:val="zh-CN"/>
        </w:rPr>
        <w:t>年度财政拨款支出年初预算为965.78万元，支出决算为</w:t>
      </w:r>
      <w:r>
        <w:rPr>
          <w:rFonts w:ascii="宋体" w:cs="宋体"/>
          <w:color w:val="000000"/>
          <w:sz w:val="32"/>
          <w:szCs w:val="32"/>
          <w:highlight w:val="none"/>
          <w:lang w:val="zh-CN"/>
        </w:rPr>
        <w:t>3024.68</w:t>
      </w:r>
      <w:r>
        <w:rPr>
          <w:rFonts w:hint="eastAsia" w:ascii="宋体" w:cs="宋体"/>
          <w:color w:val="000000"/>
          <w:sz w:val="32"/>
          <w:szCs w:val="32"/>
          <w:highlight w:val="none"/>
          <w:lang w:val="zh-CN"/>
        </w:rPr>
        <w:t>万元，完成年初预算的313.19</w:t>
      </w:r>
      <w:r>
        <w:rPr>
          <w:rFonts w:ascii="宋体" w:cs="宋体"/>
          <w:color w:val="000000"/>
          <w:sz w:val="32"/>
          <w:szCs w:val="32"/>
          <w:highlight w:val="none"/>
          <w:lang w:val="zh-CN"/>
        </w:rPr>
        <w:t>%</w:t>
      </w:r>
      <w:r>
        <w:rPr>
          <w:rFonts w:hint="eastAsia" w:ascii="宋体" w:cs="宋体"/>
          <w:color w:val="000000"/>
          <w:sz w:val="32"/>
          <w:szCs w:val="32"/>
          <w:highlight w:val="none"/>
          <w:lang w:val="zh-CN"/>
        </w:rPr>
        <w:t>。其中：</w:t>
      </w:r>
    </w:p>
    <w:p w14:paraId="57D47B25">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一般公共服务支出（类）人大事务（款）其他人大事务支出（项）。年初预算为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3.4</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w:t>
      </w:r>
      <w:r>
        <w:rPr>
          <w:rFonts w:hint="eastAsia" w:ascii="宋体" w:hAnsi="Times New Roman" w:cs="宋体"/>
          <w:sz w:val="32"/>
          <w:szCs w:val="32"/>
          <w:highlight w:val="none"/>
          <w:lang w:val="zh-CN"/>
        </w:rPr>
        <w:t>主要原因是业务工作任务增加，调整预算支出，财政追拨经费。</w:t>
      </w:r>
      <w:r>
        <w:rPr>
          <w:rFonts w:ascii="宋体" w:cs="宋体"/>
          <w:sz w:val="32"/>
          <w:szCs w:val="32"/>
          <w:highlight w:val="none"/>
        </w:rPr>
        <w:t xml:space="preserve"> </w:t>
      </w:r>
    </w:p>
    <w:p w14:paraId="47473FE2">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一般公共服务支出（类）政协事务（款）其他政协事务支出（项）。年初预算为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0.48</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1E50AC57">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一般公共服务支出（类）政府办公厅（室）及相关机构事务（款）行政运行（项）。年初预算为</w:t>
      </w:r>
      <w:r>
        <w:rPr>
          <w:rFonts w:ascii="宋体" w:cs="宋体"/>
          <w:sz w:val="32"/>
          <w:szCs w:val="32"/>
          <w:highlight w:val="none"/>
        </w:rPr>
        <w:t>965.78</w:t>
      </w:r>
      <w:r>
        <w:rPr>
          <w:rFonts w:hint="eastAsia" w:ascii="宋体" w:cs="宋体"/>
          <w:sz w:val="32"/>
          <w:szCs w:val="32"/>
          <w:highlight w:val="none"/>
        </w:rPr>
        <w:t>万元，支出决算为</w:t>
      </w:r>
      <w:r>
        <w:rPr>
          <w:rFonts w:ascii="宋体" w:cs="宋体"/>
          <w:sz w:val="32"/>
          <w:szCs w:val="32"/>
          <w:highlight w:val="none"/>
        </w:rPr>
        <w:t>1239.34</w:t>
      </w:r>
      <w:r>
        <w:rPr>
          <w:rFonts w:hint="eastAsia" w:ascii="宋体" w:cs="宋体"/>
          <w:sz w:val="32"/>
          <w:szCs w:val="32"/>
          <w:highlight w:val="none"/>
        </w:rPr>
        <w:t>万元，完成年初预算的</w:t>
      </w:r>
      <w:r>
        <w:rPr>
          <w:rFonts w:ascii="宋体" w:cs="宋体"/>
          <w:sz w:val="32"/>
          <w:szCs w:val="32"/>
          <w:highlight w:val="none"/>
        </w:rPr>
        <w:t>128.33%</w:t>
      </w:r>
      <w:r>
        <w:rPr>
          <w:rFonts w:hint="eastAsia" w:ascii="宋体" w:cs="宋体"/>
          <w:sz w:val="32"/>
          <w:szCs w:val="32"/>
          <w:highlight w:val="none"/>
        </w:rPr>
        <w:t>。决算数大于预算数的</w:t>
      </w:r>
      <w:r>
        <w:rPr>
          <w:rFonts w:hint="eastAsia" w:ascii="宋体" w:hAnsi="Times New Roman" w:cs="宋体"/>
          <w:sz w:val="32"/>
          <w:szCs w:val="32"/>
          <w:highlight w:val="none"/>
          <w:lang w:val="zh-CN"/>
        </w:rPr>
        <w:t>主要原因是业务工作任务增加，调整预算支出，财政追拨经费。</w:t>
      </w:r>
      <w:r>
        <w:rPr>
          <w:rFonts w:ascii="宋体" w:cs="宋体"/>
          <w:sz w:val="32"/>
          <w:szCs w:val="32"/>
          <w:highlight w:val="none"/>
        </w:rPr>
        <w:t xml:space="preserve">  </w:t>
      </w:r>
    </w:p>
    <w:p w14:paraId="37D32E70">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一般公共服务支出（类）政府办公厅（室）及相关机构事务（款）信访事务（项）。年初预算为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11.95</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w:t>
      </w:r>
      <w:r>
        <w:rPr>
          <w:rFonts w:hint="eastAsia" w:ascii="宋体" w:hAnsi="Times New Roman" w:cs="宋体"/>
          <w:sz w:val="32"/>
          <w:szCs w:val="32"/>
          <w:highlight w:val="none"/>
          <w:lang w:val="zh-CN"/>
        </w:rPr>
        <w:t>主要原因是业务工作任务增加，调整预算支出，财政追拨经费。</w:t>
      </w:r>
      <w:r>
        <w:rPr>
          <w:rFonts w:ascii="宋体" w:cs="宋体"/>
          <w:sz w:val="32"/>
          <w:szCs w:val="32"/>
          <w:highlight w:val="none"/>
        </w:rPr>
        <w:t xml:space="preserve">  </w:t>
      </w:r>
    </w:p>
    <w:p w14:paraId="433F1CAE">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一般公共服务支出（类）财政事务（款）一般行政管理事务（项）。年初预算为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3</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069BC568">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一般公共服务支出（类）税收事务（款）其他税收事务支出（项）。年初预算为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34.74</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38692D31">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一般公共服务支出（类）党委办公厅（室）及相关机构事务（款）行政运行（项）。年初预算为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0.12</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p>
    <w:p w14:paraId="20F3C1D7">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一般公共服务支出（类）其他一般公共服务支出（款）其他一般公共服务支出（项）。年初预算为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7.3</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p>
    <w:p w14:paraId="537786FD">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国防支出（类）国防动员（款）其他国防动员支出（项）。年初预算为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4</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6EE6652B">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公共安全支出（类）公安（款）其他公安支出（项）。年初预算为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1.74</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634FFC47">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文化旅游体育与传媒支出（类）文化和旅游（款）其他文化和旅游支出（项）。年初预算为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9.8</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39C50DE1">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文化旅游体育与传媒支出（类）其他文化旅游体育与传媒支出（款）其他文化旅游体育与传媒支出（项）。年初预算为0万元，支出决算为1万元，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p>
    <w:p w14:paraId="45242F0E">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社会保障和就业支出（类）民政管理事务（款）基层政权建设和社区治理（项）。年初预算为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4</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0CF965AF">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社会保障和就业支出（类）民政管理事务（款）其他民政管理事务支出（项）。年初预算为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30</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49E872CD">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社会保障和就业支出（类）抚恤（款）其他优抚支出（项）。年初预算为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27.21</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3D02D671">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社会保障和就业支出（类）社会福利（款）老年福利（项）。年初预算为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12</w:t>
      </w:r>
      <w:r>
        <w:rPr>
          <w:rFonts w:hint="eastAsia" w:ascii="宋体" w:cs="宋体"/>
          <w:sz w:val="32"/>
          <w:szCs w:val="32"/>
          <w:highlight w:val="none"/>
        </w:rPr>
        <w:t>万元，完成年初预算的</w:t>
      </w:r>
      <w:r>
        <w:rPr>
          <w:rFonts w:ascii="宋体" w:cs="宋体"/>
          <w:sz w:val="32"/>
          <w:szCs w:val="32"/>
          <w:highlight w:val="none"/>
        </w:rPr>
        <w:t>1200%</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0CA6B73C">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社会保障和就业支出（类）残疾人事业（款）行政运行（项）。年初预算为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2</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57C01242">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社会保障和就业支出（类）临时救助（款）临时救助支出（项）。年初预算为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122.78</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0F98D1DC">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社会保障和就业支出（类）特困人员救助供养（款）城市特困人员救助供养支出（项）。年初预算为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46.3</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0C3E7222">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社会保障和就业支出（类）特困人员救助供养（款）农村特困人员救助供养支出（项）。年初预算为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147.1</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3DA4E02A">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社会保障和就业支出（类）退役军人管理事务（款）其他退役军人事务管理支出（项）。年初预算为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5.2</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709CE7CF">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节能环保支出（类）污染防治（款）其他污染防治支出（项）。年初预算为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18</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59F15E2B">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节能环保支出（类）自然生态保护（款）其他自然生态保护支出（项）。年初预算为</w:t>
      </w:r>
      <w:r>
        <w:rPr>
          <w:rFonts w:ascii="宋体" w:cs="宋体"/>
          <w:sz w:val="32"/>
          <w:szCs w:val="32"/>
          <w:highlight w:val="none"/>
        </w:rPr>
        <w:t>0</w:t>
      </w:r>
      <w:r>
        <w:rPr>
          <w:rFonts w:hint="eastAsia" w:ascii="宋体" w:cs="宋体"/>
          <w:sz w:val="32"/>
          <w:szCs w:val="32"/>
          <w:highlight w:val="none"/>
        </w:rPr>
        <w:t>万元，支出决算为</w:t>
      </w:r>
      <w:r>
        <w:rPr>
          <w:rFonts w:ascii="宋体" w:cs="宋体"/>
          <w:sz w:val="32"/>
          <w:szCs w:val="32"/>
          <w:highlight w:val="none"/>
        </w:rPr>
        <w:t>10</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p>
    <w:p w14:paraId="168F566E">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城乡社区支出（类）城乡社区管理事务（款）其他城乡社区管理事务支出（项）。年初预算为0万元，支出决算为</w:t>
      </w:r>
      <w:r>
        <w:rPr>
          <w:rFonts w:ascii="宋体" w:cs="宋体"/>
          <w:sz w:val="32"/>
          <w:szCs w:val="32"/>
          <w:highlight w:val="none"/>
        </w:rPr>
        <w:t>24.9</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p>
    <w:p w14:paraId="331DFC39">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城乡社区支出（类）城乡社区公共设施（款）小城镇基础设施建设（项）。年初预算为0万元，支出决算为</w:t>
      </w:r>
      <w:r>
        <w:rPr>
          <w:rFonts w:ascii="宋体" w:cs="宋体"/>
          <w:sz w:val="32"/>
          <w:szCs w:val="32"/>
          <w:highlight w:val="none"/>
        </w:rPr>
        <w:t>20</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552B2F57">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城乡社区支出（类）城乡社区公共设施（款）其他城乡社区公共设施支出（项）。年初预算为0万元，支出决算为</w:t>
      </w:r>
      <w:r>
        <w:rPr>
          <w:rFonts w:ascii="宋体" w:cs="宋体"/>
          <w:sz w:val="32"/>
          <w:szCs w:val="32"/>
          <w:highlight w:val="none"/>
        </w:rPr>
        <w:t>15.37</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71C6A3F9">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农林水支出（类）城市基础设施配套费安排的支出（款）科技转化与推广服务（项）。年初预算为0万元，支出决算为</w:t>
      </w:r>
      <w:r>
        <w:rPr>
          <w:rFonts w:ascii="宋体" w:cs="宋体"/>
          <w:sz w:val="32"/>
          <w:szCs w:val="32"/>
          <w:highlight w:val="none"/>
        </w:rPr>
        <w:t>2.9</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5B011F17">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农林水支出（类）城市基础设施配套费安排的支出（款）病虫害控制（项）。年初预算为0万元，支出决算为</w:t>
      </w:r>
      <w:r>
        <w:rPr>
          <w:rFonts w:ascii="宋体" w:cs="宋体"/>
          <w:sz w:val="32"/>
          <w:szCs w:val="32"/>
          <w:highlight w:val="none"/>
        </w:rPr>
        <w:t>6</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5B641E56">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农林水支出（类）城市基础设施配套费安排的支出（款）防灾救灾（项）。年初预算为0万元，支出决算为</w:t>
      </w:r>
      <w:r>
        <w:rPr>
          <w:rFonts w:ascii="宋体" w:cs="宋体"/>
          <w:sz w:val="32"/>
          <w:szCs w:val="32"/>
          <w:highlight w:val="none"/>
        </w:rPr>
        <w:t>7</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72776320">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农林水支出（类）城市基础设施配套费安排的支出（款）农业结构调整补贴（项）。年初预算为0万元，支出决算为</w:t>
      </w:r>
      <w:r>
        <w:rPr>
          <w:rFonts w:ascii="宋体" w:cs="宋体"/>
          <w:sz w:val="32"/>
          <w:szCs w:val="32"/>
          <w:highlight w:val="none"/>
        </w:rPr>
        <w:t>15.97</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1DB5A1D7">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农林水支出（类）城市基础设施配套费安排的支出（款）农业生产发展（项）。年初预算为0万元，支出决算为</w:t>
      </w:r>
      <w:r>
        <w:rPr>
          <w:rFonts w:ascii="宋体" w:cs="宋体"/>
          <w:sz w:val="32"/>
          <w:szCs w:val="32"/>
          <w:highlight w:val="none"/>
        </w:rPr>
        <w:t>5</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0F1BED52">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支出（类）城市基础设施配套费安排的支出（款）农村社会事业（项）。年初预算为0万元，支出决算为</w:t>
      </w:r>
      <w:r>
        <w:rPr>
          <w:rFonts w:ascii="宋体" w:cs="宋体"/>
          <w:sz w:val="32"/>
          <w:szCs w:val="32"/>
          <w:highlight w:val="none"/>
        </w:rPr>
        <w:t>111.8</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4B1037DC">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农林水支出（类）城市基础设施配套费安排的支出（款）农田建设（项）。年初预算为0万元，支出决算为</w:t>
      </w:r>
      <w:r>
        <w:rPr>
          <w:rFonts w:ascii="宋体" w:cs="宋体"/>
          <w:sz w:val="32"/>
          <w:szCs w:val="32"/>
          <w:highlight w:val="none"/>
        </w:rPr>
        <w:t>0.17</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ascii="宋体" w:cs="宋体"/>
          <w:sz w:val="32"/>
          <w:szCs w:val="32"/>
          <w:highlight w:val="none"/>
        </w:rPr>
        <w:t xml:space="preserve"> </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05F51F46">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农林水支出（类）城市基础设施配套费安排的支出（款）其他农业农村支出（项）。年初预算为0万元，支出决算为</w:t>
      </w:r>
      <w:r>
        <w:rPr>
          <w:rFonts w:ascii="宋体" w:cs="宋体"/>
          <w:sz w:val="32"/>
          <w:szCs w:val="32"/>
          <w:highlight w:val="none"/>
        </w:rPr>
        <w:t>33</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186A6D7F">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农林水支出（类）城市基础设施配套费安排的支出（款）一般行政管理事务（项）。年初预算为0万元，支出决算为</w:t>
      </w:r>
      <w:r>
        <w:rPr>
          <w:rFonts w:ascii="宋体" w:cs="宋体"/>
          <w:sz w:val="32"/>
          <w:szCs w:val="32"/>
          <w:highlight w:val="none"/>
        </w:rPr>
        <w:t>3</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50E4B17E">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农林水支出（类）城市基础设施配套费安排的支出（款）森林资源培育（项）。年初预算为0万元，支出决算为</w:t>
      </w:r>
      <w:r>
        <w:rPr>
          <w:rFonts w:ascii="宋体" w:cs="宋体"/>
          <w:sz w:val="32"/>
          <w:szCs w:val="32"/>
          <w:highlight w:val="none"/>
        </w:rPr>
        <w:t>8</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6DF2DAB6">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农林水支出（类）城市基础设施配套费安排的支出（款）行政运行（项）。年初预算为0万元，支出决算为</w:t>
      </w:r>
      <w:r>
        <w:rPr>
          <w:rFonts w:ascii="宋体" w:cs="宋体"/>
          <w:sz w:val="32"/>
          <w:szCs w:val="32"/>
          <w:highlight w:val="none"/>
        </w:rPr>
        <w:t>29.66</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6A18603D">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农林水支出（类）城市基础设施配套费安排的支出（款）水利工程建设（项）。年初预算为0万元，支出决算为</w:t>
      </w:r>
      <w:r>
        <w:rPr>
          <w:rFonts w:ascii="宋体" w:cs="宋体"/>
          <w:sz w:val="32"/>
          <w:szCs w:val="32"/>
          <w:highlight w:val="none"/>
        </w:rPr>
        <w:t>11</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5E509B8D">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农林水支出（类）城市基础设施配套费安排的支出（款）水利工程运行与维护（项）。年初预算为0万元，支出决算为</w:t>
      </w:r>
      <w:r>
        <w:rPr>
          <w:rFonts w:ascii="宋体" w:cs="宋体"/>
          <w:sz w:val="32"/>
          <w:szCs w:val="32"/>
          <w:highlight w:val="none"/>
        </w:rPr>
        <w:t>26.5</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73DDEBC3">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农林水支出（类）城市基础设施配套费安排的支出（款）防汛（项）。年初预算为0万元，支出决算为</w:t>
      </w:r>
      <w:r>
        <w:rPr>
          <w:rFonts w:ascii="宋体" w:cs="宋体"/>
          <w:sz w:val="32"/>
          <w:szCs w:val="32"/>
          <w:highlight w:val="none"/>
        </w:rPr>
        <w:t>31</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42B92D16">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农林水支出（类）城市基础设施配套费安排的支出（款）抗旱（项）。年初预算为0万元，支出决算为</w:t>
      </w:r>
      <w:r>
        <w:rPr>
          <w:rFonts w:ascii="宋体" w:cs="宋体"/>
          <w:sz w:val="32"/>
          <w:szCs w:val="32"/>
          <w:highlight w:val="none"/>
        </w:rPr>
        <w:t>10.12</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34DC4758">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农林水支出（类）城市基础设施配套费安排的支出（款）其他水利支出（项）。年初预算为0万元，支出决算为</w:t>
      </w:r>
      <w:r>
        <w:rPr>
          <w:rFonts w:ascii="宋体" w:cs="宋体"/>
          <w:sz w:val="32"/>
          <w:szCs w:val="32"/>
          <w:highlight w:val="none"/>
        </w:rPr>
        <w:t>33</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781A9171">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农林水支出（类）城市基础设施配套费安排的支出（款）其他巩固脱贫衔接乡村振兴支出（项）。年初预算为0万元，支出决算为</w:t>
      </w:r>
      <w:r>
        <w:rPr>
          <w:rFonts w:ascii="宋体" w:cs="宋体"/>
          <w:sz w:val="32"/>
          <w:szCs w:val="32"/>
          <w:highlight w:val="none"/>
        </w:rPr>
        <w:t>157.25</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7F11330D">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农林水支出（类）城市基础设施配套费安排的支出（款）对村级公益事业建设的补助（项）。年初预算为0万元，支出决算为</w:t>
      </w:r>
      <w:r>
        <w:rPr>
          <w:rFonts w:ascii="宋体" w:cs="宋体"/>
          <w:sz w:val="32"/>
          <w:szCs w:val="32"/>
          <w:highlight w:val="none"/>
        </w:rPr>
        <w:t>88</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736C84C7">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农林水支出（类）城市基础设施配套费安排的支出（款）对村民委员会和村党支部的补助（项）。年初预算为0万元，支出决算为</w:t>
      </w:r>
      <w:r>
        <w:rPr>
          <w:rFonts w:ascii="宋体" w:cs="宋体"/>
          <w:sz w:val="32"/>
          <w:szCs w:val="32"/>
          <w:highlight w:val="none"/>
        </w:rPr>
        <w:t>339.7</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0F034FEE">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农林水支出（类）城市基础设施配套费安排的支出（款）对村集体经济组织的补助（项）。年初预算为0万元，支出决算为</w:t>
      </w:r>
      <w:r>
        <w:rPr>
          <w:rFonts w:ascii="宋体" w:cs="宋体"/>
          <w:sz w:val="32"/>
          <w:szCs w:val="32"/>
          <w:highlight w:val="none"/>
        </w:rPr>
        <w:t>5</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6D666CCE">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农林水支出（类）城市基础设施配套费安排的支出（款）棉花目标价格补贴（项）。年初预算为0万元，支出决算为</w:t>
      </w:r>
      <w:r>
        <w:rPr>
          <w:rFonts w:ascii="宋体" w:cs="宋体"/>
          <w:sz w:val="32"/>
          <w:szCs w:val="32"/>
          <w:highlight w:val="none"/>
        </w:rPr>
        <w:t>84.38</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6297C172">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农林水支出（类）城市基础设施配套费安排的支出（款）其他农林水支出（项）。年初预算为0万元，支出决算为</w:t>
      </w:r>
      <w:r>
        <w:rPr>
          <w:rFonts w:ascii="宋体" w:cs="宋体"/>
          <w:sz w:val="32"/>
          <w:szCs w:val="32"/>
          <w:highlight w:val="none"/>
        </w:rPr>
        <w:t>21</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7A33CAE1">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交通运输支出（类）城市基础设施配套费安排的支出（款）公路养护（项）。年初预算为0万元，支出决算为</w:t>
      </w:r>
      <w:r>
        <w:rPr>
          <w:rFonts w:ascii="宋体" w:cs="宋体"/>
          <w:sz w:val="32"/>
          <w:szCs w:val="32"/>
          <w:highlight w:val="none"/>
        </w:rPr>
        <w:t>24.7</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4FC3FE05">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交通运输支出（类）城市基础设施配套费安排的支出（款）其他公路水路运输支出（项）。年初预算为0万元，支出决算为</w:t>
      </w:r>
      <w:r>
        <w:rPr>
          <w:rFonts w:ascii="宋体" w:cs="宋体"/>
          <w:sz w:val="32"/>
          <w:szCs w:val="32"/>
          <w:highlight w:val="none"/>
        </w:rPr>
        <w:t>10.88</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40E21C25">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商业服务业等支出（类）城市基础设施配套费安排的支出（款）其他商业流通事务支出（项）。年初预算为0万元，支出决算为</w:t>
      </w:r>
      <w:r>
        <w:rPr>
          <w:rFonts w:ascii="宋体" w:cs="宋体"/>
          <w:sz w:val="32"/>
          <w:szCs w:val="32"/>
          <w:highlight w:val="none"/>
        </w:rPr>
        <w:t>33</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1AF66A48">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自然资源海洋气象等支出（类）城市基础设施配套费安排的支出（款）行政运行（项）。年初预算为0万元，支出决算为</w:t>
      </w:r>
      <w:r>
        <w:rPr>
          <w:rFonts w:ascii="宋体" w:cs="宋体"/>
          <w:sz w:val="32"/>
          <w:szCs w:val="32"/>
          <w:highlight w:val="none"/>
        </w:rPr>
        <w:t>21</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52FCF296">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自然资源海洋气象等支出（类）城市基础设施配套费安排的支出（款）自然资源利用与保护（项）。年初预算为0万元，支出决算为</w:t>
      </w:r>
      <w:r>
        <w:rPr>
          <w:rFonts w:ascii="宋体" w:cs="宋体"/>
          <w:sz w:val="32"/>
          <w:szCs w:val="32"/>
          <w:highlight w:val="none"/>
        </w:rPr>
        <w:t>23</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13CAE4D8">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粮油物资储备支出（类）城市基础设施配套费安排的支出（款）其他粮油物资事务支出（项）。年初预算为0万元，支出决算为</w:t>
      </w:r>
      <w:r>
        <w:rPr>
          <w:rFonts w:ascii="宋体" w:cs="宋体"/>
          <w:sz w:val="32"/>
          <w:szCs w:val="32"/>
          <w:highlight w:val="none"/>
        </w:rPr>
        <w:t>72</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3D18AC48">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sz w:val="32"/>
          <w:szCs w:val="32"/>
          <w:highlight w:val="none"/>
        </w:rPr>
      </w:pPr>
      <w:r>
        <w:rPr>
          <w:rFonts w:hint="eastAsia" w:ascii="宋体" w:cs="宋体"/>
          <w:sz w:val="32"/>
          <w:szCs w:val="32"/>
          <w:highlight w:val="none"/>
        </w:rPr>
        <w:t>其他支出（类）城市基础设施配套费安排的支出（款）其他支出（项）。年初预算为0万元，支出决算为</w:t>
      </w:r>
      <w:r>
        <w:rPr>
          <w:rFonts w:ascii="宋体" w:cs="宋体"/>
          <w:sz w:val="32"/>
          <w:szCs w:val="32"/>
          <w:highlight w:val="none"/>
        </w:rPr>
        <w:t>8.95</w:t>
      </w:r>
      <w:r>
        <w:rPr>
          <w:rFonts w:hint="eastAsia" w:ascii="宋体" w:cs="宋体"/>
          <w:sz w:val="32"/>
          <w:szCs w:val="32"/>
          <w:highlight w:val="none"/>
        </w:rPr>
        <w:t>万元，</w:t>
      </w:r>
      <w:r>
        <w:rPr>
          <w:rFonts w:hint="eastAsia" w:ascii="宋体" w:cs="宋体"/>
          <w:sz w:val="32"/>
          <w:szCs w:val="32"/>
          <w:highlight w:val="none"/>
          <w:lang w:eastAsia="zh-CN"/>
        </w:rPr>
        <w:t>由于年初预算为0，无法计算百分比，</w:t>
      </w:r>
      <w:r>
        <w:rPr>
          <w:rFonts w:hint="eastAsia" w:ascii="宋体" w:cs="宋体"/>
          <w:sz w:val="32"/>
          <w:szCs w:val="32"/>
          <w:highlight w:val="none"/>
        </w:rPr>
        <w:t>决算数大于预算数的主要原因是</w:t>
      </w:r>
      <w:r>
        <w:rPr>
          <w:rFonts w:hint="eastAsia" w:ascii="宋体" w:hAnsi="Times New Roman" w:cs="宋体"/>
          <w:sz w:val="32"/>
          <w:szCs w:val="32"/>
          <w:highlight w:val="none"/>
          <w:lang w:val="zh-CN"/>
        </w:rPr>
        <w:t>业务工作任务增加，调整预算支出，财政追拨经费。</w:t>
      </w:r>
      <w:r>
        <w:rPr>
          <w:rFonts w:ascii="宋体" w:cs="宋体"/>
          <w:sz w:val="32"/>
          <w:szCs w:val="32"/>
          <w:highlight w:val="none"/>
        </w:rPr>
        <w:t xml:space="preserve">  </w:t>
      </w:r>
    </w:p>
    <w:p w14:paraId="043E9329">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Times New Roman" w:hAnsi="Times New Roman" w:eastAsia="黑体"/>
          <w:kern w:val="0"/>
          <w:sz w:val="32"/>
          <w:szCs w:val="32"/>
          <w:highlight w:val="none"/>
        </w:rPr>
      </w:pPr>
      <w:r>
        <w:rPr>
          <w:rFonts w:hint="eastAsia" w:ascii="黑体" w:eastAsia="黑体" w:cs="黑体"/>
          <w:kern w:val="0"/>
          <w:sz w:val="32"/>
          <w:szCs w:val="32"/>
          <w:highlight w:val="none"/>
        </w:rPr>
        <w:t>六、一般公共预算财政拨款基本支出决算情况说明</w:t>
      </w:r>
    </w:p>
    <w:p w14:paraId="38C8EE91">
      <w:pPr>
        <w:keepNext w:val="0"/>
        <w:keepLines w:val="0"/>
        <w:pageBreakBefore w:val="0"/>
        <w:widowControl w:val="0"/>
        <w:kinsoku/>
        <w:wordWrap/>
        <w:overflowPunct/>
        <w:topLinePunct w:val="0"/>
        <w:autoSpaceDE w:val="0"/>
        <w:autoSpaceDN w:val="0"/>
        <w:bidi w:val="0"/>
        <w:adjustRightInd w:val="0"/>
        <w:snapToGrid/>
        <w:ind w:firstLine="640"/>
        <w:jc w:val="left"/>
        <w:textAlignment w:val="auto"/>
        <w:rPr>
          <w:rFonts w:ascii="宋体" w:hAnsi="Times New Roman" w:cs="宋体"/>
          <w:kern w:val="0"/>
          <w:sz w:val="32"/>
          <w:szCs w:val="32"/>
          <w:highlight w:val="none"/>
        </w:rPr>
      </w:pPr>
      <w:r>
        <w:rPr>
          <w:rFonts w:ascii="宋体" w:hAnsi="Times New Roman" w:cs="宋体"/>
          <w:sz w:val="32"/>
          <w:szCs w:val="32"/>
          <w:highlight w:val="none"/>
          <w:lang w:val="zh-CN"/>
        </w:rPr>
        <w:t>2023</w:t>
      </w:r>
      <w:r>
        <w:rPr>
          <w:rFonts w:hint="eastAsia" w:ascii="宋体" w:hAnsi="Times New Roman" w:cs="宋体"/>
          <w:sz w:val="32"/>
          <w:szCs w:val="32"/>
          <w:highlight w:val="none"/>
          <w:lang w:val="zh-CN"/>
        </w:rPr>
        <w:t>年度</w:t>
      </w:r>
      <w:r>
        <w:rPr>
          <w:rFonts w:hint="eastAsia" w:ascii="宋体" w:hAnsi="Times New Roman" w:cs="宋体"/>
          <w:kern w:val="0"/>
          <w:sz w:val="32"/>
          <w:szCs w:val="32"/>
          <w:highlight w:val="none"/>
        </w:rPr>
        <w:t>财政拨款基本支出</w:t>
      </w:r>
      <w:r>
        <w:rPr>
          <w:rFonts w:ascii="宋体" w:hAnsi="Times New Roman" w:cs="宋体"/>
          <w:kern w:val="0"/>
          <w:sz w:val="32"/>
          <w:szCs w:val="32"/>
          <w:highlight w:val="none"/>
        </w:rPr>
        <w:t>1429.57</w:t>
      </w:r>
      <w:r>
        <w:rPr>
          <w:rFonts w:hint="eastAsia" w:ascii="宋体" w:hAnsi="Times New Roman" w:cs="宋体"/>
          <w:kern w:val="0"/>
          <w:sz w:val="32"/>
          <w:szCs w:val="32"/>
          <w:highlight w:val="none"/>
        </w:rPr>
        <w:t>万元，其中</w:t>
      </w:r>
      <w:r>
        <w:rPr>
          <w:rFonts w:ascii="宋体" w:hAnsi="Times New Roman" w:cs="宋体"/>
          <w:kern w:val="0"/>
          <w:sz w:val="32"/>
          <w:szCs w:val="32"/>
          <w:highlight w:val="none"/>
        </w:rPr>
        <w:t>:</w:t>
      </w:r>
    </w:p>
    <w:p w14:paraId="1C9DB28B">
      <w:pPr>
        <w:keepNext w:val="0"/>
        <w:keepLines w:val="0"/>
        <w:pageBreakBefore w:val="0"/>
        <w:widowControl w:val="0"/>
        <w:kinsoku/>
        <w:wordWrap/>
        <w:overflowPunct/>
        <w:topLinePunct w:val="0"/>
        <w:bidi w:val="0"/>
        <w:snapToGrid/>
        <w:spacing w:line="560" w:lineRule="exact"/>
        <w:ind w:firstLine="643" w:firstLineChars="200"/>
        <w:textAlignment w:val="auto"/>
        <w:rPr>
          <w:rFonts w:ascii="宋体" w:hAnsi="Times New Roman" w:cs="宋体"/>
          <w:sz w:val="32"/>
          <w:szCs w:val="32"/>
          <w:highlight w:val="none"/>
          <w:lang w:val="zh-CN"/>
        </w:rPr>
      </w:pPr>
      <w:r>
        <w:rPr>
          <w:rFonts w:hint="eastAsia" w:ascii="宋体" w:hAnsi="Times New Roman" w:cs="宋体"/>
          <w:b/>
          <w:bCs/>
          <w:kern w:val="0"/>
          <w:sz w:val="32"/>
          <w:szCs w:val="32"/>
          <w:highlight w:val="none"/>
        </w:rPr>
        <w:t>人员经费</w:t>
      </w:r>
      <w:r>
        <w:rPr>
          <w:rFonts w:ascii="宋体" w:hAnsi="Times New Roman" w:cs="宋体"/>
          <w:kern w:val="0"/>
          <w:sz w:val="32"/>
          <w:szCs w:val="32"/>
          <w:highlight w:val="none"/>
        </w:rPr>
        <w:t>1</w:t>
      </w:r>
      <w:r>
        <w:rPr>
          <w:rFonts w:ascii="宋体" w:hAnsi="Times New Roman" w:cs="宋体"/>
          <w:sz w:val="32"/>
          <w:szCs w:val="32"/>
          <w:highlight w:val="none"/>
          <w:lang w:val="zh-CN"/>
        </w:rPr>
        <w:t>247.53</w:t>
      </w:r>
      <w:r>
        <w:rPr>
          <w:rFonts w:hint="eastAsia" w:ascii="宋体" w:hAnsi="Times New Roman" w:cs="宋体"/>
          <w:sz w:val="32"/>
          <w:szCs w:val="32"/>
          <w:highlight w:val="none"/>
          <w:lang w:val="zh-CN"/>
        </w:rPr>
        <w:t>万元，占基本支出的</w:t>
      </w:r>
      <w:r>
        <w:rPr>
          <w:rFonts w:ascii="宋体" w:hAnsi="Times New Roman" w:cs="宋体"/>
          <w:sz w:val="32"/>
          <w:szCs w:val="32"/>
          <w:highlight w:val="none"/>
          <w:lang w:val="zh-CN"/>
        </w:rPr>
        <w:t>87.27%</w:t>
      </w:r>
      <w:r>
        <w:rPr>
          <w:rFonts w:hint="eastAsia" w:ascii="宋体" w:hAnsi="Times New Roman" w:cs="宋体"/>
          <w:sz w:val="32"/>
          <w:szCs w:val="32"/>
          <w:highlight w:val="none"/>
          <w:lang w:val="zh-CN"/>
        </w:rPr>
        <w:t>，主要包括基本工资、津贴补贴、奖金、伙食补助费、绩效工资、机关事业单位基本养老保险缴费、职业年金缴费、职工基本医疗保险缴费、公务员医疗补助缴费、其他社会保障缴费、住房公积金、医疗费、其他工资福利支出、离休费、退休费、抚恤金、生活补助、医疗费补助、奖励金、其他对个人和家庭的补助；</w:t>
      </w:r>
    </w:p>
    <w:p w14:paraId="25C8E042">
      <w:pPr>
        <w:keepNext w:val="0"/>
        <w:keepLines w:val="0"/>
        <w:pageBreakBefore w:val="0"/>
        <w:widowControl w:val="0"/>
        <w:kinsoku/>
        <w:wordWrap/>
        <w:overflowPunct/>
        <w:topLinePunct w:val="0"/>
        <w:bidi w:val="0"/>
        <w:snapToGrid/>
        <w:spacing w:line="560" w:lineRule="exact"/>
        <w:ind w:firstLine="643" w:firstLineChars="200"/>
        <w:textAlignment w:val="auto"/>
        <w:rPr>
          <w:rFonts w:ascii="宋体" w:hAnsi="Times New Roman" w:cs="宋体"/>
          <w:sz w:val="32"/>
          <w:szCs w:val="32"/>
          <w:highlight w:val="none"/>
          <w:lang w:val="zh-CN"/>
        </w:rPr>
      </w:pPr>
      <w:r>
        <w:rPr>
          <w:rFonts w:hint="eastAsia" w:ascii="宋体" w:hAnsi="Times New Roman" w:cs="宋体"/>
          <w:b/>
          <w:sz w:val="32"/>
          <w:szCs w:val="32"/>
          <w:highlight w:val="none"/>
          <w:lang w:val="zh-CN"/>
        </w:rPr>
        <w:t>公用经费</w:t>
      </w:r>
      <w:r>
        <w:rPr>
          <w:rFonts w:ascii="宋体" w:hAnsi="Times New Roman" w:cs="宋体"/>
          <w:sz w:val="32"/>
          <w:szCs w:val="32"/>
          <w:highlight w:val="none"/>
          <w:lang w:val="zh-CN"/>
        </w:rPr>
        <w:t>182.04</w:t>
      </w:r>
      <w:r>
        <w:rPr>
          <w:rFonts w:hint="eastAsia" w:ascii="宋体" w:hAnsi="Times New Roman" w:cs="宋体"/>
          <w:sz w:val="32"/>
          <w:szCs w:val="32"/>
          <w:highlight w:val="none"/>
          <w:lang w:val="zh-CN"/>
        </w:rPr>
        <w:t>万元，占基本支出的</w:t>
      </w:r>
      <w:r>
        <w:rPr>
          <w:rFonts w:ascii="宋体" w:hAnsi="Times New Roman" w:cs="宋体"/>
          <w:sz w:val="32"/>
          <w:szCs w:val="32"/>
          <w:highlight w:val="none"/>
          <w:lang w:val="zh-CN"/>
        </w:rPr>
        <w:t>12.73%</w:t>
      </w:r>
      <w:r>
        <w:rPr>
          <w:rFonts w:hint="eastAsia" w:ascii="宋体" w:hAnsi="Times New Roman" w:cs="宋体"/>
          <w:sz w:val="32"/>
          <w:szCs w:val="32"/>
          <w:highlight w:val="none"/>
          <w:lang w:val="zh-CN"/>
        </w:rPr>
        <w:t>，主要包括办公费、印刷费、咨询费、手续费、水费、电费、邮电费、取暖费、物业管理费、差旅费、因公出国（境）费用、维修（护）费、租赁费、会议费、培训费、公务接待费、专用材料费、劳务费、委托业务费、工会经费、福利费、公务用车运行维护费、其他交通费用、税金及附加费用、其他商品和服务支出、办公设备购置、专用设备购置、信息网络及软件购置更新、公务用车购置、其他交通工具购置、文物和陈列品购置、无形资产购置、其他资本性支出、赠与。</w:t>
      </w:r>
    </w:p>
    <w:p w14:paraId="69A4B2C2">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黑体" w:eastAsia="黑体" w:cs="黑体"/>
          <w:sz w:val="32"/>
          <w:szCs w:val="32"/>
          <w:highlight w:val="none"/>
          <w:lang w:val="zh-CN"/>
        </w:rPr>
      </w:pPr>
      <w:r>
        <w:rPr>
          <w:rFonts w:hint="eastAsia" w:ascii="黑体" w:hAnsi="Times New Roman" w:eastAsia="黑体" w:cs="黑体"/>
          <w:sz w:val="32"/>
          <w:szCs w:val="32"/>
          <w:highlight w:val="none"/>
          <w:lang w:val="en-US" w:eastAsia="zh-CN"/>
        </w:rPr>
        <w:t>七</w:t>
      </w:r>
      <w:r>
        <w:rPr>
          <w:rFonts w:hint="eastAsia" w:ascii="黑体" w:hAnsi="Times New Roman" w:eastAsia="黑体" w:cs="黑体"/>
          <w:sz w:val="32"/>
          <w:szCs w:val="32"/>
          <w:highlight w:val="none"/>
          <w:lang w:val="zh-CN"/>
        </w:rPr>
        <w:t>、财政拨款</w:t>
      </w:r>
      <w:r>
        <w:rPr>
          <w:rFonts w:eastAsia="黑体" w:cs="Calibri"/>
          <w:sz w:val="32"/>
          <w:szCs w:val="32"/>
          <w:highlight w:val="none"/>
          <w:lang w:val="zh-CN"/>
        </w:rPr>
        <w:t>“</w:t>
      </w:r>
      <w:r>
        <w:rPr>
          <w:rFonts w:hint="eastAsia" w:ascii="黑体" w:eastAsia="黑体" w:cs="黑体"/>
          <w:sz w:val="32"/>
          <w:szCs w:val="32"/>
          <w:highlight w:val="none"/>
          <w:lang w:val="zh-CN"/>
        </w:rPr>
        <w:t>三公</w:t>
      </w:r>
      <w:r>
        <w:rPr>
          <w:rFonts w:eastAsia="黑体" w:cs="Calibri"/>
          <w:sz w:val="32"/>
          <w:szCs w:val="32"/>
          <w:highlight w:val="none"/>
          <w:lang w:val="zh-CN"/>
        </w:rPr>
        <w:t>”</w:t>
      </w:r>
      <w:r>
        <w:rPr>
          <w:rFonts w:hint="eastAsia" w:ascii="黑体" w:eastAsia="黑体" w:cs="黑体"/>
          <w:sz w:val="32"/>
          <w:szCs w:val="32"/>
          <w:highlight w:val="none"/>
          <w:lang w:val="zh-CN"/>
        </w:rPr>
        <w:t>经费支出决算情况说明</w:t>
      </w:r>
    </w:p>
    <w:p w14:paraId="0B2B551C">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eastAsia="宋体" w:cs="宋体"/>
          <w:b/>
          <w:bCs/>
          <w:sz w:val="32"/>
          <w:szCs w:val="32"/>
          <w:highlight w:val="none"/>
          <w:lang w:val="zh-CN"/>
        </w:rPr>
      </w:pPr>
      <w:r>
        <w:rPr>
          <w:rFonts w:hint="eastAsia" w:ascii="宋体" w:hAnsi="Times New Roman" w:eastAsia="宋体" w:cs="宋体"/>
          <w:b/>
          <w:bCs/>
          <w:sz w:val="32"/>
          <w:szCs w:val="32"/>
          <w:highlight w:val="none"/>
          <w:lang w:val="zh-CN"/>
        </w:rPr>
        <w:t>（一）</w:t>
      </w:r>
      <w:r>
        <w:rPr>
          <w:rFonts w:ascii="宋体" w:hAnsi="Times New Roman" w:eastAsia="宋体" w:cs="宋体"/>
          <w:b/>
          <w:bCs/>
          <w:sz w:val="32"/>
          <w:szCs w:val="32"/>
          <w:highlight w:val="none"/>
          <w:lang w:val="zh-CN"/>
        </w:rPr>
        <w:t>“</w:t>
      </w:r>
      <w:r>
        <w:rPr>
          <w:rFonts w:hint="eastAsia" w:ascii="宋体" w:hAnsi="Times New Roman" w:eastAsia="宋体" w:cs="宋体"/>
          <w:b/>
          <w:bCs/>
          <w:sz w:val="32"/>
          <w:szCs w:val="32"/>
          <w:highlight w:val="none"/>
          <w:lang w:val="zh-CN"/>
        </w:rPr>
        <w:t>三公</w:t>
      </w:r>
      <w:r>
        <w:rPr>
          <w:rFonts w:ascii="宋体" w:hAnsi="Times New Roman" w:eastAsia="宋体" w:cs="宋体"/>
          <w:b/>
          <w:bCs/>
          <w:sz w:val="32"/>
          <w:szCs w:val="32"/>
          <w:highlight w:val="none"/>
          <w:lang w:val="zh-CN"/>
        </w:rPr>
        <w:t>”</w:t>
      </w:r>
      <w:r>
        <w:rPr>
          <w:rFonts w:hint="eastAsia" w:ascii="宋体" w:hAnsi="Times New Roman" w:eastAsia="宋体" w:cs="宋体"/>
          <w:b/>
          <w:bCs/>
          <w:sz w:val="32"/>
          <w:szCs w:val="32"/>
          <w:highlight w:val="none"/>
          <w:lang w:val="zh-CN"/>
        </w:rPr>
        <w:t>经费财政拨款支出决算总体情况说明。</w:t>
      </w:r>
    </w:p>
    <w:p w14:paraId="581B6690">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eastAsia="宋体" w:cs="宋体"/>
          <w:sz w:val="32"/>
          <w:szCs w:val="32"/>
          <w:highlight w:val="none"/>
        </w:rPr>
      </w:pPr>
      <w:r>
        <w:rPr>
          <w:rFonts w:ascii="宋体" w:hAnsi="Times New Roman" w:eastAsia="宋体" w:cs="宋体"/>
          <w:sz w:val="32"/>
          <w:szCs w:val="32"/>
          <w:highlight w:val="none"/>
          <w:lang w:val="zh-CN"/>
        </w:rPr>
        <w:t>2023</w:t>
      </w:r>
      <w:r>
        <w:rPr>
          <w:rFonts w:hint="eastAsia" w:ascii="宋体" w:hAnsi="Times New Roman" w:eastAsia="宋体" w:cs="宋体"/>
          <w:sz w:val="32"/>
          <w:szCs w:val="32"/>
          <w:highlight w:val="none"/>
          <w:lang w:val="zh-CN"/>
        </w:rPr>
        <w:t>年</w:t>
      </w:r>
      <w:r>
        <w:rPr>
          <w:rFonts w:ascii="宋体" w:hAnsi="Times New Roman" w:eastAsia="宋体" w:cs="宋体"/>
          <w:sz w:val="32"/>
          <w:szCs w:val="32"/>
          <w:highlight w:val="none"/>
          <w:lang w:val="zh-CN"/>
        </w:rPr>
        <w:t>“</w:t>
      </w:r>
      <w:r>
        <w:rPr>
          <w:rFonts w:hint="eastAsia" w:ascii="宋体" w:hAnsi="Times New Roman" w:eastAsia="宋体" w:cs="宋体"/>
          <w:sz w:val="32"/>
          <w:szCs w:val="32"/>
          <w:highlight w:val="none"/>
          <w:lang w:val="zh-CN"/>
        </w:rPr>
        <w:t>三公</w:t>
      </w:r>
      <w:r>
        <w:rPr>
          <w:rFonts w:ascii="宋体" w:hAnsi="Times New Roman" w:eastAsia="宋体" w:cs="宋体"/>
          <w:sz w:val="32"/>
          <w:szCs w:val="32"/>
          <w:highlight w:val="none"/>
          <w:lang w:val="zh-CN"/>
        </w:rPr>
        <w:t>”</w:t>
      </w:r>
      <w:r>
        <w:rPr>
          <w:rFonts w:hint="eastAsia" w:ascii="宋体" w:hAnsi="Times New Roman" w:eastAsia="宋体" w:cs="宋体"/>
          <w:sz w:val="32"/>
          <w:szCs w:val="32"/>
          <w:highlight w:val="none"/>
          <w:lang w:val="zh-CN"/>
        </w:rPr>
        <w:t>经费财政拨款支出预算为</w:t>
      </w:r>
      <w:r>
        <w:rPr>
          <w:rFonts w:ascii="宋体" w:hAnsi="Times New Roman" w:eastAsia="宋体" w:cs="宋体"/>
          <w:sz w:val="32"/>
          <w:szCs w:val="32"/>
          <w:highlight w:val="none"/>
          <w:lang w:val="zh-CN"/>
        </w:rPr>
        <w:t>0</w:t>
      </w:r>
      <w:r>
        <w:rPr>
          <w:rFonts w:hint="eastAsia" w:ascii="宋体" w:hAnsi="Times New Roman" w:eastAsia="宋体" w:cs="宋体"/>
          <w:sz w:val="32"/>
          <w:szCs w:val="32"/>
          <w:highlight w:val="none"/>
          <w:lang w:val="zh-CN"/>
        </w:rPr>
        <w:t>万元，支出决算为</w:t>
      </w:r>
      <w:r>
        <w:rPr>
          <w:rFonts w:ascii="宋体" w:hAnsi="Times New Roman" w:eastAsia="宋体" w:cs="宋体"/>
          <w:sz w:val="32"/>
          <w:szCs w:val="32"/>
          <w:highlight w:val="none"/>
          <w:lang w:val="zh-CN"/>
        </w:rPr>
        <w:t>0</w:t>
      </w:r>
      <w:r>
        <w:rPr>
          <w:rFonts w:hint="eastAsia" w:ascii="宋体" w:hAnsi="Times New Roman" w:eastAsia="宋体" w:cs="宋体"/>
          <w:sz w:val="32"/>
          <w:szCs w:val="32"/>
          <w:highlight w:val="none"/>
          <w:lang w:val="zh-CN"/>
        </w:rPr>
        <w:t>万元，</w:t>
      </w:r>
      <w:r>
        <w:rPr>
          <w:rFonts w:hint="eastAsia" w:ascii="宋体" w:hAnsi="Times New Roman" w:eastAsia="宋体" w:cs="宋体"/>
          <w:sz w:val="32"/>
          <w:szCs w:val="32"/>
          <w:highlight w:val="none"/>
        </w:rPr>
        <w:t>完成预算的</w:t>
      </w:r>
      <w:r>
        <w:rPr>
          <w:rFonts w:ascii="宋体" w:hAnsi="Times New Roman" w:eastAsia="宋体" w:cs="宋体"/>
          <w:sz w:val="32"/>
          <w:szCs w:val="32"/>
          <w:highlight w:val="none"/>
        </w:rPr>
        <w:t>0%</w:t>
      </w:r>
      <w:r>
        <w:rPr>
          <w:rFonts w:hint="eastAsia" w:ascii="宋体" w:hAnsi="Times New Roman" w:eastAsia="宋体" w:cs="宋体"/>
          <w:sz w:val="32"/>
          <w:szCs w:val="32"/>
          <w:highlight w:val="none"/>
          <w:lang w:eastAsia="zh-CN"/>
        </w:rPr>
        <w:t>。</w:t>
      </w:r>
      <w:r>
        <w:rPr>
          <w:rFonts w:hint="eastAsia" w:ascii="宋体" w:hAnsi="Times New Roman" w:eastAsia="宋体" w:cs="宋体"/>
          <w:color w:val="000000"/>
          <w:sz w:val="32"/>
          <w:szCs w:val="32"/>
          <w:highlight w:val="none"/>
        </w:rPr>
        <w:t>与上年相比减少</w:t>
      </w:r>
      <w:r>
        <w:rPr>
          <w:rFonts w:ascii="宋体" w:hAnsi="Times New Roman" w:eastAsia="宋体" w:cs="宋体"/>
          <w:color w:val="000000"/>
          <w:sz w:val="32"/>
          <w:szCs w:val="32"/>
          <w:highlight w:val="none"/>
        </w:rPr>
        <w:t>2</w:t>
      </w:r>
      <w:r>
        <w:rPr>
          <w:rFonts w:hint="eastAsia" w:ascii="宋体" w:hAnsi="Times New Roman" w:eastAsia="宋体" w:cs="宋体"/>
          <w:color w:val="000000"/>
          <w:sz w:val="32"/>
          <w:szCs w:val="32"/>
          <w:highlight w:val="none"/>
        </w:rPr>
        <w:t>万元，下降</w:t>
      </w:r>
      <w:r>
        <w:rPr>
          <w:rFonts w:ascii="宋体" w:hAnsi="Times New Roman" w:eastAsia="宋体" w:cs="宋体"/>
          <w:color w:val="000000"/>
          <w:sz w:val="32"/>
          <w:szCs w:val="32"/>
          <w:highlight w:val="none"/>
        </w:rPr>
        <w:t>100%,</w:t>
      </w:r>
      <w:r>
        <w:rPr>
          <w:rFonts w:hint="eastAsia" w:ascii="宋体" w:hAnsi="Times New Roman" w:eastAsia="宋体" w:cs="宋体"/>
          <w:color w:val="000000"/>
          <w:sz w:val="32"/>
          <w:szCs w:val="32"/>
          <w:highlight w:val="none"/>
        </w:rPr>
        <w:t>减少主要原因是认真贯彻落实中央八项规定精神和厉行节约要求，从严控制</w:t>
      </w:r>
      <w:r>
        <w:rPr>
          <w:rFonts w:ascii="宋体" w:hAnsi="Times New Roman" w:eastAsia="宋体" w:cs="宋体"/>
          <w:color w:val="000000"/>
          <w:sz w:val="32"/>
          <w:szCs w:val="32"/>
          <w:highlight w:val="none"/>
        </w:rPr>
        <w:t>“</w:t>
      </w:r>
      <w:r>
        <w:rPr>
          <w:rFonts w:hint="eastAsia" w:ascii="宋体" w:hAnsi="Times New Roman" w:eastAsia="宋体" w:cs="宋体"/>
          <w:color w:val="000000"/>
          <w:sz w:val="32"/>
          <w:szCs w:val="32"/>
          <w:highlight w:val="none"/>
        </w:rPr>
        <w:t>三公</w:t>
      </w:r>
      <w:r>
        <w:rPr>
          <w:rFonts w:ascii="宋体" w:hAnsi="Times New Roman" w:eastAsia="宋体" w:cs="宋体"/>
          <w:color w:val="000000"/>
          <w:sz w:val="32"/>
          <w:szCs w:val="32"/>
          <w:highlight w:val="none"/>
        </w:rPr>
        <w:t>”</w:t>
      </w:r>
      <w:r>
        <w:rPr>
          <w:rFonts w:hint="eastAsia" w:ascii="宋体" w:hAnsi="Times New Roman" w:eastAsia="宋体" w:cs="宋体"/>
          <w:color w:val="000000"/>
          <w:sz w:val="32"/>
          <w:szCs w:val="32"/>
          <w:highlight w:val="none"/>
        </w:rPr>
        <w:t>经费开支，全年实际支出比预算有所节约。</w:t>
      </w:r>
    </w:p>
    <w:p w14:paraId="03EF7758">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eastAsia="宋体" w:cs="宋体"/>
          <w:sz w:val="32"/>
          <w:szCs w:val="32"/>
          <w:highlight w:val="none"/>
          <w:lang w:val="zh-CN"/>
        </w:rPr>
      </w:pPr>
      <w:r>
        <w:rPr>
          <w:rFonts w:hint="eastAsia" w:ascii="宋体" w:hAnsi="Times New Roman" w:eastAsia="宋体" w:cs="宋体"/>
          <w:sz w:val="32"/>
          <w:szCs w:val="32"/>
          <w:highlight w:val="none"/>
        </w:rPr>
        <w:t>因公出国（境）费支出预算为</w:t>
      </w:r>
      <w:r>
        <w:rPr>
          <w:rFonts w:ascii="宋体" w:hAnsi="Times New Roman" w:eastAsia="宋体" w:cs="宋体"/>
          <w:sz w:val="32"/>
          <w:szCs w:val="32"/>
          <w:highlight w:val="none"/>
        </w:rPr>
        <w:t>0</w:t>
      </w:r>
      <w:r>
        <w:rPr>
          <w:rFonts w:hint="eastAsia" w:ascii="宋体" w:hAnsi="Times New Roman" w:eastAsia="宋体" w:cs="宋体"/>
          <w:sz w:val="32"/>
          <w:szCs w:val="32"/>
          <w:highlight w:val="none"/>
        </w:rPr>
        <w:t>万元，支出决算为</w:t>
      </w:r>
      <w:r>
        <w:rPr>
          <w:rFonts w:ascii="宋体" w:hAnsi="Times New Roman" w:eastAsia="宋体" w:cs="宋体"/>
          <w:sz w:val="32"/>
          <w:szCs w:val="32"/>
          <w:highlight w:val="none"/>
        </w:rPr>
        <w:t>0</w:t>
      </w:r>
      <w:r>
        <w:rPr>
          <w:rFonts w:hint="eastAsia" w:ascii="宋体" w:hAnsi="Times New Roman" w:eastAsia="宋体" w:cs="宋体"/>
          <w:sz w:val="32"/>
          <w:szCs w:val="32"/>
          <w:highlight w:val="none"/>
        </w:rPr>
        <w:t>万元，完成预算的</w:t>
      </w:r>
      <w:r>
        <w:rPr>
          <w:rFonts w:ascii="宋体" w:hAnsi="Times New Roman" w:eastAsia="宋体" w:cs="宋体"/>
          <w:sz w:val="32"/>
          <w:szCs w:val="32"/>
          <w:highlight w:val="none"/>
        </w:rPr>
        <w:t>0%</w:t>
      </w:r>
      <w:r>
        <w:rPr>
          <w:rFonts w:hint="eastAsia" w:ascii="宋体" w:hAnsi="Times New Roman" w:eastAsia="宋体" w:cs="宋体"/>
          <w:sz w:val="32"/>
          <w:szCs w:val="32"/>
          <w:highlight w:val="none"/>
        </w:rPr>
        <w:t>，与上年相比减少</w:t>
      </w:r>
      <w:r>
        <w:rPr>
          <w:rFonts w:ascii="宋体" w:hAnsi="Times New Roman" w:eastAsia="宋体" w:cs="宋体"/>
          <w:sz w:val="32"/>
          <w:szCs w:val="32"/>
          <w:highlight w:val="none"/>
        </w:rPr>
        <w:t>0</w:t>
      </w:r>
      <w:r>
        <w:rPr>
          <w:rFonts w:hint="eastAsia" w:ascii="宋体" w:hAnsi="Times New Roman" w:eastAsia="宋体" w:cs="宋体"/>
          <w:sz w:val="32"/>
          <w:szCs w:val="32"/>
          <w:highlight w:val="none"/>
        </w:rPr>
        <w:t>万元，减少</w:t>
      </w:r>
      <w:r>
        <w:rPr>
          <w:rFonts w:ascii="宋体" w:hAnsi="Times New Roman" w:eastAsia="宋体" w:cs="宋体"/>
          <w:sz w:val="32"/>
          <w:szCs w:val="32"/>
          <w:highlight w:val="none"/>
        </w:rPr>
        <w:t>0%</w:t>
      </w:r>
      <w:r>
        <w:rPr>
          <w:rFonts w:hint="eastAsia" w:ascii="宋体" w:hAnsi="Times New Roman" w:eastAsia="宋体" w:cs="宋体"/>
          <w:sz w:val="32"/>
          <w:szCs w:val="32"/>
          <w:highlight w:val="none"/>
        </w:rPr>
        <w:t>。</w:t>
      </w:r>
      <w:r>
        <w:rPr>
          <w:rFonts w:ascii="宋体" w:hAnsi="Times New Roman" w:eastAsia="宋体" w:cs="宋体"/>
          <w:sz w:val="32"/>
          <w:szCs w:val="32"/>
          <w:highlight w:val="none"/>
          <w:lang w:val="zh-CN"/>
        </w:rPr>
        <w:t xml:space="preserve">   </w:t>
      </w:r>
    </w:p>
    <w:p w14:paraId="2BF184F3">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eastAsia="宋体" w:cs="宋体"/>
          <w:color w:val="000000"/>
          <w:sz w:val="32"/>
          <w:szCs w:val="32"/>
          <w:highlight w:val="none"/>
        </w:rPr>
      </w:pPr>
      <w:r>
        <w:rPr>
          <w:rFonts w:hint="eastAsia" w:ascii="宋体" w:hAnsi="Times New Roman" w:eastAsia="宋体" w:cs="宋体"/>
          <w:color w:val="000000"/>
          <w:sz w:val="32"/>
          <w:szCs w:val="32"/>
          <w:highlight w:val="none"/>
          <w:lang w:val="zh-CN"/>
        </w:rPr>
        <w:t>公务接待费支出预算为</w:t>
      </w:r>
      <w:r>
        <w:rPr>
          <w:rFonts w:ascii="宋体" w:hAnsi="Times New Roman" w:eastAsia="宋体" w:cs="宋体"/>
          <w:color w:val="000000"/>
          <w:sz w:val="32"/>
          <w:szCs w:val="32"/>
          <w:highlight w:val="none"/>
          <w:lang w:val="zh-CN"/>
        </w:rPr>
        <w:t>0</w:t>
      </w:r>
      <w:r>
        <w:rPr>
          <w:rFonts w:hint="eastAsia" w:ascii="宋体" w:hAnsi="Times New Roman" w:eastAsia="宋体" w:cs="宋体"/>
          <w:color w:val="000000"/>
          <w:sz w:val="32"/>
          <w:szCs w:val="32"/>
          <w:highlight w:val="none"/>
          <w:lang w:val="zh-CN"/>
        </w:rPr>
        <w:t>万元，支出决算为</w:t>
      </w:r>
      <w:r>
        <w:rPr>
          <w:rFonts w:ascii="宋体" w:hAnsi="Times New Roman" w:eastAsia="宋体" w:cs="宋体"/>
          <w:color w:val="000000"/>
          <w:sz w:val="32"/>
          <w:szCs w:val="32"/>
          <w:highlight w:val="none"/>
          <w:lang w:val="zh-CN"/>
        </w:rPr>
        <w:t>0</w:t>
      </w:r>
      <w:r>
        <w:rPr>
          <w:rFonts w:hint="eastAsia" w:ascii="宋体" w:hAnsi="Times New Roman" w:eastAsia="宋体" w:cs="宋体"/>
          <w:color w:val="000000"/>
          <w:sz w:val="32"/>
          <w:szCs w:val="32"/>
          <w:highlight w:val="none"/>
          <w:lang w:val="zh-CN"/>
        </w:rPr>
        <w:t>万元，完成预算的</w:t>
      </w:r>
      <w:r>
        <w:rPr>
          <w:rFonts w:ascii="宋体" w:hAnsi="Times New Roman" w:eastAsia="宋体" w:cs="宋体"/>
          <w:color w:val="000000"/>
          <w:sz w:val="32"/>
          <w:szCs w:val="32"/>
          <w:highlight w:val="none"/>
          <w:lang w:val="zh-CN"/>
        </w:rPr>
        <w:t>0%</w:t>
      </w:r>
      <w:r>
        <w:rPr>
          <w:rFonts w:hint="eastAsia" w:ascii="宋体" w:hAnsi="Times New Roman" w:eastAsia="宋体" w:cs="宋体"/>
          <w:color w:val="000000"/>
          <w:sz w:val="32"/>
          <w:szCs w:val="32"/>
          <w:highlight w:val="none"/>
          <w:lang w:val="zh-CN"/>
        </w:rPr>
        <w:t>，与上年相比减少</w:t>
      </w:r>
      <w:r>
        <w:rPr>
          <w:rFonts w:ascii="宋体" w:hAnsi="Times New Roman" w:eastAsia="宋体" w:cs="宋体"/>
          <w:color w:val="000000"/>
          <w:sz w:val="32"/>
          <w:szCs w:val="32"/>
          <w:highlight w:val="none"/>
          <w:lang w:val="zh-CN"/>
        </w:rPr>
        <w:t>0</w:t>
      </w:r>
      <w:r>
        <w:rPr>
          <w:rFonts w:hint="eastAsia" w:ascii="宋体" w:hAnsi="Times New Roman" w:eastAsia="宋体" w:cs="宋体"/>
          <w:color w:val="000000"/>
          <w:sz w:val="32"/>
          <w:szCs w:val="32"/>
          <w:highlight w:val="none"/>
          <w:lang w:val="zh-CN"/>
        </w:rPr>
        <w:t>万元，减少</w:t>
      </w:r>
      <w:r>
        <w:rPr>
          <w:rFonts w:ascii="宋体" w:hAnsi="Times New Roman" w:eastAsia="宋体" w:cs="宋体"/>
          <w:color w:val="000000"/>
          <w:sz w:val="32"/>
          <w:szCs w:val="32"/>
          <w:highlight w:val="none"/>
          <w:lang w:val="zh-CN"/>
        </w:rPr>
        <w:t>0%</w:t>
      </w:r>
      <w:r>
        <w:rPr>
          <w:rFonts w:hint="eastAsia" w:ascii="宋体" w:hAnsi="Times New Roman" w:eastAsia="宋体" w:cs="宋体"/>
          <w:color w:val="000000"/>
          <w:sz w:val="32"/>
          <w:szCs w:val="32"/>
          <w:highlight w:val="none"/>
          <w:lang w:val="zh-CN"/>
        </w:rPr>
        <w:t>。</w:t>
      </w:r>
      <w:r>
        <w:rPr>
          <w:rFonts w:hint="eastAsia" w:ascii="宋体" w:hAnsi="Times New Roman" w:eastAsia="宋体" w:cs="宋体"/>
          <w:color w:val="000000"/>
          <w:sz w:val="32"/>
          <w:szCs w:val="32"/>
          <w:highlight w:val="none"/>
        </w:rPr>
        <w:t>与上年相比减少</w:t>
      </w:r>
      <w:r>
        <w:rPr>
          <w:rFonts w:ascii="宋体" w:hAnsi="Times New Roman" w:eastAsia="宋体" w:cs="宋体"/>
          <w:color w:val="000000"/>
          <w:sz w:val="32"/>
          <w:szCs w:val="32"/>
          <w:highlight w:val="none"/>
        </w:rPr>
        <w:t>2</w:t>
      </w:r>
      <w:r>
        <w:rPr>
          <w:rFonts w:hint="eastAsia" w:ascii="宋体" w:hAnsi="Times New Roman" w:eastAsia="宋体" w:cs="宋体"/>
          <w:color w:val="000000"/>
          <w:sz w:val="32"/>
          <w:szCs w:val="32"/>
          <w:highlight w:val="none"/>
        </w:rPr>
        <w:t>万元，下降</w:t>
      </w:r>
      <w:r>
        <w:rPr>
          <w:rFonts w:ascii="宋体" w:hAnsi="Times New Roman" w:eastAsia="宋体" w:cs="宋体"/>
          <w:color w:val="000000"/>
          <w:sz w:val="32"/>
          <w:szCs w:val="32"/>
          <w:highlight w:val="none"/>
        </w:rPr>
        <w:t>100%,</w:t>
      </w:r>
      <w:r>
        <w:rPr>
          <w:rFonts w:hint="eastAsia" w:ascii="宋体" w:hAnsi="Times New Roman" w:eastAsia="宋体" w:cs="宋体"/>
          <w:color w:val="000000"/>
          <w:sz w:val="32"/>
          <w:szCs w:val="32"/>
          <w:highlight w:val="none"/>
        </w:rPr>
        <w:t>减少主要原因是认真贯彻落实中央八项规定精神和厉行节约要求，从严控制</w:t>
      </w:r>
      <w:r>
        <w:rPr>
          <w:rFonts w:ascii="宋体" w:hAnsi="Times New Roman" w:eastAsia="宋体" w:cs="宋体"/>
          <w:color w:val="000000"/>
          <w:sz w:val="32"/>
          <w:szCs w:val="32"/>
          <w:highlight w:val="none"/>
        </w:rPr>
        <w:t>“</w:t>
      </w:r>
      <w:r>
        <w:rPr>
          <w:rFonts w:hint="eastAsia" w:ascii="宋体" w:hAnsi="Times New Roman" w:eastAsia="宋体" w:cs="宋体"/>
          <w:color w:val="000000"/>
          <w:sz w:val="32"/>
          <w:szCs w:val="32"/>
          <w:highlight w:val="none"/>
        </w:rPr>
        <w:t>三公</w:t>
      </w:r>
      <w:r>
        <w:rPr>
          <w:rFonts w:ascii="宋体" w:hAnsi="Times New Roman" w:eastAsia="宋体" w:cs="宋体"/>
          <w:color w:val="000000"/>
          <w:sz w:val="32"/>
          <w:szCs w:val="32"/>
          <w:highlight w:val="none"/>
        </w:rPr>
        <w:t>”</w:t>
      </w:r>
      <w:r>
        <w:rPr>
          <w:rFonts w:hint="eastAsia" w:ascii="宋体" w:hAnsi="Times New Roman" w:eastAsia="宋体" w:cs="宋体"/>
          <w:color w:val="000000"/>
          <w:sz w:val="32"/>
          <w:szCs w:val="32"/>
          <w:highlight w:val="none"/>
        </w:rPr>
        <w:t>经费开支，全年实际支出比预算有所节约。</w:t>
      </w:r>
    </w:p>
    <w:p w14:paraId="4B951C32">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Times New Roman" w:hAnsi="Times New Roman" w:eastAsia="宋体" w:cs="Times New Roman"/>
          <w:szCs w:val="21"/>
          <w:highlight w:val="none"/>
        </w:rPr>
      </w:pPr>
      <w:r>
        <w:rPr>
          <w:rFonts w:hint="eastAsia" w:ascii="宋体" w:hAnsi="Times New Roman" w:eastAsia="宋体" w:cs="宋体"/>
          <w:color w:val="000000"/>
          <w:sz w:val="32"/>
          <w:szCs w:val="32"/>
          <w:highlight w:val="none"/>
        </w:rPr>
        <w:t>公务用车购置费支出预算为</w:t>
      </w:r>
      <w:r>
        <w:rPr>
          <w:rFonts w:ascii="宋体" w:hAnsi="Times New Roman" w:eastAsia="宋体" w:cs="宋体"/>
          <w:color w:val="000000"/>
          <w:sz w:val="32"/>
          <w:szCs w:val="32"/>
          <w:highlight w:val="none"/>
        </w:rPr>
        <w:t>0</w:t>
      </w:r>
      <w:r>
        <w:rPr>
          <w:rFonts w:hint="eastAsia" w:ascii="宋体" w:hAnsi="Times New Roman" w:eastAsia="宋体" w:cs="宋体"/>
          <w:color w:val="000000"/>
          <w:sz w:val="32"/>
          <w:szCs w:val="32"/>
          <w:highlight w:val="none"/>
        </w:rPr>
        <w:t>万元，支出决算为</w:t>
      </w:r>
      <w:r>
        <w:rPr>
          <w:rFonts w:ascii="宋体" w:hAnsi="Times New Roman" w:eastAsia="宋体" w:cs="宋体"/>
          <w:color w:val="000000"/>
          <w:sz w:val="32"/>
          <w:szCs w:val="32"/>
          <w:highlight w:val="none"/>
        </w:rPr>
        <w:t>0</w:t>
      </w:r>
      <w:r>
        <w:rPr>
          <w:rFonts w:hint="eastAsia" w:ascii="宋体" w:hAnsi="Times New Roman" w:eastAsia="宋体" w:cs="宋体"/>
          <w:color w:val="000000"/>
          <w:sz w:val="32"/>
          <w:szCs w:val="32"/>
          <w:highlight w:val="none"/>
        </w:rPr>
        <w:t>万元，完成预算的</w:t>
      </w:r>
      <w:r>
        <w:rPr>
          <w:rFonts w:ascii="宋体" w:hAnsi="Times New Roman" w:eastAsia="宋体" w:cs="宋体"/>
          <w:color w:val="000000"/>
          <w:sz w:val="32"/>
          <w:szCs w:val="32"/>
          <w:highlight w:val="none"/>
        </w:rPr>
        <w:t>0%</w:t>
      </w:r>
      <w:r>
        <w:rPr>
          <w:rFonts w:hint="eastAsia" w:ascii="宋体" w:hAnsi="Times New Roman" w:eastAsia="宋体" w:cs="宋体"/>
          <w:color w:val="000000"/>
          <w:sz w:val="32"/>
          <w:szCs w:val="32"/>
          <w:highlight w:val="none"/>
        </w:rPr>
        <w:t>，与上年相比减少</w:t>
      </w:r>
      <w:r>
        <w:rPr>
          <w:rFonts w:ascii="宋体" w:hAnsi="Times New Roman" w:eastAsia="宋体" w:cs="宋体"/>
          <w:color w:val="000000"/>
          <w:sz w:val="32"/>
          <w:szCs w:val="32"/>
          <w:highlight w:val="none"/>
        </w:rPr>
        <w:t>0</w:t>
      </w:r>
      <w:r>
        <w:rPr>
          <w:rFonts w:hint="eastAsia" w:ascii="宋体" w:hAnsi="Times New Roman" w:eastAsia="宋体" w:cs="宋体"/>
          <w:color w:val="000000"/>
          <w:sz w:val="32"/>
          <w:szCs w:val="32"/>
          <w:highlight w:val="none"/>
        </w:rPr>
        <w:t>万元，减少</w:t>
      </w:r>
      <w:r>
        <w:rPr>
          <w:rFonts w:ascii="宋体" w:hAnsi="Times New Roman" w:eastAsia="宋体" w:cs="宋体"/>
          <w:color w:val="000000"/>
          <w:sz w:val="32"/>
          <w:szCs w:val="32"/>
          <w:highlight w:val="none"/>
        </w:rPr>
        <w:t>0%</w:t>
      </w:r>
      <w:r>
        <w:rPr>
          <w:rFonts w:hint="eastAsia" w:ascii="宋体" w:hAnsi="Times New Roman" w:eastAsia="宋体" w:cs="宋体"/>
          <w:color w:val="000000"/>
          <w:sz w:val="32"/>
          <w:szCs w:val="32"/>
          <w:highlight w:val="none"/>
        </w:rPr>
        <w:t>。</w:t>
      </w:r>
      <w:r>
        <w:rPr>
          <w:rFonts w:ascii="宋体" w:hAnsi="Times New Roman" w:eastAsia="宋体" w:cs="宋体"/>
          <w:color w:val="000000"/>
          <w:sz w:val="32"/>
          <w:szCs w:val="32"/>
          <w:highlight w:val="none"/>
          <w:lang w:val="zh-CN"/>
        </w:rPr>
        <w:t xml:space="preserve">   </w:t>
      </w:r>
    </w:p>
    <w:p w14:paraId="28BA1A84">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Times New Roman" w:hAnsi="Times New Roman" w:eastAsia="宋体" w:cs="Times New Roman"/>
          <w:color w:val="FF0000"/>
          <w:sz w:val="32"/>
          <w:szCs w:val="32"/>
          <w:highlight w:val="none"/>
        </w:rPr>
      </w:pPr>
      <w:r>
        <w:rPr>
          <w:rFonts w:hint="eastAsia" w:ascii="宋体" w:hAnsi="Times New Roman" w:eastAsia="宋体" w:cs="宋体"/>
          <w:color w:val="000000"/>
          <w:sz w:val="32"/>
          <w:szCs w:val="32"/>
          <w:highlight w:val="none"/>
        </w:rPr>
        <w:t>公务用车购置费及运行维护费支出预算为</w:t>
      </w:r>
      <w:r>
        <w:rPr>
          <w:rFonts w:ascii="宋体" w:hAnsi="Times New Roman" w:eastAsia="宋体" w:cs="宋体"/>
          <w:color w:val="000000"/>
          <w:sz w:val="32"/>
          <w:szCs w:val="32"/>
          <w:highlight w:val="none"/>
        </w:rPr>
        <w:t>0</w:t>
      </w:r>
      <w:r>
        <w:rPr>
          <w:rFonts w:hint="eastAsia" w:ascii="宋体" w:hAnsi="Times New Roman" w:eastAsia="宋体" w:cs="宋体"/>
          <w:color w:val="000000"/>
          <w:sz w:val="32"/>
          <w:szCs w:val="32"/>
          <w:highlight w:val="none"/>
        </w:rPr>
        <w:t>万元，支出决算为</w:t>
      </w:r>
      <w:r>
        <w:rPr>
          <w:rFonts w:ascii="宋体" w:hAnsi="Times New Roman" w:eastAsia="宋体" w:cs="宋体"/>
          <w:color w:val="000000"/>
          <w:sz w:val="32"/>
          <w:szCs w:val="32"/>
          <w:highlight w:val="none"/>
        </w:rPr>
        <w:t>0</w:t>
      </w:r>
      <w:r>
        <w:rPr>
          <w:rFonts w:hint="eastAsia" w:ascii="宋体" w:hAnsi="Times New Roman" w:eastAsia="宋体" w:cs="宋体"/>
          <w:color w:val="000000"/>
          <w:sz w:val="32"/>
          <w:szCs w:val="32"/>
          <w:highlight w:val="none"/>
        </w:rPr>
        <w:t>万元，完成预算的</w:t>
      </w:r>
      <w:r>
        <w:rPr>
          <w:rFonts w:ascii="宋体" w:hAnsi="Times New Roman" w:eastAsia="宋体" w:cs="宋体"/>
          <w:color w:val="000000"/>
          <w:sz w:val="32"/>
          <w:szCs w:val="32"/>
          <w:highlight w:val="none"/>
        </w:rPr>
        <w:t>0%</w:t>
      </w:r>
      <w:r>
        <w:rPr>
          <w:rFonts w:hint="eastAsia" w:ascii="宋体" w:hAnsi="Times New Roman" w:eastAsia="宋体" w:cs="宋体"/>
          <w:color w:val="000000"/>
          <w:sz w:val="32"/>
          <w:szCs w:val="32"/>
          <w:highlight w:val="none"/>
        </w:rPr>
        <w:t>，与上年相比减少</w:t>
      </w:r>
      <w:r>
        <w:rPr>
          <w:rFonts w:ascii="宋体" w:hAnsi="Times New Roman" w:eastAsia="宋体" w:cs="宋体"/>
          <w:color w:val="000000"/>
          <w:sz w:val="32"/>
          <w:szCs w:val="32"/>
          <w:highlight w:val="none"/>
        </w:rPr>
        <w:t>0</w:t>
      </w:r>
      <w:r>
        <w:rPr>
          <w:rFonts w:hint="eastAsia" w:ascii="宋体" w:hAnsi="Times New Roman" w:eastAsia="宋体" w:cs="宋体"/>
          <w:color w:val="000000"/>
          <w:sz w:val="32"/>
          <w:szCs w:val="32"/>
          <w:highlight w:val="none"/>
        </w:rPr>
        <w:t>万元，减少</w:t>
      </w:r>
      <w:r>
        <w:rPr>
          <w:rFonts w:ascii="宋体" w:hAnsi="Times New Roman" w:eastAsia="宋体" w:cs="宋体"/>
          <w:color w:val="000000"/>
          <w:sz w:val="32"/>
          <w:szCs w:val="32"/>
          <w:highlight w:val="none"/>
        </w:rPr>
        <w:t>0%</w:t>
      </w:r>
      <w:r>
        <w:rPr>
          <w:rFonts w:hint="eastAsia" w:ascii="宋体" w:hAnsi="Times New Roman" w:eastAsia="宋体" w:cs="宋体"/>
          <w:color w:val="000000"/>
          <w:sz w:val="32"/>
          <w:szCs w:val="32"/>
          <w:highlight w:val="none"/>
        </w:rPr>
        <w:t>。</w:t>
      </w:r>
      <w:r>
        <w:rPr>
          <w:rFonts w:ascii="宋体" w:hAnsi="Times New Roman" w:eastAsia="宋体" w:cs="宋体"/>
          <w:color w:val="000000"/>
          <w:sz w:val="32"/>
          <w:szCs w:val="32"/>
          <w:highlight w:val="none"/>
          <w:lang w:val="zh-CN"/>
        </w:rPr>
        <w:t xml:space="preserve">   </w:t>
      </w:r>
    </w:p>
    <w:p w14:paraId="6DDCC26B">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eastAsia="宋体" w:cs="宋体"/>
          <w:b/>
          <w:bCs/>
          <w:sz w:val="32"/>
          <w:szCs w:val="32"/>
          <w:highlight w:val="none"/>
          <w:lang w:val="zh-CN"/>
        </w:rPr>
      </w:pPr>
      <w:r>
        <w:rPr>
          <w:rFonts w:hint="eastAsia" w:ascii="宋体" w:hAnsi="Times New Roman" w:eastAsia="宋体" w:cs="宋体"/>
          <w:b/>
          <w:bCs/>
          <w:sz w:val="32"/>
          <w:szCs w:val="32"/>
          <w:highlight w:val="none"/>
          <w:lang w:val="zh-CN"/>
        </w:rPr>
        <w:t>（二）</w:t>
      </w:r>
      <w:r>
        <w:rPr>
          <w:rFonts w:ascii="宋体" w:hAnsi="Times New Roman" w:eastAsia="宋体" w:cs="宋体"/>
          <w:b/>
          <w:bCs/>
          <w:sz w:val="32"/>
          <w:szCs w:val="32"/>
          <w:highlight w:val="none"/>
          <w:lang w:val="zh-CN"/>
        </w:rPr>
        <w:t>“</w:t>
      </w:r>
      <w:r>
        <w:rPr>
          <w:rFonts w:hint="eastAsia" w:ascii="宋体" w:hAnsi="Times New Roman" w:eastAsia="宋体" w:cs="宋体"/>
          <w:b/>
          <w:bCs/>
          <w:sz w:val="32"/>
          <w:szCs w:val="32"/>
          <w:highlight w:val="none"/>
          <w:lang w:val="zh-CN"/>
        </w:rPr>
        <w:t>三公</w:t>
      </w:r>
      <w:r>
        <w:rPr>
          <w:rFonts w:ascii="宋体" w:hAnsi="Times New Roman" w:eastAsia="宋体" w:cs="宋体"/>
          <w:b/>
          <w:bCs/>
          <w:sz w:val="32"/>
          <w:szCs w:val="32"/>
          <w:highlight w:val="none"/>
          <w:lang w:val="zh-CN"/>
        </w:rPr>
        <w:t>”</w:t>
      </w:r>
      <w:r>
        <w:rPr>
          <w:rFonts w:hint="eastAsia" w:ascii="宋体" w:hAnsi="Times New Roman" w:eastAsia="宋体" w:cs="宋体"/>
          <w:b/>
          <w:bCs/>
          <w:sz w:val="32"/>
          <w:szCs w:val="32"/>
          <w:highlight w:val="none"/>
          <w:lang w:val="zh-CN"/>
        </w:rPr>
        <w:t>经费财政拨款支出决算具体情况说明。</w:t>
      </w:r>
    </w:p>
    <w:p w14:paraId="1E9CBC99">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eastAsia="宋体" w:cs="宋体"/>
          <w:kern w:val="0"/>
          <w:sz w:val="32"/>
          <w:szCs w:val="32"/>
          <w:highlight w:val="none"/>
          <w:lang w:val="zh-CN"/>
        </w:rPr>
      </w:pPr>
      <w:r>
        <w:rPr>
          <w:rFonts w:ascii="宋体" w:hAnsi="Times New Roman" w:eastAsia="宋体" w:cs="宋体"/>
          <w:kern w:val="0"/>
          <w:sz w:val="32"/>
          <w:szCs w:val="32"/>
          <w:highlight w:val="none"/>
          <w:lang w:val="zh-CN"/>
        </w:rPr>
        <w:t>2023</w:t>
      </w:r>
      <w:r>
        <w:rPr>
          <w:rFonts w:hint="eastAsia" w:ascii="宋体" w:hAnsi="Times New Roman" w:eastAsia="宋体" w:cs="宋体"/>
          <w:kern w:val="0"/>
          <w:sz w:val="32"/>
          <w:szCs w:val="32"/>
          <w:highlight w:val="none"/>
          <w:lang w:val="zh-CN"/>
        </w:rPr>
        <w:t>年度</w:t>
      </w:r>
      <w:r>
        <w:rPr>
          <w:rFonts w:ascii="宋体" w:hAnsi="Times New Roman" w:eastAsia="宋体" w:cs="宋体"/>
          <w:kern w:val="0"/>
          <w:sz w:val="32"/>
          <w:szCs w:val="32"/>
          <w:highlight w:val="none"/>
          <w:lang w:val="zh-CN"/>
        </w:rPr>
        <w:t>“</w:t>
      </w:r>
      <w:r>
        <w:rPr>
          <w:rFonts w:hint="eastAsia" w:ascii="宋体" w:hAnsi="Times New Roman" w:eastAsia="宋体" w:cs="宋体"/>
          <w:kern w:val="0"/>
          <w:sz w:val="32"/>
          <w:szCs w:val="32"/>
          <w:highlight w:val="none"/>
          <w:lang w:val="zh-CN"/>
        </w:rPr>
        <w:t>三公</w:t>
      </w:r>
      <w:r>
        <w:rPr>
          <w:rFonts w:ascii="宋体" w:hAnsi="Times New Roman" w:eastAsia="宋体" w:cs="宋体"/>
          <w:kern w:val="0"/>
          <w:sz w:val="32"/>
          <w:szCs w:val="32"/>
          <w:highlight w:val="none"/>
          <w:lang w:val="zh-CN"/>
        </w:rPr>
        <w:t>”</w:t>
      </w:r>
      <w:r>
        <w:rPr>
          <w:rFonts w:hint="eastAsia" w:ascii="宋体" w:hAnsi="Times New Roman" w:eastAsia="宋体" w:cs="宋体"/>
          <w:kern w:val="0"/>
          <w:sz w:val="32"/>
          <w:szCs w:val="32"/>
          <w:highlight w:val="none"/>
          <w:lang w:val="zh-CN"/>
        </w:rPr>
        <w:t>经费财政拨款支出决算中，因公出国（境）费支出决算</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万元，占</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；公务接待费支出决算</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万元，占</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；公务用车购置费及运行维护费支出决算</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万元，占</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w:t>
      </w:r>
    </w:p>
    <w:p w14:paraId="214EA001">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eastAsia="宋体" w:cs="宋体"/>
          <w:kern w:val="0"/>
          <w:sz w:val="32"/>
          <w:szCs w:val="32"/>
          <w:highlight w:val="none"/>
          <w:lang w:val="zh-CN"/>
        </w:rPr>
      </w:pPr>
      <w:r>
        <w:rPr>
          <w:rFonts w:ascii="宋体" w:hAnsi="Times New Roman" w:eastAsia="宋体" w:cs="宋体"/>
          <w:kern w:val="0"/>
          <w:sz w:val="32"/>
          <w:szCs w:val="32"/>
          <w:highlight w:val="none"/>
          <w:lang w:val="zh-CN"/>
        </w:rPr>
        <w:t>1</w:t>
      </w:r>
      <w:r>
        <w:rPr>
          <w:rFonts w:hint="eastAsia" w:ascii="宋体" w:hAnsi="Times New Roman" w:eastAsia="宋体" w:cs="宋体"/>
          <w:kern w:val="0"/>
          <w:sz w:val="32"/>
          <w:szCs w:val="32"/>
          <w:highlight w:val="none"/>
          <w:lang w:val="zh-CN"/>
        </w:rPr>
        <w:t>、因公出国（境）费支出决算</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万元，全年安排因公出国（境）团组</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个，累计</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人次。</w:t>
      </w:r>
    </w:p>
    <w:p w14:paraId="5A3CFF0B">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eastAsia="宋体" w:cs="宋体"/>
          <w:kern w:val="0"/>
          <w:sz w:val="32"/>
          <w:szCs w:val="32"/>
          <w:highlight w:val="none"/>
          <w:lang w:val="zh-CN"/>
        </w:rPr>
      </w:pPr>
      <w:r>
        <w:rPr>
          <w:rFonts w:hint="eastAsia" w:ascii="宋体" w:hAnsi="Times New Roman" w:eastAsia="宋体" w:cs="宋体"/>
          <w:kern w:val="0"/>
          <w:sz w:val="32"/>
          <w:szCs w:val="32"/>
          <w:highlight w:val="none"/>
          <w:lang w:val="zh-CN"/>
        </w:rPr>
        <w:t>其他国内公务接待支出</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万元</w:t>
      </w:r>
      <w:r>
        <w:rPr>
          <w:rFonts w:ascii="宋体" w:hAnsi="Times New Roman" w:eastAsia="宋体" w:cs="宋体"/>
          <w:kern w:val="0"/>
          <w:sz w:val="32"/>
          <w:szCs w:val="32"/>
          <w:highlight w:val="none"/>
          <w:lang w:val="zh-CN"/>
        </w:rPr>
        <w:t>,</w:t>
      </w:r>
      <w:r>
        <w:rPr>
          <w:rFonts w:hint="eastAsia" w:ascii="宋体" w:hAnsi="Times New Roman" w:eastAsia="宋体" w:cs="宋体"/>
          <w:kern w:val="0"/>
          <w:sz w:val="32"/>
          <w:szCs w:val="32"/>
          <w:highlight w:val="none"/>
          <w:lang w:val="zh-CN"/>
        </w:rPr>
        <w:t>全年共接待来访团组</w:t>
      </w:r>
      <w:r>
        <w:rPr>
          <w:rFonts w:ascii="宋体" w:hAnsi="Times New Roman" w:eastAsia="宋体" w:cs="宋体"/>
          <w:color w:val="FF0000"/>
          <w:kern w:val="0"/>
          <w:sz w:val="32"/>
          <w:szCs w:val="32"/>
          <w:highlight w:val="none"/>
          <w:lang w:val="zh-CN"/>
        </w:rPr>
        <w:t>8</w:t>
      </w:r>
      <w:r>
        <w:rPr>
          <w:rFonts w:hint="eastAsia" w:ascii="宋体" w:hAnsi="Times New Roman" w:eastAsia="宋体" w:cs="宋体"/>
          <w:kern w:val="0"/>
          <w:sz w:val="32"/>
          <w:szCs w:val="32"/>
          <w:highlight w:val="none"/>
          <w:lang w:val="zh-CN"/>
        </w:rPr>
        <w:t>个、来宾</w:t>
      </w:r>
      <w:r>
        <w:rPr>
          <w:rFonts w:ascii="宋体" w:hAnsi="Times New Roman" w:eastAsia="宋体" w:cs="宋体"/>
          <w:kern w:val="0"/>
          <w:sz w:val="32"/>
          <w:szCs w:val="32"/>
          <w:highlight w:val="none"/>
          <w:lang w:val="zh-CN"/>
        </w:rPr>
        <w:t>66</w:t>
      </w:r>
      <w:r>
        <w:rPr>
          <w:rFonts w:hint="eastAsia" w:ascii="宋体" w:hAnsi="Times New Roman" w:eastAsia="宋体" w:cs="宋体"/>
          <w:kern w:val="0"/>
          <w:sz w:val="32"/>
          <w:szCs w:val="32"/>
          <w:highlight w:val="none"/>
          <w:lang w:val="zh-CN"/>
        </w:rPr>
        <w:t>人次（不包括陪同人员）。主要用于与有关单位交流工作情况及接受相关部门检查指导工作发生的接待支出。</w:t>
      </w:r>
      <w:r>
        <w:rPr>
          <w:rFonts w:ascii="宋体" w:hAnsi="Times New Roman" w:eastAsia="宋体" w:cs="宋体"/>
          <w:kern w:val="0"/>
          <w:sz w:val="32"/>
          <w:szCs w:val="32"/>
          <w:highlight w:val="none"/>
          <w:lang w:val="zh-CN"/>
        </w:rPr>
        <w:t>2</w:t>
      </w:r>
      <w:r>
        <w:rPr>
          <w:rFonts w:hint="eastAsia" w:ascii="宋体" w:hAnsi="Times New Roman" w:eastAsia="宋体" w:cs="宋体"/>
          <w:kern w:val="0"/>
          <w:sz w:val="32"/>
          <w:szCs w:val="32"/>
          <w:highlight w:val="none"/>
          <w:lang w:val="zh-CN"/>
        </w:rPr>
        <w:t>、公务接待费支出决算</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万元，全年共接待来访团组</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个、来宾</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人次。</w:t>
      </w:r>
    </w:p>
    <w:p w14:paraId="4D0506E0">
      <w:pPr>
        <w:keepNext w:val="0"/>
        <w:keepLines w:val="0"/>
        <w:pageBreakBefore w:val="0"/>
        <w:widowControl w:val="0"/>
        <w:kinsoku/>
        <w:wordWrap/>
        <w:overflowPunct/>
        <w:topLinePunct w:val="0"/>
        <w:autoSpaceDE w:val="0"/>
        <w:autoSpaceDN w:val="0"/>
        <w:bidi w:val="0"/>
        <w:adjustRightInd w:val="0"/>
        <w:snapToGrid/>
        <w:ind w:firstLine="640"/>
        <w:textAlignment w:val="auto"/>
        <w:rPr>
          <w:rFonts w:hint="eastAsia" w:ascii="黑体" w:hAnsi="Times New Roman" w:eastAsia="黑体" w:cs="黑体"/>
          <w:sz w:val="32"/>
          <w:szCs w:val="32"/>
          <w:highlight w:val="none"/>
          <w:lang w:val="zh-CN"/>
        </w:rPr>
      </w:pPr>
      <w:r>
        <w:rPr>
          <w:rFonts w:ascii="宋体" w:hAnsi="Times New Roman" w:eastAsia="宋体" w:cs="宋体"/>
          <w:kern w:val="0"/>
          <w:sz w:val="32"/>
          <w:szCs w:val="32"/>
          <w:highlight w:val="none"/>
          <w:lang w:val="zh-CN"/>
        </w:rPr>
        <w:t xml:space="preserve"> 3</w:t>
      </w:r>
      <w:r>
        <w:rPr>
          <w:rFonts w:hint="eastAsia" w:ascii="宋体" w:hAnsi="Times New Roman" w:eastAsia="宋体" w:cs="宋体"/>
          <w:kern w:val="0"/>
          <w:sz w:val="32"/>
          <w:szCs w:val="32"/>
          <w:highlight w:val="none"/>
          <w:lang w:val="zh-CN"/>
        </w:rPr>
        <w:t>、公务用车购置费及运行维护费支出决算</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万元，其中：公务用车购置费</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万元，更新公务用车</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辆。公务用车运行维护费</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元，截止</w:t>
      </w:r>
      <w:r>
        <w:rPr>
          <w:rFonts w:ascii="宋体" w:hAnsi="Times New Roman" w:eastAsia="宋体" w:cs="宋体"/>
          <w:kern w:val="0"/>
          <w:sz w:val="32"/>
          <w:szCs w:val="32"/>
          <w:highlight w:val="none"/>
          <w:lang w:val="zh-CN"/>
        </w:rPr>
        <w:t>2023</w:t>
      </w:r>
      <w:r>
        <w:rPr>
          <w:rFonts w:hint="eastAsia" w:ascii="宋体" w:hAnsi="Times New Roman" w:eastAsia="宋体" w:cs="宋体"/>
          <w:kern w:val="0"/>
          <w:sz w:val="32"/>
          <w:szCs w:val="32"/>
          <w:highlight w:val="none"/>
          <w:lang w:val="zh-CN"/>
        </w:rPr>
        <w:t>年</w:t>
      </w:r>
      <w:r>
        <w:rPr>
          <w:rFonts w:ascii="宋体" w:hAnsi="Times New Roman" w:eastAsia="宋体" w:cs="宋体"/>
          <w:kern w:val="0"/>
          <w:sz w:val="32"/>
          <w:szCs w:val="32"/>
          <w:highlight w:val="none"/>
          <w:lang w:val="zh-CN"/>
        </w:rPr>
        <w:t>12</w:t>
      </w:r>
      <w:r>
        <w:rPr>
          <w:rFonts w:hint="eastAsia" w:ascii="宋体" w:hAnsi="Times New Roman" w:eastAsia="宋体" w:cs="宋体"/>
          <w:kern w:val="0"/>
          <w:sz w:val="32"/>
          <w:szCs w:val="32"/>
          <w:highlight w:val="none"/>
          <w:lang w:val="zh-CN"/>
        </w:rPr>
        <w:t>月</w:t>
      </w:r>
      <w:r>
        <w:rPr>
          <w:rFonts w:ascii="宋体" w:hAnsi="Times New Roman" w:eastAsia="宋体" w:cs="宋体"/>
          <w:kern w:val="0"/>
          <w:sz w:val="32"/>
          <w:szCs w:val="32"/>
          <w:highlight w:val="none"/>
          <w:lang w:val="zh-CN"/>
        </w:rPr>
        <w:t>31</w:t>
      </w:r>
      <w:r>
        <w:rPr>
          <w:rFonts w:hint="eastAsia" w:ascii="宋体" w:hAnsi="Times New Roman" w:eastAsia="宋体" w:cs="宋体"/>
          <w:kern w:val="0"/>
          <w:sz w:val="32"/>
          <w:szCs w:val="32"/>
          <w:highlight w:val="none"/>
          <w:lang w:val="zh-CN"/>
        </w:rPr>
        <w:t>日，我单位开支财政拨款的公务用车保有量为</w:t>
      </w:r>
      <w:r>
        <w:rPr>
          <w:rFonts w:ascii="宋体" w:hAnsi="Times New Roman" w:eastAsia="宋体" w:cs="宋体"/>
          <w:kern w:val="0"/>
          <w:sz w:val="32"/>
          <w:szCs w:val="32"/>
          <w:highlight w:val="none"/>
          <w:lang w:val="zh-CN"/>
        </w:rPr>
        <w:t>0</w:t>
      </w:r>
      <w:r>
        <w:rPr>
          <w:rFonts w:hint="eastAsia" w:ascii="宋体" w:hAnsi="Times New Roman" w:eastAsia="宋体" w:cs="宋体"/>
          <w:kern w:val="0"/>
          <w:sz w:val="32"/>
          <w:szCs w:val="32"/>
          <w:highlight w:val="none"/>
          <w:lang w:val="zh-CN"/>
        </w:rPr>
        <w:t>辆。</w:t>
      </w:r>
    </w:p>
    <w:p w14:paraId="4E2C5975">
      <w:pPr>
        <w:keepNext w:val="0"/>
        <w:keepLines w:val="0"/>
        <w:pageBreakBefore w:val="0"/>
        <w:widowControl w:val="0"/>
        <w:kinsoku/>
        <w:wordWrap/>
        <w:overflowPunct/>
        <w:topLinePunct w:val="0"/>
        <w:autoSpaceDE w:val="0"/>
        <w:autoSpaceDN w:val="0"/>
        <w:bidi w:val="0"/>
        <w:adjustRightInd w:val="0"/>
        <w:snapToGrid/>
        <w:ind w:firstLine="640"/>
        <w:textAlignment w:val="auto"/>
        <w:rPr>
          <w:rFonts w:hint="eastAsia" w:ascii="黑体" w:hAnsi="Times New Roman" w:eastAsia="黑体" w:cs="黑体"/>
          <w:sz w:val="32"/>
          <w:szCs w:val="32"/>
          <w:highlight w:val="none"/>
          <w:lang w:val="zh-CN"/>
        </w:rPr>
      </w:pPr>
    </w:p>
    <w:p w14:paraId="5DDA82BE">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黑体" w:hAnsi="Times New Roman" w:eastAsia="黑体" w:cs="黑体"/>
          <w:sz w:val="32"/>
          <w:szCs w:val="32"/>
          <w:highlight w:val="none"/>
          <w:lang w:val="zh-CN"/>
        </w:rPr>
      </w:pPr>
      <w:r>
        <w:rPr>
          <w:rFonts w:hint="eastAsia" w:ascii="黑体" w:hAnsi="Times New Roman" w:eastAsia="黑体" w:cs="黑体"/>
          <w:sz w:val="32"/>
          <w:szCs w:val="32"/>
          <w:highlight w:val="none"/>
          <w:lang w:val="en-US" w:eastAsia="zh-CN"/>
        </w:rPr>
        <w:t>八</w:t>
      </w:r>
      <w:r>
        <w:rPr>
          <w:rFonts w:hint="eastAsia" w:ascii="黑体" w:hAnsi="Times New Roman" w:eastAsia="黑体" w:cs="黑体"/>
          <w:sz w:val="32"/>
          <w:szCs w:val="32"/>
          <w:highlight w:val="none"/>
          <w:lang w:val="zh-CN"/>
        </w:rPr>
        <w:t>、政府性基金预算收入支出决算情况</w:t>
      </w:r>
    </w:p>
    <w:p w14:paraId="099A93A8">
      <w:pPr>
        <w:keepNext w:val="0"/>
        <w:keepLines w:val="0"/>
        <w:pageBreakBefore w:val="0"/>
        <w:widowControl w:val="0"/>
        <w:kinsoku/>
        <w:wordWrap/>
        <w:overflowPunct/>
        <w:topLinePunct w:val="0"/>
        <w:autoSpaceDE w:val="0"/>
        <w:autoSpaceDN w:val="0"/>
        <w:bidi w:val="0"/>
        <w:adjustRightInd w:val="0"/>
        <w:snapToGrid/>
        <w:ind w:firstLine="640"/>
        <w:textAlignment w:val="auto"/>
        <w:rPr>
          <w:rFonts w:hint="eastAsia" w:ascii="宋体" w:hAnsi="Times New Roman" w:cs="宋体"/>
          <w:sz w:val="32"/>
          <w:szCs w:val="32"/>
          <w:highlight w:val="none"/>
          <w:lang w:val="zh-CN"/>
        </w:rPr>
      </w:pPr>
      <w:r>
        <w:rPr>
          <w:rFonts w:ascii="宋体" w:hAnsi="Times New Roman" w:cs="宋体"/>
          <w:sz w:val="32"/>
          <w:szCs w:val="32"/>
          <w:highlight w:val="none"/>
          <w:lang w:val="zh-CN"/>
        </w:rPr>
        <w:t>202</w:t>
      </w:r>
      <w:r>
        <w:rPr>
          <w:rFonts w:hint="eastAsia" w:ascii="宋体" w:hAnsi="Times New Roman" w:cs="宋体"/>
          <w:sz w:val="32"/>
          <w:szCs w:val="32"/>
          <w:highlight w:val="none"/>
          <w:lang w:val="zh-CN"/>
        </w:rPr>
        <w:t>3年政府性基金预算财政拨款收入244.06元万元年初结转和结余0万元</w:t>
      </w:r>
      <w:r>
        <w:rPr>
          <w:rFonts w:ascii="宋体" w:hAnsi="Times New Roman" w:cs="宋体"/>
          <w:sz w:val="32"/>
          <w:szCs w:val="32"/>
          <w:highlight w:val="none"/>
          <w:lang w:val="zh-CN"/>
        </w:rPr>
        <w:t>,</w:t>
      </w:r>
      <w:r>
        <w:rPr>
          <w:rFonts w:hint="eastAsia" w:ascii="宋体" w:hAnsi="Times New Roman" w:cs="宋体"/>
          <w:sz w:val="32"/>
          <w:szCs w:val="32"/>
          <w:highlight w:val="none"/>
          <w:lang w:val="zh-CN"/>
        </w:rPr>
        <w:t>本年支出</w:t>
      </w:r>
      <w:r>
        <w:rPr>
          <w:rFonts w:ascii="宋体" w:hAnsi="Times New Roman" w:cs="宋体"/>
          <w:sz w:val="32"/>
          <w:szCs w:val="32"/>
          <w:highlight w:val="none"/>
          <w:lang w:val="zh-CN"/>
        </w:rPr>
        <w:t>244.06</w:t>
      </w:r>
      <w:r>
        <w:rPr>
          <w:rFonts w:hint="eastAsia" w:ascii="宋体" w:hAnsi="Times New Roman" w:cs="宋体"/>
          <w:sz w:val="32"/>
          <w:szCs w:val="32"/>
          <w:highlight w:val="none"/>
          <w:lang w:val="zh-CN"/>
        </w:rPr>
        <w:t>万元</w:t>
      </w:r>
      <w:r>
        <w:rPr>
          <w:rFonts w:ascii="宋体" w:hAnsi="Times New Roman" w:cs="宋体"/>
          <w:sz w:val="32"/>
          <w:szCs w:val="32"/>
          <w:highlight w:val="none"/>
          <w:lang w:val="zh-CN"/>
        </w:rPr>
        <w:t>,</w:t>
      </w:r>
      <w:r>
        <w:rPr>
          <w:rFonts w:hint="eastAsia" w:ascii="宋体" w:hAnsi="Times New Roman" w:cs="宋体"/>
          <w:sz w:val="32"/>
          <w:szCs w:val="32"/>
          <w:highlight w:val="none"/>
          <w:lang w:val="zh-CN"/>
        </w:rPr>
        <w:t>其中：基本支出</w:t>
      </w:r>
      <w:r>
        <w:rPr>
          <w:rFonts w:ascii="宋体" w:hAnsi="Times New Roman" w:cs="宋体"/>
          <w:sz w:val="32"/>
          <w:szCs w:val="32"/>
          <w:highlight w:val="none"/>
          <w:lang w:val="zh-CN"/>
        </w:rPr>
        <w:t>0</w:t>
      </w:r>
      <w:r>
        <w:rPr>
          <w:rFonts w:hint="eastAsia" w:ascii="宋体" w:hAnsi="Times New Roman" w:cs="宋体"/>
          <w:sz w:val="32"/>
          <w:szCs w:val="32"/>
          <w:highlight w:val="none"/>
          <w:lang w:val="zh-CN"/>
        </w:rPr>
        <w:t>元万元</w:t>
      </w:r>
      <w:r>
        <w:rPr>
          <w:rFonts w:ascii="宋体" w:hAnsi="Times New Roman" w:cs="宋体"/>
          <w:sz w:val="32"/>
          <w:szCs w:val="32"/>
          <w:highlight w:val="none"/>
          <w:lang w:val="zh-CN"/>
        </w:rPr>
        <w:t>,</w:t>
      </w:r>
      <w:r>
        <w:rPr>
          <w:rFonts w:hint="eastAsia" w:ascii="宋体" w:hAnsi="Times New Roman" w:cs="宋体"/>
          <w:sz w:val="32"/>
          <w:szCs w:val="32"/>
          <w:highlight w:val="none"/>
          <w:lang w:val="zh-CN"/>
        </w:rPr>
        <w:t>项目支出244.06元万元</w:t>
      </w:r>
      <w:r>
        <w:rPr>
          <w:rFonts w:ascii="宋体" w:hAnsi="Times New Roman" w:cs="宋体"/>
          <w:sz w:val="32"/>
          <w:szCs w:val="32"/>
          <w:highlight w:val="none"/>
          <w:lang w:val="zh-CN"/>
        </w:rPr>
        <w:t>,</w:t>
      </w:r>
      <w:r>
        <w:rPr>
          <w:rFonts w:hint="eastAsia" w:ascii="宋体" w:hAnsi="Times New Roman" w:cs="宋体"/>
          <w:sz w:val="32"/>
          <w:szCs w:val="32"/>
          <w:highlight w:val="none"/>
          <w:lang w:val="zh-CN"/>
        </w:rPr>
        <w:t>年末结转和结余</w:t>
      </w:r>
      <w:r>
        <w:rPr>
          <w:rFonts w:ascii="宋体" w:hAnsi="Times New Roman" w:cs="宋体"/>
          <w:sz w:val="32"/>
          <w:szCs w:val="32"/>
          <w:highlight w:val="none"/>
          <w:lang w:val="zh-CN"/>
        </w:rPr>
        <w:t>0</w:t>
      </w:r>
      <w:r>
        <w:rPr>
          <w:rFonts w:hint="eastAsia" w:ascii="宋体" w:hAnsi="Times New Roman" w:cs="宋体"/>
          <w:sz w:val="32"/>
          <w:szCs w:val="32"/>
          <w:highlight w:val="none"/>
          <w:lang w:val="zh-CN"/>
        </w:rPr>
        <w:t>元万元</w:t>
      </w:r>
      <w:r>
        <w:rPr>
          <w:rFonts w:ascii="宋体" w:hAnsi="Times New Roman" w:cs="宋体"/>
          <w:sz w:val="32"/>
          <w:szCs w:val="32"/>
          <w:highlight w:val="none"/>
          <w:lang w:val="zh-CN"/>
        </w:rPr>
        <w:t>,</w:t>
      </w:r>
      <w:r>
        <w:rPr>
          <w:rFonts w:hint="eastAsia" w:ascii="宋体" w:hAnsi="Times New Roman" w:cs="宋体"/>
          <w:sz w:val="32"/>
          <w:szCs w:val="32"/>
          <w:highlight w:val="none"/>
          <w:lang w:val="zh-CN"/>
        </w:rPr>
        <w:t>具体情况如下：</w:t>
      </w:r>
    </w:p>
    <w:p w14:paraId="170503E5">
      <w:pPr>
        <w:keepNext w:val="0"/>
        <w:keepLines w:val="0"/>
        <w:pageBreakBefore w:val="0"/>
        <w:widowControl w:val="0"/>
        <w:kinsoku/>
        <w:wordWrap/>
        <w:overflowPunct/>
        <w:topLinePunct w:val="0"/>
        <w:autoSpaceDE w:val="0"/>
        <w:autoSpaceDN w:val="0"/>
        <w:bidi w:val="0"/>
        <w:adjustRightInd w:val="0"/>
        <w:snapToGrid/>
        <w:ind w:firstLine="640"/>
        <w:textAlignment w:val="auto"/>
        <w:rPr>
          <w:rFonts w:hint="eastAsia" w:ascii="宋体" w:hAnsi="Times New Roman" w:cs="宋体"/>
          <w:sz w:val="32"/>
          <w:szCs w:val="32"/>
          <w:highlight w:val="none"/>
          <w:lang w:val="zh-CN"/>
        </w:rPr>
      </w:pPr>
    </w:p>
    <w:p w14:paraId="56D7E0F3">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黑体" w:hAnsi="Times New Roman" w:eastAsia="黑体" w:cs="黑体"/>
          <w:kern w:val="0"/>
          <w:sz w:val="32"/>
          <w:szCs w:val="32"/>
          <w:highlight w:val="none"/>
        </w:rPr>
      </w:pPr>
      <w:r>
        <w:rPr>
          <w:rFonts w:hint="eastAsia" w:ascii="黑体" w:hAnsi="Times New Roman" w:eastAsia="黑体" w:cs="黑体"/>
          <w:sz w:val="32"/>
          <w:szCs w:val="32"/>
          <w:highlight w:val="none"/>
          <w:lang w:val="en-US" w:eastAsia="zh-CN"/>
        </w:rPr>
        <w:t>九</w:t>
      </w:r>
      <w:r>
        <w:rPr>
          <w:rFonts w:hint="eastAsia" w:ascii="黑体" w:hAnsi="Times New Roman" w:eastAsia="黑体" w:cs="黑体"/>
          <w:sz w:val="32"/>
          <w:szCs w:val="32"/>
          <w:highlight w:val="none"/>
          <w:lang w:val="zh-CN"/>
        </w:rPr>
        <w:t>、国有资本经营预算财政拨款支出决算情况</w:t>
      </w:r>
    </w:p>
    <w:p w14:paraId="6EB584B5">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sz w:val="32"/>
          <w:szCs w:val="32"/>
          <w:highlight w:val="none"/>
          <w:lang w:val="zh-CN"/>
        </w:rPr>
      </w:pPr>
      <w:r>
        <w:rPr>
          <w:rFonts w:ascii="宋体" w:hAnsi="Times New Roman" w:cs="宋体"/>
          <w:sz w:val="32"/>
          <w:szCs w:val="32"/>
          <w:highlight w:val="none"/>
          <w:lang w:val="zh-CN"/>
        </w:rPr>
        <w:t>2023</w:t>
      </w:r>
      <w:r>
        <w:rPr>
          <w:rFonts w:hint="eastAsia" w:ascii="宋体" w:hAnsi="Times New Roman" w:cs="宋体"/>
          <w:sz w:val="32"/>
          <w:szCs w:val="32"/>
          <w:highlight w:val="none"/>
          <w:lang w:val="zh-CN"/>
        </w:rPr>
        <w:t>年本单位没有使用国有资本经营预算安排的支出。</w:t>
      </w:r>
    </w:p>
    <w:p w14:paraId="6FB00314">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kern w:val="0"/>
          <w:sz w:val="32"/>
          <w:szCs w:val="32"/>
          <w:highlight w:val="none"/>
          <w:lang w:val="zh-CN"/>
        </w:rPr>
      </w:pPr>
    </w:p>
    <w:p w14:paraId="360455DD">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sz w:val="32"/>
          <w:szCs w:val="32"/>
          <w:highlight w:val="none"/>
        </w:rPr>
      </w:pPr>
      <w:r>
        <w:rPr>
          <w:rFonts w:hint="eastAsia" w:ascii="黑体" w:hAnsi="Times New Roman" w:eastAsia="黑体" w:cs="黑体"/>
          <w:kern w:val="0"/>
          <w:sz w:val="32"/>
          <w:szCs w:val="32"/>
          <w:highlight w:val="none"/>
        </w:rPr>
        <w:t>十、</w:t>
      </w:r>
      <w:r>
        <w:rPr>
          <w:rFonts w:hint="eastAsia" w:ascii="黑体" w:hAnsi="Times New Roman" w:eastAsia="黑体" w:cs="黑体"/>
          <w:sz w:val="32"/>
          <w:szCs w:val="32"/>
          <w:highlight w:val="none"/>
        </w:rPr>
        <w:t>机关运行经费支出说明</w:t>
      </w:r>
    </w:p>
    <w:p w14:paraId="2195B116">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sz w:val="32"/>
          <w:szCs w:val="32"/>
          <w:highlight w:val="none"/>
        </w:rPr>
      </w:pPr>
      <w:r>
        <w:rPr>
          <w:rFonts w:ascii="宋体" w:hAnsi="Times New Roman" w:cs="宋体"/>
          <w:sz w:val="32"/>
          <w:szCs w:val="32"/>
          <w:highlight w:val="none"/>
        </w:rPr>
        <w:t>2023</w:t>
      </w:r>
      <w:r>
        <w:rPr>
          <w:rFonts w:hint="eastAsia" w:ascii="宋体" w:hAnsi="Times New Roman" w:cs="宋体"/>
          <w:sz w:val="32"/>
          <w:szCs w:val="32"/>
          <w:highlight w:val="none"/>
        </w:rPr>
        <w:t>年度机关运行经费支出</w:t>
      </w:r>
      <w:r>
        <w:rPr>
          <w:rFonts w:ascii="宋体" w:hAnsi="Times New Roman" w:cs="宋体"/>
          <w:sz w:val="32"/>
          <w:szCs w:val="32"/>
          <w:highlight w:val="none"/>
        </w:rPr>
        <w:t>171.58</w:t>
      </w:r>
      <w:r>
        <w:rPr>
          <w:rFonts w:hint="eastAsia" w:ascii="宋体" w:hAnsi="Times New Roman" w:cs="宋体"/>
          <w:sz w:val="32"/>
          <w:szCs w:val="32"/>
          <w:highlight w:val="none"/>
        </w:rPr>
        <w:t>万元。比年初预算数增加</w:t>
      </w:r>
      <w:r>
        <w:rPr>
          <w:rFonts w:ascii="宋体" w:hAnsi="Times New Roman" w:cs="宋体"/>
          <w:sz w:val="32"/>
          <w:szCs w:val="32"/>
          <w:highlight w:val="none"/>
        </w:rPr>
        <w:t>119.02</w:t>
      </w:r>
      <w:r>
        <w:rPr>
          <w:rFonts w:hint="eastAsia" w:ascii="宋体" w:hAnsi="Times New Roman" w:cs="宋体"/>
          <w:sz w:val="32"/>
          <w:szCs w:val="32"/>
          <w:highlight w:val="none"/>
        </w:rPr>
        <w:t>万元。增长</w:t>
      </w:r>
      <w:r>
        <w:rPr>
          <w:rFonts w:ascii="宋体" w:hAnsi="Times New Roman" w:cs="宋体"/>
          <w:sz w:val="32"/>
          <w:szCs w:val="32"/>
          <w:highlight w:val="none"/>
        </w:rPr>
        <w:t>226.45%</w:t>
      </w:r>
      <w:r>
        <w:rPr>
          <w:rFonts w:hint="eastAsia" w:ascii="宋体" w:hAnsi="Times New Roman" w:cs="宋体"/>
          <w:sz w:val="32"/>
          <w:szCs w:val="32"/>
          <w:highlight w:val="none"/>
        </w:rPr>
        <w:t>，主要原因是业务工作人物增加，为保障机构正常运转，财政追波机关运行经费。</w:t>
      </w:r>
    </w:p>
    <w:p w14:paraId="7CA93502">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color w:val="FF0000"/>
          <w:kern w:val="0"/>
          <w:sz w:val="32"/>
          <w:szCs w:val="32"/>
          <w:highlight w:val="none"/>
        </w:rPr>
      </w:pPr>
      <w:r>
        <w:rPr>
          <w:rFonts w:hint="eastAsia" w:ascii="黑体" w:hAnsi="Times New Roman" w:eastAsia="黑体" w:cs="黑体"/>
          <w:sz w:val="32"/>
          <w:szCs w:val="32"/>
          <w:highlight w:val="none"/>
        </w:rPr>
        <w:t>十一、</w:t>
      </w:r>
      <w:r>
        <w:rPr>
          <w:rFonts w:hint="eastAsia" w:ascii="黑体" w:hAnsi="Times New Roman" w:eastAsia="黑体" w:cs="黑体"/>
          <w:color w:val="000000"/>
          <w:kern w:val="0"/>
          <w:sz w:val="32"/>
          <w:szCs w:val="32"/>
          <w:highlight w:val="none"/>
        </w:rPr>
        <w:t>一般性支出情况</w:t>
      </w:r>
    </w:p>
    <w:p w14:paraId="32E0BB77">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kern w:val="0"/>
          <w:sz w:val="32"/>
          <w:szCs w:val="32"/>
          <w:highlight w:val="none"/>
        </w:rPr>
      </w:pPr>
      <w:r>
        <w:rPr>
          <w:rFonts w:ascii="宋体" w:hAnsi="Times New Roman" w:cs="宋体"/>
          <w:kern w:val="0"/>
          <w:sz w:val="32"/>
          <w:szCs w:val="32"/>
          <w:highlight w:val="none"/>
        </w:rPr>
        <w:t>2023</w:t>
      </w:r>
      <w:r>
        <w:rPr>
          <w:rFonts w:hint="eastAsia" w:ascii="宋体" w:hAnsi="Times New Roman" w:cs="宋体"/>
          <w:kern w:val="0"/>
          <w:sz w:val="32"/>
          <w:szCs w:val="32"/>
          <w:highlight w:val="none"/>
        </w:rPr>
        <w:t>年本部门开支会议费</w:t>
      </w:r>
      <w:r>
        <w:rPr>
          <w:rFonts w:ascii="宋体" w:hAnsi="Times New Roman" w:cs="宋体"/>
          <w:kern w:val="0"/>
          <w:sz w:val="32"/>
          <w:szCs w:val="32"/>
          <w:highlight w:val="none"/>
        </w:rPr>
        <w:t>1.11</w:t>
      </w:r>
      <w:r>
        <w:rPr>
          <w:rFonts w:hint="eastAsia" w:ascii="宋体" w:hAnsi="Times New Roman" w:cs="宋体"/>
          <w:kern w:val="0"/>
          <w:sz w:val="32"/>
          <w:szCs w:val="32"/>
          <w:highlight w:val="none"/>
        </w:rPr>
        <w:t>万元，用于召开工作会议，人数75人，内容为</w:t>
      </w:r>
      <w:r>
        <w:rPr>
          <w:rFonts w:ascii="宋体" w:cs="宋体"/>
          <w:kern w:val="0"/>
          <w:sz w:val="32"/>
          <w:szCs w:val="32"/>
          <w:highlight w:val="none"/>
        </w:rPr>
        <w:t>村场换届工作、防汛抗旱工作、文明乡镇创建等工作会议</w:t>
      </w:r>
      <w:r>
        <w:rPr>
          <w:rFonts w:hint="eastAsia" w:ascii="宋体" w:hAnsi="Times New Roman" w:cs="宋体"/>
          <w:kern w:val="0"/>
          <w:sz w:val="32"/>
          <w:szCs w:val="32"/>
          <w:highlight w:val="none"/>
        </w:rPr>
        <w:t>；开支培训费</w:t>
      </w:r>
      <w:r>
        <w:rPr>
          <w:rFonts w:ascii="宋体" w:hAnsi="Times New Roman" w:cs="宋体"/>
          <w:kern w:val="0"/>
          <w:sz w:val="32"/>
          <w:szCs w:val="32"/>
          <w:highlight w:val="none"/>
        </w:rPr>
        <w:t>0.85</w:t>
      </w:r>
      <w:r>
        <w:rPr>
          <w:rFonts w:hint="eastAsia" w:ascii="宋体" w:hAnsi="Times New Roman" w:cs="宋体"/>
          <w:kern w:val="0"/>
          <w:sz w:val="32"/>
          <w:szCs w:val="32"/>
          <w:highlight w:val="none"/>
        </w:rPr>
        <w:t>万元，用于开展</w:t>
      </w:r>
      <w:r>
        <w:rPr>
          <w:rFonts w:hint="eastAsia" w:ascii="宋体"/>
          <w:kern w:val="0"/>
          <w:sz w:val="32"/>
          <w:szCs w:val="24"/>
          <w:highlight w:val="none"/>
        </w:rPr>
        <w:t>业务及能力</w:t>
      </w:r>
      <w:r>
        <w:rPr>
          <w:rFonts w:hint="eastAsia" w:ascii="宋体" w:hAnsi="宋体"/>
          <w:kern w:val="0"/>
          <w:sz w:val="32"/>
          <w:szCs w:val="24"/>
          <w:highlight w:val="none"/>
        </w:rPr>
        <w:t>培训</w:t>
      </w:r>
      <w:r>
        <w:rPr>
          <w:rFonts w:hint="eastAsia" w:ascii="宋体" w:hAnsi="Times New Roman" w:cs="宋体"/>
          <w:kern w:val="0"/>
          <w:sz w:val="32"/>
          <w:szCs w:val="32"/>
          <w:highlight w:val="none"/>
        </w:rPr>
        <w:t>培训，人数58人，内容为</w:t>
      </w:r>
      <w:r>
        <w:rPr>
          <w:rFonts w:ascii="宋体" w:cs="宋体"/>
          <w:sz w:val="32"/>
          <w:szCs w:val="32"/>
          <w:highlight w:val="none"/>
        </w:rPr>
        <w:t>安全生产、统计普查、财政业务、防汛抗旱、农林农技等业务知识技能培训</w:t>
      </w:r>
      <w:r>
        <w:rPr>
          <w:rFonts w:hint="eastAsia" w:ascii="宋体" w:hAnsi="Times New Roman" w:cs="宋体"/>
          <w:kern w:val="0"/>
          <w:sz w:val="32"/>
          <w:szCs w:val="32"/>
          <w:highlight w:val="none"/>
        </w:rPr>
        <w:t>；</w:t>
      </w:r>
      <w:r>
        <w:rPr>
          <w:rFonts w:ascii="宋体" w:hAnsi="Times New Roman" w:cs="宋体"/>
          <w:kern w:val="0"/>
          <w:sz w:val="32"/>
          <w:szCs w:val="32"/>
          <w:highlight w:val="none"/>
        </w:rPr>
        <w:t xml:space="preserve"> 2023</w:t>
      </w:r>
      <w:r>
        <w:rPr>
          <w:rFonts w:hint="eastAsia" w:ascii="宋体" w:hAnsi="Times New Roman" w:cs="宋体"/>
          <w:kern w:val="0"/>
          <w:sz w:val="32"/>
          <w:szCs w:val="32"/>
          <w:highlight w:val="none"/>
        </w:rPr>
        <w:t>年本部门未举办节庆、晚会、论坛、赛事活动，开支</w:t>
      </w:r>
      <w:r>
        <w:rPr>
          <w:rFonts w:ascii="宋体" w:hAnsi="Times New Roman" w:cs="宋体"/>
          <w:kern w:val="0"/>
          <w:sz w:val="32"/>
          <w:szCs w:val="32"/>
          <w:highlight w:val="none"/>
        </w:rPr>
        <w:t>0</w:t>
      </w:r>
      <w:r>
        <w:rPr>
          <w:rFonts w:hint="eastAsia" w:ascii="宋体" w:hAnsi="Times New Roman" w:cs="宋体"/>
          <w:kern w:val="0"/>
          <w:sz w:val="32"/>
          <w:szCs w:val="32"/>
          <w:highlight w:val="none"/>
        </w:rPr>
        <w:t>万元。</w:t>
      </w:r>
    </w:p>
    <w:p w14:paraId="7CF6032F">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hAnsi="Times New Roman" w:cs="宋体"/>
          <w:sz w:val="32"/>
          <w:szCs w:val="32"/>
          <w:highlight w:val="none"/>
        </w:rPr>
      </w:pPr>
      <w:r>
        <w:rPr>
          <w:rFonts w:hint="eastAsia" w:ascii="黑体" w:hAnsi="Times New Roman" w:eastAsia="黑体" w:cs="黑体"/>
          <w:kern w:val="0"/>
          <w:sz w:val="32"/>
          <w:szCs w:val="32"/>
          <w:highlight w:val="none"/>
        </w:rPr>
        <w:t>十二、</w:t>
      </w:r>
      <w:r>
        <w:rPr>
          <w:rFonts w:hint="eastAsia" w:ascii="黑体" w:hAnsi="Times New Roman" w:eastAsia="黑体" w:cs="黑体"/>
          <w:sz w:val="32"/>
          <w:szCs w:val="32"/>
          <w:highlight w:val="none"/>
        </w:rPr>
        <w:t>政府采购支出说明</w:t>
      </w:r>
    </w:p>
    <w:p w14:paraId="0B5A6A55">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宋体" w:hAnsi="Times New Roman" w:cs="宋体"/>
          <w:sz w:val="32"/>
          <w:szCs w:val="32"/>
          <w:highlight w:val="none"/>
        </w:rPr>
      </w:pPr>
      <w:r>
        <w:rPr>
          <w:rFonts w:ascii="宋体" w:hAnsi="Times New Roman" w:cs="宋体"/>
          <w:sz w:val="32"/>
          <w:szCs w:val="32"/>
          <w:highlight w:val="none"/>
        </w:rPr>
        <w:t>2023</w:t>
      </w:r>
      <w:r>
        <w:rPr>
          <w:rFonts w:hint="eastAsia" w:ascii="宋体" w:hAnsi="Times New Roman" w:cs="宋体"/>
          <w:sz w:val="32"/>
          <w:szCs w:val="32"/>
          <w:highlight w:val="none"/>
        </w:rPr>
        <w:t>年度政府采购支出总额</w:t>
      </w:r>
      <w:r>
        <w:rPr>
          <w:rFonts w:ascii="宋体" w:hAnsi="Times New Roman" w:cs="宋体"/>
          <w:sz w:val="32"/>
          <w:szCs w:val="32"/>
          <w:highlight w:val="none"/>
        </w:rPr>
        <w:t>33.15</w:t>
      </w:r>
      <w:r>
        <w:rPr>
          <w:rFonts w:hint="eastAsia" w:ascii="宋体" w:hAnsi="Times New Roman" w:cs="宋体"/>
          <w:sz w:val="32"/>
          <w:szCs w:val="32"/>
          <w:highlight w:val="none"/>
        </w:rPr>
        <w:t>万元，其中：政府采购货物支出</w:t>
      </w:r>
      <w:r>
        <w:rPr>
          <w:rFonts w:ascii="宋体" w:hAnsi="Times New Roman" w:cs="宋体"/>
          <w:sz w:val="32"/>
          <w:szCs w:val="32"/>
          <w:highlight w:val="none"/>
        </w:rPr>
        <w:t>4.75</w:t>
      </w:r>
      <w:r>
        <w:rPr>
          <w:rFonts w:hint="eastAsia" w:ascii="宋体" w:hAnsi="Times New Roman" w:cs="宋体"/>
          <w:sz w:val="32"/>
          <w:szCs w:val="32"/>
          <w:highlight w:val="none"/>
        </w:rPr>
        <w:t>万元；政府采购工程支出</w:t>
      </w:r>
      <w:r>
        <w:rPr>
          <w:rFonts w:ascii="宋体" w:hAnsi="Times New Roman" w:cs="宋体"/>
          <w:sz w:val="32"/>
          <w:szCs w:val="32"/>
          <w:highlight w:val="none"/>
        </w:rPr>
        <w:t>26.69</w:t>
      </w:r>
      <w:r>
        <w:rPr>
          <w:rFonts w:hint="eastAsia" w:ascii="宋体" w:hAnsi="Times New Roman" w:cs="宋体"/>
          <w:sz w:val="32"/>
          <w:szCs w:val="32"/>
          <w:highlight w:val="none"/>
        </w:rPr>
        <w:t>万元；政府采购服务支出</w:t>
      </w:r>
      <w:r>
        <w:rPr>
          <w:rFonts w:ascii="宋体" w:hAnsi="Times New Roman" w:cs="宋体"/>
          <w:sz w:val="32"/>
          <w:szCs w:val="32"/>
          <w:highlight w:val="none"/>
        </w:rPr>
        <w:t>1.7</w:t>
      </w:r>
      <w:r>
        <w:rPr>
          <w:rFonts w:hint="eastAsia" w:ascii="宋体" w:hAnsi="Times New Roman" w:cs="宋体"/>
          <w:sz w:val="32"/>
          <w:szCs w:val="32"/>
          <w:highlight w:val="none"/>
        </w:rPr>
        <w:t>万元；授予中小企业合同金额</w:t>
      </w:r>
      <w:r>
        <w:rPr>
          <w:rFonts w:ascii="宋体" w:hAnsi="Times New Roman" w:cs="宋体"/>
          <w:sz w:val="32"/>
          <w:szCs w:val="32"/>
          <w:highlight w:val="none"/>
        </w:rPr>
        <w:t>33.15</w:t>
      </w:r>
      <w:r>
        <w:rPr>
          <w:rFonts w:hint="eastAsia" w:ascii="宋体" w:hAnsi="Times New Roman" w:cs="宋体"/>
          <w:sz w:val="32"/>
          <w:szCs w:val="32"/>
          <w:highlight w:val="none"/>
        </w:rPr>
        <w:t>万元，占政府采购支出总额的</w:t>
      </w:r>
      <w:r>
        <w:rPr>
          <w:rFonts w:ascii="宋体" w:hAnsi="Times New Roman" w:cs="宋体"/>
          <w:sz w:val="32"/>
          <w:szCs w:val="32"/>
          <w:highlight w:val="none"/>
        </w:rPr>
        <w:t>100%</w:t>
      </w:r>
      <w:r>
        <w:rPr>
          <w:rFonts w:hint="eastAsia" w:ascii="宋体" w:hAnsi="Times New Roman" w:cs="宋体"/>
          <w:sz w:val="32"/>
          <w:szCs w:val="32"/>
          <w:highlight w:val="none"/>
        </w:rPr>
        <w:t>，</w:t>
      </w:r>
    </w:p>
    <w:p w14:paraId="626E7C68">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宋体" w:hAnsi="Times New Roman" w:cs="宋体"/>
          <w:sz w:val="32"/>
          <w:szCs w:val="32"/>
          <w:highlight w:val="none"/>
        </w:rPr>
      </w:pPr>
      <w:r>
        <w:rPr>
          <w:rFonts w:hint="eastAsia" w:ascii="宋体" w:hAnsi="Times New Roman" w:cs="宋体"/>
          <w:sz w:val="32"/>
          <w:szCs w:val="32"/>
          <w:highlight w:val="none"/>
        </w:rPr>
        <w:t>其中：授予小微企业合同金额</w:t>
      </w:r>
      <w:r>
        <w:rPr>
          <w:rFonts w:ascii="宋体" w:hAnsi="Times New Roman" w:cs="宋体"/>
          <w:sz w:val="32"/>
          <w:szCs w:val="32"/>
          <w:highlight w:val="none"/>
        </w:rPr>
        <w:t>33.15</w:t>
      </w:r>
      <w:r>
        <w:rPr>
          <w:rFonts w:hint="eastAsia" w:ascii="宋体" w:hAnsi="Times New Roman" w:cs="宋体"/>
          <w:sz w:val="32"/>
          <w:szCs w:val="32"/>
          <w:highlight w:val="none"/>
        </w:rPr>
        <w:t>万元，占授予中小企业合同金额的</w:t>
      </w:r>
      <w:r>
        <w:rPr>
          <w:rFonts w:ascii="宋体" w:hAnsi="Times New Roman" w:cs="宋体"/>
          <w:sz w:val="32"/>
          <w:szCs w:val="32"/>
          <w:highlight w:val="none"/>
        </w:rPr>
        <w:t>100%</w:t>
      </w:r>
      <w:r>
        <w:rPr>
          <w:rFonts w:hint="eastAsia" w:ascii="宋体" w:hAnsi="Times New Roman" w:cs="宋体"/>
          <w:sz w:val="32"/>
          <w:szCs w:val="32"/>
          <w:highlight w:val="none"/>
        </w:rPr>
        <w:t>。货物采购授予中小企业合同金额占货物支出金额的</w:t>
      </w:r>
      <w:r>
        <w:rPr>
          <w:rFonts w:ascii="宋体" w:hAnsi="Times New Roman" w:cs="宋体"/>
          <w:sz w:val="32"/>
          <w:szCs w:val="32"/>
          <w:highlight w:val="none"/>
        </w:rPr>
        <w:t>14.33%</w:t>
      </w:r>
      <w:r>
        <w:rPr>
          <w:rFonts w:hint="eastAsia" w:ascii="宋体" w:hAnsi="Times New Roman" w:cs="宋体"/>
          <w:sz w:val="32"/>
          <w:szCs w:val="32"/>
          <w:highlight w:val="none"/>
        </w:rPr>
        <w:t>。工程采购授予中小企业合同金额占工程支出金额的</w:t>
      </w:r>
      <w:r>
        <w:rPr>
          <w:rFonts w:ascii="宋体" w:hAnsi="Times New Roman" w:cs="宋体"/>
          <w:sz w:val="32"/>
          <w:szCs w:val="32"/>
          <w:highlight w:val="none"/>
        </w:rPr>
        <w:t>80.53%</w:t>
      </w:r>
      <w:r>
        <w:rPr>
          <w:rFonts w:hint="eastAsia" w:ascii="宋体" w:hAnsi="Times New Roman" w:cs="宋体"/>
          <w:sz w:val="32"/>
          <w:szCs w:val="32"/>
          <w:highlight w:val="none"/>
        </w:rPr>
        <w:t>。服务采购授予中小企业合同金额占服务支出金额的</w:t>
      </w:r>
      <w:r>
        <w:rPr>
          <w:rFonts w:ascii="宋体" w:hAnsi="Times New Roman" w:cs="宋体"/>
          <w:sz w:val="32"/>
          <w:szCs w:val="32"/>
          <w:highlight w:val="none"/>
        </w:rPr>
        <w:t>5.14%</w:t>
      </w:r>
      <w:r>
        <w:rPr>
          <w:rFonts w:hint="eastAsia" w:ascii="宋体" w:hAnsi="Times New Roman" w:cs="宋体"/>
          <w:sz w:val="32"/>
          <w:szCs w:val="32"/>
          <w:highlight w:val="none"/>
        </w:rPr>
        <w:t>。</w:t>
      </w:r>
    </w:p>
    <w:p w14:paraId="29F8C65F">
      <w:pPr>
        <w:keepNext w:val="0"/>
        <w:keepLines w:val="0"/>
        <w:pageBreakBefore w:val="0"/>
        <w:widowControl w:val="0"/>
        <w:kinsoku/>
        <w:wordWrap/>
        <w:overflowPunct/>
        <w:topLinePunct w:val="0"/>
        <w:autoSpaceDE w:val="0"/>
        <w:autoSpaceDN w:val="0"/>
        <w:bidi w:val="0"/>
        <w:adjustRightInd w:val="0"/>
        <w:snapToGrid/>
        <w:ind w:firstLine="641"/>
        <w:textAlignment w:val="auto"/>
        <w:rPr>
          <w:rFonts w:ascii="黑体" w:hAnsi="Times New Roman" w:eastAsia="黑体" w:cs="黑体"/>
          <w:color w:val="000000"/>
          <w:kern w:val="0"/>
          <w:sz w:val="32"/>
          <w:szCs w:val="32"/>
          <w:highlight w:val="none"/>
        </w:rPr>
      </w:pPr>
      <w:r>
        <w:rPr>
          <w:rFonts w:hint="eastAsia" w:ascii="黑体" w:hAnsi="Times New Roman" w:eastAsia="黑体" w:cs="黑体"/>
          <w:sz w:val="32"/>
          <w:szCs w:val="32"/>
          <w:highlight w:val="none"/>
        </w:rPr>
        <w:t>十三、国有资产占有情况</w:t>
      </w:r>
      <w:r>
        <w:rPr>
          <w:rFonts w:hint="eastAsia" w:ascii="黑体" w:hAnsi="Times New Roman" w:eastAsia="黑体" w:cs="黑体"/>
          <w:color w:val="000000"/>
          <w:kern w:val="0"/>
          <w:sz w:val="32"/>
          <w:szCs w:val="32"/>
          <w:highlight w:val="none"/>
        </w:rPr>
        <w:t>说明</w:t>
      </w:r>
    </w:p>
    <w:p w14:paraId="6F9989B9">
      <w:pPr>
        <w:keepNext w:val="0"/>
        <w:keepLines w:val="0"/>
        <w:pageBreakBefore w:val="0"/>
        <w:widowControl w:val="0"/>
        <w:kinsoku/>
        <w:wordWrap/>
        <w:overflowPunct/>
        <w:topLinePunct w:val="0"/>
        <w:autoSpaceDE w:val="0"/>
        <w:autoSpaceDN w:val="0"/>
        <w:bidi w:val="0"/>
        <w:adjustRightInd w:val="0"/>
        <w:snapToGrid/>
        <w:ind w:firstLine="641"/>
        <w:textAlignment w:val="auto"/>
        <w:rPr>
          <w:rFonts w:cs="Calibri"/>
          <w:szCs w:val="21"/>
          <w:highlight w:val="none"/>
          <w:lang w:val="zh-CN"/>
        </w:rPr>
      </w:pPr>
      <w:r>
        <w:rPr>
          <w:rFonts w:hint="eastAsia" w:ascii="宋体" w:hAnsi="Times New Roman" w:cs="宋体"/>
          <w:sz w:val="32"/>
          <w:szCs w:val="32"/>
          <w:highlight w:val="none"/>
        </w:rPr>
        <w:t>截至</w:t>
      </w:r>
      <w:r>
        <w:rPr>
          <w:rFonts w:ascii="宋体" w:hAnsi="Times New Roman" w:cs="宋体"/>
          <w:sz w:val="32"/>
          <w:szCs w:val="32"/>
          <w:highlight w:val="none"/>
        </w:rPr>
        <w:t>2023</w:t>
      </w:r>
      <w:r>
        <w:rPr>
          <w:rFonts w:hint="eastAsia" w:ascii="宋体" w:hAnsi="Times New Roman" w:cs="宋体"/>
          <w:sz w:val="32"/>
          <w:szCs w:val="32"/>
          <w:highlight w:val="none"/>
        </w:rPr>
        <w:t>年</w:t>
      </w:r>
      <w:r>
        <w:rPr>
          <w:rFonts w:ascii="宋体" w:hAnsi="Times New Roman" w:cs="宋体"/>
          <w:sz w:val="32"/>
          <w:szCs w:val="32"/>
          <w:highlight w:val="none"/>
        </w:rPr>
        <w:t>12</w:t>
      </w:r>
      <w:r>
        <w:rPr>
          <w:rFonts w:hint="eastAsia" w:ascii="宋体" w:hAnsi="Times New Roman" w:cs="宋体"/>
          <w:sz w:val="32"/>
          <w:szCs w:val="32"/>
          <w:highlight w:val="none"/>
        </w:rPr>
        <w:t>月</w:t>
      </w:r>
      <w:r>
        <w:rPr>
          <w:rFonts w:ascii="宋体" w:hAnsi="Times New Roman" w:cs="宋体"/>
          <w:sz w:val="32"/>
          <w:szCs w:val="32"/>
          <w:highlight w:val="none"/>
        </w:rPr>
        <w:t>31</w:t>
      </w:r>
      <w:r>
        <w:rPr>
          <w:rFonts w:hint="eastAsia" w:ascii="宋体" w:hAnsi="Times New Roman" w:cs="宋体"/>
          <w:sz w:val="32"/>
          <w:szCs w:val="32"/>
          <w:highlight w:val="none"/>
        </w:rPr>
        <w:t>日，部门（单位）共有车辆</w:t>
      </w:r>
      <w:r>
        <w:rPr>
          <w:rFonts w:ascii="宋体" w:hAnsi="Times New Roman" w:cs="宋体"/>
          <w:sz w:val="32"/>
          <w:szCs w:val="32"/>
          <w:highlight w:val="none"/>
        </w:rPr>
        <w:t>0</w:t>
      </w:r>
      <w:r>
        <w:rPr>
          <w:rFonts w:hint="eastAsia" w:ascii="宋体" w:hAnsi="Times New Roman" w:cs="宋体"/>
          <w:sz w:val="32"/>
          <w:szCs w:val="32"/>
          <w:highlight w:val="none"/>
        </w:rPr>
        <w:t>辆。单位价值</w:t>
      </w:r>
      <w:r>
        <w:rPr>
          <w:rFonts w:ascii="宋体" w:hAnsi="Times New Roman" w:cs="宋体"/>
          <w:sz w:val="32"/>
          <w:szCs w:val="32"/>
          <w:highlight w:val="none"/>
        </w:rPr>
        <w:t>100</w:t>
      </w:r>
      <w:r>
        <w:rPr>
          <w:rFonts w:hint="eastAsia" w:ascii="宋体" w:hAnsi="Times New Roman" w:cs="宋体"/>
          <w:sz w:val="32"/>
          <w:szCs w:val="32"/>
          <w:highlight w:val="none"/>
        </w:rPr>
        <w:t>万元（含）以上设备</w:t>
      </w:r>
      <w:r>
        <w:rPr>
          <w:rFonts w:ascii="宋体" w:hAnsi="Times New Roman" w:cs="宋体"/>
          <w:sz w:val="32"/>
          <w:szCs w:val="32"/>
          <w:highlight w:val="none"/>
        </w:rPr>
        <w:t>0</w:t>
      </w:r>
      <w:r>
        <w:rPr>
          <w:rFonts w:hint="eastAsia" w:ascii="宋体" w:hAnsi="Times New Roman" w:cs="宋体"/>
          <w:sz w:val="32"/>
          <w:szCs w:val="32"/>
          <w:highlight w:val="none"/>
        </w:rPr>
        <w:t>台（套）。</w:t>
      </w:r>
    </w:p>
    <w:p w14:paraId="52423F72">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黑体" w:eastAsia="黑体" w:cs="黑体"/>
          <w:sz w:val="32"/>
          <w:szCs w:val="32"/>
          <w:highlight w:val="none"/>
        </w:rPr>
      </w:pPr>
      <w:r>
        <w:rPr>
          <w:rFonts w:hint="eastAsia" w:ascii="黑体" w:eastAsia="黑体" w:cs="黑体"/>
          <w:sz w:val="32"/>
          <w:szCs w:val="32"/>
          <w:highlight w:val="none"/>
        </w:rPr>
        <w:t>十</w:t>
      </w:r>
      <w:r>
        <w:rPr>
          <w:rFonts w:hint="eastAsia" w:ascii="黑体" w:eastAsia="黑体" w:cs="黑体"/>
          <w:color w:val="000000"/>
          <w:kern w:val="0"/>
          <w:sz w:val="32"/>
          <w:szCs w:val="32"/>
          <w:highlight w:val="none"/>
        </w:rPr>
        <w:t>四、</w:t>
      </w:r>
      <w:r>
        <w:rPr>
          <w:rFonts w:ascii="黑体" w:eastAsia="黑体" w:cs="黑体"/>
          <w:color w:val="000000"/>
          <w:kern w:val="0"/>
          <w:sz w:val="32"/>
          <w:szCs w:val="32"/>
          <w:highlight w:val="none"/>
        </w:rPr>
        <w:t>2023</w:t>
      </w:r>
      <w:r>
        <w:rPr>
          <w:rFonts w:hint="eastAsia" w:ascii="黑体" w:eastAsia="黑体" w:cs="黑体"/>
          <w:color w:val="000000"/>
          <w:kern w:val="0"/>
          <w:sz w:val="32"/>
          <w:szCs w:val="32"/>
          <w:highlight w:val="none"/>
        </w:rPr>
        <w:t>年度预算绩效情况的说明</w:t>
      </w:r>
    </w:p>
    <w:p w14:paraId="3CF846C8">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b/>
          <w:bCs/>
          <w:kern w:val="0"/>
          <w:sz w:val="32"/>
          <w:szCs w:val="32"/>
          <w:highlight w:val="none"/>
        </w:rPr>
      </w:pPr>
      <w:r>
        <w:rPr>
          <w:rFonts w:hint="eastAsia" w:ascii="宋体" w:cs="宋体"/>
          <w:b/>
          <w:bCs/>
          <w:kern w:val="0"/>
          <w:sz w:val="32"/>
          <w:szCs w:val="32"/>
          <w:highlight w:val="none"/>
        </w:rPr>
        <w:t>（一）</w:t>
      </w:r>
      <w:r>
        <w:rPr>
          <w:rFonts w:hint="eastAsia" w:ascii="宋体" w:hAnsi="宋体"/>
          <w:b/>
          <w:kern w:val="0"/>
          <w:sz w:val="32"/>
          <w:szCs w:val="24"/>
          <w:highlight w:val="none"/>
        </w:rPr>
        <w:t>部门整体支出绩效情况</w:t>
      </w:r>
      <w:r>
        <w:rPr>
          <w:rFonts w:hint="eastAsia" w:ascii="宋体" w:cs="宋体"/>
          <w:b/>
          <w:bCs/>
          <w:kern w:val="0"/>
          <w:sz w:val="32"/>
          <w:szCs w:val="32"/>
          <w:highlight w:val="none"/>
        </w:rPr>
        <w:t>。</w:t>
      </w:r>
    </w:p>
    <w:p w14:paraId="0C4664C6">
      <w:pPr>
        <w:keepNext w:val="0"/>
        <w:keepLines w:val="0"/>
        <w:pageBreakBefore w:val="0"/>
        <w:widowControl w:val="0"/>
        <w:kinsoku/>
        <w:wordWrap/>
        <w:overflowPunct/>
        <w:topLinePunct w:val="0"/>
        <w:autoSpaceDE w:val="0"/>
        <w:autoSpaceDN w:val="0"/>
        <w:bidi w:val="0"/>
        <w:adjustRightInd w:val="0"/>
        <w:snapToGrid/>
        <w:ind w:firstLine="640" w:firstLineChars="200"/>
        <w:jc w:val="left"/>
        <w:textAlignment w:val="auto"/>
        <w:rPr>
          <w:rFonts w:cs="宋体"/>
          <w:kern w:val="0"/>
          <w:sz w:val="32"/>
          <w:szCs w:val="32"/>
          <w:highlight w:val="none"/>
        </w:rPr>
      </w:pPr>
      <w:r>
        <w:rPr>
          <w:rFonts w:ascii="宋体" w:hAnsi="宋体" w:cs="宋体"/>
          <w:kern w:val="0"/>
          <w:sz w:val="32"/>
          <w:szCs w:val="32"/>
          <w:highlight w:val="none"/>
        </w:rPr>
        <w:t>为贯彻落实《中共中央国务院关于全面实施预算绩效管理的意见》的精神，落实《关于开展202</w:t>
      </w:r>
      <w:r>
        <w:rPr>
          <w:rFonts w:hint="eastAsia" w:ascii="宋体" w:hAnsi="宋体" w:cs="宋体"/>
          <w:kern w:val="0"/>
          <w:sz w:val="32"/>
          <w:szCs w:val="32"/>
          <w:highlight w:val="none"/>
        </w:rPr>
        <w:t>3</w:t>
      </w:r>
      <w:r>
        <w:rPr>
          <w:rFonts w:ascii="宋体" w:hAnsi="宋体" w:cs="宋体"/>
          <w:kern w:val="0"/>
          <w:sz w:val="32"/>
          <w:szCs w:val="32"/>
          <w:highlight w:val="none"/>
        </w:rPr>
        <w:t>年度财政预算支出绩效自评工作的通知》的要求，我部门积极组织开展202</w:t>
      </w:r>
      <w:r>
        <w:rPr>
          <w:rFonts w:hint="eastAsia" w:ascii="宋体" w:hAnsi="宋体" w:cs="宋体"/>
          <w:kern w:val="0"/>
          <w:sz w:val="32"/>
          <w:szCs w:val="32"/>
          <w:highlight w:val="none"/>
        </w:rPr>
        <w:t>3</w:t>
      </w:r>
      <w:r>
        <w:rPr>
          <w:rFonts w:ascii="宋体" w:hAnsi="宋体" w:cs="宋体"/>
          <w:kern w:val="0"/>
          <w:sz w:val="32"/>
          <w:szCs w:val="32"/>
          <w:highlight w:val="none"/>
        </w:rPr>
        <w:t>年度整体支出绩效自评工作，强化财政支出绩效理念和责任意识，以切实提高财政资金使用效益。</w:t>
      </w:r>
    </w:p>
    <w:p w14:paraId="52E4610D">
      <w:pPr>
        <w:keepNext w:val="0"/>
        <w:keepLines w:val="0"/>
        <w:pageBreakBefore w:val="0"/>
        <w:widowControl w:val="0"/>
        <w:kinsoku/>
        <w:wordWrap/>
        <w:overflowPunct/>
        <w:topLinePunct w:val="0"/>
        <w:autoSpaceDE w:val="0"/>
        <w:autoSpaceDN w:val="0"/>
        <w:bidi w:val="0"/>
        <w:adjustRightInd w:val="0"/>
        <w:snapToGrid/>
        <w:ind w:firstLine="640" w:firstLineChars="200"/>
        <w:jc w:val="left"/>
        <w:textAlignment w:val="auto"/>
        <w:rPr>
          <w:rFonts w:cs="宋体"/>
          <w:kern w:val="0"/>
          <w:sz w:val="32"/>
          <w:szCs w:val="32"/>
          <w:highlight w:val="none"/>
        </w:rPr>
      </w:pPr>
      <w:r>
        <w:rPr>
          <w:rFonts w:ascii="宋体" w:hAnsi="宋体" w:cs="宋体"/>
          <w:kern w:val="0"/>
          <w:sz w:val="32"/>
          <w:szCs w:val="32"/>
          <w:highlight w:val="none"/>
        </w:rPr>
        <w:t>部门开展整体支出绩效评价，涉及一般公共预算支</w:t>
      </w:r>
      <w:r>
        <w:rPr>
          <w:rFonts w:hint="eastAsia" w:ascii="宋体" w:hAnsi="宋体"/>
          <w:sz w:val="32"/>
          <w:szCs w:val="24"/>
          <w:highlight w:val="none"/>
        </w:rPr>
        <w:t>3024.68</w:t>
      </w:r>
      <w:r>
        <w:rPr>
          <w:rFonts w:ascii="宋体" w:hAnsi="宋体" w:cs="宋体"/>
          <w:kern w:val="0"/>
          <w:sz w:val="32"/>
          <w:szCs w:val="32"/>
          <w:highlight w:val="none"/>
        </w:rPr>
        <w:t>万元，政府性基金预算支出</w:t>
      </w:r>
      <w:r>
        <w:rPr>
          <w:rFonts w:hint="eastAsia" w:ascii="宋体" w:cs="宋体"/>
          <w:sz w:val="32"/>
          <w:szCs w:val="32"/>
          <w:highlight w:val="none"/>
        </w:rPr>
        <w:t>244.06</w:t>
      </w:r>
      <w:r>
        <w:rPr>
          <w:rFonts w:ascii="宋体" w:hAnsi="宋体" w:cs="宋体"/>
          <w:kern w:val="0"/>
          <w:sz w:val="32"/>
          <w:szCs w:val="32"/>
          <w:highlight w:val="none"/>
        </w:rPr>
        <w:t>万元，国有资本经营预算支出</w:t>
      </w:r>
      <w:r>
        <w:rPr>
          <w:rFonts w:ascii="宋体" w:hAnsi="Times New Roman" w:cs="宋体"/>
          <w:sz w:val="32"/>
          <w:szCs w:val="32"/>
          <w:highlight w:val="none"/>
        </w:rPr>
        <w:t>0</w:t>
      </w:r>
      <w:r>
        <w:rPr>
          <w:rFonts w:ascii="宋体" w:hAnsi="宋体" w:cs="宋体"/>
          <w:kern w:val="0"/>
          <w:sz w:val="32"/>
          <w:szCs w:val="32"/>
          <w:highlight w:val="none"/>
        </w:rPr>
        <w:t>万元</w:t>
      </w:r>
      <w:r>
        <w:rPr>
          <w:rFonts w:cs="宋体"/>
          <w:kern w:val="0"/>
          <w:sz w:val="32"/>
          <w:szCs w:val="32"/>
          <w:highlight w:val="none"/>
        </w:rPr>
        <w:t>,</w:t>
      </w:r>
      <w:r>
        <w:rPr>
          <w:rFonts w:ascii="宋体" w:hAnsi="宋体" w:cs="宋体"/>
          <w:kern w:val="0"/>
          <w:sz w:val="32"/>
          <w:szCs w:val="32"/>
          <w:highlight w:val="none"/>
        </w:rPr>
        <w:t xml:space="preserve"> 合计</w:t>
      </w:r>
      <w:r>
        <w:rPr>
          <w:rFonts w:hint="eastAsia" w:ascii="宋体" w:hAnsi="宋体"/>
          <w:sz w:val="32"/>
          <w:szCs w:val="24"/>
          <w:highlight w:val="none"/>
        </w:rPr>
        <w:t>3268.74</w:t>
      </w:r>
      <w:r>
        <w:rPr>
          <w:rFonts w:ascii="宋体" w:hAnsi="宋体" w:cs="宋体"/>
          <w:kern w:val="0"/>
          <w:sz w:val="32"/>
          <w:szCs w:val="32"/>
          <w:highlight w:val="none"/>
        </w:rPr>
        <w:t>万元，其中：</w:t>
      </w:r>
      <w:r>
        <w:rPr>
          <w:rFonts w:ascii="宋体" w:cs="宋体"/>
          <w:sz w:val="32"/>
          <w:szCs w:val="32"/>
          <w:highlight w:val="none"/>
        </w:rPr>
        <w:t>基本支出</w:t>
      </w:r>
      <w:r>
        <w:rPr>
          <w:rFonts w:hint="eastAsia" w:ascii="宋体" w:cs="宋体"/>
          <w:sz w:val="32"/>
          <w:szCs w:val="32"/>
          <w:highlight w:val="none"/>
          <w:lang w:val="zh-CN"/>
        </w:rPr>
        <w:t>1429.57</w:t>
      </w:r>
      <w:r>
        <w:rPr>
          <w:rFonts w:ascii="宋体" w:cs="宋体"/>
          <w:sz w:val="32"/>
          <w:szCs w:val="32"/>
          <w:highlight w:val="none"/>
          <w:lang w:val="zh-CN"/>
        </w:rPr>
        <w:t>万元，</w:t>
      </w:r>
      <w:r>
        <w:rPr>
          <w:rFonts w:ascii="宋体" w:cs="宋体"/>
          <w:sz w:val="32"/>
          <w:szCs w:val="32"/>
          <w:highlight w:val="none"/>
        </w:rPr>
        <w:t>占</w:t>
      </w:r>
      <w:r>
        <w:rPr>
          <w:rFonts w:hint="eastAsia" w:ascii="宋体" w:cs="宋体"/>
          <w:sz w:val="32"/>
          <w:szCs w:val="32"/>
          <w:highlight w:val="none"/>
        </w:rPr>
        <w:t>43.73</w:t>
      </w:r>
      <w:r>
        <w:rPr>
          <w:rFonts w:ascii="宋体" w:cs="宋体"/>
          <w:sz w:val="32"/>
          <w:szCs w:val="32"/>
          <w:highlight w:val="none"/>
        </w:rPr>
        <w:t>%；项目支出</w:t>
      </w:r>
      <w:r>
        <w:rPr>
          <w:rFonts w:hint="eastAsia" w:ascii="宋体" w:cs="宋体"/>
          <w:sz w:val="32"/>
          <w:szCs w:val="32"/>
          <w:highlight w:val="none"/>
        </w:rPr>
        <w:t>1839.17</w:t>
      </w:r>
      <w:r>
        <w:rPr>
          <w:rFonts w:ascii="宋体" w:cs="宋体"/>
          <w:sz w:val="32"/>
          <w:szCs w:val="32"/>
          <w:highlight w:val="none"/>
        </w:rPr>
        <w:t>万元，占</w:t>
      </w:r>
      <w:r>
        <w:rPr>
          <w:rFonts w:hint="eastAsia" w:ascii="宋体" w:cs="宋体"/>
          <w:sz w:val="32"/>
          <w:szCs w:val="32"/>
          <w:highlight w:val="none"/>
        </w:rPr>
        <w:t>56.27</w:t>
      </w:r>
      <w:r>
        <w:rPr>
          <w:rFonts w:ascii="宋体" w:cs="宋体"/>
          <w:sz w:val="32"/>
          <w:szCs w:val="32"/>
          <w:highlight w:val="none"/>
        </w:rPr>
        <w:t>%</w:t>
      </w:r>
      <w:r>
        <w:rPr>
          <w:rFonts w:ascii="宋体" w:hAnsi="宋体" w:cs="宋体"/>
          <w:kern w:val="0"/>
          <w:sz w:val="32"/>
          <w:szCs w:val="32"/>
          <w:highlight w:val="none"/>
        </w:rPr>
        <w:t>。通过成立评价小组，依据相关政策规定、部门职能职责、年度工作计划、专项资金绩效目标及专项资金管理办法，对202</w:t>
      </w:r>
      <w:r>
        <w:rPr>
          <w:rFonts w:hint="eastAsia" w:ascii="宋体" w:hAnsi="宋体" w:cs="宋体"/>
          <w:kern w:val="0"/>
          <w:sz w:val="32"/>
          <w:szCs w:val="32"/>
          <w:highlight w:val="none"/>
        </w:rPr>
        <w:t>3</w:t>
      </w:r>
      <w:r>
        <w:rPr>
          <w:rFonts w:ascii="宋体" w:hAnsi="宋体" w:cs="宋体"/>
          <w:kern w:val="0"/>
          <w:sz w:val="32"/>
          <w:szCs w:val="32"/>
          <w:highlight w:val="none"/>
        </w:rPr>
        <w:t>年度预算配置、预算执行、预算管理、资产管理、职责履行等指标完成情况、效益情况进行自评。</w:t>
      </w:r>
    </w:p>
    <w:p w14:paraId="3E8B056B">
      <w:pPr>
        <w:keepNext w:val="0"/>
        <w:keepLines w:val="0"/>
        <w:pageBreakBefore w:val="0"/>
        <w:widowControl w:val="0"/>
        <w:kinsoku/>
        <w:wordWrap/>
        <w:overflowPunct/>
        <w:topLinePunct w:val="0"/>
        <w:autoSpaceDE w:val="0"/>
        <w:autoSpaceDN w:val="0"/>
        <w:bidi w:val="0"/>
        <w:adjustRightInd w:val="0"/>
        <w:snapToGrid/>
        <w:ind w:firstLine="640" w:firstLineChars="200"/>
        <w:jc w:val="left"/>
        <w:textAlignment w:val="auto"/>
        <w:rPr>
          <w:rFonts w:cs="宋体"/>
          <w:kern w:val="0"/>
          <w:sz w:val="32"/>
          <w:szCs w:val="32"/>
          <w:highlight w:val="none"/>
        </w:rPr>
      </w:pPr>
      <w:r>
        <w:rPr>
          <w:rFonts w:ascii="宋体" w:hAnsi="宋体" w:cs="宋体"/>
          <w:kern w:val="0"/>
          <w:sz w:val="32"/>
          <w:szCs w:val="32"/>
          <w:highlight w:val="none"/>
        </w:rPr>
        <w:t>从评价情况来看，单位根据年初工作规划和重点工作，围绕县委、县政府的工作部署，积极履行职责，强化管理，较好地完成了年度工作目标，同时加强预算收支的管理，建立健全内部管理制度，严格内部管理流程，严控三公经费，厉行节约压减一般性支出，部门整体支出管理得到了提升。通过整体绩效评价结果显示，202</w:t>
      </w:r>
      <w:r>
        <w:rPr>
          <w:rFonts w:hint="eastAsia" w:ascii="宋体" w:hAnsi="宋体" w:cs="宋体"/>
          <w:kern w:val="0"/>
          <w:sz w:val="32"/>
          <w:szCs w:val="32"/>
          <w:highlight w:val="none"/>
        </w:rPr>
        <w:t>3</w:t>
      </w:r>
      <w:r>
        <w:rPr>
          <w:rFonts w:ascii="宋体" w:hAnsi="宋体" w:cs="宋体"/>
          <w:kern w:val="0"/>
          <w:sz w:val="32"/>
          <w:szCs w:val="32"/>
          <w:highlight w:val="none"/>
        </w:rPr>
        <w:t>年度整体绩效目标完成情况较好。</w:t>
      </w:r>
    </w:p>
    <w:p w14:paraId="0C60B74B">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b/>
          <w:bCs/>
          <w:kern w:val="0"/>
          <w:sz w:val="32"/>
          <w:szCs w:val="32"/>
          <w:highlight w:val="none"/>
        </w:rPr>
      </w:pPr>
      <w:r>
        <w:rPr>
          <w:rFonts w:hint="eastAsia" w:ascii="宋体" w:cs="宋体"/>
          <w:b/>
          <w:bCs/>
          <w:kern w:val="0"/>
          <w:sz w:val="32"/>
          <w:szCs w:val="32"/>
          <w:highlight w:val="none"/>
        </w:rPr>
        <w:t>（二）</w:t>
      </w:r>
      <w:r>
        <w:rPr>
          <w:rFonts w:hint="eastAsia" w:ascii="宋体" w:hAnsi="宋体"/>
          <w:b/>
          <w:kern w:val="0"/>
          <w:sz w:val="32"/>
          <w:szCs w:val="24"/>
          <w:highlight w:val="none"/>
        </w:rPr>
        <w:t>存在的问题及原因分析</w:t>
      </w:r>
      <w:r>
        <w:rPr>
          <w:rFonts w:hint="eastAsia" w:ascii="宋体" w:cs="宋体"/>
          <w:b/>
          <w:bCs/>
          <w:kern w:val="0"/>
          <w:sz w:val="32"/>
          <w:szCs w:val="32"/>
          <w:highlight w:val="none"/>
        </w:rPr>
        <w:t>。</w:t>
      </w:r>
    </w:p>
    <w:p w14:paraId="1CAAA953">
      <w:pPr>
        <w:keepNext w:val="0"/>
        <w:keepLines w:val="0"/>
        <w:pageBreakBefore w:val="0"/>
        <w:widowControl w:val="0"/>
        <w:kinsoku/>
        <w:wordWrap/>
        <w:overflowPunct/>
        <w:topLinePunct w:val="0"/>
        <w:autoSpaceDE w:val="0"/>
        <w:autoSpaceDN w:val="0"/>
        <w:bidi w:val="0"/>
        <w:adjustRightInd w:val="0"/>
        <w:snapToGrid/>
        <w:ind w:firstLine="640" w:firstLineChars="200"/>
        <w:jc w:val="left"/>
        <w:textAlignment w:val="auto"/>
        <w:rPr>
          <w:rFonts w:ascii="宋体" w:cs="宋体"/>
          <w:kern w:val="0"/>
          <w:sz w:val="32"/>
          <w:szCs w:val="32"/>
          <w:highlight w:val="none"/>
        </w:rPr>
      </w:pPr>
      <w:r>
        <w:rPr>
          <w:rFonts w:ascii="宋体" w:cs="宋体"/>
          <w:kern w:val="0"/>
          <w:sz w:val="32"/>
          <w:szCs w:val="32"/>
          <w:highlight w:val="none"/>
        </w:rPr>
        <w:t>一是进一步加强厉行节约机制，提高单位三保支出的保障能力。</w:t>
      </w:r>
    </w:p>
    <w:p w14:paraId="5DB6A3E5">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宋体" w:cs="宋体"/>
          <w:b/>
          <w:bCs/>
          <w:kern w:val="0"/>
          <w:sz w:val="32"/>
          <w:szCs w:val="32"/>
          <w:highlight w:val="none"/>
        </w:rPr>
      </w:pPr>
      <w:r>
        <w:rPr>
          <w:rFonts w:ascii="宋体" w:cs="宋体"/>
          <w:kern w:val="0"/>
          <w:sz w:val="32"/>
          <w:szCs w:val="32"/>
          <w:highlight w:val="none"/>
        </w:rPr>
        <w:t>二是预算编制与实际支出项目有的存在差异，有待进一步优化预算，提高预算编制的准确性。</w:t>
      </w:r>
    </w:p>
    <w:p w14:paraId="73ADF42E">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Times New Roman" w:hAnsi="Times New Roman" w:eastAsia="黑体"/>
          <w:sz w:val="32"/>
          <w:szCs w:val="32"/>
          <w:highlight w:val="none"/>
        </w:rPr>
      </w:pPr>
      <w:r>
        <w:rPr>
          <w:rFonts w:hint="eastAsia" w:ascii="黑体" w:eastAsia="黑体" w:cs="黑体"/>
          <w:sz w:val="32"/>
          <w:szCs w:val="32"/>
          <w:highlight w:val="none"/>
        </w:rPr>
        <w:t>第四部分</w:t>
      </w:r>
      <w:r>
        <w:rPr>
          <w:rFonts w:ascii="黑体" w:eastAsia="黑体" w:cs="黑体"/>
          <w:sz w:val="32"/>
          <w:szCs w:val="32"/>
          <w:highlight w:val="none"/>
        </w:rPr>
        <w:t xml:space="preserve"> </w:t>
      </w:r>
      <w:r>
        <w:rPr>
          <w:rFonts w:hint="eastAsia" w:ascii="黑体" w:eastAsia="黑体" w:cs="黑体"/>
          <w:sz w:val="32"/>
          <w:szCs w:val="32"/>
          <w:highlight w:val="none"/>
        </w:rPr>
        <w:t>名词解释</w:t>
      </w:r>
    </w:p>
    <w:p w14:paraId="00B228C3">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财政拨款收入：指本级财政当年拨付的资金。</w:t>
      </w:r>
    </w:p>
    <w:p w14:paraId="4E469B5C">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政府性基金预算财政拨款收入：指本级财政当年拨付的政府性基金预算资金。</w:t>
      </w:r>
    </w:p>
    <w:p w14:paraId="586C698C">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一般公共服务支出（类）：是指用于人大、政协、政府办公厅（室）及相关机构事务、发展与改革事务、统计信息事务、财政事务、税收事务、审计事务、人力资源事务、纪检监察事务、商贸事务、工商行政管理事务、质量技术监督与检验检疫事务、民族事务、档案事务、民主党派及工商联事务、群众团体事务、党委办公厅（室）及相关机构事务、组织事务、宣传事务、统战事务、其他一般公共服务等方面的支出，包括保障机构正常运转、完成日常和特定的工作任务或事业发展目标的支出。</w:t>
      </w:r>
    </w:p>
    <w:p w14:paraId="13D320BC">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国防支出（类）：国防支出由直接国防支出和间接国防支出两部分组成。直接国防支出，是指国家预算中的国防支出，主要包括军事人员的经费与训练费、武器装备和军事活动器材的购置费、军事工程设施的建筑费、军事活动经费、军事科学研究与试验经费、军事院校教育经费等; 间接国防支出，是指包括在国家预算其他科目中具有国防性质的支出内容，如西方发达国家政府预算中的国际事务支出、宇宙航行及其技术支出、战略与关键物资的储备支出、退伍军人的福利与服务支出、国防公路系统支出、国债利息支出等。在这些支出中，有的直接具有国防支出的性质，有的直接或间接对国家安全发挥作用，有的被立法机构认为是国家安全所必需的，有的则是过去战争或军事开支的延续开支。</w:t>
      </w:r>
    </w:p>
    <w:p w14:paraId="1971E8DD">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教育支出（类）：是指用于政府教育事务支出，包括保障机构正常运转、完成日常和特定的工作任务或事业发展目标的支出。</w:t>
      </w:r>
    </w:p>
    <w:p w14:paraId="1FCB3460">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文化体育与传媒支出（类）：是指用于文化、文物、体育、新闻出版广播影视等方面的支出，包括保障机构正常运转、完成日常和特定的工作任务或事业发展目标的支出。</w:t>
      </w:r>
    </w:p>
    <w:p w14:paraId="4E16EAB7">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社会保障和就业支出（类）：是指用于社会保障和就业方面的支出，包括保障机构正常运转、完成日常和特定的工作任务或事业发展目标的支出。归口管理的行政单位离退休，指离退休人员管理机构统一管理的机关离退休人员的经费。</w:t>
      </w:r>
    </w:p>
    <w:p w14:paraId="2550B37F">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卫生健康支出（类）：是指用于医疗卫生与计划生育方面的支出，包括保障机构正常运转、完成日常和特定的工作任务或事业发展目标的支出。</w:t>
      </w:r>
    </w:p>
    <w:p w14:paraId="54E729AC">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节能环保支出（类）：是指用于节能环保支出，包括保障机构正常运转、完成日常和特定的工作任务或事业发展目标的支出。</w:t>
      </w:r>
    </w:p>
    <w:p w14:paraId="20DF7890">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城乡社区支出（类）：是指用于城乡社区事务支出，包括保障机构正常运转、完成日常和特定的工作任务或事业发展目标的支出。</w:t>
      </w:r>
    </w:p>
    <w:p w14:paraId="358AC435">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农林水支出（类）：是指用于农林水事务支出，包括保障机构正常运转、完成日常和特定的工作任务或事业发展目标的支出。</w:t>
      </w:r>
    </w:p>
    <w:p w14:paraId="2C7B3E06">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交通运输支出（类）：是指用于交通运输和邮政业方面的支出，包括保障机构正常运转、完成日常和特定的工作任务或事业发展目标的支出。</w:t>
      </w:r>
    </w:p>
    <w:p w14:paraId="0340FC93">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自然资源海洋气象等支出（类）：是指用于自然资源、海洋、测绘、气象等公益服务事业方面的支出，包括保障机构正常运转、完成日常和特定的工作任务或事业发展目标的支出。</w:t>
      </w:r>
    </w:p>
    <w:p w14:paraId="1C9B80BE">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粮油物资储备支出（类）：是指用于粮油物资储备方面的支出，包括保障机构正常运转、完成日常和特定的工作任务或事业发展目标的支出。</w:t>
      </w:r>
    </w:p>
    <w:p w14:paraId="6F71098A">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其他支出（类）：是指用于反映除上述项目以外其他不能划分到具体功能科目中的支出项目，包括保障机构正常运转、完成日常和特定的工作任务或事业发展目标的支出。</w:t>
      </w:r>
    </w:p>
    <w:p w14:paraId="331F8DA3">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基本支出：指保障机构正常运转、完成支日常工作任务而发生的人员支出和公用支出。</w:t>
      </w:r>
    </w:p>
    <w:p w14:paraId="1B32214D">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项目支出：指在基本支出之外为完成特定行政任务和事业发展目标所发生的支出。</w:t>
      </w:r>
    </w:p>
    <w:p w14:paraId="51C20120">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三公”经费：指用财政拨款安排的因公出国（境）费、公务用车购置及运行费和公务接待费。其中，因公出国（境）费反映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41ADF5E4">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工资福利支出：反映单位开支的在职职工和编制外长期聘用人员的各类劳动报酬，以及为上述人员缴纳的各项社会保险费等。</w:t>
      </w:r>
    </w:p>
    <w:p w14:paraId="5D8D8A6B">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基本工资：反映按规定发放的基本工资，包括公务员的职务工资、级别工资；机关工人的岗位工资、技术等级工资；事业单位工作人员的岗位工资、薪级工资；各类学校毕业生试用期(见习期)工资、新参加工作工人学徒期、熟练期工资；军队（武警）军官、文职干部的职务（专业技术等级）工资、军衔（级别）工资、基础工资和军龄工资；军队士官的军衔等级工资、基础工资和军龄工资等。</w:t>
      </w:r>
    </w:p>
    <w:p w14:paraId="38779542">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津贴补贴：反映经国家批准建立的机关事业单位艰苦边远地区津贴、机关工作人员地区附加津贴、机关工作人员岗位津贴、事业单位工作人员特殊岗位津贴补贴等。</w:t>
      </w:r>
    </w:p>
    <w:p w14:paraId="1A580EC2">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绩效工资：反映事业单位工作人员的绩效工资。</w:t>
      </w:r>
    </w:p>
    <w:p w14:paraId="4991327A">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机关事业单位基本养老保险缴费：反映机关事业单位缴纳的基本养老保险费。由单位代扣的工作人员基本养老保险缴费，不在此科目反映。</w:t>
      </w:r>
    </w:p>
    <w:p w14:paraId="1C83C921">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职工基本医疗保险缴费：反映单位为职工缴纳的基本医疗保险费。</w:t>
      </w:r>
    </w:p>
    <w:p w14:paraId="58D84C5C">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其他社会保障缴费：反映单位为职工缴纳的基本医疗、失业、工伤、生育等社会保险费，残疾人就业保障金，军队（含武警）为军人缴纳的伤亡、退役医疗等社会保险费。</w:t>
      </w:r>
    </w:p>
    <w:p w14:paraId="47F17F47">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住房公积金：反映行政事业单位按人力资源和社会保障部、财政部规定的基本工资和津贴补贴以及规定比例为职工缴纳的住房公积金。</w:t>
      </w:r>
    </w:p>
    <w:p w14:paraId="6F56786D">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其他工资福利支出：反映上述项目未包括的人员支出，如各种加班工资、病假两个月以上期间的人员工资、编制外长期聘用人员，公务员及参照和依照公务员制度管理的单位工作人员转入企业工作并按规定参加企业职工基本养老保险后给予的一次性补贴等。</w:t>
      </w:r>
    </w:p>
    <w:p w14:paraId="788AA2BD">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商品和服务支出：反映单位购买商品和服务的支出（不包括用于购置固定资产的支出、战略性和应急储备支出）。</w:t>
      </w:r>
    </w:p>
    <w:p w14:paraId="0C81AC6F">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办公费：反映单位购买按财务会计制度规定不符合固定资产确认标准的日常办公用品、书报杂志等支出。</w:t>
      </w:r>
    </w:p>
    <w:p w14:paraId="37C6A5A9">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印刷费：反映单位的印刷费支出。</w:t>
      </w:r>
    </w:p>
    <w:p w14:paraId="3F445D3B">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水费：反映单位支付的水费、污水处理费等支出。</w:t>
      </w:r>
    </w:p>
    <w:p w14:paraId="5FFF82EE">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电费：反映单位的电费支出。</w:t>
      </w:r>
    </w:p>
    <w:p w14:paraId="0B060499">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邮电费：反映单位开支的信函、包裹、货物等物品的邮寄费及电话费、电报费、传真费、网络通讯费等。</w:t>
      </w:r>
    </w:p>
    <w:p w14:paraId="2BD048C1">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差旅费：反映单位工作人员出差发生的城市间交通费、住宿费、伙食补贴费和市内交通费。</w:t>
      </w:r>
    </w:p>
    <w:p w14:paraId="43B75A81">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维修(护)费：反映单位日常开支的固定资产（不包括车船等交通工具）修理和维护费用，网络信息系统运行与维护费用，以及按规定提取的修购基金。</w:t>
      </w:r>
    </w:p>
    <w:p w14:paraId="199A3ECC">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公务接待费：反映单位按规定开支的各类公务接待（含外宾接待）费用。</w:t>
      </w:r>
    </w:p>
    <w:p w14:paraId="1D4CDCE9">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专用材料费：反映单位购买日常专用材料的支出。具体包括药品及医疗耗材，农用材料，兽医用品，实验室用品，专用服装，消耗性体育用品，专用工具和仪器，艺术部门专用材料和用品，广播电视台发射台发射机的电力、材料等方面的支出。</w:t>
      </w:r>
    </w:p>
    <w:p w14:paraId="563BB320">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劳务费：反映支付给单位和个人的劳务费用，如临时聘用人员、钟点工工资，稿费、翻译费，评审费等。</w:t>
      </w:r>
    </w:p>
    <w:p w14:paraId="34BFEAA5">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工会经费：反映单位按规定提取的工会经费。</w:t>
      </w:r>
    </w:p>
    <w:p w14:paraId="7397F46F">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福利费：反映单位按规定提取的福利费。</w:t>
      </w:r>
    </w:p>
    <w:p w14:paraId="67ED88A4">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其他交通费用：反映单位除公务用车运行维护费以外的其他交通费用。如公务交通补贴，租车费用、出租车费用，飞机、船舶等的燃料费、维修费、保险费等。</w:t>
      </w:r>
    </w:p>
    <w:p w14:paraId="5DA7D547">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其他商品和服务支出：反映上述科目未包括的日常公用支出。如行政赔偿费和诉讼费、国内组织的会员费、来访费、广告宣传、其他劳务费及离休人员特需费、公用经费等。</w:t>
      </w:r>
    </w:p>
    <w:p w14:paraId="266D99D0">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对个人和家庭的补助：反映政府用于对个人和家庭的补助支出。</w:t>
      </w:r>
    </w:p>
    <w:p w14:paraId="0E341E5A">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抚恤金：反映按规定开支的烈士遗属、牺牲病故人员遗属的一次性和定期抚恤金，伤残人员的抚恤金，离退休人员等其他人员的各项抚恤金。</w:t>
      </w:r>
    </w:p>
    <w:p w14:paraId="4161FB33">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生活补助：反映按规定开支的优抚对象定期定量生活补助费，退役军人生活补助费，行政事业单位职工和遗属生活补助，因公负伤等住院治疗、住疗养院期间的伙食补助费，长期赡养人员补助费，由于国家实行退耕还林禁牧舍饲政策补偿给农牧民的现金、粮食支出，对农村党员、复员军人以及村干部的补助支出，看守人员和犯人的伙食费、药费等。</w:t>
      </w:r>
    </w:p>
    <w:p w14:paraId="70D7D3D5">
      <w:pPr>
        <w:keepNext w:val="0"/>
        <w:keepLines w:val="0"/>
        <w:pageBreakBefore w:val="0"/>
        <w:widowControl w:val="0"/>
        <w:kinsoku/>
        <w:wordWrap/>
        <w:overflowPunct/>
        <w:topLinePunct w:val="0"/>
        <w:bidi w:val="0"/>
        <w:snapToGrid/>
        <w:ind w:firstLine="640" w:firstLineChars="200"/>
        <w:jc w:val="left"/>
        <w:textAlignment w:val="auto"/>
        <w:rPr>
          <w:rFonts w:ascii="宋体" w:hAnsi="Times New Roman" w:cs="宋体"/>
          <w:sz w:val="32"/>
          <w:szCs w:val="32"/>
          <w:highlight w:val="none"/>
        </w:rPr>
      </w:pPr>
      <w:r>
        <w:rPr>
          <w:rFonts w:hint="eastAsia" w:ascii="宋体" w:hAnsi="Times New Roman" w:cs="宋体"/>
          <w:sz w:val="32"/>
          <w:szCs w:val="32"/>
          <w:highlight w:val="none"/>
        </w:rPr>
        <w:t>奖励金：反映政府各部门的奖励支出，如对个体私营经济的奖励、计划生育目标责任奖励、独生子女父母奖励等。</w:t>
      </w:r>
    </w:p>
    <w:p w14:paraId="130BF39F">
      <w:pPr>
        <w:pStyle w:val="8"/>
        <w:keepNext w:val="0"/>
        <w:keepLines w:val="0"/>
        <w:pageBreakBefore w:val="0"/>
        <w:widowControl w:val="0"/>
        <w:kinsoku/>
        <w:wordWrap/>
        <w:overflowPunct/>
        <w:topLinePunct w:val="0"/>
        <w:bidi w:val="0"/>
        <w:snapToGrid/>
        <w:spacing w:line="600" w:lineRule="exact"/>
        <w:ind w:firstLine="640" w:firstLineChars="200"/>
        <w:textAlignment w:val="auto"/>
        <w:rPr>
          <w:rFonts w:ascii="仿宋" w:hAnsi="仿宋" w:eastAsia="仿宋" w:cs="仿宋"/>
          <w:b/>
          <w:bCs/>
          <w:i/>
          <w:color w:val="auto"/>
          <w:sz w:val="32"/>
          <w:szCs w:val="32"/>
          <w:highlight w:val="none"/>
        </w:rPr>
      </w:pPr>
      <w:r>
        <w:rPr>
          <w:rFonts w:hint="eastAsia" w:ascii="宋体" w:hAnsi="Times New Roman" w:eastAsia="宋体" w:cs="宋体"/>
          <w:color w:val="auto"/>
          <w:kern w:val="2"/>
          <w:sz w:val="32"/>
          <w:szCs w:val="32"/>
          <w:highlight w:val="none"/>
        </w:rPr>
        <w:t>机关运行经费：指为保障行政单位（包括参照公务员法管理的事业单位）运行用于购买货物和服务的各项资金，包括办公及印刷费、邮电费、差旅费、会议费、福利费、日常维修费、专用材料及一般设备购置费、办公用房水电费、办公用房取暖费、 办公用房物业管理费、 公务用车运行维护费以及其他费用。</w:t>
      </w:r>
    </w:p>
    <w:p w14:paraId="791C27B6">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Times New Roman" w:hAnsi="Times New Roman" w:eastAsia="黑体"/>
          <w:sz w:val="32"/>
          <w:szCs w:val="32"/>
          <w:highlight w:val="none"/>
        </w:rPr>
      </w:pPr>
      <w:r>
        <w:rPr>
          <w:rFonts w:hint="eastAsia" w:ascii="黑体" w:hAnsi="Times New Roman" w:eastAsia="黑体" w:cs="黑体"/>
          <w:sz w:val="32"/>
          <w:szCs w:val="32"/>
          <w:highlight w:val="none"/>
        </w:rPr>
        <w:t>第五部分</w:t>
      </w:r>
      <w:r>
        <w:rPr>
          <w:rFonts w:ascii="黑体" w:hAnsi="Times New Roman" w:eastAsia="黑体" w:cs="黑体"/>
          <w:sz w:val="32"/>
          <w:szCs w:val="32"/>
          <w:highlight w:val="none"/>
        </w:rPr>
        <w:t xml:space="preserve"> </w:t>
      </w:r>
      <w:r>
        <w:rPr>
          <w:rFonts w:hint="eastAsia" w:ascii="黑体" w:hAnsi="Times New Roman" w:eastAsia="黑体" w:cs="黑体"/>
          <w:sz w:val="32"/>
          <w:szCs w:val="32"/>
          <w:highlight w:val="none"/>
        </w:rPr>
        <w:t>附件</w:t>
      </w:r>
    </w:p>
    <w:p w14:paraId="0EDB2725">
      <w:pPr>
        <w:keepNext w:val="0"/>
        <w:keepLines w:val="0"/>
        <w:pageBreakBefore w:val="0"/>
        <w:widowControl w:val="0"/>
        <w:kinsoku/>
        <w:wordWrap/>
        <w:overflowPunct/>
        <w:topLinePunct w:val="0"/>
        <w:autoSpaceDE w:val="0"/>
        <w:autoSpaceDN w:val="0"/>
        <w:bidi w:val="0"/>
        <w:adjustRightInd w:val="0"/>
        <w:snapToGrid/>
        <w:ind w:firstLine="640"/>
        <w:textAlignment w:val="auto"/>
        <w:rPr>
          <w:rFonts w:ascii="Times New Roman" w:hAnsi="Times New Roman"/>
          <w:b/>
          <w:bCs/>
          <w:sz w:val="32"/>
          <w:szCs w:val="32"/>
          <w:highlight w:val="none"/>
          <w:lang w:val="zh-CN"/>
        </w:rPr>
      </w:pPr>
      <w:r>
        <w:rPr>
          <w:rFonts w:ascii="宋体" w:hAnsi="Times New Roman" w:cs="宋体"/>
          <w:sz w:val="32"/>
          <w:szCs w:val="32"/>
          <w:highlight w:val="none"/>
        </w:rPr>
        <w:t>2023</w:t>
      </w:r>
      <w:r>
        <w:rPr>
          <w:rFonts w:hint="eastAsia" w:ascii="宋体" w:hAnsi="Times New Roman" w:cs="宋体"/>
          <w:sz w:val="32"/>
          <w:szCs w:val="32"/>
          <w:highlight w:val="none"/>
        </w:rPr>
        <w:t>年度华容县操军镇人民政府部门决算公开表格</w:t>
      </w:r>
    </w:p>
    <w:p w14:paraId="27D0017A">
      <w:pPr>
        <w:keepNext w:val="0"/>
        <w:keepLines w:val="0"/>
        <w:pageBreakBefore w:val="0"/>
        <w:widowControl w:val="0"/>
        <w:kinsoku/>
        <w:wordWrap/>
        <w:overflowPunct/>
        <w:topLinePunct w:val="0"/>
        <w:autoSpaceDE w:val="0"/>
        <w:autoSpaceDN w:val="0"/>
        <w:bidi w:val="0"/>
        <w:adjustRightInd w:val="0"/>
        <w:snapToGrid/>
        <w:ind w:firstLine="640"/>
        <w:jc w:val="left"/>
        <w:textAlignment w:val="auto"/>
        <w:rPr>
          <w:rFonts w:ascii="宋体" w:hAnsi="Times New Roman" w:cs="宋体"/>
          <w:b/>
          <w:bCs/>
          <w:color w:val="FF0000"/>
          <w:sz w:val="32"/>
          <w:szCs w:val="32"/>
          <w:highlight w:val="none"/>
          <w:lang w:val="zh-CN"/>
        </w:rPr>
      </w:pPr>
      <w:r>
        <w:rPr>
          <w:rFonts w:ascii="宋体" w:hAnsi="Times New Roman" w:cs="宋体"/>
          <w:sz w:val="32"/>
          <w:szCs w:val="32"/>
          <w:highlight w:val="none"/>
        </w:rPr>
        <w:t>2023</w:t>
      </w:r>
      <w:r>
        <w:rPr>
          <w:rFonts w:hint="eastAsia" w:ascii="宋体" w:hAnsi="Times New Roman" w:cs="宋体"/>
          <w:sz w:val="32"/>
          <w:szCs w:val="32"/>
          <w:highlight w:val="none"/>
        </w:rPr>
        <w:t>年度华容县操军镇人民政府绩效评价自评报告</w:t>
      </w:r>
    </w:p>
    <w:sectPr>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20"/>
  <w:drawingGridHorizontalSpacing w:val="120"/>
  <w:drawingGridVerticalSpacing w:val="120"/>
  <w:displayHorizontalDrawingGridEvery w:val="0"/>
  <w:displayVerticalDrawingGridEvery w:val="3"/>
  <w:doNotUseMarginsForDrawingGridOrigin w:val="1"/>
  <w:drawingGridHorizontalOrigin w:val="1800"/>
  <w:drawingGridVerticalOrigin w:val="1440"/>
  <w:doNotShadeFormData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141205"/>
    <w:rsid w:val="00141205"/>
    <w:rsid w:val="001C0017"/>
    <w:rsid w:val="002171A6"/>
    <w:rsid w:val="004808E3"/>
    <w:rsid w:val="004D301A"/>
    <w:rsid w:val="00502B28"/>
    <w:rsid w:val="00677C59"/>
    <w:rsid w:val="006A7A81"/>
    <w:rsid w:val="00703894"/>
    <w:rsid w:val="00992D4F"/>
    <w:rsid w:val="00A22054"/>
    <w:rsid w:val="00AE1B54"/>
    <w:rsid w:val="00C349B9"/>
    <w:rsid w:val="00D7159F"/>
    <w:rsid w:val="00D859B7"/>
    <w:rsid w:val="00DD07FA"/>
    <w:rsid w:val="00E924F2"/>
    <w:rsid w:val="00EF6A58"/>
    <w:rsid w:val="46376036"/>
    <w:rsid w:val="640B396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locked/>
    <w:uiPriority w:val="99"/>
    <w:rPr>
      <w:rFonts w:cs="Times New Roman"/>
      <w:sz w:val="18"/>
      <w:szCs w:val="18"/>
    </w:rPr>
  </w:style>
  <w:style w:type="character" w:customStyle="1" w:styleId="7">
    <w:name w:val="页脚 Char"/>
    <w:basedOn w:val="5"/>
    <w:link w:val="2"/>
    <w:semiHidden/>
    <w:qFormat/>
    <w:locked/>
    <w:uiPriority w:val="99"/>
    <w:rPr>
      <w:rFonts w:cs="Times New Roman"/>
      <w:sz w:val="18"/>
      <w:szCs w:val="18"/>
    </w:rPr>
  </w:style>
  <w:style w:type="paragraph" w:customStyle="1" w:styleId="8">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13738</Words>
  <Characters>14349</Characters>
  <Lines>101</Lines>
  <Paragraphs>28</Paragraphs>
  <TotalTime>3</TotalTime>
  <ScaleCrop>false</ScaleCrop>
  <LinksUpToDate>false</LinksUpToDate>
  <CharactersWithSpaces>14462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2024-09-24T08:51:00Z</dcterms:created>
  <dc:creator>李天乐</dc:creator>
  <cp:lastModifiedBy>李天乐</cp:lastModifiedBy>
  <cp:lastPrinted>2024-09-25T02:09:00Z</cp:lastPrinted>
  <dcterms:modified xsi:type="dcterms:W3CDTF">2025-11-12T13:06:10Z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eyJoZGlkIjoiYWNjNTk2OTRjYzEzNTI3Yzk4MDU3ZTg2ZjlhODM2NDAiLCJ1c2VySWQiOiIxNDkyNDM0OTU4In0=</vt:lpwstr>
  </property>
  <property fmtid="{D5CDD505-2E9C-101B-9397-08002B2CF9AE}" pid="3" name="KSOProductBuildVer">
    <vt:lpwstr>2052-12.1.0.22529</vt:lpwstr>
  </property>
  <property fmtid="{D5CDD505-2E9C-101B-9397-08002B2CF9AE}" pid="4" name="ICV">
    <vt:lpwstr>D4CFBF0A0ECA4FA7898BC501DE03208A_12</vt:lpwstr>
  </property>
</Properties>
</file>