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85EE35">
      <w:pPr>
        <w:pStyle w:val="14"/>
        <w:jc w:val="center"/>
        <w:rPr>
          <w:rFonts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rPr>
        <w:t>2023年度</w:t>
      </w:r>
    </w:p>
    <w:p w14:paraId="46861C50">
      <w:pPr>
        <w:pStyle w:val="14"/>
        <w:jc w:val="center"/>
        <w:rPr>
          <w:rFonts w:ascii="方正小标宋_GBK" w:hAnsi="方正小标宋_GBK" w:eastAsia="方正小标宋_GBK" w:cs="方正小标宋_GBK"/>
          <w:color w:val="auto"/>
          <w:sz w:val="84"/>
          <w:szCs w:val="84"/>
        </w:rPr>
      </w:pPr>
      <w:r>
        <w:rPr>
          <w:rFonts w:hint="eastAsia" w:hAnsi="Times New Roman"/>
          <w:color w:val="auto"/>
          <w:sz w:val="84"/>
          <w:szCs w:val="84"/>
          <w:highlight w:val="white"/>
          <w:lang w:val="zh-CN"/>
        </w:rPr>
        <w:t>华容县鲇鱼须镇人民政府</w:t>
      </w:r>
      <w:r>
        <w:rPr>
          <w:rFonts w:hint="eastAsia" w:ascii="方正小标宋_GBK" w:hAnsi="方正小标宋_GBK" w:eastAsia="方正小标宋_GBK" w:cs="方正小标宋_GBK"/>
          <w:color w:val="auto"/>
          <w:sz w:val="84"/>
          <w:szCs w:val="84"/>
        </w:rPr>
        <w:t>部门决算</w:t>
      </w:r>
    </w:p>
    <w:p w14:paraId="0DC03D44">
      <w:pPr>
        <w:pStyle w:val="14"/>
        <w:spacing w:line="500" w:lineRule="exact"/>
        <w:jc w:val="both"/>
        <w:rPr>
          <w:b/>
          <w:color w:val="auto"/>
          <w:sz w:val="36"/>
          <w:szCs w:val="28"/>
        </w:rPr>
      </w:pPr>
    </w:p>
    <w:p w14:paraId="3891039E">
      <w:pPr>
        <w:pStyle w:val="14"/>
        <w:spacing w:line="500" w:lineRule="exact"/>
        <w:jc w:val="center"/>
        <w:rPr>
          <w:b/>
          <w:color w:val="auto"/>
          <w:sz w:val="36"/>
          <w:szCs w:val="28"/>
        </w:rPr>
      </w:pPr>
      <w:r>
        <w:rPr>
          <w:rFonts w:hint="eastAsia"/>
          <w:b/>
          <w:color w:val="auto"/>
          <w:sz w:val="36"/>
          <w:szCs w:val="28"/>
        </w:rPr>
        <w:t>目录</w:t>
      </w:r>
    </w:p>
    <w:p w14:paraId="1D3679BA">
      <w:pPr>
        <w:pStyle w:val="14"/>
        <w:spacing w:line="500" w:lineRule="exact"/>
        <w:rPr>
          <w:rFonts w:hAnsi="黑体"/>
          <w:bCs/>
          <w:color w:val="auto"/>
          <w:sz w:val="28"/>
          <w:szCs w:val="28"/>
        </w:rPr>
      </w:pPr>
      <w:r>
        <w:rPr>
          <w:rFonts w:hint="eastAsia" w:hAnsi="黑体"/>
          <w:bCs/>
          <w:color w:val="auto"/>
          <w:sz w:val="28"/>
          <w:szCs w:val="28"/>
        </w:rPr>
        <w:t>第一部分华容县鲇鱼须镇人民政府概况</w:t>
      </w:r>
    </w:p>
    <w:p w14:paraId="31C930A2">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一、部门职责</w:t>
      </w:r>
    </w:p>
    <w:p w14:paraId="5DB58E3A">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二、机构设置</w:t>
      </w:r>
    </w:p>
    <w:p w14:paraId="7F7D1CFF">
      <w:pPr>
        <w:pStyle w:val="14"/>
        <w:spacing w:line="500" w:lineRule="exact"/>
        <w:rPr>
          <w:rFonts w:hAnsi="黑体"/>
          <w:bCs/>
          <w:color w:val="auto"/>
          <w:sz w:val="28"/>
          <w:szCs w:val="28"/>
        </w:rPr>
      </w:pPr>
      <w:r>
        <w:rPr>
          <w:rFonts w:hint="eastAsia" w:hAnsi="黑体"/>
          <w:bCs/>
          <w:color w:val="auto"/>
          <w:sz w:val="28"/>
          <w:szCs w:val="28"/>
        </w:rPr>
        <w:t>第二部分 部门决算表</w:t>
      </w:r>
    </w:p>
    <w:p w14:paraId="5C84AE3A">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一、收入支出决算总表</w:t>
      </w:r>
    </w:p>
    <w:p w14:paraId="74FC693A">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二、收入决算表</w:t>
      </w:r>
    </w:p>
    <w:p w14:paraId="3D83F93F">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三、支出决算表</w:t>
      </w:r>
    </w:p>
    <w:p w14:paraId="61C74780">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四、财政拨款收入支出决算总表</w:t>
      </w:r>
    </w:p>
    <w:p w14:paraId="360E9369">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五、一般公共预算财政拨款支出决算表</w:t>
      </w:r>
    </w:p>
    <w:p w14:paraId="34877669">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六、一般公共预算财政拨款基本支出决算明细表</w:t>
      </w:r>
    </w:p>
    <w:p w14:paraId="0AEBDF75">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七、政府性基金预算财政拨款收入支出决算表</w:t>
      </w:r>
    </w:p>
    <w:p w14:paraId="28FC2793">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八、国有资本经营预算财政拨款支出决算表</w:t>
      </w:r>
    </w:p>
    <w:p w14:paraId="2C768949">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九、财政拨款“三公”经费支出决算表</w:t>
      </w:r>
    </w:p>
    <w:p w14:paraId="5C965BD2">
      <w:pPr>
        <w:pageBreakBefore w:val="0"/>
        <w:widowControl w:val="0"/>
        <w:kinsoku/>
        <w:wordWrap/>
        <w:overflowPunct/>
        <w:topLinePunct w:val="0"/>
        <w:autoSpaceDE w:val="0"/>
        <w:autoSpaceDN w:val="0"/>
        <w:bidi w:val="0"/>
        <w:adjustRightInd w:val="0"/>
        <w:spacing w:line="600" w:lineRule="exact"/>
        <w:textAlignment w:val="auto"/>
        <w:rPr>
          <w:rFonts w:hint="eastAsia" w:ascii="黑体" w:hAnsi="黑体" w:eastAsia="黑体" w:cs="黑体"/>
          <w:b w:val="0"/>
          <w:bCs/>
          <w:color w:val="000000"/>
          <w:kern w:val="0"/>
          <w:sz w:val="28"/>
          <w:szCs w:val="28"/>
          <w:highlight w:val="none"/>
          <w:lang w:val="en-US" w:eastAsia="zh-CN" w:bidi="ar-SA"/>
        </w:rPr>
      </w:pPr>
      <w:r>
        <w:rPr>
          <w:rFonts w:hint="eastAsia" w:ascii="黑体" w:hAnsi="黑体" w:eastAsia="黑体" w:cs="黑体"/>
          <w:b w:val="0"/>
          <w:bCs/>
          <w:color w:val="000000"/>
          <w:kern w:val="0"/>
          <w:sz w:val="28"/>
          <w:szCs w:val="28"/>
          <w:highlight w:val="none"/>
          <w:lang w:val="en-US" w:eastAsia="zh-CN" w:bidi="ar-SA"/>
        </w:rPr>
        <w:t>第三部分2023年度部门决算情况说明</w:t>
      </w:r>
    </w:p>
    <w:p w14:paraId="3705B988">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一、收入支出决算总体情况说明</w:t>
      </w:r>
    </w:p>
    <w:p w14:paraId="5AE94C81">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二、收入决算情况说明</w:t>
      </w:r>
    </w:p>
    <w:p w14:paraId="0042070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三、支出决算情况说明</w:t>
      </w:r>
    </w:p>
    <w:p w14:paraId="3AC14103">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四、财政拨款收入支出决算总体情况说明</w:t>
      </w:r>
    </w:p>
    <w:p w14:paraId="00B1A517">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五、一般公共预算财政拨款支出决算情况说明</w:t>
      </w:r>
    </w:p>
    <w:p w14:paraId="7AC0CE59">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六、一般公共预算财政拨款基本支出决算情况说明</w:t>
      </w:r>
    </w:p>
    <w:p w14:paraId="18FB55E7">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七、财政拨款“三公”经费支出决算情况说明</w:t>
      </w:r>
    </w:p>
    <w:p w14:paraId="27DC30E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八、政府性基金预算收入支出决算情况</w:t>
      </w:r>
    </w:p>
    <w:p w14:paraId="6D003DB9">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九、国有资本经营预算财政拨款支出决算情况</w:t>
      </w:r>
    </w:p>
    <w:p w14:paraId="3ABBDD4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十、关于机关运行经费支出说明</w:t>
      </w:r>
    </w:p>
    <w:p w14:paraId="5A1D256A">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十一、一般性支出情况说明</w:t>
      </w:r>
    </w:p>
    <w:p w14:paraId="382BF0D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十二、关于政府采购支出说明</w:t>
      </w:r>
    </w:p>
    <w:p w14:paraId="340A3F9C">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十三、关于国有资产占用情况说明</w:t>
      </w:r>
    </w:p>
    <w:p w14:paraId="7C216DC4">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十四、关于2023年度预算绩效情况的说明</w:t>
      </w:r>
    </w:p>
    <w:p w14:paraId="07A8F784">
      <w:pPr>
        <w:pStyle w:val="14"/>
        <w:spacing w:line="500" w:lineRule="exact"/>
        <w:rPr>
          <w:rFonts w:hAnsi="黑体"/>
          <w:bCs/>
          <w:color w:val="auto"/>
          <w:sz w:val="28"/>
          <w:szCs w:val="28"/>
        </w:rPr>
      </w:pPr>
      <w:r>
        <w:rPr>
          <w:rFonts w:hint="eastAsia" w:hAnsi="黑体"/>
          <w:bCs/>
          <w:color w:val="auto"/>
          <w:sz w:val="28"/>
          <w:szCs w:val="28"/>
        </w:rPr>
        <w:t>第四部分 名词解释</w:t>
      </w:r>
    </w:p>
    <w:p w14:paraId="0E9F8A19">
      <w:pPr>
        <w:pStyle w:val="14"/>
        <w:spacing w:line="500" w:lineRule="exact"/>
        <w:rPr>
          <w:rFonts w:hAnsi="黑体"/>
          <w:bCs/>
          <w:color w:val="auto"/>
          <w:sz w:val="28"/>
          <w:szCs w:val="28"/>
        </w:rPr>
      </w:pPr>
      <w:r>
        <w:rPr>
          <w:rFonts w:hint="eastAsia" w:hAnsi="黑体"/>
          <w:bCs/>
          <w:color w:val="auto"/>
          <w:sz w:val="28"/>
          <w:szCs w:val="28"/>
        </w:rPr>
        <w:t>第五部分 附件</w:t>
      </w:r>
    </w:p>
    <w:p w14:paraId="7345D8E6">
      <w:pPr>
        <w:pStyle w:val="14"/>
        <w:spacing w:line="500" w:lineRule="exact"/>
        <w:rPr>
          <w:rFonts w:hAnsi="黑体"/>
          <w:bCs/>
          <w:color w:val="auto"/>
          <w:sz w:val="28"/>
          <w:szCs w:val="28"/>
        </w:rPr>
      </w:pPr>
    </w:p>
    <w:p w14:paraId="3A00A2BB">
      <w:pPr>
        <w:pStyle w:val="14"/>
        <w:jc w:val="center"/>
        <w:rPr>
          <w:rFonts w:ascii="方正小标宋_GBK" w:hAnsi="方正小标宋_GBK" w:eastAsia="方正小标宋_GBK" w:cs="方正小标宋_GBK"/>
          <w:color w:val="auto"/>
          <w:sz w:val="48"/>
          <w:szCs w:val="48"/>
        </w:rPr>
      </w:pPr>
    </w:p>
    <w:p w14:paraId="23F5DAF4">
      <w:pPr>
        <w:pStyle w:val="14"/>
        <w:jc w:val="center"/>
        <w:rPr>
          <w:rFonts w:ascii="方正小标宋_GBK" w:hAnsi="方正小标宋_GBK" w:eastAsia="方正小标宋_GBK" w:cs="方正小标宋_GBK"/>
          <w:color w:val="auto"/>
          <w:sz w:val="48"/>
          <w:szCs w:val="48"/>
        </w:rPr>
      </w:pPr>
    </w:p>
    <w:p w14:paraId="6B6C5A30">
      <w:pPr>
        <w:pStyle w:val="14"/>
        <w:jc w:val="center"/>
        <w:rPr>
          <w:rFonts w:ascii="方正小标宋_GBK" w:hAnsi="方正小标宋_GBK" w:eastAsia="方正小标宋_GBK" w:cs="方正小标宋_GBK"/>
          <w:color w:val="auto"/>
          <w:sz w:val="48"/>
          <w:szCs w:val="48"/>
        </w:rPr>
      </w:pPr>
    </w:p>
    <w:p w14:paraId="2B5B2D19">
      <w:pPr>
        <w:pStyle w:val="14"/>
        <w:jc w:val="center"/>
        <w:rPr>
          <w:rFonts w:ascii="方正小标宋_GBK" w:hAnsi="方正小标宋_GBK" w:eastAsia="方正小标宋_GBK" w:cs="方正小标宋_GBK"/>
          <w:color w:val="auto"/>
          <w:sz w:val="48"/>
          <w:szCs w:val="48"/>
        </w:rPr>
      </w:pPr>
    </w:p>
    <w:p w14:paraId="484723FE">
      <w:pPr>
        <w:pStyle w:val="14"/>
        <w:jc w:val="center"/>
        <w:rPr>
          <w:rFonts w:ascii="方正小标宋_GBK" w:hAnsi="方正小标宋_GBK" w:eastAsia="方正小标宋_GBK" w:cs="方正小标宋_GBK"/>
          <w:color w:val="auto"/>
          <w:sz w:val="48"/>
          <w:szCs w:val="48"/>
        </w:rPr>
      </w:pPr>
    </w:p>
    <w:p w14:paraId="37183DBF">
      <w:pPr>
        <w:pStyle w:val="14"/>
        <w:jc w:val="center"/>
        <w:rPr>
          <w:rFonts w:ascii="方正小标宋_GBK" w:hAnsi="方正小标宋_GBK" w:eastAsia="方正小标宋_GBK" w:cs="方正小标宋_GBK"/>
          <w:color w:val="auto"/>
          <w:sz w:val="48"/>
          <w:szCs w:val="48"/>
        </w:rPr>
      </w:pPr>
    </w:p>
    <w:p w14:paraId="577DA74D">
      <w:pPr>
        <w:pStyle w:val="14"/>
        <w:jc w:val="center"/>
        <w:rPr>
          <w:rFonts w:ascii="方正小标宋_GBK" w:hAnsi="方正小标宋_GBK" w:eastAsia="方正小标宋_GBK" w:cs="方正小标宋_GBK"/>
          <w:color w:val="auto"/>
          <w:sz w:val="48"/>
          <w:szCs w:val="48"/>
        </w:rPr>
      </w:pPr>
    </w:p>
    <w:p w14:paraId="541EA70A">
      <w:pPr>
        <w:pStyle w:val="14"/>
        <w:jc w:val="center"/>
        <w:rPr>
          <w:rFonts w:ascii="方正小标宋_GBK" w:hAnsi="方正小标宋_GBK" w:eastAsia="方正小标宋_GBK" w:cs="方正小标宋_GBK"/>
          <w:color w:val="auto"/>
          <w:sz w:val="48"/>
          <w:szCs w:val="48"/>
        </w:rPr>
      </w:pPr>
    </w:p>
    <w:p w14:paraId="23B6670C">
      <w:pPr>
        <w:pStyle w:val="14"/>
        <w:jc w:val="center"/>
        <w:rPr>
          <w:rFonts w:ascii="方正小标宋_GBK" w:hAnsi="方正小标宋_GBK" w:eastAsia="方正小标宋_GBK" w:cs="方正小标宋_GBK"/>
          <w:color w:val="auto"/>
          <w:sz w:val="48"/>
          <w:szCs w:val="48"/>
        </w:rPr>
      </w:pPr>
    </w:p>
    <w:p w14:paraId="62F17090">
      <w:pPr>
        <w:pStyle w:val="14"/>
        <w:jc w:val="center"/>
        <w:rPr>
          <w:rFonts w:ascii="方正小标宋_GBK" w:hAnsi="方正小标宋_GBK" w:eastAsia="方正小标宋_GBK" w:cs="方正小标宋_GBK"/>
          <w:color w:val="auto"/>
          <w:sz w:val="48"/>
          <w:szCs w:val="48"/>
        </w:rPr>
      </w:pPr>
    </w:p>
    <w:p w14:paraId="027B0D5F">
      <w:pPr>
        <w:pStyle w:val="14"/>
        <w:jc w:val="center"/>
        <w:rPr>
          <w:rFonts w:ascii="方正小标宋_GBK" w:hAnsi="方正小标宋_GBK" w:eastAsia="方正小标宋_GBK" w:cs="方正小标宋_GBK"/>
          <w:color w:val="auto"/>
          <w:sz w:val="48"/>
          <w:szCs w:val="48"/>
        </w:rPr>
      </w:pPr>
    </w:p>
    <w:p w14:paraId="2BCA873F">
      <w:pPr>
        <w:pStyle w:val="14"/>
        <w:jc w:val="center"/>
        <w:rPr>
          <w:rFonts w:ascii="方正小标宋_GBK" w:hAnsi="方正小标宋_GBK" w:eastAsia="方正小标宋_GBK" w:cs="方正小标宋_GBK"/>
          <w:color w:val="auto"/>
          <w:sz w:val="48"/>
          <w:szCs w:val="48"/>
        </w:rPr>
      </w:pPr>
    </w:p>
    <w:p w14:paraId="4726C141">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 xml:space="preserve">第一部分 </w:t>
      </w:r>
    </w:p>
    <w:p w14:paraId="430B7E7C">
      <w:pPr>
        <w:pStyle w:val="14"/>
        <w:jc w:val="center"/>
        <w:rPr>
          <w:rFonts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48"/>
          <w:szCs w:val="48"/>
        </w:rPr>
        <w:t>华容县鲇鱼须镇人民政府概况</w:t>
      </w:r>
    </w:p>
    <w:p w14:paraId="69D90003">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一、部门职责</w:t>
      </w:r>
    </w:p>
    <w:p w14:paraId="0A2AA7C9">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人民政府：全民贯彻落实党和国家在农村的各项方针政策和法律法规，加强基层组织建设，完善党对农村工作的领导，紧紧围绕促进经济发展、增加农民收入，强化公共服务、着力改善民生，加强社会管理、维护农村稳定，推进基层民主、促进农村和谐四个方面履职。</w:t>
      </w:r>
    </w:p>
    <w:p w14:paraId="5E8E372C">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财政所：负责贯彻执行有关财政、预算、财务、会计等方面的法律法规和政策；编制本镇财政预决算、管理和监督全镇各项财政收支，资金调度和拨款；指导全镇的会计工作，加强对农村财务工作的指导和监督；加强对国家专项资金的监督、将惠民政策落到实处；完成上级财政和乡镇安排的其他工作。</w:t>
      </w:r>
    </w:p>
    <w:p w14:paraId="5183EB23">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镇农业综合服务中心：负责种植业、养殖业、林业、水产业、农业机械新技术的引进、试验示范、培训推广、技术服务和农业林业病虫害预测预报及防治指导工作；负责国家强制免疫的动物疫病免疫接种以及相关工作；负责农产品质量安全检测监督服务工作；承办农村经济统计、农民专业合作组织管理等工作。</w:t>
      </w:r>
    </w:p>
    <w:p w14:paraId="7D97F023">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镇社会事业综合服务中心：协助社会事务办公室的工作，具体承办科技、教育体育、文化旅游广电、卫生健康与计划生育、人力资源和社会保障、民政、社区建设、医疗保障、住房和城乡建设、村镇规划、村镇建设、住房保障、交通运输、生态环境保护、残疾人事业、慈善等方面的公益服务性、技术性工作。</w:t>
      </w:r>
    </w:p>
    <w:p w14:paraId="39AE97D3">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镇退役军人服务站：负责退役军人就业创业、优抚帮扶、权益保障、数据信息采集、走访慰问等事务性工作。</w:t>
      </w:r>
    </w:p>
    <w:p w14:paraId="7CEA2F6C">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镇综合行政执法大队：负责本辖区内综合行政执法工作；依法依规相对集中行使乡村集镇管理、住房建设、自然资源、生态环境保护、市场监管、交通运输、应急管理、安全生产、农业农村、文化旅游等方面的行政执法权；负责执法信息报送；配合县级执法部门开展联合执法、专业执法，负责日常巡查、综合检查、接受投诉举报、协助调查取证等工作。</w:t>
      </w:r>
    </w:p>
    <w:p w14:paraId="5BFF3555">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水利管理服务站：负责宣传防汛、水土保持、水资源等法律法规的宣传；负责农田水利规划、堤防建设与管理及防汛救灾工作；辖区内农村供水工程的规划、质量监督和安全运营；乡镇党委政府及其他业务部门安排的其他事项。</w:t>
      </w:r>
    </w:p>
    <w:p w14:paraId="3E0E174D">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24C88FC7">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p>
    <w:p w14:paraId="70AFBEA0">
      <w:pPr>
        <w:keepNext/>
        <w:keepLines/>
        <w:autoSpaceDE w:val="0"/>
        <w:autoSpaceDN w:val="0"/>
        <w:adjustRightInd w:val="0"/>
        <w:ind w:firstLine="640"/>
        <w:rPr>
          <w:rFonts w:ascii="宋体" w:hAnsi="Times New Roman" w:eastAsia="宋体" w:cs="宋体"/>
          <w:sz w:val="32"/>
          <w:szCs w:val="32"/>
          <w:highlight w:val="white"/>
        </w:rPr>
      </w:pPr>
      <w:r>
        <w:rPr>
          <w:rFonts w:hint="eastAsia" w:ascii="宋体" w:hAnsi="Times New Roman" w:eastAsia="宋体" w:cs="宋体"/>
          <w:sz w:val="32"/>
          <w:szCs w:val="32"/>
          <w:highlight w:val="white"/>
        </w:rPr>
        <w:t>华容县鲇鱼须镇人民政府单位内设机构包括：</w:t>
      </w:r>
      <w:r>
        <w:rPr>
          <w:rFonts w:hint="eastAsia" w:ascii="宋体" w:hAnsi="Times New Roman" w:eastAsia="宋体" w:cs="宋体"/>
          <w:sz w:val="32"/>
          <w:szCs w:val="32"/>
          <w:lang w:val="zh-CN"/>
        </w:rPr>
        <w:t>镇政府机关、镇财政所、镇农业综合服务中心、镇社会事业综合服务中心、镇退役军人服务站、镇综合行政执法大队、镇水利服务站</w:t>
      </w:r>
      <w:r>
        <w:rPr>
          <w:rFonts w:hint="eastAsia" w:ascii="宋体" w:hAnsi="Times New Roman" w:eastAsia="宋体" w:cs="宋体"/>
          <w:sz w:val="32"/>
          <w:szCs w:val="32"/>
          <w:highlight w:val="white"/>
        </w:rPr>
        <w:t>。</w:t>
      </w:r>
    </w:p>
    <w:p w14:paraId="018516B7">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p>
    <w:p w14:paraId="3E469755">
      <w:pPr>
        <w:keepNext/>
        <w:keepLines/>
        <w:autoSpaceDE w:val="0"/>
        <w:autoSpaceDN w:val="0"/>
        <w:adjustRightInd w:val="0"/>
        <w:ind w:firstLine="640"/>
        <w:rPr>
          <w:rFonts w:ascii="宋体" w:hAnsi="Times New Roman" w:eastAsia="宋体" w:cs="宋体"/>
          <w:sz w:val="32"/>
          <w:szCs w:val="32"/>
          <w:highlight w:val="white"/>
        </w:rPr>
      </w:pPr>
      <w:r>
        <w:rPr>
          <w:rFonts w:hint="eastAsia" w:ascii="宋体" w:hAnsi="Times New Roman" w:eastAsia="宋体" w:cs="宋体"/>
          <w:sz w:val="32"/>
          <w:szCs w:val="32"/>
          <w:highlight w:val="white"/>
        </w:rPr>
        <w:t>华容县鲇鱼须镇人民政府单位2023年部门决算汇总公开单位构成包括：</w:t>
      </w:r>
      <w:r>
        <w:rPr>
          <w:rFonts w:hint="eastAsia" w:ascii="宋体" w:hAnsi="Times New Roman" w:eastAsia="宋体" w:cs="宋体"/>
          <w:sz w:val="32"/>
          <w:szCs w:val="32"/>
          <w:lang w:val="zh-CN"/>
        </w:rPr>
        <w:t>镇政府机关、镇财政所、镇农业综合服务中心、镇社会事业综合服务中心、镇退役军人服务站、镇综合行政执法大队、镇水利服务站</w:t>
      </w:r>
      <w:r>
        <w:rPr>
          <w:rFonts w:hint="eastAsia" w:ascii="宋体" w:hAnsi="Times New Roman" w:eastAsia="宋体" w:cs="宋体"/>
          <w:sz w:val="32"/>
          <w:szCs w:val="32"/>
          <w:highlight w:val="white"/>
        </w:rPr>
        <w:t>。</w:t>
      </w:r>
    </w:p>
    <w:p w14:paraId="7820EB1F">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第二部分</w:t>
      </w:r>
    </w:p>
    <w:p w14:paraId="0DB96624">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部门决算表</w:t>
      </w:r>
    </w:p>
    <w:p w14:paraId="3A6E1BC0">
      <w:pPr>
        <w:pStyle w:val="14"/>
        <w:jc w:val="center"/>
        <w:rPr>
          <w:rFonts w:hAnsi="黑体"/>
          <w:bCs/>
          <w:color w:val="auto"/>
          <w:kern w:val="2"/>
          <w:sz w:val="32"/>
          <w:szCs w:val="32"/>
        </w:rPr>
      </w:pPr>
      <w:r>
        <w:rPr>
          <w:rFonts w:hint="eastAsia" w:hAnsi="黑体"/>
          <w:bCs/>
          <w:color w:val="auto"/>
          <w:kern w:val="2"/>
          <w:sz w:val="32"/>
          <w:szCs w:val="32"/>
        </w:rPr>
        <w:t>详见附件表格</w:t>
      </w:r>
    </w:p>
    <w:p w14:paraId="4E5B2945">
      <w:pPr>
        <w:pStyle w:val="14"/>
        <w:jc w:val="center"/>
        <w:rPr>
          <w:rFonts w:ascii="方正小标宋_GBK" w:hAnsi="方正小标宋_GBK" w:eastAsia="方正小标宋_GBK" w:cs="方正小标宋_GBK"/>
          <w:color w:val="auto"/>
          <w:sz w:val="48"/>
          <w:szCs w:val="48"/>
        </w:rPr>
      </w:pPr>
    </w:p>
    <w:p w14:paraId="385B3088">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第三部分</w:t>
      </w:r>
    </w:p>
    <w:p w14:paraId="3B8D0521">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2023年度部门决算情况说明</w:t>
      </w:r>
    </w:p>
    <w:p w14:paraId="3026C0BB">
      <w:pPr>
        <w:widowControl/>
        <w:ind w:firstLine="640" w:firstLineChars="200"/>
        <w:jc w:val="left"/>
        <w:rPr>
          <w:rFonts w:ascii="黑体" w:hAnsi="黑体" w:eastAsia="黑体" w:cs="黑体"/>
          <w:bCs/>
          <w:sz w:val="32"/>
          <w:szCs w:val="32"/>
        </w:rPr>
      </w:pPr>
      <w:r>
        <w:rPr>
          <w:rFonts w:hint="eastAsia" w:ascii="黑体" w:hAnsi="黑体" w:eastAsia="黑体" w:cs="黑体"/>
          <w:bCs/>
          <w:sz w:val="32"/>
          <w:szCs w:val="32"/>
        </w:rPr>
        <w:t>一、收入支出决算总体情况说明</w:t>
      </w:r>
    </w:p>
    <w:p w14:paraId="155020BD">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lang w:val="zh-CN"/>
        </w:rPr>
        <w:t>2023</w:t>
      </w:r>
      <w:r>
        <w:rPr>
          <w:rFonts w:hint="eastAsia" w:ascii="宋体" w:hAnsi="Times New Roman" w:eastAsia="宋体" w:cs="宋体"/>
          <w:sz w:val="32"/>
          <w:szCs w:val="32"/>
          <w:highlight w:val="white"/>
          <w:lang w:val="zh-CN"/>
        </w:rPr>
        <w:t>年度收、支总计均为</w:t>
      </w:r>
      <w:r>
        <w:rPr>
          <w:rFonts w:ascii="宋体" w:hAnsi="Times New Roman" w:eastAsia="宋体" w:cs="宋体"/>
          <w:sz w:val="32"/>
          <w:szCs w:val="32"/>
          <w:highlight w:val="white"/>
          <w:lang w:val="zh-CN"/>
        </w:rPr>
        <w:t>3681.07</w:t>
      </w:r>
      <w:r>
        <w:rPr>
          <w:rFonts w:hint="eastAsia" w:ascii="宋体" w:hAnsi="Times New Roman" w:eastAsia="宋体" w:cs="宋体"/>
          <w:sz w:val="32"/>
          <w:szCs w:val="32"/>
          <w:highlight w:val="white"/>
          <w:lang w:val="zh-CN"/>
        </w:rPr>
        <w:t>万元，与</w:t>
      </w:r>
      <w:r>
        <w:rPr>
          <w:rFonts w:ascii="宋体" w:hAnsi="Times New Roman" w:eastAsia="宋体" w:cs="宋体"/>
          <w:sz w:val="32"/>
          <w:szCs w:val="32"/>
          <w:highlight w:val="white"/>
          <w:lang w:val="zh-CN"/>
        </w:rPr>
        <w:t>2022</w:t>
      </w:r>
      <w:r>
        <w:rPr>
          <w:rFonts w:hint="eastAsia" w:ascii="宋体" w:hAnsi="Times New Roman" w:eastAsia="宋体" w:cs="宋体"/>
          <w:sz w:val="32"/>
          <w:szCs w:val="32"/>
          <w:highlight w:val="white"/>
          <w:lang w:val="zh-CN"/>
        </w:rPr>
        <w:t>年相比，收、支总计各增加</w:t>
      </w:r>
      <w:r>
        <w:rPr>
          <w:rFonts w:ascii="宋体" w:hAnsi="Times New Roman" w:eastAsia="宋体" w:cs="宋体"/>
          <w:sz w:val="32"/>
          <w:szCs w:val="32"/>
          <w:highlight w:val="white"/>
          <w:lang w:val="zh-CN"/>
        </w:rPr>
        <w:t>1765.05</w:t>
      </w:r>
      <w:r>
        <w:rPr>
          <w:rFonts w:hint="eastAsia" w:ascii="宋体" w:hAnsi="Times New Roman" w:eastAsia="宋体" w:cs="宋体"/>
          <w:sz w:val="32"/>
          <w:szCs w:val="32"/>
          <w:highlight w:val="white"/>
          <w:lang w:val="zh-CN"/>
        </w:rPr>
        <w:t>万元，增长</w:t>
      </w:r>
      <w:r>
        <w:rPr>
          <w:rFonts w:ascii="宋体" w:hAnsi="Times New Roman" w:eastAsia="宋体" w:cs="宋体"/>
          <w:sz w:val="32"/>
          <w:szCs w:val="32"/>
          <w:highlight w:val="white"/>
          <w:lang w:val="zh-CN"/>
        </w:rPr>
        <w:t>92.12%</w:t>
      </w:r>
      <w:r>
        <w:rPr>
          <w:rFonts w:hint="eastAsia" w:ascii="宋体" w:hAnsi="Times New Roman" w:eastAsia="宋体" w:cs="宋体"/>
          <w:sz w:val="32"/>
          <w:szCs w:val="32"/>
          <w:highlight w:val="white"/>
          <w:lang w:val="zh-CN"/>
        </w:rPr>
        <w:t>。主要原因是业务工作任务增加，基本支出增加</w:t>
      </w:r>
      <w:r>
        <w:rPr>
          <w:rFonts w:ascii="宋体" w:hAnsi="Times New Roman" w:eastAsia="宋体" w:cs="宋体"/>
          <w:sz w:val="32"/>
          <w:szCs w:val="32"/>
          <w:highlight w:val="white"/>
          <w:lang w:val="zh-CN"/>
        </w:rPr>
        <w:t>1343.16</w:t>
      </w:r>
      <w:r>
        <w:rPr>
          <w:rFonts w:hint="eastAsia" w:ascii="宋体" w:hAnsi="Times New Roman" w:eastAsia="宋体" w:cs="宋体"/>
          <w:sz w:val="32"/>
          <w:szCs w:val="32"/>
          <w:highlight w:val="white"/>
          <w:lang w:val="zh-CN"/>
        </w:rPr>
        <w:t>万元，项目支出增加</w:t>
      </w:r>
      <w:r>
        <w:rPr>
          <w:rFonts w:ascii="宋体" w:hAnsi="Times New Roman" w:eastAsia="宋体" w:cs="宋体"/>
          <w:sz w:val="32"/>
          <w:szCs w:val="32"/>
          <w:highlight w:val="white"/>
          <w:lang w:val="zh-CN"/>
        </w:rPr>
        <w:t>421.89</w:t>
      </w:r>
      <w:r>
        <w:rPr>
          <w:rFonts w:hint="eastAsia" w:ascii="宋体" w:hAnsi="Times New Roman" w:eastAsia="宋体" w:cs="宋体"/>
          <w:sz w:val="32"/>
          <w:szCs w:val="32"/>
          <w:highlight w:val="white"/>
          <w:lang w:val="zh-CN"/>
        </w:rPr>
        <w:t>万元，收入增加</w:t>
      </w:r>
      <w:r>
        <w:rPr>
          <w:rFonts w:ascii="宋体" w:hAnsi="Times New Roman" w:eastAsia="宋体" w:cs="宋体"/>
          <w:sz w:val="32"/>
          <w:szCs w:val="32"/>
          <w:highlight w:val="white"/>
          <w:lang w:val="zh-CN"/>
        </w:rPr>
        <w:t>1765.05</w:t>
      </w:r>
      <w:r>
        <w:rPr>
          <w:rFonts w:hint="eastAsia" w:ascii="宋体" w:hAnsi="Times New Roman" w:eastAsia="宋体" w:cs="宋体"/>
          <w:sz w:val="32"/>
          <w:szCs w:val="32"/>
          <w:highlight w:val="white"/>
          <w:lang w:val="zh-CN"/>
        </w:rPr>
        <w:t>万元</w:t>
      </w:r>
      <w:r>
        <w:rPr>
          <w:rFonts w:hint="eastAsia" w:ascii="宋体" w:hAnsi="Times New Roman" w:eastAsia="宋体" w:cs="宋体"/>
          <w:sz w:val="32"/>
          <w:szCs w:val="32"/>
          <w:highlight w:val="white"/>
        </w:rPr>
        <w:t>。</w:t>
      </w:r>
    </w:p>
    <w:p w14:paraId="0AD12E72">
      <w:pPr>
        <w:pStyle w:val="14"/>
        <w:spacing w:line="600" w:lineRule="exact"/>
        <w:ind w:firstLine="640" w:firstLineChars="200"/>
        <w:rPr>
          <w:rFonts w:hAnsi="黑体"/>
          <w:bCs/>
          <w:color w:val="auto"/>
          <w:sz w:val="32"/>
          <w:szCs w:val="32"/>
        </w:rPr>
      </w:pPr>
      <w:r>
        <w:rPr>
          <w:rFonts w:hint="eastAsia" w:hAnsi="黑体"/>
          <w:bCs/>
          <w:color w:val="auto"/>
          <w:sz w:val="32"/>
          <w:szCs w:val="32"/>
        </w:rPr>
        <w:t>二、收入决算情况说明</w:t>
      </w:r>
    </w:p>
    <w:p w14:paraId="705D9B3A">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年度收入合计</w:t>
      </w:r>
      <w:r>
        <w:rPr>
          <w:rFonts w:ascii="宋体" w:hAnsi="Times New Roman" w:eastAsia="宋体" w:cs="宋体"/>
          <w:sz w:val="32"/>
          <w:szCs w:val="32"/>
          <w:highlight w:val="white"/>
        </w:rPr>
        <w:t>3681.07</w:t>
      </w:r>
      <w:r>
        <w:rPr>
          <w:rFonts w:hint="eastAsia" w:ascii="宋体" w:hAnsi="Times New Roman" w:eastAsia="宋体" w:cs="宋体"/>
          <w:sz w:val="32"/>
          <w:szCs w:val="32"/>
          <w:highlight w:val="white"/>
        </w:rPr>
        <w:t>万元，其中：财政拨款收入</w:t>
      </w:r>
      <w:r>
        <w:rPr>
          <w:rFonts w:ascii="宋体" w:hAnsi="Times New Roman" w:eastAsia="宋体" w:cs="宋体"/>
          <w:sz w:val="32"/>
          <w:szCs w:val="32"/>
          <w:highlight w:val="white"/>
        </w:rPr>
        <w:t>3681.07</w:t>
      </w:r>
      <w:r>
        <w:rPr>
          <w:rFonts w:hint="eastAsia" w:ascii="宋体" w:hAnsi="Times New Roman" w:eastAsia="宋体" w:cs="宋体"/>
          <w:sz w:val="32"/>
          <w:szCs w:val="32"/>
          <w:highlight w:val="white"/>
        </w:rPr>
        <w:t>万元，占</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w:t>
      </w:r>
    </w:p>
    <w:p w14:paraId="06527BB5">
      <w:pPr>
        <w:pStyle w:val="14"/>
        <w:spacing w:line="600" w:lineRule="exact"/>
        <w:ind w:left="420" w:leftChars="200" w:firstLine="160" w:firstLineChars="50"/>
        <w:rPr>
          <w:rFonts w:hAnsi="黑体"/>
          <w:bCs/>
          <w:color w:val="auto"/>
          <w:sz w:val="32"/>
          <w:szCs w:val="32"/>
        </w:rPr>
      </w:pPr>
      <w:r>
        <w:rPr>
          <w:rFonts w:hint="eastAsia" w:hAnsi="黑体"/>
          <w:bCs/>
          <w:color w:val="auto"/>
          <w:sz w:val="32"/>
          <w:szCs w:val="32"/>
        </w:rPr>
        <w:t>三、支出决算情况说明</w:t>
      </w:r>
    </w:p>
    <w:p w14:paraId="77C366C4">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年度支出合计</w:t>
      </w:r>
      <w:r>
        <w:rPr>
          <w:rFonts w:ascii="宋体" w:hAnsi="Times New Roman" w:eastAsia="宋体" w:cs="宋体"/>
          <w:sz w:val="32"/>
          <w:szCs w:val="32"/>
          <w:highlight w:val="white"/>
        </w:rPr>
        <w:t>3681.07</w:t>
      </w:r>
      <w:r>
        <w:rPr>
          <w:rFonts w:hint="eastAsia" w:ascii="宋体" w:hAnsi="Times New Roman" w:eastAsia="宋体" w:cs="宋体"/>
          <w:sz w:val="32"/>
          <w:szCs w:val="32"/>
          <w:highlight w:val="white"/>
        </w:rPr>
        <w:t>万元，其中：基本支出</w:t>
      </w:r>
      <w:r>
        <w:rPr>
          <w:rFonts w:ascii="宋体" w:hAnsi="Times New Roman" w:eastAsia="宋体" w:cs="宋体"/>
          <w:sz w:val="32"/>
          <w:szCs w:val="32"/>
          <w:highlight w:val="white"/>
          <w:lang w:val="zh-CN"/>
        </w:rPr>
        <w:t>1384.56</w:t>
      </w:r>
      <w:r>
        <w:rPr>
          <w:rFonts w:hint="eastAsia" w:ascii="宋体" w:hAnsi="Times New Roman" w:eastAsia="宋体" w:cs="宋体"/>
          <w:sz w:val="32"/>
          <w:szCs w:val="32"/>
          <w:highlight w:val="white"/>
          <w:lang w:val="zh-CN"/>
        </w:rPr>
        <w:t>万元，</w:t>
      </w:r>
      <w:r>
        <w:rPr>
          <w:rFonts w:hint="eastAsia" w:ascii="宋体" w:hAnsi="Times New Roman" w:eastAsia="宋体" w:cs="宋体"/>
          <w:sz w:val="32"/>
          <w:szCs w:val="32"/>
          <w:highlight w:val="white"/>
        </w:rPr>
        <w:t>占</w:t>
      </w:r>
      <w:r>
        <w:rPr>
          <w:rFonts w:ascii="宋体" w:hAnsi="Times New Roman" w:eastAsia="宋体" w:cs="宋体"/>
          <w:sz w:val="32"/>
          <w:szCs w:val="32"/>
          <w:highlight w:val="white"/>
        </w:rPr>
        <w:t>37.61%</w:t>
      </w:r>
      <w:r>
        <w:rPr>
          <w:rFonts w:hint="eastAsia" w:ascii="宋体" w:hAnsi="Times New Roman" w:eastAsia="宋体" w:cs="宋体"/>
          <w:sz w:val="32"/>
          <w:szCs w:val="32"/>
          <w:highlight w:val="white"/>
        </w:rPr>
        <w:t>；项目支出</w:t>
      </w:r>
      <w:r>
        <w:rPr>
          <w:rFonts w:ascii="宋体" w:hAnsi="Times New Roman" w:eastAsia="宋体" w:cs="宋体"/>
          <w:sz w:val="32"/>
          <w:szCs w:val="32"/>
          <w:highlight w:val="white"/>
        </w:rPr>
        <w:t>2296.51</w:t>
      </w:r>
      <w:r>
        <w:rPr>
          <w:rFonts w:hint="eastAsia" w:ascii="宋体" w:hAnsi="Times New Roman" w:eastAsia="宋体" w:cs="宋体"/>
          <w:sz w:val="32"/>
          <w:szCs w:val="32"/>
          <w:highlight w:val="white"/>
        </w:rPr>
        <w:t>万元，占</w:t>
      </w:r>
      <w:r>
        <w:rPr>
          <w:rFonts w:ascii="宋体" w:hAnsi="Times New Roman" w:eastAsia="宋体" w:cs="宋体"/>
          <w:sz w:val="32"/>
          <w:szCs w:val="32"/>
          <w:highlight w:val="white"/>
        </w:rPr>
        <w:t>62.39%</w:t>
      </w:r>
      <w:r>
        <w:rPr>
          <w:rFonts w:hint="eastAsia" w:ascii="宋体" w:hAnsi="Times New Roman" w:eastAsia="宋体" w:cs="宋体"/>
          <w:sz w:val="32"/>
          <w:szCs w:val="32"/>
          <w:highlight w:val="white"/>
        </w:rPr>
        <w:t>。</w:t>
      </w:r>
    </w:p>
    <w:p w14:paraId="2980083B">
      <w:pPr>
        <w:pStyle w:val="14"/>
        <w:spacing w:line="600" w:lineRule="exact"/>
        <w:ind w:firstLine="640" w:firstLineChars="200"/>
        <w:rPr>
          <w:rFonts w:hAnsi="黑体"/>
          <w:bCs/>
          <w:color w:val="auto"/>
          <w:sz w:val="32"/>
          <w:szCs w:val="32"/>
        </w:rPr>
      </w:pPr>
      <w:r>
        <w:rPr>
          <w:rFonts w:hint="eastAsia" w:hAnsi="黑体"/>
          <w:bCs/>
          <w:color w:val="auto"/>
          <w:sz w:val="32"/>
          <w:szCs w:val="32"/>
        </w:rPr>
        <w:t>四、财政拨款收入支出决算总体情况说明</w:t>
      </w:r>
    </w:p>
    <w:p w14:paraId="0AF1E03F">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年度财政拨款收、支总计均为</w:t>
      </w:r>
      <w:r>
        <w:rPr>
          <w:rFonts w:ascii="宋体" w:hAnsi="Times New Roman" w:eastAsia="宋体" w:cs="宋体"/>
          <w:sz w:val="32"/>
          <w:szCs w:val="32"/>
          <w:highlight w:val="white"/>
        </w:rPr>
        <w:t>3681.07</w:t>
      </w:r>
      <w:r>
        <w:rPr>
          <w:rFonts w:hint="eastAsia" w:ascii="宋体" w:hAnsi="Times New Roman" w:eastAsia="宋体" w:cs="宋体"/>
          <w:sz w:val="32"/>
          <w:szCs w:val="32"/>
          <w:highlight w:val="white"/>
        </w:rPr>
        <w:t>万元，</w:t>
      </w:r>
      <w:r>
        <w:rPr>
          <w:rFonts w:hint="eastAsia" w:ascii="宋体" w:hAnsi="Times New Roman" w:eastAsia="宋体" w:cs="宋体"/>
          <w:sz w:val="32"/>
          <w:szCs w:val="32"/>
          <w:highlight w:val="white"/>
          <w:lang w:val="zh-CN"/>
        </w:rPr>
        <w:t>与</w:t>
      </w:r>
      <w:r>
        <w:rPr>
          <w:rFonts w:ascii="宋体" w:hAnsi="Times New Roman" w:eastAsia="宋体" w:cs="宋体"/>
          <w:sz w:val="32"/>
          <w:szCs w:val="32"/>
          <w:highlight w:val="white"/>
          <w:lang w:val="zh-CN"/>
        </w:rPr>
        <w:t>2022</w:t>
      </w:r>
      <w:r>
        <w:rPr>
          <w:rFonts w:hint="eastAsia" w:ascii="宋体" w:hAnsi="Times New Roman" w:eastAsia="宋体" w:cs="宋体"/>
          <w:sz w:val="32"/>
          <w:szCs w:val="32"/>
          <w:highlight w:val="white"/>
          <w:lang w:val="zh-CN"/>
        </w:rPr>
        <w:t>年相比，</w:t>
      </w:r>
      <w:r>
        <w:rPr>
          <w:rFonts w:hint="eastAsia" w:ascii="宋体" w:hAnsi="Times New Roman" w:eastAsia="宋体" w:cs="宋体"/>
          <w:sz w:val="32"/>
          <w:szCs w:val="32"/>
          <w:highlight w:val="white"/>
        </w:rPr>
        <w:t>财政拨款收、支总计各增加</w:t>
      </w:r>
      <w:r>
        <w:rPr>
          <w:rFonts w:ascii="宋体" w:hAnsi="Times New Roman" w:eastAsia="宋体" w:cs="宋体"/>
          <w:sz w:val="32"/>
          <w:szCs w:val="32"/>
          <w:highlight w:val="white"/>
        </w:rPr>
        <w:t>1765.05</w:t>
      </w:r>
      <w:r>
        <w:rPr>
          <w:rFonts w:hint="eastAsia" w:ascii="宋体" w:hAnsi="Times New Roman" w:eastAsia="宋体" w:cs="宋体"/>
          <w:sz w:val="32"/>
          <w:szCs w:val="32"/>
          <w:highlight w:val="white"/>
        </w:rPr>
        <w:t>万元，增长</w:t>
      </w:r>
      <w:r>
        <w:rPr>
          <w:rFonts w:ascii="宋体" w:hAnsi="Times New Roman" w:eastAsia="宋体" w:cs="宋体"/>
          <w:sz w:val="32"/>
          <w:szCs w:val="32"/>
          <w:highlight w:val="white"/>
        </w:rPr>
        <w:t>92.12%</w:t>
      </w:r>
      <w:r>
        <w:rPr>
          <w:rFonts w:hint="eastAsia" w:ascii="宋体" w:hAnsi="Times New Roman" w:eastAsia="宋体" w:cs="宋体"/>
          <w:sz w:val="32"/>
          <w:szCs w:val="32"/>
          <w:highlight w:val="white"/>
        </w:rPr>
        <w:t>。</w:t>
      </w:r>
      <w:r>
        <w:rPr>
          <w:rFonts w:hint="eastAsia" w:ascii="宋体" w:hAnsi="Times New Roman" w:eastAsia="宋体" w:cs="宋体"/>
          <w:sz w:val="32"/>
          <w:szCs w:val="32"/>
          <w:highlight w:val="white"/>
          <w:lang w:val="zh-CN"/>
        </w:rPr>
        <w:t>主要原因是业务工作任务增加，基本支出增加</w:t>
      </w:r>
      <w:r>
        <w:rPr>
          <w:rFonts w:ascii="宋体" w:hAnsi="Times New Roman" w:eastAsia="宋体" w:cs="宋体"/>
          <w:sz w:val="32"/>
          <w:szCs w:val="32"/>
          <w:highlight w:val="white"/>
          <w:lang w:val="zh-CN"/>
        </w:rPr>
        <w:t>1343.16</w:t>
      </w:r>
      <w:r>
        <w:rPr>
          <w:rFonts w:hint="eastAsia" w:ascii="宋体" w:hAnsi="Times New Roman" w:eastAsia="宋体" w:cs="宋体"/>
          <w:sz w:val="32"/>
          <w:szCs w:val="32"/>
          <w:highlight w:val="white"/>
          <w:lang w:val="zh-CN"/>
        </w:rPr>
        <w:t>万元，项目支出增加</w:t>
      </w:r>
      <w:r>
        <w:rPr>
          <w:rFonts w:ascii="宋体" w:hAnsi="Times New Roman" w:eastAsia="宋体" w:cs="宋体"/>
          <w:sz w:val="32"/>
          <w:szCs w:val="32"/>
          <w:highlight w:val="white"/>
          <w:lang w:val="zh-CN"/>
        </w:rPr>
        <w:t>421.89</w:t>
      </w:r>
      <w:r>
        <w:rPr>
          <w:rFonts w:hint="eastAsia" w:ascii="宋体" w:hAnsi="Times New Roman" w:eastAsia="宋体" w:cs="宋体"/>
          <w:sz w:val="32"/>
          <w:szCs w:val="32"/>
          <w:highlight w:val="white"/>
          <w:lang w:val="zh-CN"/>
        </w:rPr>
        <w:t>万元，</w:t>
      </w:r>
      <w:r>
        <w:rPr>
          <w:rFonts w:hint="eastAsia" w:ascii="宋体" w:hAnsi="Times New Roman" w:eastAsia="宋体" w:cs="宋体"/>
          <w:sz w:val="32"/>
          <w:szCs w:val="32"/>
          <w:highlight w:val="white"/>
        </w:rPr>
        <w:t>财政拨款</w:t>
      </w:r>
      <w:r>
        <w:rPr>
          <w:rFonts w:hint="eastAsia" w:ascii="宋体" w:hAnsi="Times New Roman" w:eastAsia="宋体" w:cs="宋体"/>
          <w:sz w:val="32"/>
          <w:szCs w:val="32"/>
          <w:highlight w:val="white"/>
          <w:lang w:val="zh-CN"/>
        </w:rPr>
        <w:t>增加</w:t>
      </w:r>
      <w:r>
        <w:rPr>
          <w:rFonts w:ascii="宋体" w:hAnsi="Times New Roman" w:eastAsia="宋体" w:cs="宋体"/>
          <w:sz w:val="32"/>
          <w:szCs w:val="32"/>
          <w:highlight w:val="white"/>
          <w:lang w:val="zh-CN"/>
        </w:rPr>
        <w:t>1765.05</w:t>
      </w:r>
      <w:r>
        <w:rPr>
          <w:rFonts w:hint="eastAsia" w:ascii="宋体" w:hAnsi="Times New Roman" w:eastAsia="宋体" w:cs="宋体"/>
          <w:sz w:val="32"/>
          <w:szCs w:val="32"/>
          <w:highlight w:val="white"/>
          <w:lang w:val="zh-CN"/>
        </w:rPr>
        <w:t>万元</w:t>
      </w:r>
      <w:r>
        <w:rPr>
          <w:rFonts w:hint="eastAsia" w:ascii="宋体" w:hAnsi="Times New Roman" w:eastAsia="宋体" w:cs="宋体"/>
          <w:sz w:val="32"/>
          <w:szCs w:val="32"/>
          <w:highlight w:val="white"/>
        </w:rPr>
        <w:t>。</w:t>
      </w:r>
    </w:p>
    <w:p w14:paraId="71AE9FEC">
      <w:pPr>
        <w:pStyle w:val="14"/>
        <w:spacing w:line="600" w:lineRule="exact"/>
        <w:ind w:firstLine="640" w:firstLineChars="200"/>
        <w:rPr>
          <w:rFonts w:hAnsi="黑体"/>
          <w:bCs/>
          <w:color w:val="auto"/>
          <w:sz w:val="32"/>
          <w:szCs w:val="32"/>
        </w:rPr>
      </w:pPr>
      <w:r>
        <w:rPr>
          <w:rFonts w:hint="eastAsia" w:hAnsi="黑体"/>
          <w:bCs/>
          <w:color w:val="auto"/>
          <w:sz w:val="32"/>
          <w:szCs w:val="32"/>
        </w:rPr>
        <w:t>五、一般公共预算财政拨款支出决算情况说明</w:t>
      </w:r>
    </w:p>
    <w:p w14:paraId="09D5201E">
      <w:pPr>
        <w:pStyle w:val="14"/>
        <w:spacing w:line="600" w:lineRule="exact"/>
        <w:ind w:firstLine="640" w:firstLineChars="200"/>
        <w:rPr>
          <w:rFonts w:ascii="楷体" w:hAnsi="楷体" w:eastAsia="楷体" w:cs="楷体"/>
          <w:bCs/>
          <w:color w:val="auto"/>
          <w:sz w:val="32"/>
          <w:szCs w:val="32"/>
        </w:rPr>
      </w:pPr>
      <w:r>
        <w:rPr>
          <w:rFonts w:hint="eastAsia" w:ascii="楷体" w:hAnsi="楷体" w:eastAsia="楷体" w:cs="楷体"/>
          <w:bCs/>
          <w:color w:val="auto"/>
          <w:sz w:val="32"/>
          <w:szCs w:val="32"/>
        </w:rPr>
        <w:t>（一）一般公共预算财政拨款支出决算总体情况</w:t>
      </w:r>
    </w:p>
    <w:p w14:paraId="24BE78CB">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年度财政拨款支出</w:t>
      </w:r>
      <w:r>
        <w:rPr>
          <w:rFonts w:ascii="宋体" w:hAnsi="Times New Roman" w:eastAsia="宋体" w:cs="宋体"/>
          <w:sz w:val="32"/>
          <w:szCs w:val="32"/>
          <w:highlight w:val="white"/>
        </w:rPr>
        <w:t>3515.07</w:t>
      </w:r>
      <w:r>
        <w:rPr>
          <w:rFonts w:hint="eastAsia" w:ascii="宋体" w:hAnsi="Times New Roman" w:eastAsia="宋体" w:cs="宋体"/>
          <w:sz w:val="32"/>
          <w:szCs w:val="32"/>
          <w:highlight w:val="white"/>
        </w:rPr>
        <w:t>万元，占本年支出合计的</w:t>
      </w:r>
      <w:r>
        <w:rPr>
          <w:rFonts w:ascii="宋体" w:hAnsi="Times New Roman" w:eastAsia="宋体" w:cs="宋体"/>
          <w:sz w:val="32"/>
          <w:szCs w:val="32"/>
          <w:highlight w:val="white"/>
        </w:rPr>
        <w:t>95.49%</w:t>
      </w:r>
      <w:r>
        <w:rPr>
          <w:rFonts w:hint="eastAsia" w:ascii="宋体" w:hAnsi="Times New Roman" w:eastAsia="宋体" w:cs="宋体"/>
          <w:sz w:val="32"/>
          <w:szCs w:val="32"/>
          <w:highlight w:val="white"/>
        </w:rPr>
        <w:t>。与</w:t>
      </w:r>
      <w:r>
        <w:rPr>
          <w:rFonts w:ascii="宋体" w:hAnsi="Times New Roman" w:eastAsia="宋体" w:cs="宋体"/>
          <w:sz w:val="32"/>
          <w:szCs w:val="32"/>
          <w:highlight w:val="white"/>
        </w:rPr>
        <w:t>2022</w:t>
      </w:r>
      <w:r>
        <w:rPr>
          <w:rFonts w:hint="eastAsia" w:ascii="宋体" w:hAnsi="Times New Roman" w:eastAsia="宋体" w:cs="宋体"/>
          <w:sz w:val="32"/>
          <w:szCs w:val="32"/>
          <w:highlight w:val="white"/>
        </w:rPr>
        <w:t>年度相比，财政拨款支出增加</w:t>
      </w:r>
      <w:r>
        <w:rPr>
          <w:rFonts w:ascii="宋体" w:hAnsi="Times New Roman" w:eastAsia="宋体" w:cs="宋体"/>
          <w:sz w:val="32"/>
          <w:szCs w:val="32"/>
          <w:highlight w:val="white"/>
        </w:rPr>
        <w:t>1652.55</w:t>
      </w:r>
      <w:r>
        <w:rPr>
          <w:rFonts w:hint="eastAsia" w:ascii="宋体" w:hAnsi="Times New Roman" w:eastAsia="宋体" w:cs="宋体"/>
          <w:sz w:val="32"/>
          <w:szCs w:val="32"/>
          <w:highlight w:val="white"/>
        </w:rPr>
        <w:t>万元，增长</w:t>
      </w:r>
      <w:r>
        <w:rPr>
          <w:rFonts w:ascii="宋体" w:hAnsi="Times New Roman" w:eastAsia="宋体" w:cs="宋体"/>
          <w:sz w:val="32"/>
          <w:szCs w:val="32"/>
          <w:highlight w:val="white"/>
        </w:rPr>
        <w:t>88.73%,</w:t>
      </w:r>
      <w:r>
        <w:rPr>
          <w:rFonts w:hint="eastAsia" w:ascii="宋体" w:hAnsi="Times New Roman" w:eastAsia="宋体" w:cs="宋体"/>
          <w:sz w:val="32"/>
          <w:szCs w:val="32"/>
          <w:highlight w:val="white"/>
        </w:rPr>
        <w:t>主要原因是</w:t>
      </w:r>
      <w:r>
        <w:rPr>
          <w:rFonts w:hint="eastAsia" w:ascii="宋体" w:hAnsi="Times New Roman" w:eastAsia="宋体" w:cs="宋体"/>
          <w:sz w:val="32"/>
          <w:szCs w:val="32"/>
          <w:highlight w:val="white"/>
          <w:lang w:val="zh-CN"/>
        </w:rPr>
        <w:t>业务工作任务增加，基本支出增加</w:t>
      </w:r>
      <w:r>
        <w:rPr>
          <w:rFonts w:ascii="宋体" w:hAnsi="Times New Roman" w:eastAsia="宋体" w:cs="宋体"/>
          <w:sz w:val="32"/>
          <w:szCs w:val="32"/>
          <w:highlight w:val="white"/>
          <w:lang w:val="zh-CN"/>
        </w:rPr>
        <w:t>1343.16</w:t>
      </w:r>
      <w:r>
        <w:rPr>
          <w:rFonts w:hint="eastAsia" w:ascii="宋体" w:hAnsi="Times New Roman" w:eastAsia="宋体" w:cs="宋体"/>
          <w:sz w:val="32"/>
          <w:szCs w:val="32"/>
          <w:highlight w:val="white"/>
          <w:lang w:val="zh-CN"/>
        </w:rPr>
        <w:t>万元，项目支出增加</w:t>
      </w:r>
      <w:r>
        <w:rPr>
          <w:rFonts w:ascii="宋体" w:hAnsi="Times New Roman" w:eastAsia="宋体" w:cs="宋体"/>
          <w:sz w:val="32"/>
          <w:szCs w:val="32"/>
          <w:highlight w:val="white"/>
          <w:lang w:val="zh-CN"/>
        </w:rPr>
        <w:t>309.39</w:t>
      </w:r>
      <w:r>
        <w:rPr>
          <w:rFonts w:hint="eastAsia" w:ascii="宋体" w:hAnsi="Times New Roman" w:eastAsia="宋体" w:cs="宋体"/>
          <w:sz w:val="32"/>
          <w:szCs w:val="32"/>
          <w:highlight w:val="white"/>
          <w:lang w:val="zh-CN"/>
        </w:rPr>
        <w:t>万元。</w:t>
      </w:r>
    </w:p>
    <w:p w14:paraId="22D8FF9C">
      <w:pPr>
        <w:pStyle w:val="14"/>
        <w:spacing w:line="600" w:lineRule="exact"/>
        <w:ind w:firstLine="480" w:firstLineChars="150"/>
        <w:rPr>
          <w:rFonts w:ascii="楷体" w:hAnsi="楷体" w:eastAsia="楷体" w:cs="楷体"/>
          <w:bCs/>
          <w:color w:val="auto"/>
          <w:sz w:val="32"/>
          <w:szCs w:val="32"/>
        </w:rPr>
      </w:pPr>
      <w:r>
        <w:rPr>
          <w:rFonts w:hint="eastAsia" w:ascii="楷体" w:hAnsi="楷体" w:eastAsia="楷体" w:cs="楷体"/>
          <w:bCs/>
          <w:color w:val="auto"/>
          <w:sz w:val="32"/>
          <w:szCs w:val="32"/>
        </w:rPr>
        <w:t>（二）一般公共预算财政拨款支出决算结构情况</w:t>
      </w:r>
    </w:p>
    <w:p w14:paraId="716EDB7F">
      <w:pPr>
        <w:keepNext/>
        <w:keepLines/>
        <w:autoSpaceDE w:val="0"/>
        <w:autoSpaceDN w:val="0"/>
        <w:adjustRightInd w:val="0"/>
        <w:ind w:firstLine="641"/>
        <w:rPr>
          <w:rFonts w:ascii="Calibri" w:hAnsi="Calibri" w:eastAsia="宋体" w:cs="Calibri"/>
          <w:szCs w:val="21"/>
          <w:highlight w:val="white"/>
          <w:lang w:val="zh-CN"/>
        </w:rPr>
      </w:pPr>
      <w:r>
        <w:rPr>
          <w:rFonts w:ascii="宋体" w:hAnsi="Times New Roman" w:eastAsia="宋体" w:cs="宋体"/>
          <w:kern w:val="0"/>
          <w:sz w:val="32"/>
          <w:szCs w:val="32"/>
          <w:highlight w:val="white"/>
        </w:rPr>
        <w:t>2023</w:t>
      </w:r>
      <w:r>
        <w:rPr>
          <w:rFonts w:hint="eastAsia" w:ascii="宋体" w:hAnsi="Times New Roman" w:eastAsia="宋体" w:cs="宋体"/>
          <w:kern w:val="0"/>
          <w:sz w:val="32"/>
          <w:szCs w:val="32"/>
          <w:highlight w:val="white"/>
        </w:rPr>
        <w:t>年度财政拨款支出</w:t>
      </w:r>
      <w:r>
        <w:rPr>
          <w:rFonts w:ascii="宋体" w:hAnsi="Times New Roman" w:eastAsia="宋体" w:cs="宋体"/>
          <w:kern w:val="0"/>
          <w:sz w:val="32"/>
          <w:szCs w:val="32"/>
          <w:highlight w:val="white"/>
        </w:rPr>
        <w:t>3515.07</w:t>
      </w:r>
      <w:r>
        <w:rPr>
          <w:rFonts w:hint="eastAsia" w:ascii="宋体" w:hAnsi="Times New Roman" w:eastAsia="宋体" w:cs="宋体"/>
          <w:kern w:val="0"/>
          <w:sz w:val="32"/>
          <w:szCs w:val="32"/>
          <w:highlight w:val="white"/>
        </w:rPr>
        <w:t>万元，主要用于以下方面：一般公共服务（类）支出</w:t>
      </w:r>
      <w:r>
        <w:rPr>
          <w:rFonts w:ascii="宋体" w:hAnsi="Times New Roman" w:eastAsia="宋体" w:cs="宋体"/>
          <w:kern w:val="0"/>
          <w:sz w:val="32"/>
          <w:szCs w:val="32"/>
          <w:highlight w:val="white"/>
        </w:rPr>
        <w:t>1321.28</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37.59%</w:t>
      </w:r>
      <w:r>
        <w:rPr>
          <w:rFonts w:hint="eastAsia" w:ascii="宋体" w:hAnsi="Times New Roman" w:eastAsia="宋体" w:cs="宋体"/>
          <w:kern w:val="0"/>
          <w:sz w:val="32"/>
          <w:szCs w:val="32"/>
          <w:highlight w:val="white"/>
        </w:rPr>
        <w:t>；国防（类）支出</w:t>
      </w:r>
      <w:r>
        <w:rPr>
          <w:rFonts w:ascii="宋体" w:hAnsi="Times New Roman" w:eastAsia="宋体" w:cs="宋体"/>
          <w:kern w:val="0"/>
          <w:sz w:val="32"/>
          <w:szCs w:val="32"/>
          <w:highlight w:val="white"/>
        </w:rPr>
        <w:t>8</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0.23%</w:t>
      </w:r>
      <w:r>
        <w:rPr>
          <w:rFonts w:hint="eastAsia" w:ascii="宋体" w:hAnsi="Times New Roman" w:eastAsia="宋体" w:cs="宋体"/>
          <w:kern w:val="0"/>
          <w:sz w:val="32"/>
          <w:szCs w:val="32"/>
          <w:highlight w:val="white"/>
        </w:rPr>
        <w:t>；公共安全（类）支出</w:t>
      </w:r>
      <w:r>
        <w:rPr>
          <w:rFonts w:ascii="宋体" w:hAnsi="Times New Roman" w:eastAsia="宋体" w:cs="宋体"/>
          <w:kern w:val="0"/>
          <w:sz w:val="32"/>
          <w:szCs w:val="32"/>
          <w:highlight w:val="white"/>
        </w:rPr>
        <w:t>1.98</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0.06%</w:t>
      </w:r>
      <w:r>
        <w:rPr>
          <w:rFonts w:hint="eastAsia" w:ascii="宋体" w:hAnsi="Times New Roman" w:eastAsia="宋体" w:cs="宋体"/>
          <w:kern w:val="0"/>
          <w:sz w:val="32"/>
          <w:szCs w:val="32"/>
          <w:highlight w:val="white"/>
        </w:rPr>
        <w:t>；文化旅游体育与传媒（类）支出</w:t>
      </w:r>
      <w:r>
        <w:rPr>
          <w:rFonts w:ascii="宋体" w:hAnsi="Times New Roman" w:eastAsia="宋体" w:cs="宋体"/>
          <w:kern w:val="0"/>
          <w:sz w:val="32"/>
          <w:szCs w:val="32"/>
          <w:highlight w:val="white"/>
        </w:rPr>
        <w:t>21.4</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0.61%</w:t>
      </w:r>
      <w:r>
        <w:rPr>
          <w:rFonts w:hint="eastAsia" w:ascii="宋体" w:hAnsi="Times New Roman" w:eastAsia="宋体" w:cs="宋体"/>
          <w:kern w:val="0"/>
          <w:sz w:val="32"/>
          <w:szCs w:val="32"/>
          <w:highlight w:val="white"/>
        </w:rPr>
        <w:t>；社会保障和就业（类）支出</w:t>
      </w:r>
      <w:r>
        <w:rPr>
          <w:rFonts w:ascii="宋体" w:hAnsi="Times New Roman" w:eastAsia="宋体" w:cs="宋体"/>
          <w:kern w:val="0"/>
          <w:sz w:val="32"/>
          <w:szCs w:val="32"/>
          <w:highlight w:val="white"/>
        </w:rPr>
        <w:t>453.12</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12.89%</w:t>
      </w:r>
      <w:r>
        <w:rPr>
          <w:rFonts w:hint="eastAsia" w:ascii="宋体" w:hAnsi="Times New Roman" w:eastAsia="宋体" w:cs="宋体"/>
          <w:kern w:val="0"/>
          <w:sz w:val="32"/>
          <w:szCs w:val="32"/>
          <w:highlight w:val="white"/>
        </w:rPr>
        <w:t>；节能环保（类）支出</w:t>
      </w:r>
      <w:r>
        <w:rPr>
          <w:rFonts w:ascii="宋体" w:hAnsi="Times New Roman" w:eastAsia="宋体" w:cs="宋体"/>
          <w:kern w:val="0"/>
          <w:sz w:val="32"/>
          <w:szCs w:val="32"/>
          <w:highlight w:val="white"/>
        </w:rPr>
        <w:t>5</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0.14%</w:t>
      </w:r>
      <w:r>
        <w:rPr>
          <w:rFonts w:hint="eastAsia" w:ascii="宋体" w:hAnsi="Times New Roman" w:eastAsia="宋体" w:cs="宋体"/>
          <w:kern w:val="0"/>
          <w:sz w:val="32"/>
          <w:szCs w:val="32"/>
          <w:highlight w:val="white"/>
        </w:rPr>
        <w:t>；城乡社区（类）支出</w:t>
      </w:r>
      <w:r>
        <w:rPr>
          <w:rFonts w:ascii="宋体" w:hAnsi="Times New Roman" w:eastAsia="宋体" w:cs="宋体"/>
          <w:kern w:val="0"/>
          <w:sz w:val="32"/>
          <w:szCs w:val="32"/>
          <w:highlight w:val="white"/>
        </w:rPr>
        <w:t>101.44</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2.89%</w:t>
      </w:r>
      <w:r>
        <w:rPr>
          <w:rFonts w:hint="eastAsia" w:ascii="宋体" w:hAnsi="Times New Roman" w:eastAsia="宋体" w:cs="宋体"/>
          <w:kern w:val="0"/>
          <w:sz w:val="32"/>
          <w:szCs w:val="32"/>
          <w:highlight w:val="white"/>
        </w:rPr>
        <w:t>；农林水（类）支出</w:t>
      </w:r>
      <w:r>
        <w:rPr>
          <w:rFonts w:ascii="宋体" w:hAnsi="Times New Roman" w:eastAsia="宋体" w:cs="宋体"/>
          <w:kern w:val="0"/>
          <w:sz w:val="32"/>
          <w:szCs w:val="32"/>
          <w:highlight w:val="white"/>
        </w:rPr>
        <w:t>1380.03</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39.26%</w:t>
      </w:r>
      <w:r>
        <w:rPr>
          <w:rFonts w:hint="eastAsia" w:ascii="宋体" w:hAnsi="Times New Roman" w:eastAsia="宋体" w:cs="宋体"/>
          <w:kern w:val="0"/>
          <w:sz w:val="32"/>
          <w:szCs w:val="32"/>
          <w:highlight w:val="white"/>
        </w:rPr>
        <w:t>；交通运输（类）支出</w:t>
      </w:r>
      <w:r>
        <w:rPr>
          <w:rFonts w:ascii="宋体" w:hAnsi="Times New Roman" w:eastAsia="宋体" w:cs="宋体"/>
          <w:kern w:val="0"/>
          <w:sz w:val="32"/>
          <w:szCs w:val="32"/>
          <w:highlight w:val="white"/>
        </w:rPr>
        <w:t>20.82</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0.59%</w:t>
      </w:r>
      <w:r>
        <w:rPr>
          <w:rFonts w:hint="eastAsia" w:ascii="宋体" w:hAnsi="Times New Roman" w:eastAsia="宋体" w:cs="宋体"/>
          <w:kern w:val="0"/>
          <w:sz w:val="32"/>
          <w:szCs w:val="32"/>
          <w:highlight w:val="white"/>
        </w:rPr>
        <w:t>；商业服务业等（类）支出</w:t>
      </w:r>
      <w:r>
        <w:rPr>
          <w:rFonts w:ascii="宋体" w:hAnsi="Times New Roman" w:eastAsia="宋体" w:cs="宋体"/>
          <w:kern w:val="0"/>
          <w:sz w:val="32"/>
          <w:szCs w:val="32"/>
          <w:highlight w:val="white"/>
        </w:rPr>
        <w:t>15</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0.43%</w:t>
      </w:r>
      <w:r>
        <w:rPr>
          <w:rFonts w:hint="eastAsia" w:ascii="宋体" w:hAnsi="Times New Roman" w:eastAsia="宋体" w:cs="宋体"/>
          <w:kern w:val="0"/>
          <w:sz w:val="32"/>
          <w:szCs w:val="32"/>
          <w:highlight w:val="white"/>
        </w:rPr>
        <w:t>；然资源海洋气象等（类）支出</w:t>
      </w:r>
      <w:r>
        <w:rPr>
          <w:rFonts w:ascii="宋体" w:hAnsi="Times New Roman" w:eastAsia="宋体" w:cs="宋体"/>
          <w:kern w:val="0"/>
          <w:sz w:val="32"/>
          <w:szCs w:val="32"/>
          <w:highlight w:val="white"/>
        </w:rPr>
        <w:t>21</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0.6%</w:t>
      </w:r>
      <w:r>
        <w:rPr>
          <w:rFonts w:hint="eastAsia" w:ascii="宋体" w:hAnsi="Times New Roman" w:eastAsia="宋体" w:cs="宋体"/>
          <w:kern w:val="0"/>
          <w:sz w:val="32"/>
          <w:szCs w:val="32"/>
          <w:highlight w:val="white"/>
        </w:rPr>
        <w:t>；粮油物资储备（类）支出</w:t>
      </w:r>
      <w:r>
        <w:rPr>
          <w:rFonts w:ascii="宋体" w:hAnsi="Times New Roman" w:eastAsia="宋体" w:cs="宋体"/>
          <w:kern w:val="0"/>
          <w:sz w:val="32"/>
          <w:szCs w:val="32"/>
          <w:highlight w:val="white"/>
        </w:rPr>
        <w:t>122</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3.47%</w:t>
      </w:r>
      <w:r>
        <w:rPr>
          <w:rFonts w:hint="eastAsia" w:ascii="宋体" w:hAnsi="Times New Roman" w:eastAsia="宋体" w:cs="宋体"/>
          <w:kern w:val="0"/>
          <w:sz w:val="32"/>
          <w:szCs w:val="32"/>
          <w:highlight w:val="white"/>
        </w:rPr>
        <w:t>；灾害防治及应急管理（类）支出</w:t>
      </w:r>
      <w:r>
        <w:rPr>
          <w:rFonts w:ascii="宋体" w:hAnsi="Times New Roman" w:eastAsia="宋体" w:cs="宋体"/>
          <w:kern w:val="0"/>
          <w:sz w:val="32"/>
          <w:szCs w:val="32"/>
          <w:highlight w:val="white"/>
        </w:rPr>
        <w:t>20</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0.57%</w:t>
      </w:r>
      <w:r>
        <w:rPr>
          <w:rFonts w:hint="eastAsia" w:ascii="宋体" w:hAnsi="Times New Roman" w:eastAsia="宋体" w:cs="宋体"/>
          <w:kern w:val="0"/>
          <w:sz w:val="32"/>
          <w:szCs w:val="32"/>
          <w:highlight w:val="white"/>
        </w:rPr>
        <w:t>。其他（类）支出</w:t>
      </w:r>
      <w:r>
        <w:rPr>
          <w:rFonts w:ascii="宋体" w:hAnsi="Times New Roman" w:eastAsia="宋体" w:cs="宋体"/>
          <w:kern w:val="0"/>
          <w:sz w:val="32"/>
          <w:szCs w:val="32"/>
          <w:highlight w:val="white"/>
        </w:rPr>
        <w:t>24</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0.68%</w:t>
      </w:r>
      <w:r>
        <w:rPr>
          <w:rFonts w:hint="eastAsia" w:ascii="宋体" w:hAnsi="Times New Roman" w:eastAsia="宋体" w:cs="宋体"/>
          <w:kern w:val="0"/>
          <w:sz w:val="32"/>
          <w:szCs w:val="32"/>
          <w:highlight w:val="white"/>
        </w:rPr>
        <w:t>。</w:t>
      </w:r>
    </w:p>
    <w:p w14:paraId="7D0E6B39">
      <w:pPr>
        <w:pStyle w:val="14"/>
        <w:spacing w:line="600" w:lineRule="exact"/>
        <w:ind w:firstLine="800" w:firstLineChars="250"/>
        <w:rPr>
          <w:rFonts w:ascii="楷体" w:hAnsi="楷体" w:eastAsia="楷体" w:cs="楷体"/>
          <w:bCs/>
          <w:color w:val="auto"/>
          <w:sz w:val="32"/>
          <w:szCs w:val="32"/>
        </w:rPr>
      </w:pPr>
      <w:r>
        <w:rPr>
          <w:rFonts w:hint="eastAsia" w:ascii="楷体" w:hAnsi="楷体" w:eastAsia="楷体" w:cs="楷体"/>
          <w:bCs/>
          <w:color w:val="auto"/>
          <w:sz w:val="32"/>
          <w:szCs w:val="32"/>
        </w:rPr>
        <w:t>（三）一般公共预算财政拨款支出决算具体情况</w:t>
      </w:r>
    </w:p>
    <w:p w14:paraId="59853480">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2023年度财政拨款支出年初预算为991.97万元，支出决算为3515.07万元，完成年初预算的354.35%。其中：</w:t>
      </w:r>
    </w:p>
    <w:p w14:paraId="607646E6">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人大事务（款）其他人大事务支出（项）。年初预算为0万元，支出决算为3.8万元，由于年初预算为0，无法计算百分比。决算数大于预算数的主要原因是业务工作任务增加，财政追拨业务工作经费。  </w:t>
      </w:r>
    </w:p>
    <w:p w14:paraId="77F867EF">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一般公共服务支出（类）政协事务（款）其他政协事务支出（项）。年初预算为0万元，支出决算为0.72万元，由于年初预算为0，无法计算百分比。 决算数大于预算数的主要原因是业务工作任务增加，财政追拨业务工作经费。 </w:t>
      </w:r>
    </w:p>
    <w:p w14:paraId="73385868">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政府办公厅（室）及相关机构事务（款）行政运行（项）。年初预算为991.97万元，支出决算为1266.46万元，完成年初预算的127.67%。决算数大于预算数的主要原因是业务工作任务增加，财政追拨业务工作经费。  </w:t>
      </w:r>
    </w:p>
    <w:p w14:paraId="7495590B">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政府办公厅（室）及相关机构事务（款）信访事务（项）。年初预算为0万元，支出决算为14万元，由于年初预算为0，无法计算百分比。决算数大于预算数的主要原因是业务工作任务增加，财政追拨业务工作经费。  </w:t>
      </w:r>
    </w:p>
    <w:p w14:paraId="0C92F262">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财政事务（款）一般行政管理事务（项）。年初预算为0万元，支出决算为8万元，由于年初预算为0，无法计算百分比。决算数大于预算数的主要原因是业务工作任务增加，财政追拨业务工作经费。  </w:t>
      </w:r>
    </w:p>
    <w:p w14:paraId="74A79308">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税收事务（款）其他税收事务支出（项）。年初预算为0万元，支出决算为19.7万元，由于年初预算为0，无法计算百分比。决算数大于预算数的主要原因是业务工作任务增加，财政追拨业务工作经费。  </w:t>
      </w:r>
    </w:p>
    <w:p w14:paraId="7C8992F2">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党委办公厅（室）及相关机构事务（款）行政运行（项）。年初预算为0万元，支出决算为8万元，由于年初预算为0，无法计算百分比。决算数大于预算数的主要原因是业务工作任务增加，财政追拨业务工作经费。  </w:t>
      </w:r>
    </w:p>
    <w:p w14:paraId="7325BDF5">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一般公共服务支出（类）其他一般公共服务支出（款）其他一般公共服务支出（项）。年初预算为0万元，支出决算为0.6万元，由于年初预算为0，无法计算百分比。 决算数大于预算数的主要原因是业务工作任务增加，财政追拨业务工作经费。 </w:t>
      </w:r>
    </w:p>
    <w:p w14:paraId="0C3E126E">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国防支出（类）国防动员（款）兵役征集（项）。年初预算为0万元，支出决算为3万元，由于年初预算为0，无法计算百分比。决算数大于预算数的主要原因是业务工作任务增加，财政追拨业务工作经费。  </w:t>
      </w:r>
    </w:p>
    <w:p w14:paraId="11D44139">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国防支出（类）国防动员（款）其他国防动员支出（项）。年初预算为0万元，支出决算为5万元，由于年初预算为0，无法计算百分比。决算数大于预算数的主要原因是业务工作任务增加，财政追拨业务工作经费。  </w:t>
      </w:r>
    </w:p>
    <w:p w14:paraId="586F4EED">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公共安全支出（类）公安（款）其他公安支出（项）。年初预算为0万元，支出决算为1.98万元，由于年初预算为0，无法计算百分比。决算数大于预算数的主要原因是业务工作任务增加，财政追拨业务工作经费。  </w:t>
      </w:r>
    </w:p>
    <w:p w14:paraId="1BC38CE6">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文化旅游体育与传媒支出（类）文化和旅游（款）其他文化和旅游支出（项）。年初预算为0万元，支出决算为8.4万元，由于年初预算为0，无法计算百分比。决算数大于预算数的主要原因是业务工作任务增加，财政追拨业务工作经费。  </w:t>
      </w:r>
    </w:p>
    <w:p w14:paraId="3A343FC5">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文化旅游体育与传媒支出（类）其他文化旅游体育与传媒支出（款）其他文化旅游体育与传媒支出（项）。年初预算为0万元，支出决算为13万元，由于年初预算为0，无法计算百分比。决算数大于预算数的主要原因是业务工作任务增加，财政追拨业务工作经费。  </w:t>
      </w:r>
    </w:p>
    <w:p w14:paraId="1EA057B8">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民政管理事务（款）基层政权建设和社区治理（项）。年初预算为0万元，支出决算为4万元，由于年初预算为0，无法计算百分比。决算数大于预算数的主要原因是业务工作任务增加，财政追拨业务工作经费。  </w:t>
      </w:r>
    </w:p>
    <w:p w14:paraId="539D309E">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抚恤（款）其他优抚支出（项）。年初预算为0万元，支出决算为34.18万元，由于年初预算为0，无法计算百分比。决算数大于预算数的主要原因是业务工作任务增加，财政追拨业务工作经费。  </w:t>
      </w:r>
    </w:p>
    <w:p w14:paraId="6C3BDB98">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社会福利（款）老年福利（项）。年初预算为0万元，支出决算为6万元，由于年初预算为0，无法计算百分比。决算数大于预算数的主要原因是业务工作任务增加，财政追拨业务工作经费。  </w:t>
      </w:r>
    </w:p>
    <w:p w14:paraId="6A9243F1">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残疾人事业（款）行政运行（项）。年初预算为0万元，支出决算为3万元，由于年初预算为0，无法计算百分比。决算数大于预算数的主要原因是业务工作任务增加，财政追拨业务工作经费。  </w:t>
      </w:r>
    </w:p>
    <w:p w14:paraId="46FF71DC">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临时救助（款）临时救助支出（项）。年初预算为0万元，支出决算为85.4万元，由于年初预算为0，无法计算百分比。决算数大于预算数的主要原因是业务工作任务增加，财政追拨业务工作经费。  </w:t>
      </w:r>
    </w:p>
    <w:p w14:paraId="055E28A7">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特困人员救助供养（款）城市特困人员救助供养支出（项）。年初预算为0万元，支出决算为114.28万元，由于年初预算为0，无法计算百分比。决算数大于预算数的主要原因是业务工作任务增加，财政追拨业务工作经费。  </w:t>
      </w:r>
    </w:p>
    <w:p w14:paraId="67DB1FC9">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特困人员救助供养（款）农村特困人员救助供养支出（项）。年初预算为0万元，支出决算为198.66万元，由于年初预算为0，无法计算百分比。决算数大于预算数的主要原因是业务工作任务增加，财政追拨业务工作经费。  </w:t>
      </w:r>
    </w:p>
    <w:p w14:paraId="7AC2BB06">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退役军人管理事务（款）其他退役军人事务管理支出（项）。年初预算为0万元，支出决算为3.6万元，由于年初预算为0，无法计算百分比。决算数大于预算数的主要原因是业务工作任务增加，财政追拨业务工作经费。  </w:t>
      </w:r>
    </w:p>
    <w:p w14:paraId="1E1FD6C5">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其他社会保障和就业支出（款）其他社会保障和就业支出（项）。年初预算为0万元，支出决算为4万元，由于年初预算为0，无法计算百分比。决算数大于预算数的主要原因是业务工作任务增加，财政追拨业务工作经费。  </w:t>
      </w:r>
    </w:p>
    <w:p w14:paraId="1669BF64">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节能环保支出（类）自然生态保护（款）其他自然生态保护支出（项）。年初预算为0万元，支出决算为5万元，由于年初预算为0，无法计算百分比。决算数大于预算数的主要原因是业务工作任务增加，财政追拨业务工作经费。  </w:t>
      </w:r>
    </w:p>
    <w:p w14:paraId="2A7431E5">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城乡社区支出（类）城乡社区管理事务（款）其他城乡社区管理事务支出（项）。年初预算为0万元，支出决算为61万元，由于年初预算为0，无法计算百分比。决算数大于预算数的主要原因是业务工作任务增加，财政追拨业务工作经费。  </w:t>
      </w:r>
    </w:p>
    <w:p w14:paraId="4E60DA30">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城乡社区支出（类）城乡社区公共设施（款）小城镇基础设施建设（项）。年初预算为0万元，支出决算为17万元，由于年初预算为0，无法计算百分比。决算数大于预算数的主要原因是业务工作任务增加，财政追拨业务工作经费。  </w:t>
      </w:r>
    </w:p>
    <w:p w14:paraId="6766CE18">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城乡社区支出（类）城乡社区公共设施（款）其他城乡社区公共设施支出（项）。年初预算为0万元，支出决算为23.44万元，由于年初预算为0，无法计算百分比。决算数大于预算数的主要原因是业务工作任务增加，财政追拨业务工作经费。  </w:t>
      </w:r>
    </w:p>
    <w:p w14:paraId="3D24E03F">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业农村（款）科技转化与推广服务（项）。年初预算为0万元，支出决算为11万元，由于年初预算为0，无法计算百分比。决算数大于预算数的主要原因是业务工作任务增加，财政追拨业务工作经费。  </w:t>
      </w:r>
    </w:p>
    <w:p w14:paraId="163D24D0">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农林水支出（类）农业农村（款）病虫害控制（项）。年初预算为0万元，支出决算为6万元，由于年初预算为0，无法计算百分比。决算数大于预算数的主要原因是业务工作任务增加，财政追拨业务工作经费。  </w:t>
      </w:r>
    </w:p>
    <w:p w14:paraId="1ECFDDD5">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农林水支出（类）农业农村（款）防灾救灾（项）。年初预算为0万元，支出决算为24.8万元，由于年初预算为0，无法计算百分比。决算数大于预算数的主要原因是业务工作任务增加，财政追拨业务工作经费。  </w:t>
      </w:r>
    </w:p>
    <w:p w14:paraId="7831D2D8">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农林水支出（类）农业农村（款）农业生产发展（项）。年初预算为0万元，支出决算为5万元，由于年初预算为0，无法计算百分比。决算数大于预算数的主要原因是业务工作任务增加，财政追拨业务工作经费。  </w:t>
      </w:r>
    </w:p>
    <w:p w14:paraId="6955004B">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业农村（款）农村社会事业（项）。年初预算为0万元，支出决算为101.52万元，由于年初预算为0，无法计算百分比。决算数大于预算数的主要原因是业务工作任务增加，财政追拨业务工作经费。  </w:t>
      </w:r>
    </w:p>
    <w:p w14:paraId="67D30372">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农林水支出（类）农业农村（款）农田建设（项）。年初预算为0万元，支出决算为6万元，由于年初预算为0，无法计算百分比。决算数大于预算数的主要原因是业务工作任务增加，财政追拨业务工作经费。  </w:t>
      </w:r>
    </w:p>
    <w:p w14:paraId="339E4E5F">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业农村（款）其他农业农村支出（项）。年初预算为0万元，支出决算为27万元，由于年初预算为0，无法计算百分比。决算数大于预算数的主要原因是业务工作任务增加，财政追拨业务工作经费。  </w:t>
      </w:r>
    </w:p>
    <w:p w14:paraId="20DE0822">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林业和草原（款）一般行政管理事务（项）。年初预算为0万元，支出决算为5万元，由于年初预算为0，无法计算百分比。决算数大于预算数的主要原因是业务工作任务增加，财政追拨业务工作经费。  </w:t>
      </w:r>
    </w:p>
    <w:p w14:paraId="79FF86DB">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林业和草原（款）森林资源培育（项）。年初预算为0万元，支出决算为13.77万元，由于年初预算为0，无法计算百分比。决算数大于预算数的主要原因是业务工作任务增加，财政追拨业务工作经费。  </w:t>
      </w:r>
    </w:p>
    <w:p w14:paraId="3CF62D04">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农林水支出（类）水利（款）行政运行（项）。年初预算为0万元，支出决算为51.3万元，由于年初预算为0，无法计算百分比。决算数大于预算数的主要原因是业务工作任务增加，财政追拨业务工作经费。  </w:t>
      </w:r>
    </w:p>
    <w:p w14:paraId="2B47F701">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农林水支出（类）水利（款）水利工程建设（项）。年初预算为0万元，支出决算为41万元，由于年初预算为0，无法计算百分比。决算数大于预算数的主要原因是业务工作任务增加，财政追拨业务工作经费。  </w:t>
      </w:r>
    </w:p>
    <w:p w14:paraId="196FCB4F">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水利（款）水利工程运行与维护（项）。年初预算为0万元，支出决算为23.83万元，由于年初预算为0，无法计算百分比。决算数大于预算数的主要原因是业务工作任务增加，财政追拨业务工作经费。  </w:t>
      </w:r>
    </w:p>
    <w:p w14:paraId="786624A4">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农林水支出（类）水利（款）抗旱（项）。年初预算为0万元，支出决算为43.98万元，由于年初预算为0，无法计算百分比。决算数大于预算数的主要原因是业务工作任务增加，财政追拨业务工作经费。  </w:t>
      </w:r>
    </w:p>
    <w:p w14:paraId="337DA9E9">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农林水支出（类）水利（款）其他水利支出（项）。年初预算为0万元，支出决算为25万元，由于年初预算为0，无法计算百分比。决算数大于预算数的主要原因是业务工作任务增加，财政追拨业务工作经费。  </w:t>
      </w:r>
    </w:p>
    <w:p w14:paraId="3B1D7FC1">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巩固脱贫攻坚成果衔接乡村振兴（款）其他巩固脱贫衔接乡村振兴支出（项）。年初预算为0万元，支出决算为348.75万元，由于年初预算为0，无法计算百分比。决算数大于预算数的主要原因是业务工作任务增加，财政追拨业务工作经费。  </w:t>
      </w:r>
    </w:p>
    <w:p w14:paraId="504CAC32">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村综合改革（款）对村级公益事业建设的补助（项）。年初预算为0万元，支出决算为105万元，由于年初预算为0，无法计算百分比。决算数大于预算数的主要原因是业务工作任务增加，财政追拨业务工作经费。  </w:t>
      </w:r>
    </w:p>
    <w:p w14:paraId="05297F8E">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村综合改革（款）对村民委员会和村党支部的补助（项）。年初预算为0万元，支出决算为394.82万元，由于年初预算为0，无法计算百分比。决算数大于预算数的主要原因是业务工作任务增加，财政追拨业务工作经费。  </w:t>
      </w:r>
    </w:p>
    <w:p w14:paraId="0FA44741">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村综合改革（款）对村集体经济组织的补助（项）。年初预算为0万元，支出决算为5万元，由于年初预算为0，无法计算百分比。决算数大于预算数的主要原因是业务工作任务增加，财政追拨业务工作经费。  </w:t>
      </w:r>
    </w:p>
    <w:p w14:paraId="3140DDE2">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目标价格补贴（款）棉花目标价格补贴（项）。年初预算为0万元，支出决算为141.26万元，由于年初预算为0，无法计算百分比。决算数大于预算数的主要原因是业务工作任务增加，财政追拨业务工作经费。  </w:t>
      </w:r>
    </w:p>
    <w:p w14:paraId="6CEABD0D">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交通运输支出（类）公路水路运输（款）公路养护（项）。年初预算为0万元，支出决算为15.28万元，由于年初预算为0，无法计算百分比。决算数大于预算数的主要原因是业务工作任务增加，财政追拨业务工作经费。  </w:t>
      </w:r>
    </w:p>
    <w:p w14:paraId="11039155">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交通运输支出（类）公路水路运输（款）其他公路水路运输支出（项）。年初预算为0万元，支出决算为5.54万元，由于年初预算为0，无法计算百分比。决算数大于预算数的主要原因是业务工作任务增加，财政追拨业务工作经费。  </w:t>
      </w:r>
    </w:p>
    <w:p w14:paraId="6D4306AA">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商业服务业等支出（类）商业流通事务（款）其他商业流通事务支出（项）。年初预算为0万元，支出决算为15万元，由于年初预算为0，无法计算百分比。决算数大于预算数的主要原因是业务工作任务增加，财政追拨业务工作经费。  </w:t>
      </w:r>
    </w:p>
    <w:p w14:paraId="49EC03F8">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自然资源海洋气象等支出（类）自然资源事务（款）行政运行（项）。年初预算为0万元，支出决算为3万元，由于年初预算为0，无法计算百分比。决算数大于预算数的主要原因是业务工作任务增加，财政追拨业务工作经费。  </w:t>
      </w:r>
    </w:p>
    <w:p w14:paraId="3D94A2E1">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自然资源海洋气象等支出（类）自然资源事务（款）自然资源利用与保护（项）。年初预算为0万元，支出决算为18万元，由于年初预算为0，无法计算百分比。决算数大于预算数的主要原因是业务工作任务增加，财政追拨业务工作经费。  </w:t>
      </w:r>
    </w:p>
    <w:p w14:paraId="1CBF6B44">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粮油物资储备支出（类）粮油物资事务（款）其他粮油物资事务支出（项）。年初预算为0万元，支出决算为122万元，由于年初预算为0，无法计算百分比。决算数大于预算数的主要原因是业务工作任务增加，财政追拨业务工作经费。  </w:t>
      </w:r>
    </w:p>
    <w:p w14:paraId="4B7644C5">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灾害防治及应急管理支出（类）应急管理事务（款）其他应急管理支出（项）。年初预算为0万元，支出决算为20万元，由于年初预算为0，无法计算百分比。决算数大于预算数的主要原因是业务工作任务增加，财政追拨业务工作经费。  </w:t>
      </w:r>
    </w:p>
    <w:p w14:paraId="0926B553">
      <w:pPr>
        <w:pStyle w:val="14"/>
        <w:spacing w:line="600" w:lineRule="exact"/>
        <w:ind w:firstLine="640" w:firstLineChars="200"/>
        <w:rPr>
          <w:rFonts w:ascii="宋体" w:hAnsi="Calibri" w:eastAsia="宋体" w:cs="宋体"/>
          <w:color w:val="auto"/>
          <w:sz w:val="32"/>
          <w:szCs w:val="32"/>
        </w:rPr>
      </w:pPr>
      <w:r>
        <w:rPr>
          <w:rFonts w:hint="eastAsia" w:ascii="宋体" w:hAnsi="Times New Roman" w:eastAsia="宋体" w:cs="宋体"/>
          <w:color w:val="auto"/>
          <w:sz w:val="32"/>
          <w:szCs w:val="32"/>
        </w:rPr>
        <w:t>其他支出（类）其他支出（款）其他支出（项）。年初预算为0万元，支出决算为24万元，由于年初预算为0，无法计算百分比。决算数大于预算数的主要原因是业务工作任务增加，财政追拨业务工作经费</w:t>
      </w:r>
      <w:r>
        <w:rPr>
          <w:rFonts w:hint="eastAsia" w:ascii="宋体" w:cs="宋体"/>
          <w:color w:val="auto"/>
          <w:sz w:val="32"/>
          <w:szCs w:val="32"/>
        </w:rPr>
        <w:t>。</w:t>
      </w:r>
      <w:r>
        <w:rPr>
          <w:rFonts w:ascii="宋体" w:hAnsi="Calibri" w:eastAsia="宋体" w:cs="宋体"/>
          <w:color w:val="auto"/>
          <w:sz w:val="32"/>
          <w:szCs w:val="32"/>
        </w:rPr>
        <w:t xml:space="preserve">  </w:t>
      </w:r>
    </w:p>
    <w:p w14:paraId="7A33BE6E">
      <w:pPr>
        <w:pStyle w:val="14"/>
        <w:spacing w:line="600" w:lineRule="exact"/>
        <w:ind w:firstLine="640" w:firstLineChars="200"/>
        <w:rPr>
          <w:rFonts w:hAnsi="黑体"/>
          <w:bCs/>
          <w:color w:val="auto"/>
          <w:sz w:val="32"/>
          <w:szCs w:val="32"/>
        </w:rPr>
      </w:pPr>
      <w:r>
        <w:rPr>
          <w:rFonts w:hint="eastAsia" w:hAnsi="黑体"/>
          <w:bCs/>
          <w:color w:val="auto"/>
          <w:sz w:val="32"/>
          <w:szCs w:val="32"/>
        </w:rPr>
        <w:t>六、一般公共预算财政拨款基本支出决算情况说明</w:t>
      </w:r>
    </w:p>
    <w:p w14:paraId="10B7C594">
      <w:pPr>
        <w:keepNext/>
        <w:keepLines/>
        <w:autoSpaceDE w:val="0"/>
        <w:autoSpaceDN w:val="0"/>
        <w:adjustRightInd w:val="0"/>
        <w:ind w:firstLine="640"/>
        <w:jc w:val="left"/>
        <w:rPr>
          <w:rFonts w:ascii="宋体" w:hAnsi="Times New Roman" w:eastAsia="宋体" w:cs="宋体"/>
          <w:kern w:val="0"/>
          <w:sz w:val="32"/>
          <w:szCs w:val="32"/>
          <w:highlight w:val="white"/>
        </w:rPr>
      </w:pPr>
      <w:r>
        <w:rPr>
          <w:rFonts w:ascii="宋体" w:hAnsi="Times New Roman" w:eastAsia="宋体" w:cs="宋体"/>
          <w:sz w:val="32"/>
          <w:szCs w:val="32"/>
          <w:highlight w:val="white"/>
          <w:lang w:val="zh-CN"/>
        </w:rPr>
        <w:t>2023</w:t>
      </w:r>
      <w:r>
        <w:rPr>
          <w:rFonts w:hint="eastAsia" w:ascii="宋体" w:hAnsi="Times New Roman" w:eastAsia="宋体" w:cs="宋体"/>
          <w:sz w:val="32"/>
          <w:szCs w:val="32"/>
          <w:highlight w:val="white"/>
          <w:lang w:val="zh-CN"/>
        </w:rPr>
        <w:t>年度</w:t>
      </w:r>
      <w:r>
        <w:rPr>
          <w:rFonts w:hint="eastAsia" w:ascii="宋体" w:hAnsi="Times New Roman" w:eastAsia="宋体" w:cs="宋体"/>
          <w:kern w:val="0"/>
          <w:sz w:val="32"/>
          <w:szCs w:val="32"/>
          <w:highlight w:val="white"/>
        </w:rPr>
        <w:t>财政拨款基本支出</w:t>
      </w:r>
      <w:r>
        <w:rPr>
          <w:rFonts w:ascii="宋体" w:hAnsi="Times New Roman" w:eastAsia="宋体" w:cs="宋体"/>
          <w:kern w:val="0"/>
          <w:sz w:val="32"/>
          <w:szCs w:val="32"/>
          <w:highlight w:val="white"/>
        </w:rPr>
        <w:t>1384.56</w:t>
      </w:r>
      <w:r>
        <w:rPr>
          <w:rFonts w:hint="eastAsia" w:ascii="宋体" w:hAnsi="Times New Roman" w:eastAsia="宋体" w:cs="宋体"/>
          <w:kern w:val="0"/>
          <w:sz w:val="32"/>
          <w:szCs w:val="32"/>
          <w:highlight w:val="white"/>
        </w:rPr>
        <w:t>万元，其中</w:t>
      </w:r>
      <w:r>
        <w:rPr>
          <w:rFonts w:ascii="宋体" w:hAnsi="Times New Roman" w:eastAsia="宋体" w:cs="宋体"/>
          <w:kern w:val="0"/>
          <w:sz w:val="32"/>
          <w:szCs w:val="32"/>
          <w:highlight w:val="white"/>
        </w:rPr>
        <w:t>:</w:t>
      </w:r>
    </w:p>
    <w:p w14:paraId="2C18F235">
      <w:pPr>
        <w:keepNext/>
        <w:keepLines/>
        <w:autoSpaceDE w:val="0"/>
        <w:autoSpaceDN w:val="0"/>
        <w:adjustRightInd w:val="0"/>
        <w:ind w:firstLine="643"/>
        <w:jc w:val="left"/>
        <w:rPr>
          <w:rFonts w:ascii="宋体" w:hAnsi="Times New Roman" w:eastAsia="宋体" w:cs="宋体"/>
          <w:kern w:val="0"/>
          <w:sz w:val="32"/>
          <w:szCs w:val="32"/>
          <w:highlight w:val="white"/>
          <w:lang w:val="zh-CN"/>
        </w:rPr>
      </w:pPr>
      <w:r>
        <w:rPr>
          <w:rFonts w:hint="eastAsia" w:ascii="宋体" w:hAnsi="Times New Roman" w:eastAsia="宋体" w:cs="宋体"/>
          <w:b/>
          <w:bCs/>
          <w:kern w:val="0"/>
          <w:sz w:val="32"/>
          <w:szCs w:val="32"/>
          <w:highlight w:val="white"/>
        </w:rPr>
        <w:t>人员经费</w:t>
      </w:r>
      <w:r>
        <w:rPr>
          <w:rFonts w:ascii="宋体" w:hAnsi="Times New Roman" w:eastAsia="宋体" w:cs="宋体"/>
          <w:kern w:val="0"/>
          <w:sz w:val="32"/>
          <w:szCs w:val="32"/>
          <w:highlight w:val="white"/>
        </w:rPr>
        <w:t>1071.43</w:t>
      </w:r>
      <w:r>
        <w:rPr>
          <w:rFonts w:hint="eastAsia" w:ascii="宋体" w:hAnsi="Times New Roman" w:eastAsia="宋体" w:cs="宋体"/>
          <w:kern w:val="0"/>
          <w:sz w:val="32"/>
          <w:szCs w:val="32"/>
          <w:highlight w:val="white"/>
        </w:rPr>
        <w:t>万元，</w:t>
      </w:r>
      <w:r>
        <w:rPr>
          <w:rFonts w:hint="eastAsia" w:ascii="宋体" w:hAnsi="Times New Roman" w:eastAsia="宋体" w:cs="宋体"/>
          <w:sz w:val="32"/>
          <w:szCs w:val="32"/>
          <w:highlight w:val="white"/>
          <w:lang w:val="zh-CN"/>
        </w:rPr>
        <w:t>占基本支出的</w:t>
      </w:r>
      <w:r>
        <w:rPr>
          <w:rFonts w:ascii="宋体" w:hAnsi="Times New Roman" w:eastAsia="宋体" w:cs="宋体"/>
          <w:kern w:val="0"/>
          <w:sz w:val="32"/>
          <w:szCs w:val="32"/>
          <w:highlight w:val="white"/>
        </w:rPr>
        <w:t>77.38%</w:t>
      </w:r>
      <w:r>
        <w:rPr>
          <w:rFonts w:hint="eastAsia" w:ascii="宋体" w:hAnsi="Times New Roman" w:eastAsia="宋体" w:cs="宋体"/>
          <w:kern w:val="0"/>
          <w:sz w:val="32"/>
          <w:szCs w:val="32"/>
          <w:highlight w:val="white"/>
        </w:rPr>
        <w:t>，主要包括基本工资、津贴补贴、</w:t>
      </w:r>
      <w:r>
        <w:rPr>
          <w:rFonts w:hint="eastAsia" w:ascii="宋体" w:hAnsi="Times New Roman" w:eastAsia="宋体" w:cs="宋体"/>
          <w:kern w:val="0"/>
          <w:sz w:val="32"/>
          <w:szCs w:val="32"/>
          <w:highlight w:val="white"/>
          <w:lang w:val="zh-CN"/>
        </w:rPr>
        <w:t>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14:paraId="272FFCD0">
      <w:pPr>
        <w:pStyle w:val="14"/>
        <w:spacing w:line="600" w:lineRule="exact"/>
        <w:ind w:firstLine="640" w:firstLineChars="200"/>
        <w:rPr>
          <w:rFonts w:ascii="Times New Roman" w:hAnsi="Times New Roman" w:eastAsia="仿宋_GB2312"/>
          <w:b/>
          <w:color w:val="auto"/>
          <w:sz w:val="32"/>
          <w:szCs w:val="32"/>
        </w:rPr>
      </w:pPr>
      <w:r>
        <w:rPr>
          <w:rFonts w:hint="eastAsia" w:ascii="宋体" w:hAnsi="Times New Roman" w:eastAsia="宋体" w:cs="宋体"/>
          <w:b/>
          <w:bCs/>
          <w:color w:val="auto"/>
          <w:sz w:val="32"/>
          <w:szCs w:val="32"/>
          <w:highlight w:val="white"/>
        </w:rPr>
        <w:t>公用经费</w:t>
      </w:r>
      <w:r>
        <w:rPr>
          <w:rFonts w:ascii="宋体" w:hAnsi="Times New Roman" w:eastAsia="宋体" w:cs="宋体"/>
          <w:color w:val="auto"/>
          <w:sz w:val="32"/>
          <w:szCs w:val="32"/>
          <w:highlight w:val="white"/>
        </w:rPr>
        <w:t>313.13</w:t>
      </w:r>
      <w:r>
        <w:rPr>
          <w:rFonts w:hint="eastAsia" w:ascii="宋体" w:hAnsi="Times New Roman" w:eastAsia="宋体" w:cs="宋体"/>
          <w:color w:val="auto"/>
          <w:sz w:val="32"/>
          <w:szCs w:val="32"/>
          <w:highlight w:val="white"/>
        </w:rPr>
        <w:t>万元，</w:t>
      </w:r>
      <w:r>
        <w:rPr>
          <w:rFonts w:hint="eastAsia" w:ascii="宋体" w:hAnsi="Times New Roman" w:eastAsia="宋体" w:cs="宋体"/>
          <w:color w:val="auto"/>
          <w:sz w:val="32"/>
          <w:szCs w:val="32"/>
          <w:highlight w:val="white"/>
          <w:lang w:val="zh-CN"/>
        </w:rPr>
        <w:t>占基本支出的</w:t>
      </w:r>
      <w:r>
        <w:rPr>
          <w:rFonts w:ascii="宋体" w:hAnsi="Times New Roman" w:eastAsia="宋体" w:cs="宋体"/>
          <w:color w:val="auto"/>
          <w:sz w:val="32"/>
          <w:szCs w:val="32"/>
          <w:highlight w:val="white"/>
        </w:rPr>
        <w:t>22.62%</w:t>
      </w:r>
      <w:r>
        <w:rPr>
          <w:rFonts w:hint="eastAsia" w:ascii="宋体" w:hAnsi="Times New Roman" w:eastAsia="宋体" w:cs="宋体"/>
          <w:color w:val="auto"/>
          <w:sz w:val="32"/>
          <w:szCs w:val="32"/>
          <w:highlight w:val="white"/>
        </w:rPr>
        <w:t>，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212F0BDF">
      <w:pPr>
        <w:pStyle w:val="14"/>
        <w:spacing w:line="600" w:lineRule="exact"/>
        <w:ind w:firstLine="640" w:firstLineChars="200"/>
        <w:rPr>
          <w:rFonts w:ascii="Times New Roman" w:hAnsi="Times New Roman" w:eastAsia="仿宋_GB2312"/>
          <w:b/>
          <w:color w:val="auto"/>
          <w:sz w:val="32"/>
          <w:szCs w:val="32"/>
        </w:rPr>
      </w:pPr>
      <w:r>
        <w:rPr>
          <w:rFonts w:hint="eastAsia" w:hAnsi="黑体"/>
          <w:bCs/>
          <w:color w:val="auto"/>
          <w:sz w:val="32"/>
          <w:szCs w:val="32"/>
        </w:rPr>
        <w:t>七、财政拨款三公经费支出决算情况说明</w:t>
      </w:r>
    </w:p>
    <w:p w14:paraId="7A862AE2">
      <w:pPr>
        <w:pStyle w:val="14"/>
        <w:spacing w:line="600" w:lineRule="exact"/>
        <w:ind w:firstLine="640" w:firstLineChars="200"/>
        <w:rPr>
          <w:rFonts w:ascii="楷体" w:hAnsi="楷体" w:eastAsia="楷体" w:cs="楷体"/>
          <w:b/>
          <w:color w:val="auto"/>
          <w:sz w:val="32"/>
          <w:szCs w:val="32"/>
        </w:rPr>
      </w:pPr>
      <w:r>
        <w:rPr>
          <w:rFonts w:hint="eastAsia" w:ascii="楷体" w:hAnsi="楷体" w:eastAsia="楷体" w:cs="楷体"/>
          <w:b/>
          <w:color w:val="auto"/>
          <w:sz w:val="32"/>
          <w:szCs w:val="32"/>
        </w:rPr>
        <w:t>（一）“三公”经费财政拨款支出决算总体情况说明</w:t>
      </w:r>
    </w:p>
    <w:p w14:paraId="495778DD">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2023年度“三公”经费财政拨款支出预算为6.3万元，支出决算为1.05万元,完成预算的16.67%，决算数小于预算数的主要原因是认真贯彻落实中央“八项规定”精神和厉行节约要求，从严控制“三公”经费开支，全年实际支出比预算有所节约。与上年相比减少3.45万元，下降76.67%,减少主要原因是认真贯彻落实中央“八项规定”精神和厉行节约要求，从严控制“三公”经费开支，全年实际支出比预算有所节约。其中：</w:t>
      </w:r>
    </w:p>
    <w:p w14:paraId="02209EFE">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因公出国（境）费支出预算为0万元，支出决算为0万元，由于预算为0，无法计算百分比，与上年相比减少0万元，减少0%。   </w:t>
      </w:r>
    </w:p>
    <w:p w14:paraId="6917903E">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公务接待费支出预算为6.3万元，支出决算为1.05万元,完成预算的16.67%,决算数小于预算数的主要原因是认真贯彻落实中央“八项规定”精神和厉行节约要求，从严控制“三公”经费开支，全年实际支出比预算有所节约。与上年相比减少3.45万元，下降76.67%,减少主要原因是认真贯彻落实中央“八项规定”精神和厉行节约要求，从严控制“三公”经费开支，全年实际支出比预算有所节约。</w:t>
      </w:r>
    </w:p>
    <w:p w14:paraId="22AD2976">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公务用车购置费支出预算为0万元，支出决算为0万元，由于预算为0，无法计算百分比，与上年相比减少0万元，减少0%。   </w:t>
      </w:r>
    </w:p>
    <w:p w14:paraId="20363D6C">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rPr>
        <w:t>公务用车购置费及运行维护费支出预算为0万元，支出决算为0万元，由于预算为0，无法计算百分比，与上年相比减少0万元，减少0%</w:t>
      </w:r>
      <w:r>
        <w:rPr>
          <w:rFonts w:hint="eastAsia" w:ascii="宋体" w:hAnsi="Times New Roman" w:eastAsia="宋体" w:cs="宋体"/>
          <w:color w:val="auto"/>
          <w:sz w:val="32"/>
          <w:szCs w:val="32"/>
          <w:highlight w:val="white"/>
        </w:rPr>
        <w:t>。</w:t>
      </w:r>
    </w:p>
    <w:p w14:paraId="68D465AF">
      <w:pPr>
        <w:pStyle w:val="14"/>
        <w:spacing w:line="600" w:lineRule="exact"/>
        <w:ind w:firstLine="640" w:firstLineChars="200"/>
        <w:rPr>
          <w:rFonts w:ascii="楷体" w:hAnsi="楷体" w:eastAsia="楷体" w:cs="楷体"/>
          <w:b/>
          <w:color w:val="auto"/>
          <w:sz w:val="32"/>
          <w:szCs w:val="32"/>
        </w:rPr>
      </w:pPr>
      <w:r>
        <w:rPr>
          <w:rFonts w:hint="eastAsia" w:ascii="楷体" w:hAnsi="楷体" w:eastAsia="楷体" w:cs="楷体"/>
          <w:b/>
          <w:color w:val="auto"/>
          <w:sz w:val="32"/>
          <w:szCs w:val="32"/>
        </w:rPr>
        <w:t>（二）“三公”经费财政拨款支出决算具体情况说明</w:t>
      </w:r>
    </w:p>
    <w:p w14:paraId="15909D69">
      <w:pPr>
        <w:pStyle w:val="14"/>
        <w:spacing w:line="600" w:lineRule="exact"/>
        <w:ind w:firstLine="640" w:firstLineChars="200"/>
        <w:rPr>
          <w:rFonts w:hint="eastAsia" w:ascii="宋体" w:hAnsi="Times New Roman" w:eastAsia="宋体" w:cs="宋体"/>
          <w:color w:val="auto"/>
          <w:sz w:val="32"/>
          <w:szCs w:val="32"/>
          <w:lang w:val="zh-CN"/>
        </w:rPr>
      </w:pPr>
      <w:r>
        <w:rPr>
          <w:rFonts w:hint="eastAsia" w:ascii="宋体" w:hAnsi="Times New Roman" w:eastAsia="宋体" w:cs="宋体"/>
          <w:color w:val="auto"/>
          <w:sz w:val="32"/>
          <w:szCs w:val="32"/>
          <w:lang w:val="zh-CN"/>
        </w:rPr>
        <w:t>2023年度“三公”经费财政拨款支出决算中，因公出国（境）费支出决算0万元，占0%；公务接待费支出决算1.05万元，占100%。公务用车购置费及运行维护费支出决算0万元，占0%；</w:t>
      </w:r>
    </w:p>
    <w:p w14:paraId="5A55796B">
      <w:pPr>
        <w:pStyle w:val="14"/>
        <w:spacing w:line="600" w:lineRule="exact"/>
        <w:ind w:firstLine="640" w:firstLineChars="200"/>
        <w:rPr>
          <w:rFonts w:hint="eastAsia" w:ascii="宋体" w:hAnsi="Times New Roman" w:eastAsia="宋体" w:cs="宋体"/>
          <w:color w:val="auto"/>
          <w:sz w:val="32"/>
          <w:szCs w:val="32"/>
          <w:lang w:val="zh-CN"/>
        </w:rPr>
      </w:pPr>
      <w:r>
        <w:rPr>
          <w:rFonts w:hint="eastAsia" w:ascii="宋体" w:hAnsi="Times New Roman" w:eastAsia="宋体" w:cs="宋体"/>
          <w:color w:val="auto"/>
          <w:sz w:val="32"/>
          <w:szCs w:val="32"/>
          <w:lang w:val="zh-CN"/>
        </w:rPr>
        <w:t>1、因公出国（境）费支出决算0万元，全年安排因公出国（境）团组0个，累计0人次。</w:t>
      </w:r>
    </w:p>
    <w:p w14:paraId="47C1B002">
      <w:pPr>
        <w:pStyle w:val="14"/>
        <w:spacing w:line="600" w:lineRule="exact"/>
        <w:ind w:firstLine="640" w:firstLineChars="200"/>
        <w:rPr>
          <w:rFonts w:hint="eastAsia" w:ascii="宋体" w:hAnsi="Times New Roman" w:eastAsia="宋体" w:cs="宋体"/>
          <w:color w:val="auto"/>
          <w:sz w:val="32"/>
          <w:szCs w:val="32"/>
          <w:lang w:val="zh-CN"/>
        </w:rPr>
      </w:pPr>
      <w:r>
        <w:rPr>
          <w:rFonts w:hint="eastAsia" w:ascii="宋体" w:hAnsi="Times New Roman" w:eastAsia="宋体" w:cs="宋体"/>
          <w:color w:val="auto"/>
          <w:sz w:val="32"/>
          <w:szCs w:val="32"/>
          <w:lang w:val="zh-CN"/>
        </w:rPr>
        <w:t>2、公务接待费支出决算为1.05万元，其中：其他国内公务接待支出1.05万元,全年共接待来访团组15个、来宾80人次（不包括陪同人员）。主要用于与有关单位交流工作情况及接受相关部门检查指导工作发生的接待支出。</w:t>
      </w:r>
    </w:p>
    <w:p w14:paraId="55FCB963">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lang w:val="zh-CN"/>
        </w:rPr>
        <w:t xml:space="preserve"> 3、公务用车购置费及运行维护费支出决算0万元，其中：公务用车购置费0万元，更新公务用车0辆。公务用车运行维护费0元，截止2023年12月31日，我单位开支财政拨款的公务用车保有量为0辆</w:t>
      </w:r>
      <w:r>
        <w:rPr>
          <w:rFonts w:hint="eastAsia" w:ascii="宋体" w:hAnsi="Times New Roman" w:eastAsia="宋体" w:cs="宋体"/>
          <w:color w:val="auto"/>
          <w:sz w:val="32"/>
          <w:szCs w:val="32"/>
          <w:highlight w:val="white"/>
        </w:rPr>
        <w:t>。</w:t>
      </w:r>
    </w:p>
    <w:p w14:paraId="36793E7C">
      <w:pPr>
        <w:pStyle w:val="14"/>
        <w:spacing w:line="600" w:lineRule="exact"/>
        <w:ind w:firstLine="640" w:firstLineChars="200"/>
        <w:rPr>
          <w:rFonts w:hAnsi="黑体"/>
          <w:bCs/>
          <w:color w:val="auto"/>
          <w:sz w:val="32"/>
          <w:szCs w:val="32"/>
        </w:rPr>
      </w:pPr>
      <w:r>
        <w:rPr>
          <w:rFonts w:hint="eastAsia" w:hAnsi="黑体"/>
          <w:bCs/>
          <w:color w:val="auto"/>
          <w:sz w:val="32"/>
          <w:szCs w:val="32"/>
        </w:rPr>
        <w:t>八、政府性基金预算收入支出决算情况</w:t>
      </w:r>
    </w:p>
    <w:p w14:paraId="44F14DC9">
      <w:pPr>
        <w:keepNext/>
        <w:keepLines/>
        <w:autoSpaceDE w:val="0"/>
        <w:autoSpaceDN w:val="0"/>
        <w:adjustRightInd w:val="0"/>
        <w:ind w:firstLine="643"/>
        <w:jc w:val="left"/>
        <w:rPr>
          <w:rFonts w:ascii="宋体" w:hAnsi="Times New Roman" w:eastAsia="宋体" w:cs="宋体"/>
          <w:kern w:val="0"/>
          <w:sz w:val="32"/>
          <w:szCs w:val="32"/>
          <w:highlight w:val="white"/>
        </w:rPr>
      </w:pPr>
      <w:r>
        <w:rPr>
          <w:rFonts w:ascii="宋体" w:hAnsi="Times New Roman" w:eastAsia="宋体" w:cs="宋体"/>
          <w:kern w:val="0"/>
          <w:sz w:val="32"/>
          <w:szCs w:val="32"/>
          <w:highlight w:val="white"/>
        </w:rPr>
        <w:t>2023</w:t>
      </w:r>
      <w:r>
        <w:rPr>
          <w:rFonts w:hint="eastAsia" w:ascii="宋体" w:hAnsi="Times New Roman" w:eastAsia="宋体" w:cs="宋体"/>
          <w:kern w:val="0"/>
          <w:sz w:val="32"/>
          <w:szCs w:val="32"/>
          <w:highlight w:val="white"/>
        </w:rPr>
        <w:t>年政府性基金预算财政拨款收入</w:t>
      </w:r>
      <w:r>
        <w:rPr>
          <w:rFonts w:ascii="宋体" w:hAnsi="Times New Roman" w:eastAsia="宋体" w:cs="宋体"/>
          <w:kern w:val="0"/>
          <w:sz w:val="32"/>
          <w:szCs w:val="32"/>
          <w:highlight w:val="white"/>
        </w:rPr>
        <w:t>166</w:t>
      </w:r>
      <w:r>
        <w:rPr>
          <w:rFonts w:hint="eastAsia" w:ascii="宋体" w:hAnsi="Times New Roman" w:eastAsia="宋体" w:cs="宋体"/>
          <w:kern w:val="0"/>
          <w:sz w:val="32"/>
          <w:szCs w:val="32"/>
          <w:highlight w:val="white"/>
        </w:rPr>
        <w:t>万元，年初结转和结余</w:t>
      </w:r>
      <w:r>
        <w:rPr>
          <w:rFonts w:ascii="宋体" w:hAnsi="Times New Roman" w:eastAsia="宋体" w:cs="宋体"/>
          <w:kern w:val="0"/>
          <w:sz w:val="32"/>
          <w:szCs w:val="32"/>
          <w:highlight w:val="white"/>
        </w:rPr>
        <w:t>0</w:t>
      </w:r>
      <w:r>
        <w:rPr>
          <w:rFonts w:hint="eastAsia" w:ascii="宋体" w:hAnsi="Times New Roman" w:eastAsia="宋体" w:cs="宋体"/>
          <w:kern w:val="0"/>
          <w:sz w:val="32"/>
          <w:szCs w:val="32"/>
          <w:highlight w:val="white"/>
        </w:rPr>
        <w:t>万元</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本年支出</w:t>
      </w:r>
      <w:r>
        <w:rPr>
          <w:rFonts w:ascii="宋体" w:hAnsi="Times New Roman" w:eastAsia="宋体" w:cs="宋体"/>
          <w:kern w:val="0"/>
          <w:sz w:val="32"/>
          <w:szCs w:val="32"/>
          <w:highlight w:val="white"/>
        </w:rPr>
        <w:t>166</w:t>
      </w:r>
      <w:r>
        <w:rPr>
          <w:rFonts w:hint="eastAsia" w:ascii="宋体" w:hAnsi="Times New Roman" w:eastAsia="宋体" w:cs="宋体"/>
          <w:kern w:val="0"/>
          <w:sz w:val="32"/>
          <w:szCs w:val="32"/>
          <w:highlight w:val="white"/>
        </w:rPr>
        <w:t>万元</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其中：基本支出</w:t>
      </w:r>
      <w:r>
        <w:rPr>
          <w:rFonts w:ascii="宋体" w:hAnsi="Times New Roman" w:eastAsia="宋体" w:cs="宋体"/>
          <w:kern w:val="0"/>
          <w:sz w:val="32"/>
          <w:szCs w:val="32"/>
          <w:highlight w:val="white"/>
        </w:rPr>
        <w:t>0</w:t>
      </w:r>
      <w:r>
        <w:rPr>
          <w:rFonts w:hint="eastAsia" w:ascii="宋体" w:hAnsi="Times New Roman" w:eastAsia="宋体" w:cs="宋体"/>
          <w:kern w:val="0"/>
          <w:sz w:val="32"/>
          <w:szCs w:val="32"/>
          <w:highlight w:val="white"/>
        </w:rPr>
        <w:t>元万元</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项目支出</w:t>
      </w:r>
      <w:r>
        <w:rPr>
          <w:rFonts w:ascii="宋体" w:hAnsi="Times New Roman" w:eastAsia="宋体" w:cs="宋体"/>
          <w:kern w:val="0"/>
          <w:sz w:val="32"/>
          <w:szCs w:val="32"/>
          <w:highlight w:val="white"/>
        </w:rPr>
        <w:t>166</w:t>
      </w:r>
      <w:r>
        <w:rPr>
          <w:rFonts w:hint="eastAsia" w:ascii="宋体" w:hAnsi="Times New Roman" w:eastAsia="宋体" w:cs="宋体"/>
          <w:kern w:val="0"/>
          <w:sz w:val="32"/>
          <w:szCs w:val="32"/>
          <w:highlight w:val="white"/>
        </w:rPr>
        <w:t>万元</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年末结转和结余</w:t>
      </w:r>
      <w:r>
        <w:rPr>
          <w:rFonts w:ascii="宋体" w:hAnsi="Times New Roman" w:eastAsia="宋体" w:cs="宋体"/>
          <w:kern w:val="0"/>
          <w:sz w:val="32"/>
          <w:szCs w:val="32"/>
          <w:highlight w:val="white"/>
        </w:rPr>
        <w:t>0</w:t>
      </w:r>
      <w:r>
        <w:rPr>
          <w:rFonts w:hint="eastAsia" w:ascii="宋体" w:hAnsi="Times New Roman" w:eastAsia="宋体" w:cs="宋体"/>
          <w:kern w:val="0"/>
          <w:sz w:val="32"/>
          <w:szCs w:val="32"/>
          <w:highlight w:val="white"/>
        </w:rPr>
        <w:t>元万元</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具体情况如下：</w:t>
      </w:r>
    </w:p>
    <w:p w14:paraId="0823406E">
      <w:pPr>
        <w:keepNext/>
        <w:keepLines/>
        <w:autoSpaceDE w:val="0"/>
        <w:autoSpaceDN w:val="0"/>
        <w:adjustRightInd w:val="0"/>
        <w:ind w:firstLine="643"/>
        <w:jc w:val="left"/>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社会保障和就业支出（类）大中型水库移民后期扶持基金支出（款）基础设施建设和经济发展（项）。年初预算为</w:t>
      </w:r>
      <w:r>
        <w:rPr>
          <w:rFonts w:ascii="宋体" w:hAnsi="Times New Roman" w:eastAsia="宋体" w:cs="宋体"/>
          <w:kern w:val="0"/>
          <w:sz w:val="32"/>
          <w:szCs w:val="32"/>
          <w:highlight w:val="white"/>
        </w:rPr>
        <w:t>0</w:t>
      </w:r>
      <w:r>
        <w:rPr>
          <w:rFonts w:hint="eastAsia" w:ascii="宋体" w:hAnsi="Times New Roman" w:eastAsia="宋体" w:cs="宋体"/>
          <w:kern w:val="0"/>
          <w:sz w:val="32"/>
          <w:szCs w:val="32"/>
          <w:highlight w:val="white"/>
        </w:rPr>
        <w:t>万元，支出决算为</w:t>
      </w:r>
      <w:r>
        <w:rPr>
          <w:rFonts w:ascii="宋体" w:hAnsi="Times New Roman" w:eastAsia="宋体" w:cs="宋体"/>
          <w:kern w:val="0"/>
          <w:sz w:val="32"/>
          <w:szCs w:val="32"/>
          <w:highlight w:val="white"/>
        </w:rPr>
        <w:t>39</w:t>
      </w:r>
      <w:r>
        <w:rPr>
          <w:rFonts w:hint="eastAsia" w:ascii="宋体" w:hAnsi="Times New Roman" w:eastAsia="宋体" w:cs="宋体"/>
          <w:kern w:val="0"/>
          <w:sz w:val="32"/>
          <w:szCs w:val="32"/>
          <w:highlight w:val="white"/>
        </w:rPr>
        <w:t>万元，由于年初预算为</w:t>
      </w:r>
      <w:r>
        <w:rPr>
          <w:rFonts w:ascii="宋体" w:hAnsi="Times New Roman" w:eastAsia="宋体" w:cs="宋体"/>
          <w:kern w:val="0"/>
          <w:sz w:val="32"/>
          <w:szCs w:val="32"/>
          <w:highlight w:val="white"/>
        </w:rPr>
        <w:t>0</w:t>
      </w:r>
      <w:r>
        <w:rPr>
          <w:rFonts w:hint="eastAsia" w:ascii="宋体" w:hAnsi="Times New Roman" w:eastAsia="宋体" w:cs="宋体"/>
          <w:kern w:val="0"/>
          <w:sz w:val="32"/>
          <w:szCs w:val="32"/>
          <w:highlight w:val="white"/>
        </w:rPr>
        <w:t>，无法计算百分比。决算数大于预算数的主要原因是业务工作任务增加，财政追拨业务工作经费。</w:t>
      </w:r>
    </w:p>
    <w:p w14:paraId="3E279D2D">
      <w:pPr>
        <w:keepNext/>
        <w:keepLines/>
        <w:autoSpaceDE w:val="0"/>
        <w:autoSpaceDN w:val="0"/>
        <w:adjustRightInd w:val="0"/>
        <w:ind w:firstLine="643"/>
        <w:jc w:val="left"/>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其他支出（类）其他政府性基金及对应专项债务收入安排的支出（款）其他政府性基金安排的支出（项）。年初预算为</w:t>
      </w:r>
      <w:r>
        <w:rPr>
          <w:rFonts w:ascii="宋体" w:hAnsi="Times New Roman" w:eastAsia="宋体" w:cs="宋体"/>
          <w:kern w:val="0"/>
          <w:sz w:val="32"/>
          <w:szCs w:val="32"/>
          <w:highlight w:val="white"/>
        </w:rPr>
        <w:t>0</w:t>
      </w:r>
      <w:r>
        <w:rPr>
          <w:rFonts w:hint="eastAsia" w:ascii="宋体" w:hAnsi="Times New Roman" w:eastAsia="宋体" w:cs="宋体"/>
          <w:kern w:val="0"/>
          <w:sz w:val="32"/>
          <w:szCs w:val="32"/>
          <w:highlight w:val="white"/>
        </w:rPr>
        <w:t>万元，支出决算为</w:t>
      </w:r>
      <w:r>
        <w:rPr>
          <w:rFonts w:ascii="宋体" w:hAnsi="Times New Roman" w:eastAsia="宋体" w:cs="宋体"/>
          <w:kern w:val="0"/>
          <w:sz w:val="32"/>
          <w:szCs w:val="32"/>
          <w:highlight w:val="white"/>
        </w:rPr>
        <w:t>100</w:t>
      </w:r>
      <w:r>
        <w:rPr>
          <w:rFonts w:hint="eastAsia" w:ascii="宋体" w:hAnsi="Times New Roman" w:eastAsia="宋体" w:cs="宋体"/>
          <w:kern w:val="0"/>
          <w:sz w:val="32"/>
          <w:szCs w:val="32"/>
          <w:highlight w:val="white"/>
        </w:rPr>
        <w:t>万元，由于年初预算为</w:t>
      </w:r>
      <w:r>
        <w:rPr>
          <w:rFonts w:ascii="宋体" w:hAnsi="Times New Roman" w:eastAsia="宋体" w:cs="宋体"/>
          <w:kern w:val="0"/>
          <w:sz w:val="32"/>
          <w:szCs w:val="32"/>
          <w:highlight w:val="white"/>
        </w:rPr>
        <w:t>0</w:t>
      </w:r>
      <w:r>
        <w:rPr>
          <w:rFonts w:hint="eastAsia" w:ascii="宋体" w:hAnsi="Times New Roman" w:eastAsia="宋体" w:cs="宋体"/>
          <w:kern w:val="0"/>
          <w:sz w:val="32"/>
          <w:szCs w:val="32"/>
          <w:highlight w:val="white"/>
        </w:rPr>
        <w:t>，无法计算百分比。决算数大于预算数的主要原因是业务工作任务增加，财政追拨业务工作经费。</w:t>
      </w:r>
    </w:p>
    <w:p w14:paraId="5766CC26">
      <w:pPr>
        <w:keepNext/>
        <w:keepLines/>
        <w:autoSpaceDE w:val="0"/>
        <w:autoSpaceDN w:val="0"/>
        <w:adjustRightInd w:val="0"/>
        <w:ind w:firstLine="643"/>
        <w:jc w:val="left"/>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其他支出（类）彩票公益金安排的支出（款）用于社会福利的彩票公益金支出（项）。年初预算为</w:t>
      </w:r>
      <w:r>
        <w:rPr>
          <w:rFonts w:ascii="宋体" w:hAnsi="Times New Roman" w:eastAsia="宋体" w:cs="宋体"/>
          <w:kern w:val="0"/>
          <w:sz w:val="32"/>
          <w:szCs w:val="32"/>
          <w:highlight w:val="white"/>
        </w:rPr>
        <w:t>0</w:t>
      </w:r>
      <w:r>
        <w:rPr>
          <w:rFonts w:hint="eastAsia" w:ascii="宋体" w:hAnsi="Times New Roman" w:eastAsia="宋体" w:cs="宋体"/>
          <w:kern w:val="0"/>
          <w:sz w:val="32"/>
          <w:szCs w:val="32"/>
          <w:highlight w:val="white"/>
        </w:rPr>
        <w:t>万元，支出决算为</w:t>
      </w:r>
      <w:r>
        <w:rPr>
          <w:rFonts w:ascii="宋体" w:hAnsi="Times New Roman" w:eastAsia="宋体" w:cs="宋体"/>
          <w:kern w:val="0"/>
          <w:sz w:val="32"/>
          <w:szCs w:val="32"/>
          <w:highlight w:val="white"/>
        </w:rPr>
        <w:t>23</w:t>
      </w:r>
      <w:r>
        <w:rPr>
          <w:rFonts w:hint="eastAsia" w:ascii="宋体" w:hAnsi="Times New Roman" w:eastAsia="宋体" w:cs="宋体"/>
          <w:kern w:val="0"/>
          <w:sz w:val="32"/>
          <w:szCs w:val="32"/>
          <w:highlight w:val="white"/>
        </w:rPr>
        <w:t>万元，由于年初预算为</w:t>
      </w:r>
      <w:r>
        <w:rPr>
          <w:rFonts w:ascii="宋体" w:hAnsi="Times New Roman" w:eastAsia="宋体" w:cs="宋体"/>
          <w:kern w:val="0"/>
          <w:sz w:val="32"/>
          <w:szCs w:val="32"/>
          <w:highlight w:val="white"/>
        </w:rPr>
        <w:t>0</w:t>
      </w:r>
      <w:r>
        <w:rPr>
          <w:rFonts w:hint="eastAsia" w:ascii="宋体" w:hAnsi="Times New Roman" w:eastAsia="宋体" w:cs="宋体"/>
          <w:kern w:val="0"/>
          <w:sz w:val="32"/>
          <w:szCs w:val="32"/>
          <w:highlight w:val="white"/>
        </w:rPr>
        <w:t>，无法计算百分比。决算数大于预算数的主要原因是业务工作任务增加，财政追拨业务工作经费。</w:t>
      </w:r>
    </w:p>
    <w:p w14:paraId="2736FC73">
      <w:pPr>
        <w:pStyle w:val="14"/>
        <w:spacing w:line="600" w:lineRule="exact"/>
        <w:ind w:firstLine="630"/>
        <w:rPr>
          <w:rFonts w:hint="eastAsia" w:ascii="宋体" w:hAnsi="Times New Roman" w:eastAsia="宋体" w:cs="宋体"/>
          <w:color w:val="auto"/>
          <w:sz w:val="32"/>
          <w:szCs w:val="32"/>
          <w:highlight w:val="white"/>
          <w:lang w:val="zh-CN"/>
        </w:rPr>
      </w:pPr>
      <w:r>
        <w:rPr>
          <w:rFonts w:hint="eastAsia" w:ascii="宋体" w:hAnsi="Times New Roman" w:eastAsia="宋体" w:cs="宋体"/>
          <w:color w:val="auto"/>
          <w:sz w:val="32"/>
          <w:szCs w:val="32"/>
          <w:highlight w:val="white"/>
        </w:rPr>
        <w:t>其他支出（类）彩票公益金安排的支出（款）用于体育事业的彩票公益金支出（项）。年初预算为</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万元，支出决算为</w:t>
      </w:r>
      <w:r>
        <w:rPr>
          <w:rFonts w:ascii="宋体" w:hAnsi="Times New Roman" w:eastAsia="宋体" w:cs="宋体"/>
          <w:color w:val="auto"/>
          <w:sz w:val="32"/>
          <w:szCs w:val="32"/>
          <w:highlight w:val="white"/>
        </w:rPr>
        <w:t>4</w:t>
      </w:r>
      <w:r>
        <w:rPr>
          <w:rFonts w:hint="eastAsia" w:ascii="宋体" w:hAnsi="Times New Roman" w:eastAsia="宋体" w:cs="宋体"/>
          <w:color w:val="auto"/>
          <w:sz w:val="32"/>
          <w:szCs w:val="32"/>
          <w:highlight w:val="white"/>
        </w:rPr>
        <w:t>万元，由于年初预算为</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，无法计算百分比。决算数大于预算数的主要原因是业务工作任务增加，财政追拨业务工作经费</w:t>
      </w:r>
      <w:r>
        <w:rPr>
          <w:rFonts w:hint="eastAsia" w:ascii="宋体" w:hAnsi="Times New Roman" w:eastAsia="宋体" w:cs="宋体"/>
          <w:color w:val="auto"/>
          <w:sz w:val="32"/>
          <w:szCs w:val="32"/>
          <w:highlight w:val="white"/>
          <w:lang w:val="zh-CN"/>
        </w:rPr>
        <w:t>。</w:t>
      </w:r>
    </w:p>
    <w:p w14:paraId="545044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ascii="Calibri" w:hAnsi="Calibri" w:eastAsia="宋体" w:cs="Times New Roman"/>
          <w:kern w:val="0"/>
          <w:sz w:val="24"/>
          <w:szCs w:val="24"/>
          <w:lang w:val="en-US" w:eastAsia="zh-CN" w:bidi="ar"/>
        </w:rPr>
      </w:pPr>
      <w:r>
        <w:rPr>
          <w:rFonts w:hint="eastAsia" w:ascii="黑体" w:hAnsi="黑体" w:eastAsia="黑体" w:cs="黑体"/>
          <w:b w:val="0"/>
          <w:bCs/>
          <w:color w:val="000000"/>
          <w:kern w:val="0"/>
          <w:sz w:val="32"/>
          <w:szCs w:val="32"/>
          <w:lang w:val="en-US" w:eastAsia="zh-CN" w:bidi="ar-SA"/>
        </w:rPr>
        <w:t>九、国有资本经营预算财政拨款支出决算情况</w:t>
      </w:r>
    </w:p>
    <w:p w14:paraId="4562CC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ascii="Calibri" w:hAnsi="Calibri" w:eastAsia="宋体" w:cs="Times New Roman"/>
          <w:kern w:val="0"/>
          <w:sz w:val="24"/>
          <w:szCs w:val="24"/>
          <w:lang w:val="en-US" w:eastAsia="zh-CN" w:bidi="ar"/>
        </w:rPr>
      </w:pPr>
      <w:r>
        <w:rPr>
          <w:rFonts w:hint="eastAsia" w:ascii="仿宋" w:hAnsi="仿宋" w:eastAsia="仿宋" w:cs="仿宋"/>
          <w:color w:val="000000"/>
          <w:kern w:val="0"/>
          <w:sz w:val="32"/>
          <w:szCs w:val="32"/>
          <w:lang w:val="en-US" w:eastAsia="zh-CN" w:bidi="ar-SA"/>
        </w:rPr>
        <w:t>2023年本单位没有使用国有资本经营预算安排的支出。</w:t>
      </w:r>
    </w:p>
    <w:p w14:paraId="065208B0">
      <w:pPr>
        <w:rPr>
          <w:rFonts w:ascii="Calibri" w:hAnsi="Calibri" w:eastAsia="宋体" w:cs="Times New Roman"/>
          <w:szCs w:val="24"/>
        </w:rPr>
      </w:pPr>
    </w:p>
    <w:p w14:paraId="643437F3">
      <w:pPr>
        <w:pStyle w:val="14"/>
        <w:spacing w:line="600" w:lineRule="exact"/>
        <w:ind w:firstLine="630"/>
        <w:rPr>
          <w:rFonts w:hint="eastAsia" w:ascii="宋体" w:hAnsi="Times New Roman" w:eastAsia="宋体" w:cs="宋体"/>
          <w:color w:val="auto"/>
          <w:sz w:val="32"/>
          <w:szCs w:val="32"/>
          <w:highlight w:val="white"/>
          <w:lang w:val="zh-CN"/>
        </w:rPr>
      </w:pPr>
    </w:p>
    <w:p w14:paraId="223689DF">
      <w:pPr>
        <w:pStyle w:val="14"/>
        <w:spacing w:line="600" w:lineRule="exact"/>
        <w:ind w:firstLine="630"/>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14:paraId="6C81C59B">
      <w:pPr>
        <w:keepNext/>
        <w:keepLines/>
        <w:autoSpaceDE w:val="0"/>
        <w:autoSpaceDN w:val="0"/>
        <w:adjustRightInd w:val="0"/>
        <w:ind w:firstLine="640"/>
        <w:rPr>
          <w:rFonts w:ascii="宋体" w:hAnsi="Times New Roman" w:eastAsia="宋体" w:cs="宋体"/>
          <w:kern w:val="0"/>
          <w:sz w:val="32"/>
          <w:szCs w:val="32"/>
          <w:lang w:val="zh-CN"/>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年度机关运行经费支出</w:t>
      </w:r>
      <w:r>
        <w:rPr>
          <w:rFonts w:ascii="宋体" w:hAnsi="Times New Roman" w:eastAsia="宋体" w:cs="宋体"/>
          <w:sz w:val="32"/>
          <w:szCs w:val="32"/>
          <w:highlight w:val="white"/>
        </w:rPr>
        <w:t>313.13</w:t>
      </w:r>
      <w:r>
        <w:rPr>
          <w:rFonts w:hint="eastAsia" w:ascii="宋体" w:hAnsi="Times New Roman" w:eastAsia="宋体" w:cs="宋体"/>
          <w:sz w:val="32"/>
          <w:szCs w:val="32"/>
          <w:highlight w:val="white"/>
        </w:rPr>
        <w:t>万元。比年初预算数增加</w:t>
      </w:r>
      <w:r>
        <w:rPr>
          <w:rFonts w:ascii="宋体" w:hAnsi="Times New Roman" w:eastAsia="宋体" w:cs="宋体"/>
          <w:sz w:val="32"/>
          <w:szCs w:val="32"/>
          <w:highlight w:val="white"/>
        </w:rPr>
        <w:t>248.71</w:t>
      </w:r>
      <w:r>
        <w:rPr>
          <w:rFonts w:hint="eastAsia" w:ascii="宋体" w:hAnsi="Times New Roman" w:eastAsia="宋体" w:cs="宋体"/>
          <w:sz w:val="32"/>
          <w:szCs w:val="32"/>
          <w:highlight w:val="white"/>
        </w:rPr>
        <w:t>万元。增加</w:t>
      </w:r>
      <w:r>
        <w:rPr>
          <w:rFonts w:ascii="宋体" w:hAnsi="Times New Roman" w:eastAsia="宋体" w:cs="宋体"/>
          <w:sz w:val="32"/>
          <w:szCs w:val="32"/>
          <w:highlight w:val="white"/>
        </w:rPr>
        <w:t>386.08%</w:t>
      </w:r>
      <w:r>
        <w:rPr>
          <w:rFonts w:hint="eastAsia" w:ascii="宋体" w:hAnsi="Times New Roman" w:eastAsia="宋体" w:cs="宋体"/>
          <w:sz w:val="32"/>
          <w:szCs w:val="32"/>
          <w:highlight w:val="white"/>
        </w:rPr>
        <w:t>，主要原因是：</w:t>
      </w:r>
      <w:r>
        <w:rPr>
          <w:rFonts w:hint="eastAsia" w:ascii="宋体" w:hAnsi="Times New Roman" w:eastAsia="宋体" w:cs="宋体"/>
          <w:sz w:val="32"/>
          <w:szCs w:val="32"/>
        </w:rPr>
        <w:t>业务工作任务增加，为保障机构正常运转，完成年度目标任务，财政追拨机关运行经费</w:t>
      </w:r>
      <w:r>
        <w:rPr>
          <w:rFonts w:hint="eastAsia" w:ascii="宋体" w:hAnsi="Times New Roman" w:eastAsia="宋体" w:cs="宋体"/>
          <w:kern w:val="0"/>
          <w:sz w:val="32"/>
          <w:szCs w:val="32"/>
          <w:lang w:val="zh-CN"/>
        </w:rPr>
        <w:t>。</w:t>
      </w:r>
    </w:p>
    <w:p w14:paraId="31DE663F">
      <w:pPr>
        <w:pStyle w:val="14"/>
        <w:spacing w:line="60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一</w:t>
      </w:r>
      <w:r>
        <w:rPr>
          <w:rFonts w:hint="eastAsia" w:hAnsi="黑体"/>
          <w:bCs/>
          <w:color w:val="auto"/>
          <w:sz w:val="32"/>
          <w:szCs w:val="32"/>
        </w:rPr>
        <w:t>、一般性支出情况说明</w:t>
      </w:r>
    </w:p>
    <w:p w14:paraId="2A01C8B3">
      <w:pPr>
        <w:keepNext/>
        <w:keepLines/>
        <w:autoSpaceDE w:val="0"/>
        <w:autoSpaceDN w:val="0"/>
        <w:adjustRightInd w:val="0"/>
        <w:ind w:firstLine="640"/>
        <w:rPr>
          <w:rFonts w:ascii="宋体" w:hAnsi="Times New Roman" w:eastAsia="宋体" w:cs="宋体"/>
          <w:kern w:val="0"/>
          <w:sz w:val="32"/>
          <w:szCs w:val="32"/>
          <w:highlight w:val="white"/>
        </w:rPr>
      </w:pPr>
      <w:r>
        <w:rPr>
          <w:rFonts w:ascii="宋体" w:hAnsi="Times New Roman" w:eastAsia="宋体" w:cs="宋体"/>
          <w:kern w:val="0"/>
          <w:sz w:val="32"/>
          <w:szCs w:val="32"/>
          <w:highlight w:val="white"/>
        </w:rPr>
        <w:t>2023</w:t>
      </w:r>
      <w:r>
        <w:rPr>
          <w:rFonts w:hint="eastAsia" w:ascii="宋体" w:hAnsi="Times New Roman" w:eastAsia="宋体" w:cs="宋体"/>
          <w:kern w:val="0"/>
          <w:sz w:val="32"/>
          <w:szCs w:val="32"/>
          <w:highlight w:val="white"/>
        </w:rPr>
        <w:t>年本部门开支会议费</w:t>
      </w:r>
      <w:r>
        <w:rPr>
          <w:rFonts w:ascii="宋体" w:hAnsi="Times New Roman" w:eastAsia="宋体" w:cs="宋体"/>
          <w:kern w:val="0"/>
          <w:sz w:val="32"/>
          <w:szCs w:val="32"/>
          <w:highlight w:val="white"/>
        </w:rPr>
        <w:t>14.14</w:t>
      </w:r>
      <w:r>
        <w:rPr>
          <w:rFonts w:hint="eastAsia" w:ascii="宋体" w:hAnsi="Times New Roman" w:eastAsia="宋体" w:cs="宋体"/>
          <w:kern w:val="0"/>
          <w:sz w:val="32"/>
          <w:szCs w:val="32"/>
          <w:highlight w:val="white"/>
        </w:rPr>
        <w:t>万元，用于召开业务工作会议，人数</w:t>
      </w:r>
      <w:r>
        <w:rPr>
          <w:rFonts w:ascii="宋体" w:hAnsi="Times New Roman" w:eastAsia="宋体" w:cs="宋体"/>
          <w:kern w:val="0"/>
          <w:sz w:val="32"/>
          <w:szCs w:val="32"/>
          <w:highlight w:val="white"/>
        </w:rPr>
        <w:t>940</w:t>
      </w:r>
      <w:r>
        <w:rPr>
          <w:rFonts w:hint="eastAsia" w:ascii="宋体" w:hAnsi="Times New Roman" w:eastAsia="宋体" w:cs="宋体"/>
          <w:kern w:val="0"/>
          <w:sz w:val="32"/>
          <w:szCs w:val="32"/>
          <w:highlight w:val="white"/>
        </w:rPr>
        <w:t>人，内容为</w:t>
      </w:r>
      <w:r>
        <w:rPr>
          <w:rFonts w:hint="eastAsia" w:ascii="宋体" w:hAnsi="Times New Roman" w:eastAsia="宋体" w:cs="宋体"/>
          <w:kern w:val="0"/>
          <w:sz w:val="32"/>
          <w:szCs w:val="32"/>
        </w:rPr>
        <w:t>防汛抗旱、乡村振兴、人居环境整治、党建工作、换届选举、机构改革等工作会议</w:t>
      </w:r>
      <w:r>
        <w:rPr>
          <w:rFonts w:hint="eastAsia" w:ascii="宋体" w:hAnsi="Times New Roman" w:eastAsia="宋体" w:cs="宋体"/>
          <w:kern w:val="0"/>
          <w:sz w:val="32"/>
          <w:szCs w:val="32"/>
          <w:highlight w:val="white"/>
        </w:rPr>
        <w:t>；开支培训费</w:t>
      </w:r>
      <w:r>
        <w:rPr>
          <w:rFonts w:ascii="宋体" w:hAnsi="Times New Roman" w:eastAsia="宋体" w:cs="宋体"/>
          <w:kern w:val="0"/>
          <w:sz w:val="32"/>
          <w:szCs w:val="32"/>
          <w:highlight w:val="white"/>
        </w:rPr>
        <w:t>0.46</w:t>
      </w:r>
      <w:r>
        <w:rPr>
          <w:rFonts w:hint="eastAsia" w:ascii="宋体" w:hAnsi="Times New Roman" w:eastAsia="宋体" w:cs="宋体"/>
          <w:kern w:val="0"/>
          <w:sz w:val="32"/>
          <w:szCs w:val="32"/>
          <w:highlight w:val="white"/>
        </w:rPr>
        <w:t>万元，用于开展</w:t>
      </w:r>
      <w:r>
        <w:rPr>
          <w:rFonts w:hint="eastAsia" w:ascii="宋体" w:hAnsi="Times New Roman" w:eastAsia="宋体" w:cs="宋体"/>
          <w:kern w:val="0"/>
          <w:sz w:val="32"/>
          <w:szCs w:val="32"/>
        </w:rPr>
        <w:t>知识技能培训</w:t>
      </w:r>
      <w:r>
        <w:rPr>
          <w:rFonts w:hint="eastAsia" w:ascii="宋体" w:hAnsi="Times New Roman" w:eastAsia="宋体" w:cs="宋体"/>
          <w:kern w:val="0"/>
          <w:sz w:val="32"/>
          <w:szCs w:val="32"/>
          <w:highlight w:val="white"/>
        </w:rPr>
        <w:t>，人数</w:t>
      </w:r>
      <w:r>
        <w:rPr>
          <w:rFonts w:ascii="宋体" w:hAnsi="Times New Roman" w:eastAsia="宋体" w:cs="宋体"/>
          <w:kern w:val="0"/>
          <w:sz w:val="32"/>
          <w:szCs w:val="32"/>
          <w:highlight w:val="white"/>
        </w:rPr>
        <w:t>50</w:t>
      </w:r>
      <w:r>
        <w:rPr>
          <w:rFonts w:hint="eastAsia" w:ascii="宋体" w:hAnsi="Times New Roman" w:eastAsia="宋体" w:cs="宋体"/>
          <w:kern w:val="0"/>
          <w:sz w:val="32"/>
          <w:szCs w:val="32"/>
          <w:highlight w:val="white"/>
        </w:rPr>
        <w:t>人，内容为</w:t>
      </w:r>
      <w:r>
        <w:rPr>
          <w:rFonts w:hint="eastAsia" w:ascii="宋体" w:hAnsi="Times New Roman" w:eastAsia="宋体" w:cs="宋体"/>
          <w:kern w:val="0"/>
          <w:sz w:val="32"/>
          <w:szCs w:val="32"/>
        </w:rPr>
        <w:t>安全生产、统计普查、财政业务、水利建设、农林农技等相关知识技能培训</w:t>
      </w:r>
      <w:r>
        <w:rPr>
          <w:rFonts w:hint="eastAsia" w:ascii="宋体" w:hAnsi="Times New Roman" w:eastAsia="宋体" w:cs="宋体"/>
          <w:kern w:val="0"/>
          <w:sz w:val="32"/>
          <w:szCs w:val="32"/>
          <w:highlight w:val="white"/>
        </w:rPr>
        <w:t>；</w:t>
      </w:r>
      <w:r>
        <w:rPr>
          <w:rFonts w:ascii="宋体" w:hAnsi="Times New Roman" w:eastAsia="宋体" w:cs="宋体"/>
          <w:kern w:val="0"/>
          <w:sz w:val="32"/>
          <w:szCs w:val="32"/>
          <w:highlight w:val="white"/>
        </w:rPr>
        <w:t>2023</w:t>
      </w:r>
      <w:r>
        <w:rPr>
          <w:rFonts w:hint="eastAsia" w:ascii="宋体" w:hAnsi="Times New Roman" w:eastAsia="宋体" w:cs="宋体"/>
          <w:kern w:val="0"/>
          <w:sz w:val="32"/>
          <w:szCs w:val="32"/>
          <w:highlight w:val="white"/>
        </w:rPr>
        <w:t>年本部门未举办节庆、晚会、论坛、赛事活动，开支</w:t>
      </w:r>
      <w:r>
        <w:rPr>
          <w:rFonts w:ascii="宋体" w:hAnsi="Times New Roman" w:eastAsia="宋体" w:cs="宋体"/>
          <w:kern w:val="0"/>
          <w:sz w:val="32"/>
          <w:szCs w:val="32"/>
          <w:highlight w:val="white"/>
        </w:rPr>
        <w:t>0</w:t>
      </w:r>
      <w:r>
        <w:rPr>
          <w:rFonts w:hint="eastAsia" w:ascii="宋体" w:hAnsi="Times New Roman" w:eastAsia="宋体" w:cs="宋体"/>
          <w:kern w:val="0"/>
          <w:sz w:val="32"/>
          <w:szCs w:val="32"/>
          <w:highlight w:val="white"/>
        </w:rPr>
        <w:t>万元。</w:t>
      </w:r>
    </w:p>
    <w:p w14:paraId="52A27EF6">
      <w:pPr>
        <w:pStyle w:val="14"/>
        <w:spacing w:line="60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二</w:t>
      </w:r>
      <w:r>
        <w:rPr>
          <w:rFonts w:hint="eastAsia" w:hAnsi="黑体"/>
          <w:bCs/>
          <w:color w:val="auto"/>
          <w:sz w:val="32"/>
          <w:szCs w:val="32"/>
        </w:rPr>
        <w:t>、关于政府采购支出说明</w:t>
      </w:r>
    </w:p>
    <w:p w14:paraId="325BC45C">
      <w:pPr>
        <w:keepNext/>
        <w:keepLines/>
        <w:autoSpaceDE w:val="0"/>
        <w:autoSpaceDN w:val="0"/>
        <w:adjustRightInd w:val="0"/>
        <w:ind w:firstLine="641"/>
        <w:rPr>
          <w:rFonts w:ascii="宋体" w:hAnsi="Times New Roman" w:eastAsia="宋体" w:cs="宋体"/>
          <w:sz w:val="32"/>
          <w:szCs w:val="32"/>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年度政府采购支出总额</w:t>
      </w:r>
      <w:r>
        <w:rPr>
          <w:rFonts w:ascii="宋体" w:hAnsi="Times New Roman" w:eastAsia="宋体" w:cs="宋体"/>
          <w:sz w:val="32"/>
          <w:szCs w:val="32"/>
          <w:highlight w:val="white"/>
        </w:rPr>
        <w:t>784.64</w:t>
      </w:r>
      <w:r>
        <w:rPr>
          <w:rFonts w:hint="eastAsia" w:ascii="宋体" w:hAnsi="Times New Roman" w:eastAsia="宋体" w:cs="宋体"/>
          <w:sz w:val="32"/>
          <w:szCs w:val="32"/>
          <w:highlight w:val="white"/>
        </w:rPr>
        <w:t>万元，其中：政府采购货物支出</w:t>
      </w:r>
      <w:r>
        <w:rPr>
          <w:rFonts w:ascii="宋体" w:hAnsi="Times New Roman" w:eastAsia="宋体" w:cs="宋体"/>
          <w:sz w:val="32"/>
          <w:szCs w:val="32"/>
          <w:highlight w:val="white"/>
        </w:rPr>
        <w:t>27.31</w:t>
      </w:r>
      <w:r>
        <w:rPr>
          <w:rFonts w:hint="eastAsia" w:ascii="宋体" w:hAnsi="Times New Roman" w:eastAsia="宋体" w:cs="宋体"/>
          <w:sz w:val="32"/>
          <w:szCs w:val="32"/>
          <w:highlight w:val="white"/>
        </w:rPr>
        <w:t>万元；政府采购工程支出</w:t>
      </w:r>
      <w:r>
        <w:rPr>
          <w:rFonts w:ascii="宋体" w:hAnsi="Times New Roman" w:eastAsia="宋体" w:cs="宋体"/>
          <w:sz w:val="32"/>
          <w:szCs w:val="32"/>
          <w:highlight w:val="white"/>
        </w:rPr>
        <w:t>403.35</w:t>
      </w:r>
      <w:r>
        <w:rPr>
          <w:rFonts w:hint="eastAsia" w:ascii="宋体" w:hAnsi="Times New Roman" w:eastAsia="宋体" w:cs="宋体"/>
          <w:sz w:val="32"/>
          <w:szCs w:val="32"/>
          <w:highlight w:val="white"/>
        </w:rPr>
        <w:t>万元；政府采购服务支出</w:t>
      </w:r>
      <w:r>
        <w:rPr>
          <w:rFonts w:ascii="宋体" w:hAnsi="Times New Roman" w:eastAsia="宋体" w:cs="宋体"/>
          <w:sz w:val="32"/>
          <w:szCs w:val="32"/>
          <w:highlight w:val="white"/>
        </w:rPr>
        <w:t>353.98</w:t>
      </w:r>
      <w:r>
        <w:rPr>
          <w:rFonts w:hint="eastAsia" w:ascii="宋体" w:hAnsi="Times New Roman" w:eastAsia="宋体" w:cs="宋体"/>
          <w:sz w:val="32"/>
          <w:szCs w:val="32"/>
          <w:highlight w:val="white"/>
        </w:rPr>
        <w:t>万元；授予中小企业合同金额</w:t>
      </w:r>
      <w:r>
        <w:rPr>
          <w:rFonts w:ascii="宋体" w:hAnsi="Times New Roman" w:eastAsia="宋体" w:cs="宋体"/>
          <w:sz w:val="32"/>
          <w:szCs w:val="32"/>
          <w:highlight w:val="white"/>
        </w:rPr>
        <w:t>780.05</w:t>
      </w:r>
      <w:r>
        <w:rPr>
          <w:rFonts w:hint="eastAsia" w:ascii="宋体" w:hAnsi="Times New Roman" w:eastAsia="宋体" w:cs="宋体"/>
          <w:sz w:val="32"/>
          <w:szCs w:val="32"/>
          <w:highlight w:val="white"/>
        </w:rPr>
        <w:t>万元，占政府采购支出总额的</w:t>
      </w:r>
      <w:r>
        <w:rPr>
          <w:rFonts w:ascii="宋体" w:hAnsi="Times New Roman" w:eastAsia="宋体" w:cs="宋体"/>
          <w:sz w:val="32"/>
          <w:szCs w:val="32"/>
          <w:highlight w:val="white"/>
        </w:rPr>
        <w:t>99.42%</w:t>
      </w:r>
      <w:r>
        <w:rPr>
          <w:rFonts w:hint="eastAsia" w:ascii="宋体" w:hAnsi="Times New Roman" w:eastAsia="宋体" w:cs="宋体"/>
          <w:sz w:val="32"/>
          <w:szCs w:val="32"/>
          <w:highlight w:val="white"/>
        </w:rPr>
        <w:t>，其中：授予小微企业合同金额</w:t>
      </w:r>
      <w:r>
        <w:rPr>
          <w:rFonts w:ascii="宋体" w:hAnsi="Times New Roman" w:eastAsia="宋体" w:cs="宋体"/>
          <w:sz w:val="32"/>
          <w:szCs w:val="32"/>
          <w:highlight w:val="white"/>
        </w:rPr>
        <w:t>528.34</w:t>
      </w:r>
      <w:r>
        <w:rPr>
          <w:rFonts w:hint="eastAsia" w:ascii="宋体" w:hAnsi="Times New Roman" w:eastAsia="宋体" w:cs="宋体"/>
          <w:sz w:val="32"/>
          <w:szCs w:val="32"/>
          <w:highlight w:val="white"/>
        </w:rPr>
        <w:t>万元，占授予中小企业合同金额的</w:t>
      </w:r>
      <w:r>
        <w:rPr>
          <w:rFonts w:ascii="宋体" w:hAnsi="Times New Roman" w:eastAsia="宋体" w:cs="宋体"/>
          <w:sz w:val="32"/>
          <w:szCs w:val="32"/>
          <w:highlight w:val="white"/>
        </w:rPr>
        <w:t>67.73%</w:t>
      </w:r>
      <w:r>
        <w:rPr>
          <w:rFonts w:hint="eastAsia" w:ascii="宋体" w:hAnsi="Times New Roman" w:eastAsia="宋体" w:cs="宋体"/>
          <w:sz w:val="32"/>
          <w:szCs w:val="32"/>
          <w:highlight w:val="white"/>
        </w:rPr>
        <w:t>。货物采购授予中小企业合同金额占货物支出金额的</w:t>
      </w:r>
      <w:r>
        <w:rPr>
          <w:rFonts w:ascii="宋体" w:hAnsi="Times New Roman" w:eastAsia="宋体" w:cs="宋体"/>
          <w:sz w:val="32"/>
          <w:szCs w:val="32"/>
          <w:highlight w:val="white"/>
        </w:rPr>
        <w:t>97.44%</w:t>
      </w:r>
      <w:r>
        <w:rPr>
          <w:rFonts w:hint="eastAsia" w:ascii="宋体" w:hAnsi="Times New Roman" w:eastAsia="宋体" w:cs="宋体"/>
          <w:sz w:val="32"/>
          <w:szCs w:val="32"/>
          <w:highlight w:val="white"/>
        </w:rPr>
        <w:t>。工程采购授予中小企业合同金额占工程支出金额的</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。服务采购授予中小企业合同金额占服务支出金额的</w:t>
      </w:r>
      <w:r>
        <w:rPr>
          <w:rFonts w:ascii="宋体" w:hAnsi="Times New Roman" w:eastAsia="宋体" w:cs="宋体"/>
          <w:sz w:val="32"/>
          <w:szCs w:val="32"/>
          <w:highlight w:val="white"/>
        </w:rPr>
        <w:t>98.9%</w:t>
      </w:r>
      <w:r>
        <w:rPr>
          <w:rFonts w:hint="eastAsia" w:ascii="宋体" w:hAnsi="Times New Roman" w:eastAsia="宋体" w:cs="宋体"/>
          <w:sz w:val="32"/>
          <w:szCs w:val="32"/>
          <w:highlight w:val="white"/>
        </w:rPr>
        <w:t>。</w:t>
      </w:r>
    </w:p>
    <w:p w14:paraId="4DBAEBE4">
      <w:pPr>
        <w:pStyle w:val="14"/>
        <w:spacing w:line="58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三</w:t>
      </w:r>
      <w:r>
        <w:rPr>
          <w:rFonts w:hint="eastAsia" w:hAnsi="黑体"/>
          <w:bCs/>
          <w:color w:val="auto"/>
          <w:sz w:val="32"/>
          <w:szCs w:val="32"/>
        </w:rPr>
        <w:t>、关于国有资产占用情况说明</w:t>
      </w:r>
    </w:p>
    <w:p w14:paraId="56F57E1B">
      <w:pPr>
        <w:keepNext/>
        <w:keepLines/>
        <w:autoSpaceDE w:val="0"/>
        <w:autoSpaceDN w:val="0"/>
        <w:adjustRightInd w:val="0"/>
        <w:ind w:firstLine="641"/>
        <w:rPr>
          <w:rFonts w:ascii="Calibri" w:hAnsi="Calibri" w:eastAsia="宋体" w:cs="Calibri"/>
          <w:szCs w:val="21"/>
          <w:highlight w:val="white"/>
          <w:lang w:val="zh-CN"/>
        </w:rPr>
      </w:pPr>
      <w:r>
        <w:rPr>
          <w:rFonts w:hint="eastAsia" w:ascii="宋体" w:hAnsi="Times New Roman" w:eastAsia="宋体" w:cs="宋体"/>
          <w:sz w:val="32"/>
          <w:szCs w:val="32"/>
          <w:highlight w:val="white"/>
        </w:rPr>
        <w:t>截至</w:t>
      </w: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w:t>
      </w:r>
      <w:r>
        <w:rPr>
          <w:rFonts w:ascii="宋体" w:hAnsi="Times New Roman" w:eastAsia="宋体" w:cs="宋体"/>
          <w:sz w:val="32"/>
          <w:szCs w:val="32"/>
          <w:highlight w:val="white"/>
        </w:rPr>
        <w:t>12</w:t>
      </w:r>
      <w:r>
        <w:rPr>
          <w:rFonts w:hint="eastAsia" w:ascii="宋体" w:hAnsi="Times New Roman" w:eastAsia="宋体" w:cs="宋体"/>
          <w:sz w:val="32"/>
          <w:szCs w:val="32"/>
          <w:highlight w:val="white"/>
        </w:rPr>
        <w:t>月</w:t>
      </w:r>
      <w:r>
        <w:rPr>
          <w:rFonts w:ascii="宋体" w:hAnsi="Times New Roman" w:eastAsia="宋体" w:cs="宋体"/>
          <w:sz w:val="32"/>
          <w:szCs w:val="32"/>
          <w:highlight w:val="white"/>
        </w:rPr>
        <w:t>31</w:t>
      </w:r>
      <w:r>
        <w:rPr>
          <w:rFonts w:hint="eastAsia" w:ascii="宋体" w:hAnsi="Times New Roman" w:eastAsia="宋体" w:cs="宋体"/>
          <w:sz w:val="32"/>
          <w:szCs w:val="32"/>
          <w:highlight w:val="white"/>
        </w:rPr>
        <w:t>日，部门（单位）共有车辆</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辆。</w:t>
      </w:r>
      <w:r>
        <w:rPr>
          <w:rFonts w:hint="eastAsia" w:ascii="宋体" w:hAnsi="Times New Roman" w:eastAsia="宋体" w:cs="宋体"/>
          <w:sz w:val="32"/>
          <w:szCs w:val="32"/>
        </w:rPr>
        <w:t>单位价值</w:t>
      </w:r>
      <w:r>
        <w:rPr>
          <w:rFonts w:ascii="宋体" w:hAnsi="Times New Roman" w:eastAsia="宋体" w:cs="宋体"/>
          <w:sz w:val="32"/>
          <w:szCs w:val="32"/>
        </w:rPr>
        <w:t>50</w:t>
      </w:r>
      <w:r>
        <w:rPr>
          <w:rFonts w:hint="eastAsia" w:ascii="宋体" w:hAnsi="Times New Roman" w:eastAsia="宋体" w:cs="宋体"/>
          <w:sz w:val="32"/>
          <w:szCs w:val="32"/>
        </w:rPr>
        <w:t>万元（含）以上设备</w:t>
      </w:r>
      <w:r>
        <w:rPr>
          <w:rFonts w:ascii="宋体" w:hAnsi="Times New Roman" w:eastAsia="宋体" w:cs="宋体"/>
          <w:sz w:val="32"/>
          <w:szCs w:val="32"/>
        </w:rPr>
        <w:t>0</w:t>
      </w:r>
      <w:r>
        <w:rPr>
          <w:rFonts w:hint="eastAsia" w:ascii="宋体" w:hAnsi="Times New Roman" w:eastAsia="宋体" w:cs="宋体"/>
          <w:sz w:val="32"/>
          <w:szCs w:val="32"/>
        </w:rPr>
        <w:t>台（套），</w:t>
      </w:r>
      <w:r>
        <w:rPr>
          <w:rFonts w:hint="eastAsia" w:ascii="宋体" w:hAnsi="Times New Roman" w:eastAsia="宋体" w:cs="宋体"/>
          <w:sz w:val="32"/>
          <w:szCs w:val="32"/>
          <w:highlight w:val="white"/>
        </w:rPr>
        <w:t>单位价值</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万元（含）以上设备</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台（套）。</w:t>
      </w:r>
    </w:p>
    <w:p w14:paraId="3D7A7F26">
      <w:pPr>
        <w:pStyle w:val="14"/>
        <w:spacing w:line="58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四</w:t>
      </w:r>
      <w:bookmarkStart w:id="0" w:name="_GoBack"/>
      <w:bookmarkEnd w:id="0"/>
      <w:r>
        <w:rPr>
          <w:rFonts w:hint="eastAsia" w:hAnsi="黑体"/>
          <w:bCs/>
          <w:color w:val="auto"/>
          <w:sz w:val="32"/>
          <w:szCs w:val="32"/>
        </w:rPr>
        <w:t>、关于</w:t>
      </w:r>
      <w:r>
        <w:rPr>
          <w:rFonts w:hint="eastAsia" w:ascii="Times New Roman" w:hAnsi="Times New Roman" w:eastAsia="仿宋_GB2312"/>
          <w:color w:val="auto"/>
          <w:sz w:val="32"/>
          <w:szCs w:val="32"/>
        </w:rPr>
        <w:t>2023</w:t>
      </w:r>
      <w:r>
        <w:rPr>
          <w:rFonts w:hint="eastAsia" w:hAnsi="黑体"/>
          <w:bCs/>
          <w:color w:val="auto"/>
          <w:sz w:val="32"/>
          <w:szCs w:val="32"/>
        </w:rPr>
        <w:t>年度预算绩效情况的说明</w:t>
      </w:r>
    </w:p>
    <w:p w14:paraId="0303291A">
      <w:pPr>
        <w:pStyle w:val="14"/>
        <w:spacing w:line="580" w:lineRule="exact"/>
        <w:ind w:firstLine="640"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（一）绩效管理工作开展情况</w:t>
      </w:r>
    </w:p>
    <w:p w14:paraId="49EBBF6C">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为贯彻落实《中共中央国务院关于全面实施预算绩效管理的意见》的精神，落实《关于开展</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年度财政预算支出绩效自评工作的通知》的要求，我部门积极组织开展</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年度整体支出绩效自评工作，强化财政支出绩效理念和责任意识，以切实提高财政资金使用效益。</w:t>
      </w:r>
    </w:p>
    <w:p w14:paraId="247A1587">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rPr>
        <w:t>部门开展整体支出绩效评价，涉及一般公共预算支出3515.07万元，政府性基金预算支出166万元，国有资本经营预算支出0万元, 合计3681.07万元，其中：基本支出1384.56万元，占37.61%；项目支出2296.51万元，占62.39%。通过成立评价小组，依据相关政策规定、部门职能职责、年度工作计划、专项资金绩效目标及专项资金管理办法，对2023年度预算配置、预算执行、预算管理、资产管理、职责履行等指标完成情况、效益情况进行自评</w:t>
      </w:r>
      <w:r>
        <w:rPr>
          <w:rFonts w:hint="eastAsia" w:ascii="宋体" w:hAnsi="Times New Roman" w:eastAsia="宋体" w:cs="宋体"/>
          <w:color w:val="auto"/>
          <w:sz w:val="32"/>
          <w:szCs w:val="32"/>
          <w:highlight w:val="white"/>
        </w:rPr>
        <w:t>。</w:t>
      </w:r>
    </w:p>
    <w:p w14:paraId="03890E9C">
      <w:pPr>
        <w:pStyle w:val="14"/>
        <w:spacing w:line="580" w:lineRule="exact"/>
        <w:ind w:firstLine="640"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（二）部门（单位）整体支出绩效情况</w:t>
      </w:r>
    </w:p>
    <w:p w14:paraId="6325EEFB">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从评价情况来看，单位根据年初工作规划和重点工作，围绕县委、县政府的工作部署，积极履行职责，强化管理，较好地完成了年度工作目标，同时加强预算收支的管理，建立健全内部管理制度，严格内部管理流程，严控三公经费，厉行节约压减一般性支出，部门整体支出管理得到了提升。通过整体绩效评价结果显示，</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年度整体绩效目标完成情况较好。</w:t>
      </w:r>
    </w:p>
    <w:p w14:paraId="2391B5B0">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部门整体支出绩效评价报告详见附件，同本部门的部门决算一同公开。</w:t>
      </w:r>
    </w:p>
    <w:p w14:paraId="092D087C">
      <w:pPr>
        <w:pStyle w:val="14"/>
        <w:spacing w:line="580" w:lineRule="exact"/>
        <w:ind w:firstLine="640"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（三）存在的问题及原因分析</w:t>
      </w:r>
    </w:p>
    <w:p w14:paraId="4A5ACD34">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一是预算执行的精细化程度还不够，预算调整的情况时有发生。需强化预算的刚性约束，提高财政资金使用效率，提高预算执行的严肃性。</w:t>
      </w:r>
    </w:p>
    <w:p w14:paraId="0AAFCEBB">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二是绩效评价结果的应用还不够充分。需加强完善单位的内部控制制度，强化绩效评价结果的应用，充分发挥绩效评价的导向作用。</w:t>
      </w:r>
    </w:p>
    <w:p w14:paraId="347FF111">
      <w:pPr>
        <w:pStyle w:val="14"/>
        <w:jc w:val="both"/>
        <w:rPr>
          <w:color w:val="auto"/>
          <w:sz w:val="72"/>
          <w:szCs w:val="72"/>
        </w:rPr>
      </w:pPr>
    </w:p>
    <w:p w14:paraId="468996A1">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第四部分</w:t>
      </w:r>
    </w:p>
    <w:p w14:paraId="145CA94C">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名词解释</w:t>
      </w:r>
    </w:p>
    <w:p w14:paraId="54A445BD">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财政拨款收入：指本级财政当年拨付的资金。</w:t>
      </w:r>
    </w:p>
    <w:p w14:paraId="2616A40B">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政府性基金预算财政拨款收入：指本级财政当年拨付的政府性基金预算资金。</w:t>
      </w:r>
    </w:p>
    <w:p w14:paraId="0452A881">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75B8F1C9">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国防支出（类）：国防支出由直接国防支出和间接国防支出两部分组成。直接国防支出，是指国家预算中的国防支出，主要包括军事人员的经费与训练费、武器装备和军事活动器材的购置费、军事工程设施的建筑费、军事活动经费、军事科学研究与试验经费、军事院校教育经费等</w:t>
      </w:r>
      <w:r>
        <w:rPr>
          <w:rFonts w:ascii="宋体" w:hAnsi="Times New Roman" w:eastAsia="宋体" w:cs="宋体"/>
          <w:kern w:val="0"/>
          <w:sz w:val="32"/>
          <w:szCs w:val="32"/>
          <w:highlight w:val="white"/>
        </w:rPr>
        <w:t xml:space="preserve">; </w:t>
      </w:r>
      <w:r>
        <w:rPr>
          <w:rFonts w:hint="eastAsia" w:ascii="宋体" w:hAnsi="Times New Roman" w:eastAsia="宋体" w:cs="宋体"/>
          <w:kern w:val="0"/>
          <w:sz w:val="32"/>
          <w:szCs w:val="32"/>
          <w:highlight w:val="white"/>
        </w:rPr>
        <w:t>间接国防支出，是指包括在国家预算其他科目中具有国防性质的支出内容，如西方发达国家政府预算中的国际事务支出、宇宙航行及其技术支出、战略与关键物资的储备支出、退伍军人的福利与服务支出、国防公路系统支出、国债利息支出等。在这些支出中，有的直接具有国防支出的性质，有的直接或间接对国家安全发挥作用，有的被立法机构认为是国家安全所必需的，有的则是过去战争或军事开支的延续开支。</w:t>
      </w:r>
    </w:p>
    <w:p w14:paraId="77816277">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公共安全支出（类）：是指用于内卫、消防等武装警察部队的支出，包括保障机构正常运转、完成日常和特定的工作任务或事业发展目标的支出。</w:t>
      </w:r>
    </w:p>
    <w:p w14:paraId="53780F21">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文化体育与传媒支出（类）：是指用于文化、文物、体育、新闻出版广播影视等方面的支出，包括保障机构正常运转、完成日常和特定的工作任务或事业发展目标的支出。</w:t>
      </w:r>
    </w:p>
    <w:p w14:paraId="190B8F44">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社会保障和就业支出（类）：是指用于社会保障和就业方面的支出，包括保障机构正常运转、完成日常和特定的工作任务或事业发展目标的支出。归口管理的行政单位离退休，指离退休人员管理机构统一管理的机关离退休人员的经费。</w:t>
      </w:r>
    </w:p>
    <w:p w14:paraId="76D7E122">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节能环保支出（类）：是指用于节能环保支出，包括保障机构正常运转、完成日常和特定的工作任务或事业发展目标的支出。</w:t>
      </w:r>
    </w:p>
    <w:p w14:paraId="35EDE349">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城乡社区支出（类）：是指用于城乡社区事务支出，包括保障机构正常运转、完成日常和特定的工作任务或事业发展目标的支出。</w:t>
      </w:r>
    </w:p>
    <w:p w14:paraId="02B1EFC9">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农林水支出（类）：是指用于农林水事务支出，包括保障机构正常运转、完成日常和特定的工作任务或事业发展目标的支出。</w:t>
      </w:r>
    </w:p>
    <w:p w14:paraId="18B77B43">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交通运输支出（类）：是指用于交通运输和邮政业方面的支出，包括保障机构正常运转、完成日常和特定的工作任务或事业发展目标的支出。</w:t>
      </w:r>
    </w:p>
    <w:p w14:paraId="01E0B89D">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商业服务业等支出（类）：是指用于商业服务业等方面的支出</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包括保障机构正常运转、完成日常和特定的工作任务或事业发展目标的支出。</w:t>
      </w:r>
    </w:p>
    <w:p w14:paraId="12501DF7">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自然资源海洋气象等支出（类）：是指用于自然资源、海洋、测绘、气象等公益服务事业方面的支出，包括保障机构正常运转、完成日常和特定的工作任务或事业发展目标的支出。</w:t>
      </w:r>
    </w:p>
    <w:p w14:paraId="57CDC2FC">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住房保障支出（类）：是指用于住房方面的支出，包括保障机构正常运转、完成日常和特定的工作任务或事业发展目标的支出。</w:t>
      </w:r>
    </w:p>
    <w:p w14:paraId="2CB925CA">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粮油物资储备支出（类）：是指用于粮油物资储备方面的支出，包括保障机构正常运转、完成日常和特定的工作任务或事业发展目标的支出。</w:t>
      </w:r>
    </w:p>
    <w:p w14:paraId="38C25E90">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其他支出（类）：是指用于反映除上述项目以外其他不能划分到具体功能科目中的支出项目，包括保障机构正常运转、完成日常和特定的工作任务或事业发展目标的支出。</w:t>
      </w:r>
    </w:p>
    <w:p w14:paraId="5FF80C24">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基本支出：指保障机构正常运转、完成支日常工作任务而发生的人员支出和公用支出。</w:t>
      </w:r>
    </w:p>
    <w:p w14:paraId="241D3B06">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项目支出：指在基本支出之外为完成特定行政任务和事业发展目标所发生的支出。</w:t>
      </w:r>
    </w:p>
    <w:p w14:paraId="0EE5DECD">
      <w:pPr>
        <w:keepNext/>
        <w:keepLines/>
        <w:autoSpaceDE w:val="0"/>
        <w:autoSpaceDN w:val="0"/>
        <w:adjustRightInd w:val="0"/>
        <w:ind w:firstLine="640"/>
        <w:rPr>
          <w:rFonts w:ascii="宋体" w:hAnsi="Times New Roman" w:eastAsia="宋体" w:cs="宋体"/>
          <w:kern w:val="0"/>
          <w:sz w:val="32"/>
          <w:szCs w:val="32"/>
          <w:highlight w:val="white"/>
        </w:rPr>
      </w:pPr>
    </w:p>
    <w:p w14:paraId="74BFC39A">
      <w:pPr>
        <w:keepNext/>
        <w:keepLines/>
        <w:autoSpaceDE w:val="0"/>
        <w:autoSpaceDN w:val="0"/>
        <w:adjustRightInd w:val="0"/>
        <w:ind w:firstLine="640"/>
        <w:rPr>
          <w:rFonts w:ascii="宋体" w:hAnsi="Times New Roman" w:eastAsia="宋体" w:cs="宋体"/>
          <w:kern w:val="0"/>
          <w:sz w:val="32"/>
          <w:szCs w:val="32"/>
          <w:highlight w:val="white"/>
        </w:rPr>
      </w:pPr>
    </w:p>
    <w:p w14:paraId="02665EB2">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政府采购</w:t>
      </w:r>
      <w:r>
        <w:rPr>
          <w:rFonts w:ascii="宋体" w:hAnsi="Times New Roman" w:eastAsia="宋体" w:cs="宋体"/>
          <w:kern w:val="0"/>
          <w:sz w:val="32"/>
          <w:szCs w:val="32"/>
          <w:highlight w:val="white"/>
        </w:rPr>
        <w:t xml:space="preserve"> </w:t>
      </w:r>
      <w:r>
        <w:rPr>
          <w:rFonts w:hint="eastAsia" w:ascii="宋体" w:hAnsi="Times New Roman" w:eastAsia="宋体" w:cs="宋体"/>
          <w:kern w:val="0"/>
          <w:sz w:val="32"/>
          <w:szCs w:val="32"/>
          <w:highlight w:val="white"/>
        </w:rPr>
        <w:t>：是指国家各级政府为从事日常的政务活动或为了满足公共服务的目的，利用国家财政性资金和政府借款购买货物、工程和服务的行为。</w:t>
      </w:r>
    </w:p>
    <w:p w14:paraId="2FC24B6F">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工资福利支出：反映单位开支的在职职工和编制外长期聘用人员的各类劳动报酬，以及为上述人员缴纳的各项社会保险费等。</w:t>
      </w:r>
    </w:p>
    <w:p w14:paraId="0256C324">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基本工资：反映按规定发放的基本工资，包括公务员的职务工资、级别工资；机关工人的岗位工资、技术等级工资；事业单位工作人员的岗位工资、薪级工资；各类学校毕业生试用期</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见习期</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工资、新参加工作工人学徒期、熟练期工资；军队（武警）军官、文职干部的职务（专业技术等级）工资、军衔（级别）工资、基础工资和军龄工资；军队士官的军衔等级工资、基础工资和军龄工资等。</w:t>
      </w:r>
    </w:p>
    <w:p w14:paraId="06B1898F">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津贴补贴：反映经国家批准建立的机关事业单位艰苦边远地区津贴、机关工作人员地区附加津贴、机关工作人员岗位津贴、事业单位工作人员特殊岗位津贴补贴等。</w:t>
      </w:r>
    </w:p>
    <w:p w14:paraId="3AA0E6C8">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奖金：反映机关工作人员年终一次性奖金。</w:t>
      </w:r>
    </w:p>
    <w:p w14:paraId="63E966B8">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绩效工资：反映事业单位工作人员的绩效工资。</w:t>
      </w:r>
    </w:p>
    <w:p w14:paraId="7327FA0C">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机关事业单位基本养老保险缴费：反映机关事业单位缴纳的基本养老保险费。由单位代扣的工作人员基本养老保险缴费，不在此科目反映。</w:t>
      </w:r>
    </w:p>
    <w:p w14:paraId="14F97D2D">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职工基本医疗保险缴费：反映单位为职工缴纳的基本医疗保险费。</w:t>
      </w:r>
    </w:p>
    <w:p w14:paraId="26DADE51">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其他社会保障缴费：反映单位为职工缴纳的基本医疗、失业、工伤、生育等社会保险费，残疾人就业保障金，军队（含武警）为军人缴纳的伤亡、退役医疗等社会保险费。</w:t>
      </w:r>
    </w:p>
    <w:p w14:paraId="0A7AE306">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住房公积金：反映行政事业单位按人力资源和社会保障部、财政部规定的基本工资和津贴补贴以及规定比例为职工缴纳的住房公积金。</w:t>
      </w:r>
    </w:p>
    <w:p w14:paraId="5C9B7A5E">
      <w:pPr>
        <w:keepNext/>
        <w:keepLines/>
        <w:autoSpaceDE w:val="0"/>
        <w:autoSpaceDN w:val="0"/>
        <w:adjustRightInd w:val="0"/>
        <w:ind w:firstLine="640"/>
        <w:rPr>
          <w:rFonts w:ascii="宋体" w:hAnsi="Times New Roman" w:eastAsia="宋体" w:cs="宋体"/>
          <w:kern w:val="0"/>
          <w:sz w:val="32"/>
          <w:szCs w:val="32"/>
          <w:highlight w:val="white"/>
        </w:rPr>
      </w:pPr>
    </w:p>
    <w:p w14:paraId="0E25E00B">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商品和服务支出：反映单位购买商品和服务的支出（不包括用于购置固定资产的支出、战略性和应急储备支出）。</w:t>
      </w:r>
    </w:p>
    <w:p w14:paraId="2AD1F4DF">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办公费：反映单位购买按财务会计制度规定不符合固定资产确认标准的日常办公用品、书报杂志等支出。</w:t>
      </w:r>
    </w:p>
    <w:p w14:paraId="2A97348C">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印刷费：反映单位的印刷费支出。</w:t>
      </w:r>
    </w:p>
    <w:p w14:paraId="011F82F9">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咨询费：反映单位咨询方面的支出。</w:t>
      </w:r>
    </w:p>
    <w:p w14:paraId="235A6DC1">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水费：反映单位支付的水费、污水处理费等支出。</w:t>
      </w:r>
    </w:p>
    <w:p w14:paraId="51574878">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电费：反映单位的电费支出。</w:t>
      </w:r>
    </w:p>
    <w:p w14:paraId="25E33D94">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邮电费：反映单位开支的信函、包裹、货物等物品的邮寄费及电话费、电报费、传真费、网络通讯费等。</w:t>
      </w:r>
    </w:p>
    <w:p w14:paraId="762D1C72">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差旅费：反映单位工作人员出差发生的城市间交通费、住宿费、伙食补贴费和市内交通费。</w:t>
      </w:r>
    </w:p>
    <w:p w14:paraId="4881A9B0">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维修</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护</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费：反映单位日常开支的固定资产（不包括车船等交通工具）修理和维护费用，网络信息系统运行与维护费用，以及按规定提取的修购基金。</w:t>
      </w:r>
    </w:p>
    <w:p w14:paraId="36E84670">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会议费：反映会议中按规定开支的住宿费、伙食费、会议室租金、交通费、文件印刷费、医药费等。</w:t>
      </w:r>
    </w:p>
    <w:p w14:paraId="5A0EA513">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培训费：反映除因公出国（境）培训费以外的各类培训支出。</w:t>
      </w:r>
    </w:p>
    <w:p w14:paraId="7E293C3D">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专用材料费：反映单位购买日常专用材料的支出。具体包括药品及医疗耗材，农用材料，兽医用品，实验室用品，专用服装，消耗性体育用品，专用工具和仪器，艺术部门专用材料和用品，广播电视台发射台发射机的电力、材料等方面的支出。</w:t>
      </w:r>
    </w:p>
    <w:p w14:paraId="4C90EB59">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劳务费：反映支付给单位和个人的劳务费用，如临时聘用人员、钟点工工资，稿费、翻译费，评审费等。</w:t>
      </w:r>
    </w:p>
    <w:p w14:paraId="594F7DA4">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委托业务费：反映因委托外单位办理业务而支付的委托业务费。</w:t>
      </w:r>
    </w:p>
    <w:p w14:paraId="60DFE944">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工会经费：反映单位按规定提取的工会经费。</w:t>
      </w:r>
    </w:p>
    <w:p w14:paraId="295CCBEF">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福利费：反映单位按规定提取的福利费。</w:t>
      </w:r>
    </w:p>
    <w:p w14:paraId="6F4B2609">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其他交通费用：反映单位除公务用车运行维护费以外的其他交通费用。如公务交通补贴，租车费用、出租车费用，飞机、船舶等的燃料费、维修费、保险费等。</w:t>
      </w:r>
    </w:p>
    <w:p w14:paraId="1288FECB">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其他商品和服务支出：反映上述科目未包括的日常公用支出。如行政赔偿费和诉讼费、国内组织的会员费、来访费、广告宣传、其他劳务费及离休人员特需费、公用经费等。</w:t>
      </w:r>
    </w:p>
    <w:p w14:paraId="3808807E">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对个人和家庭的补助：反映政府用于对个人和家庭的补助支出。</w:t>
      </w:r>
    </w:p>
    <w:p w14:paraId="0F9B9096">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抚恤金：反映按规定开支的烈士遗属、牺牲病故人员遗属的一次性和定期抚恤金，伤残人员的抚恤金，离退休人员等其他人员的各项抚恤金。</w:t>
      </w:r>
    </w:p>
    <w:p w14:paraId="780B1EE0">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生活补助：反映按规定开支的优抚对象定期定量生活补助费，退役军人生活补助费，行政事业单位职工和遗属生活补助，因公负伤等住院治疗、住疗养院期间的伙食补助费，长期赡养人员补助费，由于国家实行退耕还林禁牧舍饲政策补偿给农牧民的现金、粮食支出，对农村党员、复员军人以及村干部的补助支出，看守人员和犯人的伙食费、药费等。</w:t>
      </w:r>
    </w:p>
    <w:p w14:paraId="011A787F">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医疗费：反映行政事业单位在职职工、离退休人员的医疗费，军队移交政府安置的离退休人员的医疗费，学生医疗费，优抚对象医疗补助，以及按国家规定资助农民参加新型农村合作医疗和城镇居民参加城镇居民基本医疗保险的支出和对城乡贫困家庭的医疗救助支出。</w:t>
      </w:r>
    </w:p>
    <w:p w14:paraId="426CE9E9">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其他对个人和家庭的补助支出：反映未包括在上述科目的对个人和家庭的补助支出，</w:t>
      </w:r>
    </w:p>
    <w:p w14:paraId="4201F7C0">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w:t>
      </w:r>
      <w:r>
        <w:rPr>
          <w:rFonts w:ascii="宋体" w:hAnsi="Times New Roman" w:eastAsia="宋体" w:cs="宋体"/>
          <w:color w:val="auto"/>
          <w:sz w:val="32"/>
          <w:szCs w:val="32"/>
          <w:highlight w:val="white"/>
        </w:rPr>
        <w:t xml:space="preserve"> </w:t>
      </w:r>
      <w:r>
        <w:rPr>
          <w:rFonts w:hint="eastAsia" w:ascii="宋体" w:hAnsi="Times New Roman" w:eastAsia="宋体" w:cs="宋体"/>
          <w:color w:val="auto"/>
          <w:sz w:val="32"/>
          <w:szCs w:val="32"/>
          <w:highlight w:val="white"/>
        </w:rPr>
        <w:t>办公用房物业管理费、</w:t>
      </w:r>
      <w:r>
        <w:rPr>
          <w:rFonts w:ascii="宋体" w:hAnsi="Times New Roman" w:eastAsia="宋体" w:cs="宋体"/>
          <w:color w:val="auto"/>
          <w:sz w:val="32"/>
          <w:szCs w:val="32"/>
          <w:highlight w:val="white"/>
        </w:rPr>
        <w:t xml:space="preserve"> </w:t>
      </w:r>
      <w:r>
        <w:rPr>
          <w:rFonts w:hint="eastAsia" w:ascii="宋体" w:hAnsi="Times New Roman" w:eastAsia="宋体" w:cs="宋体"/>
          <w:color w:val="auto"/>
          <w:sz w:val="32"/>
          <w:szCs w:val="32"/>
          <w:highlight w:val="white"/>
        </w:rPr>
        <w:t>公务用车运行维护费以及其他费用。</w:t>
      </w:r>
    </w:p>
    <w:p w14:paraId="70A7C24D">
      <w:pPr>
        <w:pStyle w:val="14"/>
        <w:jc w:val="center"/>
        <w:rPr>
          <w:rFonts w:ascii="方正小标宋_GBK" w:hAnsi="方正小标宋_GBK" w:eastAsia="方正小标宋_GBK" w:cs="方正小标宋_GBK"/>
          <w:color w:val="auto"/>
          <w:sz w:val="48"/>
          <w:szCs w:val="48"/>
        </w:rPr>
      </w:pPr>
    </w:p>
    <w:p w14:paraId="48B0D68B">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第五部分</w:t>
      </w:r>
    </w:p>
    <w:p w14:paraId="3DFB770D">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附 件</w:t>
      </w:r>
    </w:p>
    <w:p w14:paraId="41F0F5E0">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一、</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年度华容县鲇鱼须镇人民政府部门决算公开表格</w:t>
      </w:r>
    </w:p>
    <w:p w14:paraId="0686012E">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二、</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年度华容县鲇鱼须镇人民政府整体支出绩效自评报告</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0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SimSun-ExtB">
    <w:panose1 w:val="02010609060101010101"/>
    <w:charset w:val="86"/>
    <w:family w:val="auto"/>
    <w:pitch w:val="default"/>
    <w:sig w:usb0="00000001" w:usb1="02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I5N2I2YTM4MzJlNjhmNGU5ZGMyMTAxNTcyNGFlMDIifQ=="/>
    <w:docVar w:name="KSO_WPS_MARK_KEY" w:val="7a81dccc-1fea-492e-b29a-3017a7ac785e"/>
  </w:docVars>
  <w:rsids>
    <w:rsidRoot w:val="004506F9"/>
    <w:rsid w:val="00007CED"/>
    <w:rsid w:val="0002229B"/>
    <w:rsid w:val="000273BD"/>
    <w:rsid w:val="00027A5A"/>
    <w:rsid w:val="00031476"/>
    <w:rsid w:val="00040CBC"/>
    <w:rsid w:val="000415B7"/>
    <w:rsid w:val="00041E3F"/>
    <w:rsid w:val="00055DAA"/>
    <w:rsid w:val="00061F7B"/>
    <w:rsid w:val="000658A3"/>
    <w:rsid w:val="00074155"/>
    <w:rsid w:val="000A3F69"/>
    <w:rsid w:val="000E3B6C"/>
    <w:rsid w:val="000F1D7E"/>
    <w:rsid w:val="00103957"/>
    <w:rsid w:val="0012028E"/>
    <w:rsid w:val="00152C6D"/>
    <w:rsid w:val="00155778"/>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9384A"/>
    <w:rsid w:val="002A01AB"/>
    <w:rsid w:val="002E0A30"/>
    <w:rsid w:val="002E3273"/>
    <w:rsid w:val="003130C4"/>
    <w:rsid w:val="00316C4B"/>
    <w:rsid w:val="0032192B"/>
    <w:rsid w:val="003479BD"/>
    <w:rsid w:val="0037197D"/>
    <w:rsid w:val="003768D5"/>
    <w:rsid w:val="003926B9"/>
    <w:rsid w:val="003C47E6"/>
    <w:rsid w:val="003C4FC2"/>
    <w:rsid w:val="003C658E"/>
    <w:rsid w:val="004123DA"/>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5F7E2A"/>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0721C"/>
    <w:rsid w:val="00710FE7"/>
    <w:rsid w:val="00717621"/>
    <w:rsid w:val="00720FF1"/>
    <w:rsid w:val="00727A53"/>
    <w:rsid w:val="00787B42"/>
    <w:rsid w:val="007C4539"/>
    <w:rsid w:val="007F3657"/>
    <w:rsid w:val="00812ED5"/>
    <w:rsid w:val="008277D9"/>
    <w:rsid w:val="0084478C"/>
    <w:rsid w:val="0086638C"/>
    <w:rsid w:val="0087345F"/>
    <w:rsid w:val="008A3E8D"/>
    <w:rsid w:val="008D1FB3"/>
    <w:rsid w:val="00904967"/>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1240F"/>
    <w:rsid w:val="00B33BEA"/>
    <w:rsid w:val="00B57C9F"/>
    <w:rsid w:val="00B63572"/>
    <w:rsid w:val="00B845B3"/>
    <w:rsid w:val="00B85D8B"/>
    <w:rsid w:val="00BB4A40"/>
    <w:rsid w:val="00BD286D"/>
    <w:rsid w:val="00BD2FD1"/>
    <w:rsid w:val="00BD6C3E"/>
    <w:rsid w:val="00BE3674"/>
    <w:rsid w:val="00C10681"/>
    <w:rsid w:val="00C3049A"/>
    <w:rsid w:val="00C31B1E"/>
    <w:rsid w:val="00C77645"/>
    <w:rsid w:val="00CE04C3"/>
    <w:rsid w:val="00CE76A0"/>
    <w:rsid w:val="00D148C6"/>
    <w:rsid w:val="00D17A8A"/>
    <w:rsid w:val="00D415BA"/>
    <w:rsid w:val="00D63780"/>
    <w:rsid w:val="00D644EE"/>
    <w:rsid w:val="00DA728A"/>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D97DEFF"/>
    <w:rsid w:val="1DFF72E5"/>
    <w:rsid w:val="1EFC6F07"/>
    <w:rsid w:val="2FDF85B8"/>
    <w:rsid w:val="2FFFEE04"/>
    <w:rsid w:val="34DF85B0"/>
    <w:rsid w:val="3B8F36BC"/>
    <w:rsid w:val="491FF225"/>
    <w:rsid w:val="4E395582"/>
    <w:rsid w:val="4FFD214C"/>
    <w:rsid w:val="5777D4F5"/>
    <w:rsid w:val="59DD8326"/>
    <w:rsid w:val="5DEF592A"/>
    <w:rsid w:val="5FC6BB1E"/>
    <w:rsid w:val="5FF720F1"/>
    <w:rsid w:val="67AF5D43"/>
    <w:rsid w:val="67FF5C0B"/>
    <w:rsid w:val="6D281506"/>
    <w:rsid w:val="6EFC0924"/>
    <w:rsid w:val="6FB74722"/>
    <w:rsid w:val="6FEF8B7E"/>
    <w:rsid w:val="71A6591B"/>
    <w:rsid w:val="71DB77C6"/>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annotation text"/>
    <w:basedOn w:val="1"/>
    <w:semiHidden/>
    <w:unhideWhenUsed/>
    <w:uiPriority w:val="99"/>
    <w:pPr>
      <w:jc w:val="left"/>
    </w:pPr>
  </w:style>
  <w:style w:type="paragraph" w:styleId="6">
    <w:name w:val="Balloon Text"/>
    <w:basedOn w:val="1"/>
    <w:link w:val="16"/>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11">
    <w:name w:val="annotation reference"/>
    <w:basedOn w:val="10"/>
    <w:semiHidden/>
    <w:unhideWhenUsed/>
    <w:qFormat/>
    <w:uiPriority w:val="99"/>
    <w:rPr>
      <w:sz w:val="21"/>
      <w:szCs w:val="21"/>
    </w:rPr>
  </w:style>
  <w:style w:type="character" w:customStyle="1" w:styleId="12">
    <w:name w:val="页眉 Char"/>
    <w:basedOn w:val="10"/>
    <w:link w:val="8"/>
    <w:qFormat/>
    <w:uiPriority w:val="99"/>
    <w:rPr>
      <w:sz w:val="18"/>
      <w:szCs w:val="18"/>
    </w:rPr>
  </w:style>
  <w:style w:type="character" w:customStyle="1" w:styleId="13">
    <w:name w:val="页脚 Char"/>
    <w:basedOn w:val="10"/>
    <w:link w:val="7"/>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0"/>
    <w:link w:val="6"/>
    <w:semiHidden/>
    <w:qFormat/>
    <w:uiPriority w:val="99"/>
    <w:rPr>
      <w:sz w:val="18"/>
      <w:szCs w:val="18"/>
    </w:rPr>
  </w:style>
  <w:style w:type="character" w:customStyle="1" w:styleId="17">
    <w:name w:val="font01"/>
    <w:basedOn w:val="10"/>
    <w:qFormat/>
    <w:uiPriority w:val="0"/>
    <w:rPr>
      <w:rFonts w:hint="eastAsia" w:ascii="宋体" w:hAnsi="宋体" w:eastAsia="宋体" w:cs="宋体"/>
      <w:color w:val="000000"/>
      <w:sz w:val="22"/>
      <w:szCs w:val="22"/>
      <w:u w:val="none"/>
    </w:rPr>
  </w:style>
  <w:style w:type="character" w:customStyle="1" w:styleId="18">
    <w:name w:val="font21"/>
    <w:basedOn w:val="10"/>
    <w:qFormat/>
    <w:uiPriority w:val="0"/>
    <w:rPr>
      <w:rFonts w:hint="eastAsia" w:ascii="宋体" w:hAnsi="宋体" w:eastAsia="宋体" w:cs="宋体"/>
      <w:color w:val="000000"/>
      <w:sz w:val="24"/>
      <w:szCs w:val="24"/>
      <w:u w:val="none"/>
    </w:rPr>
  </w:style>
  <w:style w:type="character" w:customStyle="1" w:styleId="19">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25</Pages>
  <Words>13991</Words>
  <Characters>14679</Characters>
  <Lines>106</Lines>
  <Paragraphs>30</Paragraphs>
  <TotalTime>0</TotalTime>
  <ScaleCrop>false</ScaleCrop>
  <LinksUpToDate>false</LinksUpToDate>
  <CharactersWithSpaces>14803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2024-08-08T10:20:00Z</cp:lastPrinted>
  <dcterms:modified xsi:type="dcterms:W3CDTF">2025-11-12T13:07:28Z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EA488EF09E024D2A972FD637B1694D73</vt:lpwstr>
  </property>
  <property fmtid="{D5CDD505-2E9C-101B-9397-08002B2CF9AE}" pid="4" name="KSOTemplateDocerSaveRecord">
    <vt:lpwstr>eyJoZGlkIjoiYWNjNTk2OTRjYzEzNTI3Yzk4MDU3ZTg2ZjlhODM2NDAiLCJ1c2VySWQiOiIxNDkyNDM0OTU4In0=</vt:lpwstr>
  </property>
</Properties>
</file>