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7BD56">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60E42E7D">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华容县东山镇人民政府</w:t>
      </w:r>
    </w:p>
    <w:p w14:paraId="5D16685A">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CEEDF0E">
      <w:pPr>
        <w:pStyle w:val="14"/>
        <w:spacing w:line="500" w:lineRule="exact"/>
        <w:jc w:val="both"/>
        <w:rPr>
          <w:b/>
          <w:sz w:val="36"/>
          <w:szCs w:val="28"/>
        </w:rPr>
      </w:pPr>
    </w:p>
    <w:p w14:paraId="4BA9B879">
      <w:pPr>
        <w:pStyle w:val="14"/>
        <w:spacing w:line="500" w:lineRule="exact"/>
        <w:jc w:val="center"/>
        <w:rPr>
          <w:b/>
          <w:sz w:val="36"/>
          <w:szCs w:val="28"/>
        </w:rPr>
      </w:pPr>
      <w:r>
        <w:rPr>
          <w:rFonts w:hint="eastAsia"/>
          <w:b/>
          <w:sz w:val="36"/>
          <w:szCs w:val="28"/>
        </w:rPr>
        <w:t>目录</w:t>
      </w:r>
    </w:p>
    <w:p w14:paraId="5802ED81">
      <w:pPr>
        <w:pStyle w:val="14"/>
        <w:spacing w:line="500" w:lineRule="exact"/>
        <w:rPr>
          <w:rFonts w:hAnsi="黑体"/>
          <w:bCs/>
          <w:sz w:val="28"/>
          <w:szCs w:val="28"/>
        </w:rPr>
      </w:pPr>
      <w:r>
        <w:rPr>
          <w:rFonts w:hint="eastAsia" w:hAnsi="黑体"/>
          <w:bCs/>
          <w:sz w:val="28"/>
          <w:szCs w:val="28"/>
        </w:rPr>
        <w:t>第一部分 华容县东山镇人民政府概况</w:t>
      </w:r>
    </w:p>
    <w:p w14:paraId="24FC6A15">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644197A">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584CC06">
      <w:pPr>
        <w:pStyle w:val="14"/>
        <w:spacing w:line="500" w:lineRule="exact"/>
        <w:rPr>
          <w:rFonts w:hAnsi="黑体"/>
          <w:bCs/>
          <w:sz w:val="28"/>
          <w:szCs w:val="28"/>
        </w:rPr>
      </w:pPr>
      <w:r>
        <w:rPr>
          <w:rFonts w:hint="eastAsia" w:hAnsi="黑体"/>
          <w:bCs/>
          <w:sz w:val="28"/>
          <w:szCs w:val="28"/>
        </w:rPr>
        <w:t>第二部分 部门决算表</w:t>
      </w:r>
    </w:p>
    <w:p w14:paraId="2064476D">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4EEE6CC">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6EE2021">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321AFFB">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B4F8403">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4DC2353">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77C73AB">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1D17A66">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FA18911">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2BB34A5E">
      <w:pPr>
        <w:pStyle w:val="14"/>
        <w:spacing w:line="500" w:lineRule="exact"/>
        <w:rPr>
          <w:rFonts w:hAnsi="黑体"/>
          <w:bCs/>
          <w:sz w:val="28"/>
          <w:szCs w:val="28"/>
        </w:rPr>
      </w:pPr>
      <w:bookmarkStart w:id="0" w:name="_GoBack"/>
      <w:bookmarkEnd w:id="0"/>
      <w:r>
        <w:rPr>
          <w:rFonts w:hint="eastAsia" w:hAnsi="黑体"/>
          <w:bCs/>
          <w:sz w:val="28"/>
          <w:szCs w:val="28"/>
        </w:rPr>
        <w:t>第四部分 名词解释</w:t>
      </w:r>
    </w:p>
    <w:p w14:paraId="04A8650D">
      <w:pPr>
        <w:pStyle w:val="14"/>
        <w:spacing w:line="500" w:lineRule="exact"/>
        <w:rPr>
          <w:rFonts w:hAnsi="黑体"/>
          <w:bCs/>
          <w:sz w:val="28"/>
          <w:szCs w:val="28"/>
        </w:rPr>
      </w:pPr>
      <w:r>
        <w:rPr>
          <w:rFonts w:hint="eastAsia" w:hAnsi="黑体"/>
          <w:bCs/>
          <w:sz w:val="28"/>
          <w:szCs w:val="28"/>
        </w:rPr>
        <w:t>第五部分 附件</w:t>
      </w:r>
    </w:p>
    <w:p w14:paraId="30A8EFBA">
      <w:pPr>
        <w:pStyle w:val="14"/>
        <w:spacing w:line="500" w:lineRule="exact"/>
        <w:rPr>
          <w:rFonts w:hAnsi="黑体"/>
          <w:bCs/>
          <w:sz w:val="28"/>
          <w:szCs w:val="28"/>
        </w:rPr>
      </w:pPr>
    </w:p>
    <w:p w14:paraId="6DFFBE68">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09DF6CF0">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rPr>
        <w:t>华容县东山镇人民政府概况</w:t>
      </w:r>
    </w:p>
    <w:p w14:paraId="183D4ADD">
      <w:pPr>
        <w:pStyle w:val="15"/>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095C1AF5">
      <w:pPr>
        <w:ind w:firstLine="800" w:firstLineChars="250"/>
        <w:jc w:val="left"/>
        <w:rPr>
          <w:rFonts w:ascii="Times New Roman" w:hAnsi="Times New Roman" w:eastAsia="仿宋_GB2312" w:cs="仿宋_GB2312"/>
          <w:bCs/>
          <w:kern w:val="0"/>
          <w:sz w:val="32"/>
          <w:szCs w:val="32"/>
        </w:rPr>
      </w:pPr>
      <w:r>
        <w:rPr>
          <w:rFonts w:hint="eastAsia" w:ascii="Times New Roman" w:hAnsi="Times New Roman" w:eastAsia="仿宋_GB2312" w:cs="仿宋_GB2312"/>
          <w:sz w:val="32"/>
          <w:szCs w:val="32"/>
        </w:rPr>
        <w:t>（一）</w:t>
      </w:r>
      <w:r>
        <w:rPr>
          <w:rFonts w:hint="eastAsia" w:ascii="Times New Roman" w:hAnsi="Times New Roman" w:eastAsia="仿宋_GB2312" w:cs="仿宋_GB2312"/>
          <w:bCs/>
          <w:kern w:val="0"/>
          <w:sz w:val="32"/>
          <w:szCs w:val="32"/>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3F7E7937">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3278ECAB">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70FC3A59">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75A89CF3">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（五）镇退役军人服务站：负责退役军人就业创业、优抚帮扶、权益保障、数据信息采集、走访慰问等事务性工作。</w:t>
      </w:r>
    </w:p>
    <w:p w14:paraId="7A309EA7">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6118BAAA">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14:paraId="62E55082">
      <w:pPr>
        <w:ind w:firstLine="1120" w:firstLineChars="350"/>
        <w:jc w:val="left"/>
        <w:rPr>
          <w:rFonts w:ascii="Times New Roman" w:hAnsi="Times New Roman" w:eastAsia="仿宋_GB2312" w:cs="仿宋_GB2312"/>
          <w:sz w:val="32"/>
          <w:szCs w:val="32"/>
        </w:rPr>
      </w:pPr>
    </w:p>
    <w:p w14:paraId="60E0CC51">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58E8F4F0">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（一）内设机构设置。华容县东山镇人民政府内设机构包括：镇政府机关、镇财政所、镇农业综合服务中心、镇社会事业综合服务中心、镇退役军人服务站、镇综合行政执法大队、镇水利服务站。</w:t>
      </w:r>
    </w:p>
    <w:p w14:paraId="3FF1B49C">
      <w:pPr>
        <w:widowControl/>
        <w:spacing w:line="600" w:lineRule="exact"/>
        <w:rPr>
          <w:rFonts w:ascii="仿宋_GB2312" w:eastAsia="仿宋_GB2312" w:hAnsiTheme="minorEastAsia"/>
          <w:sz w:val="28"/>
          <w:szCs w:val="32"/>
        </w:rPr>
      </w:pPr>
      <w:r>
        <w:rPr>
          <w:rFonts w:hint="eastAsia" w:ascii="Times New Roman" w:hAnsi="Times New Roman" w:eastAsia="仿宋_GB2312" w:cs="仿宋_GB2312"/>
          <w:bCs/>
          <w:kern w:val="0"/>
          <w:sz w:val="32"/>
          <w:szCs w:val="32"/>
        </w:rPr>
        <w:t>（二）决算单位构成。华容县东山镇人民政府2023年部门决算汇总公开单位构成包括：东山镇人民政府本级以及镇财政所、镇农业综合服务中心、镇社会事业综合服务中心、镇退役军人服务站、镇综合行政执法大队、镇水利服务站。</w:t>
      </w:r>
    </w:p>
    <w:p w14:paraId="7A9A77C0">
      <w:pPr>
        <w:pStyle w:val="14"/>
        <w:rPr>
          <w:rFonts w:ascii="方正小标宋_GBK" w:hAnsi="方正小标宋_GBK" w:eastAsia="方正小标宋_GBK" w:cs="方正小标宋_GBK"/>
          <w:sz w:val="48"/>
          <w:szCs w:val="48"/>
        </w:rPr>
      </w:pPr>
    </w:p>
    <w:p w14:paraId="607C2EAC">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00F1AE9C">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3A991AB4">
      <w:pPr>
        <w:pStyle w:val="14"/>
        <w:jc w:val="center"/>
        <w:rPr>
          <w:rFonts w:hAnsi="黑体"/>
          <w:bCs/>
          <w:color w:val="auto"/>
          <w:kern w:val="2"/>
          <w:sz w:val="32"/>
          <w:szCs w:val="32"/>
        </w:rPr>
      </w:pPr>
      <w:r>
        <w:rPr>
          <w:rFonts w:hint="eastAsia" w:hAnsi="黑体"/>
          <w:bCs/>
          <w:color w:val="auto"/>
          <w:kern w:val="2"/>
          <w:sz w:val="32"/>
          <w:szCs w:val="32"/>
        </w:rPr>
        <w:t>详见附件表格</w:t>
      </w:r>
    </w:p>
    <w:p w14:paraId="428D6FB4">
      <w:pPr>
        <w:pStyle w:val="14"/>
        <w:jc w:val="center"/>
        <w:rPr>
          <w:rFonts w:ascii="方正小标宋_GBK" w:hAnsi="方正小标宋_GBK" w:eastAsia="方正小标宋_GBK" w:cs="方正小标宋_GBK"/>
          <w:sz w:val="48"/>
          <w:szCs w:val="48"/>
        </w:rPr>
      </w:pPr>
    </w:p>
    <w:p w14:paraId="495EBEE4">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0CD1C40A">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2023年度部门决算情况说明</w:t>
      </w:r>
    </w:p>
    <w:p w14:paraId="02D7DF12">
      <w:pPr>
        <w:widowControl/>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58F0622F">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6959.54万元。与上年相比，增加964.4万元，增长16.09%，主要是因为一般公共预算财政拨款增加830.14万元，政府性基金预算财政拨款收入增加134.26万元；基本支出减少66.8万元，项目支出增加1031.2万元。</w:t>
      </w:r>
    </w:p>
    <w:p w14:paraId="725F27AB">
      <w:pPr>
        <w:pStyle w:val="14"/>
        <w:spacing w:line="600" w:lineRule="exact"/>
        <w:ind w:firstLine="640" w:firstLineChars="200"/>
        <w:rPr>
          <w:rFonts w:ascii="Times New Roman" w:hAnsi="Times New Roman" w:eastAsia="仿宋_GB2312"/>
          <w:sz w:val="32"/>
          <w:szCs w:val="32"/>
          <w:highlight w:val="yellow"/>
        </w:rPr>
      </w:pPr>
    </w:p>
    <w:p w14:paraId="1841C236">
      <w:pPr>
        <w:pStyle w:val="14"/>
        <w:spacing w:line="600" w:lineRule="exact"/>
        <w:ind w:firstLine="640" w:firstLineChars="200"/>
        <w:rPr>
          <w:rFonts w:hAnsi="黑体"/>
          <w:bCs/>
          <w:sz w:val="32"/>
          <w:szCs w:val="32"/>
        </w:rPr>
      </w:pPr>
      <w:r>
        <w:rPr>
          <w:rFonts w:hint="eastAsia" w:hAnsi="黑体"/>
          <w:bCs/>
          <w:sz w:val="32"/>
          <w:szCs w:val="32"/>
        </w:rPr>
        <w:t>二、收入决算情况说明</w:t>
      </w:r>
    </w:p>
    <w:p w14:paraId="60C06ED9">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2023年度收入合计6959.54万元，其中：财政拨款收入6959.54万元，占100%。</w:t>
      </w:r>
    </w:p>
    <w:p w14:paraId="51FE7079">
      <w:pPr>
        <w:pStyle w:val="14"/>
        <w:spacing w:line="600" w:lineRule="exact"/>
        <w:ind w:firstLine="640" w:firstLineChars="200"/>
        <w:rPr>
          <w:rFonts w:hAnsi="黑体"/>
          <w:bCs/>
          <w:sz w:val="32"/>
          <w:szCs w:val="32"/>
        </w:rPr>
      </w:pPr>
      <w:r>
        <w:rPr>
          <w:rFonts w:hint="eastAsia" w:hAnsi="黑体"/>
          <w:bCs/>
          <w:sz w:val="32"/>
          <w:szCs w:val="32"/>
        </w:rPr>
        <w:t>三、支出决算情况说明</w:t>
      </w:r>
    </w:p>
    <w:p w14:paraId="207FD7F3">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2023年度支出合计6959.54万元，其中：基本支出1908.79万元，占27.43%；项目支出5050.75万元，占72.57%。</w:t>
      </w:r>
    </w:p>
    <w:p w14:paraId="45D7E9AA">
      <w:pPr>
        <w:pStyle w:val="14"/>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0EFE5560">
      <w:pPr>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6959.54万元，与上年相比，增加964.4万元,增长16.09%，主要是因为一般公共预算财政拨款增加830.14万元，政府性基金预算财政拨款收入增加134.26万元；基本支出减少66.8万元，项目支出增加1031.2万元。</w:t>
      </w:r>
    </w:p>
    <w:p w14:paraId="780EAF30">
      <w:pPr>
        <w:pStyle w:val="14"/>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1686006E">
      <w:pPr>
        <w:pStyle w:val="14"/>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18F0AE76">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2023年度财政拨款支出6409.72万元，占本年支出合计的92.1%，与上年相比，财政拨款支出增加830.14万元，增长14.88%，主要是因为基本支出减少66.8万元，项目支出增加896.94万元。</w:t>
      </w:r>
    </w:p>
    <w:p w14:paraId="623E6F29">
      <w:pPr>
        <w:pStyle w:val="14"/>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10E2942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2023年度财政拨款支出6409.72万元，主要用于以下方面：一般公共服务（类）支出</w:t>
      </w:r>
      <w:r>
        <w:rPr>
          <w:rFonts w:ascii="Times New Roman" w:hAnsi="Times New Roman" w:eastAsia="仿宋_GB2312"/>
          <w:sz w:val="32"/>
          <w:szCs w:val="32"/>
        </w:rPr>
        <w:t>1775.15</w:t>
      </w:r>
      <w:r>
        <w:rPr>
          <w:rFonts w:hint="eastAsia" w:ascii="Times New Roman" w:hAnsi="Times New Roman" w:eastAsia="仿宋_GB2312"/>
          <w:sz w:val="32"/>
          <w:szCs w:val="32"/>
        </w:rPr>
        <w:t>万元，占</w:t>
      </w:r>
      <w:r>
        <w:rPr>
          <w:rFonts w:ascii="Times New Roman" w:hAnsi="Times New Roman" w:eastAsia="仿宋_GB2312"/>
          <w:sz w:val="32"/>
          <w:szCs w:val="32"/>
        </w:rPr>
        <w:t>27.69%</w:t>
      </w:r>
      <w:r>
        <w:rPr>
          <w:rFonts w:hint="eastAsia" w:ascii="Times New Roman" w:hAnsi="Times New Roman" w:eastAsia="仿宋_GB2312"/>
          <w:sz w:val="32"/>
          <w:szCs w:val="32"/>
        </w:rPr>
        <w:t>；国防（类）支出</w:t>
      </w:r>
      <w:r>
        <w:rPr>
          <w:rFonts w:ascii="Times New Roman" w:hAnsi="Times New Roman" w:eastAsia="仿宋_GB2312"/>
          <w:sz w:val="32"/>
          <w:szCs w:val="32"/>
        </w:rPr>
        <w:t>9.5</w:t>
      </w:r>
      <w:r>
        <w:rPr>
          <w:rFonts w:hint="eastAsia" w:ascii="Times New Roman" w:hAnsi="Times New Roman" w:eastAsia="仿宋_GB2312"/>
          <w:sz w:val="32"/>
          <w:szCs w:val="32"/>
        </w:rPr>
        <w:t>万元，占</w:t>
      </w:r>
      <w:r>
        <w:rPr>
          <w:rFonts w:ascii="Times New Roman" w:hAnsi="Times New Roman" w:eastAsia="仿宋_GB2312"/>
          <w:sz w:val="32"/>
          <w:szCs w:val="32"/>
        </w:rPr>
        <w:t>0.15%</w:t>
      </w:r>
      <w:r>
        <w:rPr>
          <w:rFonts w:hint="eastAsia" w:ascii="Times New Roman" w:hAnsi="Times New Roman" w:eastAsia="仿宋_GB2312"/>
          <w:sz w:val="32"/>
          <w:szCs w:val="32"/>
        </w:rPr>
        <w:t>；公共安全（类）支出</w:t>
      </w:r>
      <w:r>
        <w:rPr>
          <w:rFonts w:ascii="Times New Roman" w:hAnsi="Times New Roman" w:eastAsia="仿宋_GB2312"/>
          <w:sz w:val="32"/>
          <w:szCs w:val="32"/>
        </w:rPr>
        <w:t>3.18</w:t>
      </w:r>
      <w:r>
        <w:rPr>
          <w:rFonts w:hint="eastAsia" w:ascii="Times New Roman" w:hAnsi="Times New Roman" w:eastAsia="仿宋_GB2312"/>
          <w:sz w:val="32"/>
          <w:szCs w:val="32"/>
        </w:rPr>
        <w:t>万元，占</w:t>
      </w:r>
      <w:r>
        <w:rPr>
          <w:rFonts w:ascii="Times New Roman" w:hAnsi="Times New Roman" w:eastAsia="仿宋_GB2312"/>
          <w:sz w:val="32"/>
          <w:szCs w:val="32"/>
        </w:rPr>
        <w:t>0.05%</w:t>
      </w:r>
      <w:r>
        <w:rPr>
          <w:rFonts w:hint="eastAsia" w:ascii="Times New Roman" w:hAnsi="Times New Roman" w:eastAsia="仿宋_GB2312"/>
          <w:sz w:val="32"/>
          <w:szCs w:val="32"/>
        </w:rPr>
        <w:t>；科学技术（类）支出</w:t>
      </w:r>
      <w:r>
        <w:rPr>
          <w:rFonts w:ascii="Times New Roman" w:hAnsi="Times New Roman" w:eastAsia="仿宋_GB2312"/>
          <w:sz w:val="32"/>
          <w:szCs w:val="32"/>
        </w:rPr>
        <w:t>10</w:t>
      </w:r>
      <w:r>
        <w:rPr>
          <w:rFonts w:hint="eastAsia" w:ascii="Times New Roman" w:hAnsi="Times New Roman" w:eastAsia="仿宋_GB2312"/>
          <w:sz w:val="32"/>
          <w:szCs w:val="32"/>
        </w:rPr>
        <w:t>万元，占</w:t>
      </w:r>
      <w:r>
        <w:rPr>
          <w:rFonts w:ascii="Times New Roman" w:hAnsi="Times New Roman" w:eastAsia="仿宋_GB2312"/>
          <w:sz w:val="32"/>
          <w:szCs w:val="32"/>
        </w:rPr>
        <w:t>0.16%</w:t>
      </w:r>
      <w:r>
        <w:rPr>
          <w:rFonts w:hint="eastAsia" w:ascii="Times New Roman" w:hAnsi="Times New Roman" w:eastAsia="仿宋_GB2312"/>
          <w:sz w:val="32"/>
          <w:szCs w:val="32"/>
        </w:rPr>
        <w:t>；文化旅游体育与传媒（类）支出</w:t>
      </w:r>
      <w:r>
        <w:rPr>
          <w:rFonts w:ascii="Times New Roman" w:hAnsi="Times New Roman" w:eastAsia="仿宋_GB2312"/>
          <w:sz w:val="32"/>
          <w:szCs w:val="32"/>
        </w:rPr>
        <w:t>33.4</w:t>
      </w:r>
      <w:r>
        <w:rPr>
          <w:rFonts w:hint="eastAsia" w:ascii="Times New Roman" w:hAnsi="Times New Roman" w:eastAsia="仿宋_GB2312"/>
          <w:sz w:val="32"/>
          <w:szCs w:val="32"/>
        </w:rPr>
        <w:t>万元，占</w:t>
      </w:r>
      <w:r>
        <w:rPr>
          <w:rFonts w:ascii="Times New Roman" w:hAnsi="Times New Roman" w:eastAsia="仿宋_GB2312"/>
          <w:sz w:val="32"/>
          <w:szCs w:val="32"/>
        </w:rPr>
        <w:t>0.52%</w:t>
      </w:r>
      <w:r>
        <w:rPr>
          <w:rFonts w:hint="eastAsia" w:ascii="Times New Roman" w:hAnsi="Times New Roman" w:eastAsia="仿宋_GB2312"/>
          <w:sz w:val="32"/>
          <w:szCs w:val="32"/>
        </w:rPr>
        <w:t>；社会保障和就业（类）支出</w:t>
      </w:r>
      <w:r>
        <w:rPr>
          <w:rFonts w:ascii="Times New Roman" w:hAnsi="Times New Roman" w:eastAsia="仿宋_GB2312"/>
          <w:sz w:val="32"/>
          <w:szCs w:val="32"/>
        </w:rPr>
        <w:t>772.6</w:t>
      </w:r>
      <w:r>
        <w:rPr>
          <w:rFonts w:hint="eastAsia" w:ascii="Times New Roman" w:hAnsi="Times New Roman" w:eastAsia="仿宋_GB2312"/>
          <w:sz w:val="32"/>
          <w:szCs w:val="32"/>
        </w:rPr>
        <w:t>万元，占</w:t>
      </w:r>
      <w:r>
        <w:rPr>
          <w:rFonts w:ascii="Times New Roman" w:hAnsi="Times New Roman" w:eastAsia="仿宋_GB2312"/>
          <w:sz w:val="32"/>
          <w:szCs w:val="32"/>
        </w:rPr>
        <w:t>12.05%</w:t>
      </w:r>
      <w:r>
        <w:rPr>
          <w:rFonts w:hint="eastAsia" w:ascii="Times New Roman" w:hAnsi="Times New Roman" w:eastAsia="仿宋_GB2312"/>
          <w:sz w:val="32"/>
          <w:szCs w:val="32"/>
        </w:rPr>
        <w:t>；节能环保（类）支出</w:t>
      </w:r>
      <w:r>
        <w:rPr>
          <w:rFonts w:ascii="Times New Roman" w:hAnsi="Times New Roman" w:eastAsia="仿宋_GB2312"/>
          <w:sz w:val="32"/>
          <w:szCs w:val="32"/>
        </w:rPr>
        <w:t>37</w:t>
      </w:r>
      <w:r>
        <w:rPr>
          <w:rFonts w:hint="eastAsia" w:ascii="Times New Roman" w:hAnsi="Times New Roman" w:eastAsia="仿宋_GB2312"/>
          <w:sz w:val="32"/>
          <w:szCs w:val="32"/>
        </w:rPr>
        <w:t>万元，占</w:t>
      </w:r>
      <w:r>
        <w:rPr>
          <w:rFonts w:ascii="Times New Roman" w:hAnsi="Times New Roman" w:eastAsia="仿宋_GB2312"/>
          <w:sz w:val="32"/>
          <w:szCs w:val="32"/>
        </w:rPr>
        <w:t>0.58%</w:t>
      </w:r>
      <w:r>
        <w:rPr>
          <w:rFonts w:hint="eastAsia" w:ascii="Times New Roman" w:hAnsi="Times New Roman" w:eastAsia="仿宋_GB2312"/>
          <w:sz w:val="32"/>
          <w:szCs w:val="32"/>
        </w:rPr>
        <w:t>；城乡社区（类）支出</w:t>
      </w:r>
      <w:r>
        <w:rPr>
          <w:rFonts w:ascii="Times New Roman" w:hAnsi="Times New Roman" w:eastAsia="仿宋_GB2312"/>
          <w:sz w:val="32"/>
          <w:szCs w:val="32"/>
        </w:rPr>
        <w:t>630.12</w:t>
      </w:r>
      <w:r>
        <w:rPr>
          <w:rFonts w:hint="eastAsia" w:ascii="Times New Roman" w:hAnsi="Times New Roman" w:eastAsia="仿宋_GB2312"/>
          <w:sz w:val="32"/>
          <w:szCs w:val="32"/>
        </w:rPr>
        <w:t>万元，占</w:t>
      </w:r>
      <w:r>
        <w:rPr>
          <w:rFonts w:ascii="Times New Roman" w:hAnsi="Times New Roman" w:eastAsia="仿宋_GB2312"/>
          <w:sz w:val="32"/>
          <w:szCs w:val="32"/>
        </w:rPr>
        <w:t>9.83%</w:t>
      </w:r>
      <w:r>
        <w:rPr>
          <w:rFonts w:hint="eastAsia" w:ascii="Times New Roman" w:hAnsi="Times New Roman" w:eastAsia="仿宋_GB2312"/>
          <w:sz w:val="32"/>
          <w:szCs w:val="32"/>
        </w:rPr>
        <w:t>；农林水（类）支出</w:t>
      </w:r>
      <w:r>
        <w:rPr>
          <w:rFonts w:ascii="Times New Roman" w:hAnsi="Times New Roman" w:eastAsia="仿宋_GB2312"/>
          <w:sz w:val="32"/>
          <w:szCs w:val="32"/>
        </w:rPr>
        <w:t>2690.03</w:t>
      </w:r>
      <w:r>
        <w:rPr>
          <w:rFonts w:hint="eastAsia" w:ascii="Times New Roman" w:hAnsi="Times New Roman" w:eastAsia="仿宋_GB2312"/>
          <w:sz w:val="32"/>
          <w:szCs w:val="32"/>
        </w:rPr>
        <w:t>万元，占</w:t>
      </w:r>
      <w:r>
        <w:rPr>
          <w:rFonts w:ascii="Times New Roman" w:hAnsi="Times New Roman" w:eastAsia="仿宋_GB2312"/>
          <w:sz w:val="32"/>
          <w:szCs w:val="32"/>
        </w:rPr>
        <w:t>41.97%</w:t>
      </w:r>
      <w:r>
        <w:rPr>
          <w:rFonts w:hint="eastAsia" w:ascii="Times New Roman" w:hAnsi="Times New Roman" w:eastAsia="仿宋_GB2312"/>
          <w:sz w:val="32"/>
          <w:szCs w:val="32"/>
        </w:rPr>
        <w:t>；交通运输（类）支出</w:t>
      </w:r>
      <w:r>
        <w:rPr>
          <w:rFonts w:ascii="Times New Roman" w:hAnsi="Times New Roman" w:eastAsia="仿宋_GB2312"/>
          <w:sz w:val="32"/>
          <w:szCs w:val="32"/>
        </w:rPr>
        <w:t>102.73</w:t>
      </w:r>
      <w:r>
        <w:rPr>
          <w:rFonts w:hint="eastAsia" w:ascii="Times New Roman" w:hAnsi="Times New Roman" w:eastAsia="仿宋_GB2312"/>
          <w:sz w:val="32"/>
          <w:szCs w:val="32"/>
        </w:rPr>
        <w:t>万元，占</w:t>
      </w:r>
      <w:r>
        <w:rPr>
          <w:rFonts w:ascii="Times New Roman" w:hAnsi="Times New Roman" w:eastAsia="仿宋_GB2312"/>
          <w:sz w:val="32"/>
          <w:szCs w:val="32"/>
        </w:rPr>
        <w:t>1.6%</w:t>
      </w:r>
      <w:r>
        <w:rPr>
          <w:rFonts w:hint="eastAsia" w:ascii="Times New Roman" w:hAnsi="Times New Roman" w:eastAsia="仿宋_GB2312"/>
          <w:sz w:val="32"/>
          <w:szCs w:val="32"/>
        </w:rPr>
        <w:t>；商业服务业等（类）支出</w:t>
      </w:r>
      <w:r>
        <w:rPr>
          <w:rFonts w:ascii="Times New Roman" w:hAnsi="Times New Roman" w:eastAsia="仿宋_GB2312"/>
          <w:sz w:val="32"/>
          <w:szCs w:val="32"/>
        </w:rPr>
        <w:t>27</w:t>
      </w:r>
      <w:r>
        <w:rPr>
          <w:rFonts w:hint="eastAsia" w:ascii="Times New Roman" w:hAnsi="Times New Roman" w:eastAsia="仿宋_GB2312"/>
          <w:sz w:val="32"/>
          <w:szCs w:val="32"/>
        </w:rPr>
        <w:t>万元，占</w:t>
      </w:r>
      <w:r>
        <w:rPr>
          <w:rFonts w:ascii="Times New Roman" w:hAnsi="Times New Roman" w:eastAsia="仿宋_GB2312"/>
          <w:sz w:val="32"/>
          <w:szCs w:val="32"/>
        </w:rPr>
        <w:t>0.42%</w:t>
      </w:r>
      <w:r>
        <w:rPr>
          <w:rFonts w:hint="eastAsia" w:ascii="Times New Roman" w:hAnsi="Times New Roman" w:eastAsia="仿宋_GB2312"/>
          <w:sz w:val="32"/>
          <w:szCs w:val="32"/>
        </w:rPr>
        <w:t>；然资源海洋气象等（类）支出</w:t>
      </w:r>
      <w:r>
        <w:rPr>
          <w:rFonts w:ascii="Times New Roman" w:hAnsi="Times New Roman" w:eastAsia="仿宋_GB2312"/>
          <w:sz w:val="32"/>
          <w:szCs w:val="32"/>
        </w:rPr>
        <w:t>61</w:t>
      </w:r>
      <w:r>
        <w:rPr>
          <w:rFonts w:hint="eastAsia" w:ascii="Times New Roman" w:hAnsi="Times New Roman" w:eastAsia="仿宋_GB2312"/>
          <w:sz w:val="32"/>
          <w:szCs w:val="32"/>
        </w:rPr>
        <w:t>万元，占</w:t>
      </w:r>
      <w:r>
        <w:rPr>
          <w:rFonts w:ascii="Times New Roman" w:hAnsi="Times New Roman" w:eastAsia="仿宋_GB2312"/>
          <w:sz w:val="32"/>
          <w:szCs w:val="32"/>
        </w:rPr>
        <w:t>0.95%</w:t>
      </w:r>
      <w:r>
        <w:rPr>
          <w:rFonts w:hint="eastAsia" w:ascii="Times New Roman" w:hAnsi="Times New Roman" w:eastAsia="仿宋_GB2312"/>
          <w:sz w:val="32"/>
          <w:szCs w:val="32"/>
        </w:rPr>
        <w:t>；粮油物资储备（类）支出</w:t>
      </w:r>
      <w:r>
        <w:rPr>
          <w:rFonts w:ascii="Times New Roman" w:hAnsi="Times New Roman" w:eastAsia="仿宋_GB2312"/>
          <w:sz w:val="32"/>
          <w:szCs w:val="32"/>
        </w:rPr>
        <w:t>220</w:t>
      </w:r>
      <w:r>
        <w:rPr>
          <w:rFonts w:hint="eastAsia" w:ascii="Times New Roman" w:hAnsi="Times New Roman" w:eastAsia="仿宋_GB2312"/>
          <w:sz w:val="32"/>
          <w:szCs w:val="32"/>
        </w:rPr>
        <w:t>万元，占</w:t>
      </w:r>
      <w:r>
        <w:rPr>
          <w:rFonts w:ascii="Times New Roman" w:hAnsi="Times New Roman" w:eastAsia="仿宋_GB2312"/>
          <w:sz w:val="32"/>
          <w:szCs w:val="32"/>
        </w:rPr>
        <w:t>3.43%</w:t>
      </w:r>
      <w:r>
        <w:rPr>
          <w:rFonts w:hint="eastAsia" w:ascii="Times New Roman" w:hAnsi="Times New Roman" w:eastAsia="仿宋_GB2312"/>
          <w:sz w:val="32"/>
          <w:szCs w:val="32"/>
        </w:rPr>
        <w:t>；其他（类）支出</w:t>
      </w:r>
      <w:r>
        <w:rPr>
          <w:rFonts w:ascii="Times New Roman" w:hAnsi="Times New Roman" w:eastAsia="仿宋_GB2312"/>
          <w:sz w:val="32"/>
          <w:szCs w:val="32"/>
        </w:rPr>
        <w:t>38</w:t>
      </w:r>
      <w:r>
        <w:rPr>
          <w:rFonts w:hint="eastAsia" w:ascii="Times New Roman" w:hAnsi="Times New Roman" w:eastAsia="仿宋_GB2312"/>
          <w:sz w:val="32"/>
          <w:szCs w:val="32"/>
        </w:rPr>
        <w:t>万元，占</w:t>
      </w:r>
      <w:r>
        <w:rPr>
          <w:rFonts w:ascii="Times New Roman" w:hAnsi="Times New Roman" w:eastAsia="仿宋_GB2312"/>
          <w:sz w:val="32"/>
          <w:szCs w:val="32"/>
        </w:rPr>
        <w:t>0.59%</w:t>
      </w:r>
      <w:r>
        <w:rPr>
          <w:rFonts w:hint="eastAsia" w:ascii="Times New Roman" w:hAnsi="Times New Roman" w:eastAsia="仿宋_GB2312"/>
          <w:sz w:val="32"/>
          <w:szCs w:val="32"/>
        </w:rPr>
        <w:t>。</w:t>
      </w:r>
    </w:p>
    <w:p w14:paraId="6941414C">
      <w:pPr>
        <w:pStyle w:val="14"/>
        <w:spacing w:line="600" w:lineRule="exact"/>
        <w:rPr>
          <w:rFonts w:ascii="楷体" w:hAnsi="楷体" w:eastAsia="楷体" w:cs="楷体"/>
          <w:bCs/>
          <w:sz w:val="32"/>
          <w:szCs w:val="32"/>
        </w:rPr>
      </w:pPr>
      <w:r>
        <w:rPr>
          <w:rFonts w:hint="eastAsia" w:ascii="Times New Roman" w:hAnsi="Times New Roman" w:eastAsia="仿宋_GB2312"/>
          <w:sz w:val="32"/>
          <w:szCs w:val="32"/>
        </w:rPr>
        <w:t xml:space="preserve">    </w:t>
      </w:r>
      <w:r>
        <w:rPr>
          <w:rFonts w:hint="eastAsia" w:ascii="楷体" w:hAnsi="楷体" w:eastAsia="楷体" w:cs="楷体"/>
          <w:bCs/>
          <w:sz w:val="32"/>
          <w:szCs w:val="32"/>
        </w:rPr>
        <w:t>（三）一般公共预算财政拨款支出决算具体情况</w:t>
      </w:r>
    </w:p>
    <w:p w14:paraId="41C5D4F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2023年度财政拨款支出年初预算数为1406.18万元，支出决算数为6409.72万元，完成年初预算的456%，其中：</w:t>
      </w:r>
    </w:p>
    <w:p w14:paraId="4AC2E44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1、一般公共服务支出（类）人大事务（款）其他人大事务支出（项）。</w:t>
      </w:r>
    </w:p>
    <w:p w14:paraId="1109D220">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年初预算为0万元，支出决算为4.8万元，由于年初预算为0，无法计算百分比，决算数大于年初预算数的主要原因是：业务工作任务增加，调整预算支出，财政追拨经费。</w:t>
      </w:r>
    </w:p>
    <w:p w14:paraId="45DD3EE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2、一般公共服务支出（类）政协事务（款）其他政协事务支出（项）。</w:t>
      </w:r>
    </w:p>
    <w:p w14:paraId="114AF04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年初预算为0万元，支出决算为0.6万元，由于年初预算为0，无法计算百分比，决算数大于年初预算数的主要原因是：业务工作任务增加，调整预算支出，财政追拨经费。</w:t>
      </w:r>
    </w:p>
    <w:p w14:paraId="146C776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3、一般公共服务支出（类）政府办公厅（室）及相关机构事务（款）行政运行（项）。</w:t>
      </w:r>
    </w:p>
    <w:p w14:paraId="70537B7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年初预算为1406.18万元，支出决算为1684.86万元，完成年初预算的83%，决算数大于年初预算数的主要原因是：业务工作任务增加，调整预算支出，财政追拨经费。</w:t>
      </w:r>
    </w:p>
    <w:p w14:paraId="6847E83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4、一般公共服务支出（类）政府办公厅（室）及相关机构事务（款）信访事务（项）。</w:t>
      </w:r>
    </w:p>
    <w:p w14:paraId="07747535">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年初预算为0万元，支出决算为12万元，由于年初预算为0，无法计算百分比，决算数大于年初预算数的主要原因是：业务工作任务增加，调整预算支出，财政追拨经费。</w:t>
      </w:r>
    </w:p>
    <w:p w14:paraId="30E8036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5、一般公共服务支出（类）财政事务（款）一般行政管理事务（项）。</w:t>
      </w:r>
    </w:p>
    <w:p w14:paraId="56384FD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年初预算为0万元，支出决算为2万元，由于年初预算为0，无法计算百分比，决算数大于年初预算数的主要原因是：业务工作任务增加，调整预算支出，财政追拨经费。</w:t>
      </w:r>
    </w:p>
    <w:p w14:paraId="59A0F65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6、一般公共服务支出（类）税收事务（款）其他税收事务支出（项）。</w:t>
      </w:r>
    </w:p>
    <w:p w14:paraId="3DAC4EE4">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38.69</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3DCD8F9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7、一般公共服务支出（类）纪检监察事务（款）行政运行（项）。</w:t>
      </w:r>
    </w:p>
    <w:p w14:paraId="4E641B7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12</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20D88D8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8、一般公共服务支出（类）党委办公厅（室）及相关机构事务（款）行政运行（项）。</w:t>
      </w:r>
    </w:p>
    <w:p w14:paraId="2EBE56F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1AAD3E0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9、一般公共服务支出（类）其他共产党事务支出（款）一般行政管理事务（项）。</w:t>
      </w:r>
    </w:p>
    <w:p w14:paraId="48821F6A">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8</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7CDD351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10、一般公共服务支出（类）其他一般公共服务支出（款）其他一般公共服务支出（项）。</w:t>
      </w:r>
    </w:p>
    <w:p w14:paraId="79D92E8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7.2</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315F749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11、国防支出（类）国防动员（款）兵役征集（项）。</w:t>
      </w:r>
    </w:p>
    <w:p w14:paraId="3524316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ascii="Times New Roman" w:hAnsi="Times New Roman" w:eastAsia="仿宋_GB2312"/>
          <w:sz w:val="32"/>
          <w:szCs w:val="32"/>
        </w:rPr>
        <w:t>1</w:t>
      </w:r>
      <w:r>
        <w:rPr>
          <w:rFonts w:hint="eastAsia" w:ascii="Times New Roman" w:hAnsi="Times New Roman" w:eastAsia="仿宋_GB2312"/>
          <w:sz w:val="32"/>
          <w:szCs w:val="32"/>
        </w:rPr>
        <w:t>万元，支出决算为</w:t>
      </w:r>
      <w:r>
        <w:rPr>
          <w:rFonts w:ascii="Times New Roman" w:hAnsi="Times New Roman" w:eastAsia="仿宋_GB2312"/>
          <w:sz w:val="32"/>
          <w:szCs w:val="32"/>
        </w:rPr>
        <w:t>3</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0A0E540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12、国防支出（类）国防动员（款）其他国防动员支出（项）。</w:t>
      </w:r>
    </w:p>
    <w:p w14:paraId="48983A6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6.5</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30183BA">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13、公共安全支出（类）公安（款）其他公安支出（项）。</w:t>
      </w:r>
    </w:p>
    <w:p w14:paraId="30C019E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3.18</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10FCC58C">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14、科学技术支出（类）科学技术普及（款）科普活动（项）。</w:t>
      </w:r>
    </w:p>
    <w:p w14:paraId="3842B7E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10</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7ECD716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15、文化旅游体育与传媒支出（类）文化和旅游（款）其他文化和旅游支出（项）。</w:t>
      </w:r>
    </w:p>
    <w:p w14:paraId="0B384CE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9.4</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2BFAD3E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16、文化旅游体育与传媒支出（类）其他文化旅游体育与传媒支出（款）其他文化旅游体育与传媒支出（项）。</w:t>
      </w:r>
    </w:p>
    <w:p w14:paraId="3A9FD3A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24</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C656C60">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17、社会保障和就业支出（类）民政管理事务（款）基层政权建设和社区治理（项）。</w:t>
      </w:r>
    </w:p>
    <w:p w14:paraId="52F746D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862785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18、社会保障和就业支出（类）抚恤（款）其他优抚支出（项）。</w:t>
      </w:r>
    </w:p>
    <w:p w14:paraId="6E263DD5">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54.11</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0B5DBFE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19、社会保障和就业支出（类）社会福利（款）老年福利（项）。</w:t>
      </w:r>
    </w:p>
    <w:p w14:paraId="36CCF2B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12</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26056A5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20、社会保障和就业支出（类）残疾人事业（款）行政运行（项）。</w:t>
      </w:r>
    </w:p>
    <w:p w14:paraId="0B7EB12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4</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1207F05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21、社会保障和就业支出（类）临时救助（款）临时救助支出（项）。</w:t>
      </w:r>
    </w:p>
    <w:p w14:paraId="333E2B2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132.79</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01B767E4">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22、社会保障和就业支出（类）特困人员救助供养（款）城市特困人员救助供养支出（项）。</w:t>
      </w:r>
    </w:p>
    <w:p w14:paraId="6D89D10A">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241.88</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12D97CB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23、社会保障和就业支出（类）特困人员救助供养（款）农村特困人员救助供养支出（项）。</w:t>
      </w:r>
    </w:p>
    <w:p w14:paraId="10F566A4">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317.23</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64AE58F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24、社会保障和就业支出（类）退役军人管理事务（款）其他退役军人事务管理支出（项）。</w:t>
      </w:r>
    </w:p>
    <w:p w14:paraId="529CAA9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3.6</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DCA492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25、社会保障和就业支出（类）其他社会保障和就业支出（款）其他社会保障和就业支出（项）。</w:t>
      </w:r>
    </w:p>
    <w:p w14:paraId="1734A78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9458FF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26、节能环保支出（类）自然生态保护（款）农村环境保护（项）。</w:t>
      </w:r>
    </w:p>
    <w:p w14:paraId="57C6494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30</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AA9200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27、节能环保支出（类）自然生态保护（款）其他自然生态保护支出（项）。</w:t>
      </w:r>
    </w:p>
    <w:p w14:paraId="33D8271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7</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565B676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28、城乡社区支出（类）城乡社区管理事务（款）其他城乡社区管理事务支出（项）。</w:t>
      </w:r>
    </w:p>
    <w:p w14:paraId="3C3C49A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550.5</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232927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29、城乡社区支出（类）城乡社区公共设施（款）小城镇基础设施建设（项）。</w:t>
      </w:r>
    </w:p>
    <w:p w14:paraId="3FBCE01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51</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234FB50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30、城乡社区支出（类）城乡社区公共设施（款）其他城乡社区公共设施支出（项）。</w:t>
      </w:r>
    </w:p>
    <w:p w14:paraId="7E70167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28.62</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12AFEDD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31、农林水支出（类）城市基础设施配套费安排的支出（款）科技转化与推广服务（项）。</w:t>
      </w:r>
    </w:p>
    <w:p w14:paraId="3BF3295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9</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01D0EC9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32、农林水支出（类）城市基础设施配套费安排的支出（款）病虫害控制（项）。</w:t>
      </w:r>
    </w:p>
    <w:p w14:paraId="55E538D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8</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3E0A2FF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33、农林水支出（类）城市基础设施配套费安排的支出（款）防灾救灾（项）。</w:t>
      </w:r>
    </w:p>
    <w:p w14:paraId="01580DB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37.9</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6D8AA9C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34、农林水支出（类）城市基础设施配套费安排的支出（款）农业生产发展（项）。</w:t>
      </w:r>
    </w:p>
    <w:p w14:paraId="78EE6FA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16</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50B7028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35、农林水支出（类）城市基础设施配套费安排的支出（款）农村社会事业（项）。</w:t>
      </w:r>
    </w:p>
    <w:p w14:paraId="0EDB47D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54.42</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2C145B3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36、农林水支出（类）城市基础设施配套费安排的支出（款）其他农业农村支出（项）。</w:t>
      </w:r>
    </w:p>
    <w:p w14:paraId="5E687F8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41</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31DC8974">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37、农林水支出（类）城市基础设施配套费安排的支出（款）一般行政管理事务（项）。</w:t>
      </w:r>
    </w:p>
    <w:p w14:paraId="745B3340">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10</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78E0A3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38、农林水支出（类）城市基础设施配套费安排的支出（款）森林资源培育（项）。</w:t>
      </w:r>
    </w:p>
    <w:p w14:paraId="4486F97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10.34</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9A5E044">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39、农林水支出（类）城市基础设施配套费安排的支出（款）森林生态效益补偿（项）。</w:t>
      </w:r>
    </w:p>
    <w:p w14:paraId="4B0E308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19.53</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2CFEC03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40、农林水支出（类）城市基础设施配套费安排的支出（款）行政运行（项）。</w:t>
      </w:r>
    </w:p>
    <w:p w14:paraId="2BAED8B5">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45.62</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32F72AB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41、农林水支出（类）城市基础设施配套费安排的支出（款）水利行业业务管理（项）。</w:t>
      </w:r>
    </w:p>
    <w:p w14:paraId="4360FFF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998FF9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42、农林水支出（类）城市基础设施配套费安排的支出（款）水利工程建设（项）。</w:t>
      </w:r>
    </w:p>
    <w:p w14:paraId="4CA3DB2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16</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3700EB5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43、农林水支出（类）城市基础设施配套费安排的支出（款）水利工程运行与维护（项）。</w:t>
      </w:r>
    </w:p>
    <w:p w14:paraId="7594853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55.21</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1859DC2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44、农林水支出（类）城市基础设施配套费安排的支出（款）防汛（项）。</w:t>
      </w:r>
    </w:p>
    <w:p w14:paraId="29000C8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23.5</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5EBF9D04">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45、农林水支出（类）城市基础设施配套费安排的支出（款）抗旱（项）。</w:t>
      </w:r>
    </w:p>
    <w:p w14:paraId="433BE48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30.69</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0C57ACEA">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46、农林水支出（类）城市基础设施配套费安排的支出（款）大中型水库移民后期扶持专项支出（项）。</w:t>
      </w:r>
    </w:p>
    <w:p w14:paraId="309669AC">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17</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C15769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47、农林水支出（类）城市基础设施配套费安排的支出（款）其他水利支出（项）。</w:t>
      </w:r>
    </w:p>
    <w:p w14:paraId="65C0E31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41</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1EFC0E00">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48、农林水支出（类）城市基础设施配套费安排的支出（款）其他巩固脱贫衔接乡村振兴支出（项）。</w:t>
      </w:r>
    </w:p>
    <w:p w14:paraId="62D40CD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726.89</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6533BCE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49、农林水支出（类）城市基础设施配套费安排的支出（款）对村级公益事业建设的补助（项）。</w:t>
      </w:r>
    </w:p>
    <w:p w14:paraId="082C156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229</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5AC5B544">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50、农林水支出（类）城市基础设施配套费安排的支出（款）对村民委员会和村党支部的补助（项）。</w:t>
      </w:r>
    </w:p>
    <w:p w14:paraId="2B91A20A">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623.46</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0B5A026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51、农林水支出（类）城市基础设施配套费安排的支出（款）棉花目标价格补贴（项）。</w:t>
      </w:r>
    </w:p>
    <w:p w14:paraId="08BED28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95.67</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731ADC6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52、农林水支出（类）城市基础设施配套费安排的支出（款）其他农林水支出（项）。</w:t>
      </w:r>
    </w:p>
    <w:p w14:paraId="70F141DC">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574.8</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2C91380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53、交通运输支出（类）城市基础设施配套费安排的支出（款）公路养护（项）。</w:t>
      </w:r>
    </w:p>
    <w:p w14:paraId="3535651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29.67</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453A091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54、交通运输支出（类）城市基础设施配套费安排的支出（款）其他公路水路运输支出（项）。</w:t>
      </w:r>
    </w:p>
    <w:p w14:paraId="3FC5029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73.06</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7294E1F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55、商业服务业等支出（类）城市基础设施配套费安排的支出（款）其他商业流通事务支出（项）。</w:t>
      </w:r>
    </w:p>
    <w:p w14:paraId="33FC942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27</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512D775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56、自然资源海洋气象等支出（类）城市基础设施配套费安排的支出（款）行政运行（项）。</w:t>
      </w:r>
    </w:p>
    <w:p w14:paraId="77A47770">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19</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7BCA006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57、自然资源海洋气象等支出（类）城市基础设施配套费安排的支出（款）自然资源利用与保护（项）。</w:t>
      </w:r>
    </w:p>
    <w:p w14:paraId="6112D44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42</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08C5659C">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58、粮油物资储备支出（类）城市基础设施配套费安排的支出（款）其他粮油物资事务支出（项）。</w:t>
      </w:r>
    </w:p>
    <w:p w14:paraId="53E819F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220</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615FC21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59、其他支出（类）城市基础设施配套费安排的支出（款）其他支出（项）。</w:t>
      </w:r>
    </w:p>
    <w:p w14:paraId="302CCD3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38</w:t>
      </w:r>
      <w:r>
        <w:rPr>
          <w:rFonts w:hint="eastAsia" w:ascii="Times New Roman" w:hAnsi="Times New Roman" w:eastAsia="仿宋_GB2312"/>
          <w:sz w:val="32"/>
          <w:szCs w:val="32"/>
        </w:rPr>
        <w:t>万元，由于年初预算为0，无法计算百分比，决算数大于年初预算数的主要原因是：业务工作任务增加，调整预算支出，财政追拨经费。</w:t>
      </w:r>
    </w:p>
    <w:p w14:paraId="5C68173C">
      <w:pPr>
        <w:pStyle w:val="14"/>
        <w:spacing w:line="600" w:lineRule="exact"/>
        <w:ind w:firstLine="800" w:firstLineChars="250"/>
        <w:rPr>
          <w:rFonts w:ascii="Times New Roman" w:hAnsi="Times New Roman" w:eastAsia="仿宋_GB2312"/>
          <w:sz w:val="32"/>
          <w:szCs w:val="32"/>
          <w:highlight w:val="yellow"/>
        </w:rPr>
      </w:pPr>
    </w:p>
    <w:p w14:paraId="5249D81E">
      <w:pPr>
        <w:pStyle w:val="14"/>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7EB6C8D5">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2023年度财政拨款基本支出1908.79万元，其中：</w:t>
      </w:r>
    </w:p>
    <w:p w14:paraId="6BD36681">
      <w:pPr>
        <w:pStyle w:val="14"/>
        <w:spacing w:line="600" w:lineRule="exact"/>
        <w:ind w:firstLine="640" w:firstLineChars="200"/>
        <w:rPr>
          <w:rFonts w:ascii="Times New Roman" w:hAnsi="Times New Roman" w:eastAsia="仿宋_GB2312"/>
          <w:color w:val="FF0000"/>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1588.3万元，占基本支出的83.21%,主要包括基本工资、津贴补贴、奖金、绩效工资、机关事业单位基本养老保险缴费、职工基本医疗保险缴费、其他社会保障缴费、住房公积金、其他工资福利支出、生活补助、救济费。</w:t>
      </w:r>
    </w:p>
    <w:p w14:paraId="1E669D0F">
      <w:pPr>
        <w:pStyle w:val="14"/>
        <w:spacing w:line="600" w:lineRule="exact"/>
        <w:ind w:firstLine="640" w:firstLineChars="200"/>
        <w:rPr>
          <w:rFonts w:ascii="Times New Roman" w:hAnsi="Times New Roman" w:eastAsia="仿宋_GB2312"/>
          <w:b/>
          <w:color w:val="FF0000"/>
          <w:sz w:val="32"/>
          <w:szCs w:val="32"/>
        </w:rPr>
      </w:pPr>
      <w:r>
        <w:rPr>
          <w:rFonts w:hint="eastAsia" w:ascii="Times New Roman" w:hAnsi="Times New Roman" w:eastAsia="仿宋_GB2312"/>
          <w:b/>
          <w:bCs/>
          <w:sz w:val="32"/>
          <w:szCs w:val="32"/>
        </w:rPr>
        <w:t>公用经费</w:t>
      </w:r>
      <w:r>
        <w:rPr>
          <w:rFonts w:ascii="Times New Roman" w:hAnsi="Times New Roman" w:eastAsia="仿宋_GB2312"/>
          <w:sz w:val="32"/>
          <w:szCs w:val="32"/>
        </w:rPr>
        <w:t>320.49</w:t>
      </w:r>
      <w:r>
        <w:rPr>
          <w:rFonts w:hint="eastAsia" w:ascii="Times New Roman" w:hAnsi="Times New Roman" w:eastAsia="仿宋_GB2312"/>
          <w:sz w:val="32"/>
          <w:szCs w:val="32"/>
        </w:rPr>
        <w:t>万元，占基本支出的</w:t>
      </w:r>
      <w:r>
        <w:rPr>
          <w:rFonts w:ascii="Times New Roman" w:hAnsi="Times New Roman" w:eastAsia="仿宋_GB2312"/>
          <w:sz w:val="32"/>
          <w:szCs w:val="32"/>
        </w:rPr>
        <w:t>16.79%</w:t>
      </w:r>
      <w:r>
        <w:rPr>
          <w:rFonts w:hint="eastAsia" w:ascii="Times New Roman" w:hAnsi="Times New Roman" w:eastAsia="仿宋_GB2312"/>
          <w:sz w:val="32"/>
          <w:szCs w:val="32"/>
        </w:rPr>
        <w:t>，主要包括办公费、印刷费、咨询费、水费、电费、邮电费、物业管理费、差旅费、维修（护）费、会议费、培训费、公务接待费、专用材料费、劳务费、委托业务费、工会经费、福利费、其他交通费用、其他商品和服务支出、办公设备购置、专用设备购置。</w:t>
      </w:r>
    </w:p>
    <w:p w14:paraId="460E5F6B">
      <w:pPr>
        <w:pStyle w:val="14"/>
        <w:spacing w:line="600" w:lineRule="exact"/>
        <w:ind w:firstLine="640" w:firstLineChars="200"/>
        <w:rPr>
          <w:rFonts w:ascii="Times New Roman" w:hAnsi="Times New Roman" w:eastAsia="仿宋_GB2312"/>
          <w:b/>
          <w:color w:val="FF0000"/>
          <w:sz w:val="32"/>
          <w:szCs w:val="32"/>
        </w:rPr>
      </w:pPr>
      <w:r>
        <w:rPr>
          <w:rFonts w:hint="eastAsia" w:hAnsi="黑体"/>
          <w:bCs/>
          <w:sz w:val="32"/>
          <w:szCs w:val="32"/>
        </w:rPr>
        <w:t>七、财政拨款三公经费支出决算情况说明</w:t>
      </w:r>
    </w:p>
    <w:p w14:paraId="11720C7F">
      <w:pPr>
        <w:pStyle w:val="14"/>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2843DD2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6.09万元，支出决算为6.09万元，完成预算的100%，与上年相比减少0.02万元，减少0.33%,减少的主要原因是认真贯彻落实中央八项规定精神和厉行节约要求，从严控制“三公”经费开支。其中：</w:t>
      </w:r>
    </w:p>
    <w:p w14:paraId="24FCCCF4">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w:t>
      </w:r>
      <w:r>
        <w:rPr>
          <w:rFonts w:ascii="Times New Roman" w:hAnsi="Times New Roman" w:eastAsia="仿宋_GB2312"/>
          <w:sz w:val="32"/>
          <w:szCs w:val="32"/>
        </w:rPr>
        <w:t>0%</w:t>
      </w:r>
      <w:r>
        <w:rPr>
          <w:rFonts w:hint="eastAsia" w:ascii="Times New Roman" w:hAnsi="Times New Roman" w:eastAsia="仿宋_GB2312"/>
          <w:sz w:val="32"/>
          <w:szCs w:val="32"/>
        </w:rPr>
        <w:t>，与上年相比减少0万元。</w:t>
      </w:r>
    </w:p>
    <w:p w14:paraId="0474AA5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6.09万元，支出决算为6.09万元，完成预算的100%，决算数与预算数一致，我单位严格按预算执行决算。与上年相比减少0.02万元，减少0.33%,减少的主要原因是认真贯彻落实中央八项规定精神和厉行节约要求，从严控制“三公”经费开支。</w:t>
      </w:r>
    </w:p>
    <w:p w14:paraId="4097EB4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w:t>
      </w:r>
      <w:r>
        <w:rPr>
          <w:rFonts w:ascii="Times New Roman" w:hAnsi="Times New Roman" w:eastAsia="仿宋_GB2312"/>
          <w:sz w:val="32"/>
          <w:szCs w:val="32"/>
        </w:rPr>
        <w:t>0%</w:t>
      </w:r>
      <w:r>
        <w:rPr>
          <w:rFonts w:hint="eastAsia" w:ascii="Times New Roman" w:hAnsi="Times New Roman" w:eastAsia="仿宋_GB2312"/>
          <w:sz w:val="32"/>
          <w:szCs w:val="32"/>
        </w:rPr>
        <w:t>，与上年相比减少0万元。</w:t>
      </w:r>
    </w:p>
    <w:p w14:paraId="2FE9CAF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公务用车运行维护费支出预算为0万元，支出决算为0万元，完成预算的</w:t>
      </w:r>
      <w:r>
        <w:rPr>
          <w:rFonts w:ascii="Times New Roman" w:hAnsi="Times New Roman" w:eastAsia="仿宋_GB2312"/>
          <w:sz w:val="32"/>
          <w:szCs w:val="32"/>
        </w:rPr>
        <w:t>0%</w:t>
      </w:r>
      <w:r>
        <w:rPr>
          <w:rFonts w:hint="eastAsia" w:ascii="Times New Roman" w:hAnsi="Times New Roman" w:eastAsia="仿宋_GB2312"/>
          <w:sz w:val="32"/>
          <w:szCs w:val="32"/>
        </w:rPr>
        <w:t>，与上年相比减少0万元。</w:t>
      </w:r>
    </w:p>
    <w:p w14:paraId="7B6E5190">
      <w:pPr>
        <w:pStyle w:val="14"/>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7165702B">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2023年度“三公”经费财政拨款支出决算中，公务接待费支出决算6.09万元，占100%，因公出国（境）费支出决算0万元，占0%,公务用车购置费及运行维护费支出决算0万元，占0%。其中：</w:t>
      </w:r>
    </w:p>
    <w:p w14:paraId="249E5C29">
      <w:pPr>
        <w:pStyle w:val="14"/>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i/>
          <w:color w:val="auto"/>
          <w:sz w:val="32"/>
          <w:szCs w:val="32"/>
        </w:rPr>
        <w:t>。</w:t>
      </w:r>
    </w:p>
    <w:p w14:paraId="1C7BCA4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2、公务接待费支出决算为6.09万元，全年共接待来访团组50个、来宾450人次（不包括陪同人员）。主要用于与有关单位交流工作情况及接受相关部门检查指导工作发生的接待支出。</w:t>
      </w:r>
    </w:p>
    <w:p w14:paraId="11DFEEC2">
      <w:pPr>
        <w:spacing w:line="600" w:lineRule="exact"/>
        <w:ind w:firstLine="800" w:firstLineChars="250"/>
        <w:rPr>
          <w:rFonts w:ascii="楷体" w:hAnsi="楷体" w:eastAsia="楷体" w:cs="楷体"/>
          <w:b/>
          <w:bCs/>
          <w:i/>
          <w:color w:val="FF0000"/>
          <w:kern w:val="0"/>
          <w:sz w:val="32"/>
          <w:szCs w:val="32"/>
        </w:rPr>
      </w:pPr>
      <w:r>
        <w:rPr>
          <w:rFonts w:hint="eastAsia" w:ascii="Times New Roman" w:hAnsi="Times New Roman" w:eastAsia="仿宋_GB2312"/>
          <w:sz w:val="32"/>
          <w:szCs w:val="32"/>
        </w:rPr>
        <w:t>3、公务用车购置费及运行维护费支出决算为0万元，其中：公务用车购置费0万元，更新公务用车0辆</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公务用车运行维护费0万元，截止2023年12月31日，我单位开支财政拨款的公务用车保有量为0辆。</w:t>
      </w:r>
    </w:p>
    <w:p w14:paraId="17882757">
      <w:pPr>
        <w:pStyle w:val="14"/>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35633958">
      <w:pPr>
        <w:pStyle w:val="14"/>
        <w:spacing w:line="600" w:lineRule="exact"/>
        <w:rPr>
          <w:rFonts w:ascii="楷体" w:hAnsi="楷体" w:eastAsia="楷体" w:cs="楷体"/>
          <w:b/>
          <w:bCs/>
          <w:i/>
          <w:color w:val="FF0000"/>
          <w:sz w:val="32"/>
          <w:szCs w:val="32"/>
        </w:rPr>
      </w:pPr>
      <w:r>
        <w:rPr>
          <w:rFonts w:hint="eastAsia" w:ascii="Times New Roman" w:hAnsi="Times New Roman" w:eastAsia="仿宋_GB2312"/>
          <w:sz w:val="32"/>
          <w:szCs w:val="32"/>
        </w:rPr>
        <w:t xml:space="preserve">     2023年度政府性基金预算财政拨款收入549.82万元；年初结转和结余0万元；支出549.82万元，其中基本支出0万元，项目支出549.82万元；年末结转和结余0万元。具体情况如下：</w:t>
      </w:r>
    </w:p>
    <w:p w14:paraId="695B804C">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1、社会保障和就业支出（类）大中型水库移民后期扶持基金支出（款）移民补助（项）。</w:t>
      </w:r>
    </w:p>
    <w:p w14:paraId="57D57CB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年初预算为0万元，支出决算为64万元，由于年初预算为0，无法计算百分比，决算数大于年初预算数的主要原因是：业务工作任务增加，调整预算支出，财政追拨经费。</w:t>
      </w:r>
    </w:p>
    <w:p w14:paraId="5E352C4C">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2、社会保障和就业支出（类）大中型水库移民后期扶持基金支出（款）基础设施建设和经济发展（项）。</w:t>
      </w:r>
    </w:p>
    <w:p w14:paraId="0A08A1B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年初预算为0万元，支出决算为233万元，由于年初预算为0，无法计算百分比，决算数大于年初预算数的主要原因是：业务工作任务增加，调整预算支出，财政追拨经费。</w:t>
      </w:r>
    </w:p>
    <w:p w14:paraId="4F153E4A">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3、社会保障和就业支出（类）小型水库移民扶助基金安排的支出（款）基础设施建设和经济发展（项）。</w:t>
      </w:r>
    </w:p>
    <w:p w14:paraId="3EF96CA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年初预算为0万元，支出决算为20万元，由于年初预算为0，无法计算百分比，决算数大于年初预算数的主要原因是：业务工作任务增加，调整预算支出，财政追拨经费。</w:t>
      </w:r>
    </w:p>
    <w:p w14:paraId="321F15B8">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4、农林水支出（类）国家重大水利工程建设基金安排的支出（款）三峡后续工作（项）。</w:t>
      </w:r>
    </w:p>
    <w:p w14:paraId="1D9D420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年初预算为0万元，支出决算为44.82万元，由于年初预算为0，无法计算百分比，决算数大于年初预算数的主要原因是：业务工作任务增加，调整预算支出，财政追拨经费。</w:t>
      </w:r>
    </w:p>
    <w:p w14:paraId="7ED53BEC">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5、其他支出（类）其他政府性基金及对应专项债务收入安排的支出（款）其他政府性基金安排的支出（项）。</w:t>
      </w:r>
    </w:p>
    <w:p w14:paraId="6114EF6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年初预算为0万元，支出决算为138万元，由于年初预算为0，无法计算百分比，决算数大于年初预算数的主要原因是：业务工作任务增加，调整预算支出，财政追拨经费。</w:t>
      </w:r>
    </w:p>
    <w:p w14:paraId="28B76C09">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6、其他支出（类）彩票公益金安排的支出（款）用于社会福利的彩票公益金支出（项）。</w:t>
      </w:r>
    </w:p>
    <w:p w14:paraId="63CBD5A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年初预算为0万元，支出决算为36万元，由于年初预算为0，无法计算百分比，决算数大于年初预算数的主要原因是：业务工作任务增加，调整预算支出，财政追拨经费。</w:t>
      </w:r>
    </w:p>
    <w:p w14:paraId="66F47D6B">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7、其他支出（类）彩票公益金安排的支出（款）用于体育事业的彩票公益金支出（项）。</w:t>
      </w:r>
    </w:p>
    <w:p w14:paraId="71677161">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年初预算为0万元，支出决算为14万元，由于年初预算为0，无法计算百分比，决算数大于年初预算数的主要原因是：业务工作任务增加，调整预算支出，财政追拨经费。</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黑体" w:hAnsi="黑体" w:eastAsia="黑体" w:cs="黑体"/>
          <w:bCs/>
          <w:color w:val="000000"/>
          <w:sz w:val="32"/>
          <w:szCs w:val="32"/>
          <w:lang w:val="en-US" w:eastAsia="zh-CN" w:bidi="ar-SA"/>
        </w:rPr>
      </w:pPr>
      <w:r>
        <w:rPr>
          <w:rFonts w:hint="eastAsia" w:ascii="黑体" w:hAnsi="黑体" w:eastAsia="黑体" w:cs="黑体"/>
          <w:bCs/>
          <w:color w:val="000000"/>
          <w:sz w:val="32"/>
          <w:szCs w:val="32"/>
          <w:lang w:val="en-US" w:eastAsia="zh-CN" w:bidi="ar-SA"/>
        </w:rPr>
        <w:t>九、国有资本经营预算财政拨款支出决算情况</w:t>
      </w:r>
    </w:p>
    <w:p w14:paraId="5AB8DD93">
      <w:pPr>
        <w:pStyle w:val="14"/>
        <w:spacing w:line="600" w:lineRule="exact"/>
        <w:ind w:firstLine="800" w:firstLineChars="250"/>
        <w:rPr>
          <w:rFonts w:hint="eastAsia" w:ascii="Times New Roman" w:hAnsi="Times New Roman" w:eastAsia="仿宋_GB2312"/>
          <w:sz w:val="32"/>
          <w:szCs w:val="32"/>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764A3431">
      <w:pPr>
        <w:pStyle w:val="14"/>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25D8F619">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本部门2023年度机关运行经费支出320.49万元，比上年决算数减少169.67万元，降低34.62%。主要原因是：认真贯彻落实中央八项规定精神和厉行节约要求，从严控制机关运行经费开支。</w:t>
      </w:r>
    </w:p>
    <w:p w14:paraId="39E0E24A">
      <w:pPr>
        <w:pStyle w:val="14"/>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val="en-US" w:eastAsia="zh-CN"/>
        </w:rPr>
        <w:t>一</w:t>
      </w:r>
      <w:r>
        <w:rPr>
          <w:rFonts w:hint="eastAsia" w:hAnsi="黑体"/>
          <w:bCs/>
          <w:sz w:val="32"/>
          <w:szCs w:val="32"/>
        </w:rPr>
        <w:t>、一般性支出情况说明</w:t>
      </w:r>
    </w:p>
    <w:p w14:paraId="3218F960">
      <w:pPr>
        <w:pStyle w:val="14"/>
        <w:spacing w:line="600" w:lineRule="exact"/>
        <w:ind w:firstLine="640" w:firstLineChars="200"/>
        <w:rPr>
          <w:rFonts w:ascii="楷体" w:hAnsi="楷体" w:eastAsia="楷体" w:cs="楷体"/>
          <w:b/>
          <w:bCs/>
          <w:i/>
          <w:color w:val="FF0000"/>
          <w:sz w:val="32"/>
          <w:szCs w:val="32"/>
        </w:rPr>
      </w:pPr>
      <w:r>
        <w:rPr>
          <w:rFonts w:hint="eastAsia" w:ascii="Times New Roman" w:hAnsi="Times New Roman" w:eastAsia="仿宋_GB2312"/>
          <w:sz w:val="32"/>
          <w:szCs w:val="32"/>
        </w:rPr>
        <w:t>2023年本部门开支会议费9.14万元，用于召开业务及工作会议，人数798人，内容为防汛抗旱、乡村振兴、人居环境整治、党建工作、人大会议等工作会议；开支培训费1.54万元，用于开展知识及技能培训，人数233人，内容为安全生产、统计普查、财政业务、水利建设、农林农技等相关知识技能培训；未举办节庆、晚会、论坛、赛事活动，开支0万元。</w:t>
      </w:r>
    </w:p>
    <w:p w14:paraId="28B87A46">
      <w:pPr>
        <w:pStyle w:val="14"/>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val="en-US" w:eastAsia="zh-CN"/>
        </w:rPr>
        <w:t>二</w:t>
      </w:r>
      <w:r>
        <w:rPr>
          <w:rFonts w:hint="eastAsia" w:hAnsi="黑体"/>
          <w:bCs/>
          <w:sz w:val="32"/>
          <w:szCs w:val="32"/>
        </w:rPr>
        <w:t>、关于政府采购支出说明</w:t>
      </w:r>
    </w:p>
    <w:p w14:paraId="3FED398C">
      <w:pPr>
        <w:pStyle w:val="14"/>
        <w:spacing w:line="580" w:lineRule="exact"/>
        <w:ind w:firstLine="640" w:firstLineChars="200"/>
        <w:rPr>
          <w:rFonts w:ascii="楷体" w:hAnsi="楷体" w:eastAsia="楷体" w:cs="楷体"/>
          <w:b/>
          <w:bCs/>
          <w:i/>
          <w:color w:val="FF0000"/>
          <w:sz w:val="32"/>
          <w:szCs w:val="32"/>
        </w:rPr>
      </w:pPr>
      <w:r>
        <w:rPr>
          <w:rFonts w:hint="eastAsia" w:ascii="Times New Roman" w:hAnsi="Times New Roman" w:eastAsia="仿宋_GB2312"/>
          <w:sz w:val="32"/>
          <w:szCs w:val="32"/>
        </w:rPr>
        <w:t>本部门2023年度政府采购支出总额937.68万元，其中：政府采购货物支出179.9万元、政府采购工程支出373.27万元、政府采购服务支出384.5万元。授予中小企业合同金额931.24万元，占政府采购支出总额的99.31%，其中：授予小微企业合同金额914.77万元，</w:t>
      </w:r>
      <w:r>
        <w:rPr>
          <w:rFonts w:hint="eastAsia" w:ascii="Times New Roman" w:hAnsi="Times New Roman" w:eastAsia="仿宋_GB2312"/>
          <w:color w:val="auto"/>
          <w:sz w:val="32"/>
          <w:szCs w:val="32"/>
        </w:rPr>
        <w:t>占授予中小企业合同金额的98.23%。货物采购授予中小企业合同金额占货物支出金额的100%，工程采购授予中小企业合同金额占工程支出金额的98%，服务采购授予中小企业合同金额占服务支出金额的100%。</w:t>
      </w:r>
    </w:p>
    <w:p w14:paraId="5B703A60">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522EC7B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0C9BDC24">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525EC68A">
      <w:pPr>
        <w:pStyle w:val="14"/>
        <w:numPr>
          <w:ilvl w:val="0"/>
          <w:numId w:val="2"/>
        </w:numPr>
        <w:spacing w:line="580" w:lineRule="exact"/>
        <w:rPr>
          <w:rFonts w:ascii="楷体" w:hAnsi="楷体" w:eastAsia="楷体" w:cs="楷体"/>
          <w:b/>
          <w:bCs/>
          <w:sz w:val="32"/>
          <w:szCs w:val="32"/>
        </w:rPr>
      </w:pPr>
      <w:r>
        <w:rPr>
          <w:rFonts w:hint="eastAsia" w:ascii="楷体" w:hAnsi="楷体" w:eastAsia="楷体" w:cs="楷体"/>
          <w:b/>
          <w:bCs/>
          <w:sz w:val="32"/>
          <w:szCs w:val="32"/>
        </w:rPr>
        <w:t>绩效管理工作开展情况</w:t>
      </w:r>
    </w:p>
    <w:p w14:paraId="79D6E67D">
      <w:pPr>
        <w:pStyle w:val="14"/>
        <w:spacing w:line="580" w:lineRule="exact"/>
        <w:ind w:firstLine="640" w:firstLineChars="200"/>
        <w:rPr>
          <w:rFonts w:ascii="Times New Roman" w:hAnsi="Times New Roman" w:eastAsia="仿宋_GB2312" w:cstheme="minorBidi"/>
          <w:color w:val="auto"/>
          <w:kern w:val="2"/>
          <w:sz w:val="32"/>
          <w:szCs w:val="32"/>
        </w:rPr>
      </w:pPr>
      <w:r>
        <w:rPr>
          <w:rFonts w:hint="eastAsia" w:ascii="Times New Roman" w:hAnsi="Times New Roman" w:eastAsia="仿宋_GB2312" w:cstheme="minorBidi"/>
          <w:color w:val="auto"/>
          <w:kern w:val="2"/>
          <w:sz w:val="32"/>
          <w:szCs w:val="32"/>
        </w:rPr>
        <w:t>一年来，东山镇人民政府以实现绩效目标为导向，以财政支出绩效评价为手段，以评价结果应用为保障，提高财政资金使用效益，扎实有效推进预算绩效管理工作，预算绩效管理工作取得一定成效。主要做法是：一是健全绩效管理工作机制，明确责任分工；二是做好事前目标绩效编制并及时报送；三是加强事中绩效跟踪监控，深入开展支出绩效评价，对项目资金实施自评和核查；四是强化评价结果应用，对发现问题及时改进。</w:t>
      </w:r>
    </w:p>
    <w:p w14:paraId="37963755">
      <w:pPr>
        <w:pStyle w:val="14"/>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000D7B85">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贯彻落实《中共中央国务院关于全面实施预算绩效管理的意见》的精神，落实《华容县财政局关于开展2023年度财政支出绩效自评工作的通知》的要求，我部门积极组织开展2023年度整体支出绩效自评工作，强化财政支出绩效理念和责任意识，以切实提高财政资金使用效益。</w:t>
      </w:r>
    </w:p>
    <w:p w14:paraId="702CE3DD">
      <w:pPr>
        <w:rPr>
          <w:rFonts w:ascii="Times New Roman" w:hAnsi="Times New Roman" w:eastAsia="仿宋_GB2312"/>
          <w:sz w:val="32"/>
          <w:szCs w:val="32"/>
        </w:rPr>
      </w:pPr>
      <w:r>
        <w:rPr>
          <w:rFonts w:hint="eastAsia" w:ascii="Times New Roman" w:hAnsi="Times New Roman" w:eastAsia="仿宋_GB2312"/>
          <w:sz w:val="32"/>
          <w:szCs w:val="32"/>
        </w:rPr>
        <w:t>　　部门开展整体支出绩效评价，涉及一般公共预算支出6409.72万元，政府性基金预算支出549.82万元，国有资本经营预算支出0万元, 合计6959.54万元，其中：基本支出1908.79万元，占27%；项目支出5050.75万元，占73%。通过成立评价小组，依据相关政策规定、部门职能职责、年度工作计划、专项资金绩效目标及专项资金管理办法，对2023年度预算配置、预算执行、预算管理、资产管理、职责履行等指标完成情况、效益情况进行自评。通过整体绩效评价结果显示，2023年度整体绩效目标完成情况较好。</w:t>
      </w:r>
    </w:p>
    <w:p w14:paraId="6BAA3DE8">
      <w:pPr>
        <w:pStyle w:val="14"/>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5664ACA1">
      <w:pPr>
        <w:ind w:firstLine="640" w:firstLineChars="200"/>
        <w:rPr>
          <w:rFonts w:ascii="Times New Roman" w:hAnsi="Times New Roman" w:eastAsia="仿宋_GB2312"/>
          <w:sz w:val="32"/>
          <w:szCs w:val="32"/>
        </w:rPr>
      </w:pPr>
      <w:r>
        <w:rPr>
          <w:rFonts w:ascii="Times New Roman" w:hAnsi="Times New Roman" w:eastAsia="仿宋_GB2312"/>
          <w:sz w:val="32"/>
          <w:szCs w:val="32"/>
        </w:rPr>
        <w:t>一是进一步加强厉行节约机制，提高单位三保支出的保障能力。</w:t>
      </w:r>
    </w:p>
    <w:p w14:paraId="3AF233F2">
      <w:pPr>
        <w:ind w:firstLine="640" w:firstLineChars="200"/>
        <w:rPr>
          <w:rFonts w:ascii="Times New Roman" w:hAnsi="Times New Roman" w:eastAsia="仿宋_GB2312"/>
          <w:sz w:val="32"/>
          <w:szCs w:val="32"/>
        </w:rPr>
      </w:pPr>
      <w:r>
        <w:rPr>
          <w:rFonts w:ascii="Times New Roman" w:hAnsi="Times New Roman" w:eastAsia="仿宋_GB2312"/>
          <w:sz w:val="32"/>
          <w:szCs w:val="32"/>
        </w:rPr>
        <w:t>二是预算编制与实际支出项目有的存在差异，有待进一步优化预算，提高预算编制的准确性。</w:t>
      </w:r>
    </w:p>
    <w:p w14:paraId="3B23BA05">
      <w:pPr>
        <w:pStyle w:val="14"/>
        <w:jc w:val="both"/>
        <w:rPr>
          <w:sz w:val="72"/>
          <w:szCs w:val="72"/>
        </w:rPr>
      </w:pPr>
    </w:p>
    <w:p w14:paraId="5EEEA4E1">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4499155E">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547B043D">
      <w:pPr>
        <w:pStyle w:val="15"/>
        <w:numPr>
          <w:ilvl w:val="0"/>
          <w:numId w:val="3"/>
        </w:numPr>
        <w:ind w:firstLineChars="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财政拨款收入：指本级财政当年拨付的资金。</w:t>
      </w:r>
    </w:p>
    <w:p w14:paraId="777BEE56">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政府性基金预算财政拨款收入：指本级财政当年拨付的政府性基金预算资金。</w:t>
      </w:r>
    </w:p>
    <w:p w14:paraId="0531759E">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576EA76F">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color w:val="000000"/>
          <w:kern w:val="0"/>
          <w:sz w:val="32"/>
          <w:szCs w:val="32"/>
          <w:highlight w:val="white"/>
        </w:rPr>
        <w:t xml:space="preserve">; </w:t>
      </w:r>
      <w:r>
        <w:rPr>
          <w:rFonts w:hint="eastAsia" w:ascii="宋体" w:hAnsi="Times New Roman" w:eastAsia="宋体" w:cs="宋体"/>
          <w:color w:val="000000"/>
          <w:kern w:val="0"/>
          <w:sz w:val="32"/>
          <w:szCs w:val="32"/>
          <w:highlight w:val="whit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082936D5">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公共安全支出（类）：是指用于内卫、消防等武装警察部队的支出，包括保障机构正常运转、完成日常和特定的工作任务或事业发展目标的支出。</w:t>
      </w:r>
    </w:p>
    <w:p w14:paraId="565910AD">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科学技术支出（类）：是指用于科学技术方面的支出，包括保障机构正常运转、完成日常和特定的工作任务或事业发展目标的支出。</w:t>
      </w:r>
    </w:p>
    <w:p w14:paraId="3E5BAD76">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文化体育与传媒支出（类）：是指用于文化、文物、体育、新闻出版广播影视等方面的支出，包括保障机构正常运转、完成日常和特定的工作任务或事业发展目标的支出。</w:t>
      </w:r>
    </w:p>
    <w:p w14:paraId="3917CC79">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14172F12">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节能环保支出（类）：是指用于节能环保支出，包括保障机构正常运转、完成日常和特定的工作任务或事业发展目标的支出。</w:t>
      </w:r>
    </w:p>
    <w:p w14:paraId="781326C8">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城乡社区支出（类）：是指用于城乡社区事务支出，包括保障机构正常运转、完成日常和特定的工作任务或事业发展目标的支出。</w:t>
      </w:r>
    </w:p>
    <w:p w14:paraId="1B9D7408">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农林水支出（类）：是指用于农林水事务支出，包括保障机构正常运转、完成日常和特定的工作任务或事业发展目标的支出。</w:t>
      </w:r>
    </w:p>
    <w:p w14:paraId="46893C6C">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交通运输支出（类）：是指用于交通运输和邮政业方面的支出，包括保障机构正常运转、完成日常和特定的工作任务或事业发展目标的支出。</w:t>
      </w:r>
    </w:p>
    <w:p w14:paraId="1A5340F8">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商业服务业等支出（类）：是指用于商业服务业等方面的支出</w:t>
      </w:r>
      <w:r>
        <w:rPr>
          <w:rFonts w:ascii="宋体" w:hAnsi="Times New Roman" w:eastAsia="宋体" w:cs="宋体"/>
          <w:color w:val="000000"/>
          <w:kern w:val="0"/>
          <w:sz w:val="32"/>
          <w:szCs w:val="32"/>
          <w:highlight w:val="white"/>
        </w:rPr>
        <w:t>,</w:t>
      </w:r>
      <w:r>
        <w:rPr>
          <w:rFonts w:hint="eastAsia" w:ascii="宋体" w:hAnsi="Times New Roman" w:eastAsia="宋体" w:cs="宋体"/>
          <w:color w:val="000000"/>
          <w:kern w:val="0"/>
          <w:sz w:val="32"/>
          <w:szCs w:val="32"/>
          <w:highlight w:val="white"/>
        </w:rPr>
        <w:t>包括保障机构正常运转、完成日常和特定的工作任务或事业发展目标的支出。</w:t>
      </w:r>
    </w:p>
    <w:p w14:paraId="39CA4BFA">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自然资源海洋气象等支出（类）：是指用于自然资源、海洋、测绘、气象等公益服务事业方面的支出，包括保障机构正常运转、完成日常和特定的工作任务或事业发展目标的支出。</w:t>
      </w:r>
    </w:p>
    <w:p w14:paraId="2FE90AFE">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粮油物资储备支出（类）：是指用于粮油物资储备方面的支出，包括保障机构正常运转、完成日常和特定的工作任务或事业发展目标的支出。</w:t>
      </w:r>
    </w:p>
    <w:p w14:paraId="5D9139B9">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其他支出（类）：是指用于反映除上述项目以外其他不能划分到具体功能科目中的支出项目，包括保障机构正常运转、完成日常和特定的工作任务或事业发展目标的支出。</w:t>
      </w:r>
    </w:p>
    <w:p w14:paraId="24893561">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基本支出：指保障机构正常运转、完成支日常工作任务而发生的人员支出和公用支出。</w:t>
      </w:r>
    </w:p>
    <w:p w14:paraId="569A2685">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项目支出：指在基本支出之外为完成特定行政任务和事业发展目标所发生的支出。</w:t>
      </w:r>
    </w:p>
    <w:p w14:paraId="0F65D6A9">
      <w:pPr>
        <w:pStyle w:val="15"/>
        <w:numPr>
          <w:ilvl w:val="0"/>
          <w:numId w:val="3"/>
        </w:numPr>
        <w:ind w:firstLineChars="0"/>
        <w:jc w:val="left"/>
        <w:rPr>
          <w:rFonts w:cs="黑体" w:asciiTheme="minorEastAsia" w:hAnsiTheme="minorEastAsia"/>
          <w:color w:val="000000"/>
          <w:kern w:val="0"/>
          <w:sz w:val="32"/>
          <w:szCs w:val="32"/>
        </w:rPr>
      </w:pPr>
      <w:r>
        <w:rPr>
          <w:rFonts w:ascii="宋体" w:hAnsi="Times New Roman" w:eastAsia="宋体" w:cs="宋体"/>
          <w:color w:val="000000"/>
          <w:kern w:val="0"/>
          <w:sz w:val="32"/>
          <w:szCs w:val="32"/>
          <w:highlight w:val="white"/>
        </w:rPr>
        <w:t xml:space="preserve"> “</w:t>
      </w:r>
      <w:r>
        <w:rPr>
          <w:rFonts w:hint="eastAsia" w:ascii="宋体" w:hAnsi="Times New Roman" w:eastAsia="宋体" w:cs="宋体"/>
          <w:color w:val="000000"/>
          <w:kern w:val="0"/>
          <w:sz w:val="32"/>
          <w:szCs w:val="32"/>
          <w:highlight w:val="white"/>
        </w:rPr>
        <w:t>三公</w:t>
      </w:r>
      <w:r>
        <w:rPr>
          <w:rFonts w:ascii="宋体" w:hAnsi="Times New Roman" w:eastAsia="宋体" w:cs="宋体"/>
          <w:color w:val="000000"/>
          <w:kern w:val="0"/>
          <w:sz w:val="32"/>
          <w:szCs w:val="32"/>
          <w:highlight w:val="white"/>
        </w:rPr>
        <w:t>”</w:t>
      </w:r>
      <w:r>
        <w:rPr>
          <w:rFonts w:hint="eastAsia" w:ascii="宋体" w:hAnsi="Times New Roman" w:eastAsia="宋体" w:cs="宋体"/>
          <w:color w:val="000000"/>
          <w:kern w:val="0"/>
          <w:sz w:val="32"/>
          <w:szCs w:val="32"/>
          <w:highlight w:val="white"/>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1F3D462E">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政府采购</w:t>
      </w:r>
      <w:r>
        <w:rPr>
          <w:rFonts w:ascii="宋体" w:hAnsi="Times New Roman" w:eastAsia="宋体" w:cs="宋体"/>
          <w:color w:val="000000"/>
          <w:kern w:val="0"/>
          <w:sz w:val="32"/>
          <w:szCs w:val="32"/>
          <w:highlight w:val="white"/>
        </w:rPr>
        <w:t xml:space="preserve"> </w:t>
      </w:r>
      <w:r>
        <w:rPr>
          <w:rFonts w:hint="eastAsia" w:ascii="宋体" w:hAnsi="Times New Roman" w:eastAsia="宋体" w:cs="宋体"/>
          <w:color w:val="000000"/>
          <w:kern w:val="0"/>
          <w:sz w:val="32"/>
          <w:szCs w:val="32"/>
          <w:highlight w:val="white"/>
        </w:rPr>
        <w:t>：是指国家各级政府为从事日常的政务活动或为了满足公共服务的目的，利用国家财政性资金和政府借款购买货物、工程和服务的行为。</w:t>
      </w:r>
    </w:p>
    <w:p w14:paraId="5B4920D9">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工资福利支出：反映单位开支的在职职工和编制外长期聘用人员的各类劳动报酬，以及为上述人员缴纳的各项社会保险费等。</w:t>
      </w:r>
    </w:p>
    <w:p w14:paraId="1F43A33A">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color w:val="000000"/>
          <w:kern w:val="0"/>
          <w:sz w:val="32"/>
          <w:szCs w:val="32"/>
          <w:highlight w:val="white"/>
        </w:rPr>
        <w:t>(</w:t>
      </w:r>
      <w:r>
        <w:rPr>
          <w:rFonts w:hint="eastAsia" w:ascii="宋体" w:hAnsi="Times New Roman" w:eastAsia="宋体" w:cs="宋体"/>
          <w:color w:val="000000"/>
          <w:kern w:val="0"/>
          <w:sz w:val="32"/>
          <w:szCs w:val="32"/>
          <w:highlight w:val="white"/>
        </w:rPr>
        <w:t>见习期</w:t>
      </w:r>
      <w:r>
        <w:rPr>
          <w:rFonts w:ascii="宋体" w:hAnsi="Times New Roman" w:eastAsia="宋体" w:cs="宋体"/>
          <w:color w:val="000000"/>
          <w:kern w:val="0"/>
          <w:sz w:val="32"/>
          <w:szCs w:val="32"/>
          <w:highlight w:val="white"/>
        </w:rPr>
        <w:t>)</w:t>
      </w:r>
      <w:r>
        <w:rPr>
          <w:rFonts w:hint="eastAsia" w:ascii="宋体" w:hAnsi="Times New Roman" w:eastAsia="宋体" w:cs="宋体"/>
          <w:color w:val="000000"/>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4C20CBA7">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47A2B183">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奖金：反映机关工作人员年终一次性奖金。</w:t>
      </w:r>
    </w:p>
    <w:p w14:paraId="5F920FD3">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绩效工资：反映事业单位工作人员的绩效工资。</w:t>
      </w:r>
    </w:p>
    <w:p w14:paraId="48209155">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机关事业单位基本养老保险缴费：反映机关事业单位缴纳的基本养老保险费。由单位代扣的工作人员基本养老保险缴费，不在此科目反映。</w:t>
      </w:r>
    </w:p>
    <w:p w14:paraId="51C2A8BB">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职工基本医疗保险缴费：反映单位为职工缴纳的基本医疗保险费。</w:t>
      </w:r>
    </w:p>
    <w:p w14:paraId="0A57F23F">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7CDA2FBD">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住房公积金：反映行政事业单位按人力资源和社会保障部、财政部规定的基本工资和津贴补贴以及规定比例为职工缴纳的住房公积金。</w:t>
      </w:r>
    </w:p>
    <w:p w14:paraId="06D0D07F">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426E512">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商品和服务支出：反映单位购买商品和服务的支出（不包括用于购置固定资产的支出、战略性和应急储备支出）。</w:t>
      </w:r>
    </w:p>
    <w:p w14:paraId="0CBF0F30">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办公费：反映单位购买按财务会计制度规定不符合固定资产确认标准的日常办公用品、书报杂志等支出。</w:t>
      </w:r>
    </w:p>
    <w:p w14:paraId="4AF26B6E">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印刷费：反映单位的印刷费支出。</w:t>
      </w:r>
    </w:p>
    <w:p w14:paraId="4DBE9C7A">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咨询费：反映单位咨询方面的支出。</w:t>
      </w:r>
    </w:p>
    <w:p w14:paraId="4A20DEFE">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水费：反映单位支付的水费、污水处理费等支出。</w:t>
      </w:r>
    </w:p>
    <w:p w14:paraId="2AEFA257">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电费：反映单位的电费支出。</w:t>
      </w:r>
    </w:p>
    <w:p w14:paraId="7E6CC90B">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邮电费：反映单位开支的信函、包裹、货物等物品的邮寄费及电话费、电报费、传真费、网络通讯费等。</w:t>
      </w:r>
    </w:p>
    <w:p w14:paraId="6C4DC9A7">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物业管理费：反映单位开支的办公用房以及未实行职工住宅物业服务改革的在职职工和离退休人员宿舍等的物业管理费，包括综合治理、绿化、卫生等方面的支出。</w:t>
      </w:r>
    </w:p>
    <w:p w14:paraId="183B6E92">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差旅费：反映单位工作人员出差发生的城市间交通费、住宿费、伙食补贴费和市内交通费。</w:t>
      </w:r>
    </w:p>
    <w:p w14:paraId="0912AE45">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维修</w:t>
      </w:r>
      <w:r>
        <w:rPr>
          <w:rFonts w:ascii="宋体" w:hAnsi="Times New Roman" w:eastAsia="宋体" w:cs="宋体"/>
          <w:color w:val="000000"/>
          <w:kern w:val="0"/>
          <w:sz w:val="32"/>
          <w:szCs w:val="32"/>
          <w:highlight w:val="white"/>
        </w:rPr>
        <w:t>(</w:t>
      </w:r>
      <w:r>
        <w:rPr>
          <w:rFonts w:hint="eastAsia" w:ascii="宋体" w:hAnsi="Times New Roman" w:eastAsia="宋体" w:cs="宋体"/>
          <w:color w:val="000000"/>
          <w:kern w:val="0"/>
          <w:sz w:val="32"/>
          <w:szCs w:val="32"/>
          <w:highlight w:val="white"/>
        </w:rPr>
        <w:t>护</w:t>
      </w:r>
      <w:r>
        <w:rPr>
          <w:rFonts w:ascii="宋体" w:hAnsi="Times New Roman" w:eastAsia="宋体" w:cs="宋体"/>
          <w:color w:val="000000"/>
          <w:kern w:val="0"/>
          <w:sz w:val="32"/>
          <w:szCs w:val="32"/>
          <w:highlight w:val="white"/>
        </w:rPr>
        <w:t>)</w:t>
      </w:r>
      <w:r>
        <w:rPr>
          <w:rFonts w:hint="eastAsia" w:ascii="宋体" w:hAnsi="Times New Roman" w:eastAsia="宋体" w:cs="宋体"/>
          <w:color w:val="000000"/>
          <w:kern w:val="0"/>
          <w:sz w:val="32"/>
          <w:szCs w:val="32"/>
          <w:highlight w:val="white"/>
        </w:rPr>
        <w:t>费：反映单位日常开支的固定资产（不包括车船等交通工具）修理和维护费用，网络信息系统运行与维护费用，以及按规定提取的修购基金。</w:t>
      </w:r>
    </w:p>
    <w:p w14:paraId="447EC7EC">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会议费：反映会议中按规定开支的住宿费、伙食费、会议室租金、交通费、文件印刷费、医药费等。</w:t>
      </w:r>
    </w:p>
    <w:p w14:paraId="7A76C649">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培训费：反映除因公出国（境）培训费以外的各类培训支出。</w:t>
      </w:r>
    </w:p>
    <w:p w14:paraId="712D463E">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公务接待费：反映单位按规定开支的各类公务接待（含外宾接待）费用。</w:t>
      </w:r>
    </w:p>
    <w:p w14:paraId="405B71A3">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5E0FDB38">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劳务费：反映支付给单位和个人的劳务费用，如临时聘用人员、钟点工工资，稿费、翻译费，评审费等。</w:t>
      </w:r>
    </w:p>
    <w:p w14:paraId="62AC03EB">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委托业务费：反映因委托外单位办理业务而支付的委托业务费。</w:t>
      </w:r>
    </w:p>
    <w:p w14:paraId="2B64E7D3">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工会经费：反映单位按规定提取的工会经费。</w:t>
      </w:r>
    </w:p>
    <w:p w14:paraId="4160E809">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福利费：反映单位按规定提取的福利费。</w:t>
      </w:r>
    </w:p>
    <w:p w14:paraId="24BC7653">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其他交通费用：反映单位除公务用车运行维护费以外的其他交通费用。如公务交通补贴，租车费用、出租车费用，飞机、船舶等的燃料费、维修费、保险费等。</w:t>
      </w:r>
    </w:p>
    <w:p w14:paraId="22ADED5E">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33F91C97">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对个人和家庭的补助：反映政府用于对个人和家庭的补助支出。</w:t>
      </w:r>
    </w:p>
    <w:p w14:paraId="4C41CE90">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204EAE8D">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5E7287F2">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办公设备购置：反映用于购置并按财务会计制度规定纳入固定资产核算范围的办公家具和办公设备的支出，以及按规定提取的修购基金。</w:t>
      </w:r>
    </w:p>
    <w:p w14:paraId="463552C4">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专用设备购置：反映用于购置具有专门用途、并按财务会计制度规定纳入固定资产核算范围的各类专用设备的支出。如通信设备、发电设备、交通监控设备、卫星转发器、气象设备、进出口监管设备等，以及按规定提取的修购基金。</w:t>
      </w:r>
    </w:p>
    <w:p w14:paraId="235C0E90">
      <w:pPr>
        <w:pStyle w:val="15"/>
        <w:numPr>
          <w:ilvl w:val="0"/>
          <w:numId w:val="3"/>
        </w:numPr>
        <w:ind w:firstLineChars="0"/>
        <w:jc w:val="left"/>
        <w:rPr>
          <w:rFonts w:cs="黑体" w:asciiTheme="minorEastAsia" w:hAnsiTheme="minorEastAsia"/>
          <w:color w:val="000000"/>
          <w:kern w:val="0"/>
          <w:sz w:val="32"/>
          <w:szCs w:val="32"/>
        </w:rPr>
      </w:pPr>
      <w:r>
        <w:rPr>
          <w:rFonts w:hint="eastAsia" w:ascii="宋体" w:hAnsi="Times New Roman" w:eastAsia="宋体" w:cs="宋体"/>
          <w:color w:val="000000"/>
          <w:kern w:val="0"/>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000000"/>
          <w:kern w:val="0"/>
          <w:sz w:val="32"/>
          <w:szCs w:val="32"/>
          <w:highlight w:val="white"/>
        </w:rPr>
        <w:t xml:space="preserve"> </w:t>
      </w:r>
      <w:r>
        <w:rPr>
          <w:rFonts w:hint="eastAsia" w:ascii="宋体" w:hAnsi="Times New Roman" w:eastAsia="宋体" w:cs="宋体"/>
          <w:color w:val="000000"/>
          <w:kern w:val="0"/>
          <w:sz w:val="32"/>
          <w:szCs w:val="32"/>
          <w:highlight w:val="white"/>
        </w:rPr>
        <w:t>办公用房物业管理费、</w:t>
      </w:r>
      <w:r>
        <w:rPr>
          <w:rFonts w:ascii="宋体" w:hAnsi="Times New Roman" w:eastAsia="宋体" w:cs="宋体"/>
          <w:color w:val="000000"/>
          <w:kern w:val="0"/>
          <w:sz w:val="32"/>
          <w:szCs w:val="32"/>
          <w:highlight w:val="white"/>
        </w:rPr>
        <w:t xml:space="preserve"> </w:t>
      </w:r>
      <w:r>
        <w:rPr>
          <w:rFonts w:hint="eastAsia" w:ascii="宋体" w:hAnsi="Times New Roman" w:eastAsia="宋体" w:cs="宋体"/>
          <w:color w:val="000000"/>
          <w:kern w:val="0"/>
          <w:sz w:val="32"/>
          <w:szCs w:val="32"/>
          <w:highlight w:val="white"/>
        </w:rPr>
        <w:t>公务用车运行维护费以及其他费用。</w:t>
      </w:r>
    </w:p>
    <w:p w14:paraId="238D2FA0">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第五部分</w:t>
      </w:r>
    </w:p>
    <w:p w14:paraId="73E64E3B">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附 件</w:t>
      </w:r>
    </w:p>
    <w:p w14:paraId="44B08922">
      <w:pPr>
        <w:pStyle w:val="14"/>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华容县东山镇人民政府2023年度部门决算公开表格</w:t>
      </w:r>
    </w:p>
    <w:p w14:paraId="168EB8DB">
      <w:pPr>
        <w:pStyle w:val="14"/>
        <w:spacing w:line="600" w:lineRule="exact"/>
        <w:ind w:firstLine="640" w:firstLineChars="200"/>
        <w:rPr>
          <w:rFonts w:asciiTheme="minorEastAsia" w:hAnsiTheme="minorEastAsia" w:eastAsiaTheme="minorEastAsia"/>
          <w:sz w:val="32"/>
          <w:szCs w:val="32"/>
        </w:rPr>
      </w:pPr>
      <w:r>
        <w:rPr>
          <w:rFonts w:hint="eastAsia" w:ascii="楷体" w:hAnsi="楷体" w:eastAsia="楷体" w:cs="楷体"/>
          <w:b/>
          <w:bCs/>
          <w:sz w:val="32"/>
          <w:szCs w:val="32"/>
        </w:rPr>
        <w:t>二、</w:t>
      </w:r>
      <w:r>
        <w:rPr>
          <w:rFonts w:hint="eastAsia" w:ascii="Times New Roman" w:hAnsi="Times New Roman" w:eastAsia="仿宋_GB2312"/>
          <w:sz w:val="32"/>
          <w:szCs w:val="32"/>
        </w:rPr>
        <w:t>2023年度部门(单位)整体支出绩效自评报告。</w:t>
      </w:r>
    </w:p>
    <w:p w14:paraId="3258B898">
      <w:pPr>
        <w:pStyle w:val="14"/>
        <w:spacing w:line="600" w:lineRule="exact"/>
        <w:ind w:firstLine="640" w:firstLineChars="200"/>
        <w:rPr>
          <w:rFonts w:ascii="Times New Roman" w:hAnsi="Times New Roman" w:eastAsia="仿宋_GB2312"/>
          <w:sz w:val="32"/>
          <w:szCs w:val="32"/>
        </w:rPr>
      </w:pPr>
    </w:p>
    <w:p w14:paraId="39087E89">
      <w:pPr>
        <w:pStyle w:val="14"/>
        <w:jc w:val="center"/>
        <w:rPr>
          <w:sz w:val="72"/>
          <w:szCs w:val="72"/>
        </w:rPr>
      </w:pPr>
    </w:p>
    <w:p w14:paraId="6A6F7FBE">
      <w:pPr>
        <w:pStyle w:val="14"/>
        <w:jc w:val="center"/>
        <w:rPr>
          <w:sz w:val="72"/>
          <w:szCs w:val="72"/>
        </w:rPr>
      </w:pPr>
    </w:p>
    <w:p w14:paraId="32DABBB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Microsoft YaHei UI"/>
    <w:panose1 w:val="00000000000000000000"/>
    <w:charset w:val="86"/>
    <w:family w:val="script"/>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49E72C8"/>
    <w:multiLevelType w:val="multilevel"/>
    <w:tmpl w:val="549E72C8"/>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7BD901D7"/>
    <w:multiLevelType w:val="multilevel"/>
    <w:tmpl w:val="7BD901D7"/>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1174C"/>
    <w:rsid w:val="00131D01"/>
    <w:rsid w:val="001332F7"/>
    <w:rsid w:val="00152C6D"/>
    <w:rsid w:val="00155C18"/>
    <w:rsid w:val="00162D39"/>
    <w:rsid w:val="001678BD"/>
    <w:rsid w:val="00182373"/>
    <w:rsid w:val="001A67DB"/>
    <w:rsid w:val="001C3C29"/>
    <w:rsid w:val="001D51E5"/>
    <w:rsid w:val="001E080D"/>
    <w:rsid w:val="001E53D0"/>
    <w:rsid w:val="001F0C3B"/>
    <w:rsid w:val="00202C82"/>
    <w:rsid w:val="00214427"/>
    <w:rsid w:val="00215DE9"/>
    <w:rsid w:val="00226CB7"/>
    <w:rsid w:val="00264552"/>
    <w:rsid w:val="00264EF9"/>
    <w:rsid w:val="00265724"/>
    <w:rsid w:val="0027426B"/>
    <w:rsid w:val="00282A6F"/>
    <w:rsid w:val="00284C25"/>
    <w:rsid w:val="002B5660"/>
    <w:rsid w:val="002E0A30"/>
    <w:rsid w:val="002E488C"/>
    <w:rsid w:val="00304B31"/>
    <w:rsid w:val="003130C4"/>
    <w:rsid w:val="00316C4B"/>
    <w:rsid w:val="0032192B"/>
    <w:rsid w:val="003479BD"/>
    <w:rsid w:val="00361F95"/>
    <w:rsid w:val="0037197D"/>
    <w:rsid w:val="003768D5"/>
    <w:rsid w:val="003779F4"/>
    <w:rsid w:val="0038228F"/>
    <w:rsid w:val="003926B9"/>
    <w:rsid w:val="003C47E6"/>
    <w:rsid w:val="003C4FC2"/>
    <w:rsid w:val="00416E61"/>
    <w:rsid w:val="0042790C"/>
    <w:rsid w:val="00432552"/>
    <w:rsid w:val="004506F9"/>
    <w:rsid w:val="004717A2"/>
    <w:rsid w:val="00473DF3"/>
    <w:rsid w:val="00487097"/>
    <w:rsid w:val="00487911"/>
    <w:rsid w:val="00491741"/>
    <w:rsid w:val="004B0CEE"/>
    <w:rsid w:val="004D22B1"/>
    <w:rsid w:val="004D67A0"/>
    <w:rsid w:val="00500E5F"/>
    <w:rsid w:val="005122EF"/>
    <w:rsid w:val="0051441A"/>
    <w:rsid w:val="00517C33"/>
    <w:rsid w:val="00517D5F"/>
    <w:rsid w:val="00523644"/>
    <w:rsid w:val="00524B13"/>
    <w:rsid w:val="0054069E"/>
    <w:rsid w:val="00544866"/>
    <w:rsid w:val="005767CC"/>
    <w:rsid w:val="00590D9F"/>
    <w:rsid w:val="00595D26"/>
    <w:rsid w:val="005A74E6"/>
    <w:rsid w:val="005B404E"/>
    <w:rsid w:val="005B73EC"/>
    <w:rsid w:val="005D2256"/>
    <w:rsid w:val="005D4D55"/>
    <w:rsid w:val="005E2CFB"/>
    <w:rsid w:val="005F2103"/>
    <w:rsid w:val="005F3D1C"/>
    <w:rsid w:val="0062378F"/>
    <w:rsid w:val="00641842"/>
    <w:rsid w:val="00651EEC"/>
    <w:rsid w:val="00686673"/>
    <w:rsid w:val="00691E8C"/>
    <w:rsid w:val="00693F82"/>
    <w:rsid w:val="006A22C4"/>
    <w:rsid w:val="006A351B"/>
    <w:rsid w:val="006B0422"/>
    <w:rsid w:val="006C1B53"/>
    <w:rsid w:val="006D7730"/>
    <w:rsid w:val="006E5284"/>
    <w:rsid w:val="006E6430"/>
    <w:rsid w:val="006F3EB5"/>
    <w:rsid w:val="006F6826"/>
    <w:rsid w:val="00702E34"/>
    <w:rsid w:val="00704395"/>
    <w:rsid w:val="00710FE7"/>
    <w:rsid w:val="00717621"/>
    <w:rsid w:val="00720FF1"/>
    <w:rsid w:val="00727A53"/>
    <w:rsid w:val="00787B42"/>
    <w:rsid w:val="007A057D"/>
    <w:rsid w:val="007A231F"/>
    <w:rsid w:val="007C4539"/>
    <w:rsid w:val="007E3682"/>
    <w:rsid w:val="007F3657"/>
    <w:rsid w:val="00812ED5"/>
    <w:rsid w:val="008277D9"/>
    <w:rsid w:val="008430E3"/>
    <w:rsid w:val="0084478C"/>
    <w:rsid w:val="0086638C"/>
    <w:rsid w:val="008A3E8D"/>
    <w:rsid w:val="009237C4"/>
    <w:rsid w:val="00937D4F"/>
    <w:rsid w:val="00944C48"/>
    <w:rsid w:val="00950252"/>
    <w:rsid w:val="0095545E"/>
    <w:rsid w:val="00967F5D"/>
    <w:rsid w:val="00986C16"/>
    <w:rsid w:val="00990BC6"/>
    <w:rsid w:val="009920C2"/>
    <w:rsid w:val="009A0F95"/>
    <w:rsid w:val="009B3ADF"/>
    <w:rsid w:val="009C3B52"/>
    <w:rsid w:val="009E6817"/>
    <w:rsid w:val="009E6E9A"/>
    <w:rsid w:val="009F65E5"/>
    <w:rsid w:val="00A01D2B"/>
    <w:rsid w:val="00A42218"/>
    <w:rsid w:val="00A70249"/>
    <w:rsid w:val="00A70B02"/>
    <w:rsid w:val="00A71D9F"/>
    <w:rsid w:val="00A92E9F"/>
    <w:rsid w:val="00AB18FF"/>
    <w:rsid w:val="00AD3E46"/>
    <w:rsid w:val="00B10F16"/>
    <w:rsid w:val="00B33BEA"/>
    <w:rsid w:val="00B57C9F"/>
    <w:rsid w:val="00B63572"/>
    <w:rsid w:val="00B77F5C"/>
    <w:rsid w:val="00B845B3"/>
    <w:rsid w:val="00B85D8B"/>
    <w:rsid w:val="00BA63E1"/>
    <w:rsid w:val="00BB4A40"/>
    <w:rsid w:val="00BB6DCF"/>
    <w:rsid w:val="00BD6C3E"/>
    <w:rsid w:val="00BE3674"/>
    <w:rsid w:val="00C072A3"/>
    <w:rsid w:val="00C10681"/>
    <w:rsid w:val="00C3049A"/>
    <w:rsid w:val="00C31B1E"/>
    <w:rsid w:val="00C77645"/>
    <w:rsid w:val="00CE04C3"/>
    <w:rsid w:val="00CE76A0"/>
    <w:rsid w:val="00D148C6"/>
    <w:rsid w:val="00D17A8A"/>
    <w:rsid w:val="00D20369"/>
    <w:rsid w:val="00D415BA"/>
    <w:rsid w:val="00D5232C"/>
    <w:rsid w:val="00D63780"/>
    <w:rsid w:val="00D644EE"/>
    <w:rsid w:val="00DA656C"/>
    <w:rsid w:val="00DD06FF"/>
    <w:rsid w:val="00DD5FE9"/>
    <w:rsid w:val="00DE040D"/>
    <w:rsid w:val="00DF4B6E"/>
    <w:rsid w:val="00E00C7A"/>
    <w:rsid w:val="00E37D6C"/>
    <w:rsid w:val="00E55B68"/>
    <w:rsid w:val="00E561AE"/>
    <w:rsid w:val="00E67BE6"/>
    <w:rsid w:val="00E8683C"/>
    <w:rsid w:val="00EA2B72"/>
    <w:rsid w:val="00F375B6"/>
    <w:rsid w:val="00F74360"/>
    <w:rsid w:val="00FB462F"/>
    <w:rsid w:val="00FB7C20"/>
    <w:rsid w:val="00FE03F4"/>
    <w:rsid w:val="00FE16FA"/>
    <w:rsid w:val="00FE328A"/>
    <w:rsid w:val="00FE6269"/>
    <w:rsid w:val="00FF5CD6"/>
    <w:rsid w:val="019838F5"/>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44929EF"/>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15922</Words>
  <Characters>16660</Characters>
  <Lines>120</Lines>
  <Paragraphs>33</Paragraphs>
  <TotalTime>0</TotalTime>
  <ScaleCrop>false</ScaleCrop>
  <LinksUpToDate>false</LinksUpToDate>
  <CharactersWithSpaces>16688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2025-11-12T13:05:06Z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