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spacing w:val="-4"/>
          <w:sz w:val="31"/>
          <w:szCs w:val="31"/>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2</w:t>
      </w:r>
    </w:p>
    <w:p>
      <w:pPr>
        <w:keepNext w:val="0"/>
        <w:keepLines w:val="0"/>
        <w:pageBreakBefore w:val="0"/>
        <w:widowControl w:val="0"/>
        <w:kinsoku/>
        <w:wordWrap/>
        <w:overflowPunct/>
        <w:topLinePunct w:val="0"/>
        <w:autoSpaceDE/>
        <w:autoSpaceDN/>
        <w:bidi w:val="0"/>
        <w:adjustRightInd/>
        <w:snapToGrid/>
        <w:spacing w:line="300" w:lineRule="exact"/>
        <w:ind w:left="0"/>
        <w:textAlignment w:val="auto"/>
        <w:rPr>
          <w:rFonts w:hint="eastAsia" w:ascii="黑体" w:hAnsi="黑体" w:eastAsia="黑体" w:cs="黑体"/>
          <w:spacing w:val="-4"/>
          <w:sz w:val="31"/>
          <w:szCs w:val="31"/>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方正小标宋简体" w:hAnsi="方正小标宋简体" w:eastAsia="方正小标宋简体" w:cs="方正小标宋简体"/>
          <w:spacing w:val="0"/>
          <w:sz w:val="44"/>
          <w:szCs w:val="44"/>
        </w:rPr>
      </w:pPr>
      <w:r>
        <w:rPr>
          <w:rFonts w:hint="eastAsia" w:ascii="方正小标宋简体" w:hAnsi="方正小标宋简体" w:eastAsia="方正小标宋简体" w:cs="方正小标宋简体"/>
          <w:spacing w:val="0"/>
          <w:sz w:val="44"/>
          <w:szCs w:val="44"/>
        </w:rPr>
        <w:t>2023年度部门整体支出绩效评价基础数据表</w:t>
      </w:r>
    </w:p>
    <w:p>
      <w:pPr>
        <w:keepNext w:val="0"/>
        <w:keepLines w:val="0"/>
        <w:pageBreakBefore w:val="0"/>
        <w:widowControl w:val="0"/>
        <w:kinsoku/>
        <w:wordWrap/>
        <w:overflowPunct/>
        <w:topLinePunct w:val="0"/>
        <w:autoSpaceDE/>
        <w:autoSpaceDN/>
        <w:bidi w:val="0"/>
        <w:adjustRightInd/>
        <w:snapToGrid/>
        <w:spacing w:line="300" w:lineRule="exact"/>
        <w:textAlignment w:val="auto"/>
      </w:pPr>
    </w:p>
    <w:tbl>
      <w:tblPr>
        <w:tblStyle w:val="24"/>
        <w:tblW w:w="9277"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419"/>
        <w:gridCol w:w="964"/>
        <w:gridCol w:w="965"/>
        <w:gridCol w:w="1"/>
        <w:gridCol w:w="985"/>
        <w:gridCol w:w="986"/>
        <w:gridCol w:w="978"/>
        <w:gridCol w:w="9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39"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财政供养人员情况（人）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编制数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2023年实际</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在职人数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128</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128</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经费控制情况（万元）</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2022年决算数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2023年预算数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2023年决算数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三公经费</w:t>
            </w:r>
            <w:r>
              <w:rPr>
                <w:rFonts w:hint="eastAsia" w:asciiTheme="minorEastAsia" w:hAnsiTheme="minorEastAsia" w:eastAsiaTheme="minorEastAsia" w:cstheme="minorEastAsia"/>
                <w:sz w:val="21"/>
                <w:szCs w:val="21"/>
                <w:lang w:eastAsia="zh-CN"/>
              </w:rPr>
              <w:t>：</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6.11</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26.00</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6.09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1、公务用车购置和维护经费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其中：公车购置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59" w:firstLineChars="695"/>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公车运行维护</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2、出国经费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3、公务接待</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6.11</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26.00</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6.09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4019.55</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5050.75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tabs>
                <w:tab w:val="left" w:pos="839"/>
              </w:tabs>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一般公共服务支出项目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147.10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国防支出项目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6.50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val="en-US" w:eastAsia="zh-CN"/>
              </w:rPr>
            </w:pPr>
            <w:r>
              <w:rPr>
                <w:rFonts w:hint="eastAsia" w:ascii="宋体" w:hAnsi="宋体" w:eastAsia="宋体" w:cs="宋体"/>
                <w:i w:val="0"/>
                <w:iCs w:val="0"/>
                <w:color w:val="000000"/>
                <w:kern w:val="0"/>
                <w:sz w:val="22"/>
                <w:szCs w:val="22"/>
                <w:u w:val="none"/>
                <w:lang w:val="en-US" w:eastAsia="zh-CN" w:bidi="ar"/>
              </w:rPr>
              <w:t>卫生健康支出项目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28.70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rPr>
              <w:t>公共安全支出</w:t>
            </w:r>
            <w:r>
              <w:rPr>
                <w:rFonts w:hint="eastAsia" w:asciiTheme="minorEastAsia" w:hAnsiTheme="minorEastAsia" w:eastAsiaTheme="minorEastAsia" w:cstheme="minorEastAsia"/>
                <w:sz w:val="21"/>
                <w:szCs w:val="21"/>
                <w:lang w:eastAsia="zh-CN"/>
              </w:rPr>
              <w:t>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3.18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科学技术支出项目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社会保障和就业支出项目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909.05</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1085.60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节能环保支出项目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155.00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37.00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城乡社区支出项目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31.10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601.50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农林水支出项目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2294.99</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2689.24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9"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交通运输支出项目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105.83</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102.73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9"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商业服务业等支出项目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27.00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9"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rPr>
              <w:t>自然资源海洋气象等支出</w:t>
            </w:r>
            <w:r>
              <w:rPr>
                <w:rFonts w:hint="eastAsia" w:asciiTheme="minorEastAsia" w:hAnsiTheme="minorEastAsia" w:eastAsiaTheme="minorEastAsia" w:cstheme="minorEastAsia"/>
                <w:sz w:val="21"/>
                <w:szCs w:val="21"/>
                <w:lang w:eastAsia="zh-CN"/>
              </w:rPr>
              <w:t>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22.00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42.00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5"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粮油物资储备支出项目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252.78</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220.00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5"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灾害防治及应急管理支出项目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35.00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5" w:hRule="atLeast"/>
          <w:jc w:val="center"/>
        </w:trPr>
        <w:tc>
          <w:tcPr>
            <w:tcW w:w="3419" w:type="dxa"/>
            <w:vAlign w:val="center"/>
          </w:tcPr>
          <w:p>
            <w:pPr>
              <w:keepNext w:val="0"/>
              <w:keepLines w:val="0"/>
              <w:pageBreakBefore w:val="0"/>
              <w:widowControl w:val="0"/>
              <w:tabs>
                <w:tab w:val="left" w:pos="639"/>
              </w:tabs>
              <w:kinsoku/>
              <w:wordWrap/>
              <w:overflowPunct/>
              <w:topLinePunct w:val="0"/>
              <w:autoSpaceDE/>
              <w:autoSpaceDN/>
              <w:bidi w:val="0"/>
              <w:adjustRightInd/>
              <w:snapToGrid/>
              <w:spacing w:line="300" w:lineRule="exact"/>
              <w:jc w:val="both"/>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彩票公益金安排的支出项目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38.00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226.00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公用经费</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490.16</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79.93</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320.49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其中：办公经费</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25.29</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30.08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水费、电费、差旅费</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29.08</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14.17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会议费、培训费</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14.60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11.85</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10.68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政府采购金额</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rPr>
            </w:pPr>
            <w:r>
              <w:rPr>
                <w:rFonts w:hint="eastAsia" w:ascii="新宋体" w:hAnsi="新宋体" w:eastAsia="新宋体" w:cs="新宋体"/>
                <w:sz w:val="21"/>
                <w:szCs w:val="21"/>
              </w:rPr>
              <w:t>——</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937.68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部门基本支出预算调整</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sz w:val="21"/>
                <w:szCs w:val="21"/>
              </w:rPr>
            </w:pPr>
            <w:r>
              <w:rPr>
                <w:rFonts w:hint="eastAsia" w:ascii="新宋体" w:hAnsi="新宋体" w:eastAsia="新宋体" w:cs="新宋体"/>
                <w:sz w:val="21"/>
                <w:szCs w:val="21"/>
              </w:rPr>
              <w:t>——</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1406.18</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sz w:val="21"/>
                <w:szCs w:val="21"/>
                <w:lang w:val="en-US" w:eastAsia="zh-CN"/>
              </w:rPr>
            </w:pPr>
            <w:r>
              <w:rPr>
                <w:rFonts w:hint="eastAsia" w:ascii="新宋体" w:hAnsi="新宋体" w:eastAsia="新宋体" w:cs="新宋体"/>
                <w:sz w:val="21"/>
                <w:szCs w:val="21"/>
                <w:lang w:val="en-US" w:eastAsia="zh-CN"/>
              </w:rPr>
              <w:t>1908.79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08"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楼堂馆所控制情况</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（2023年完工项目）</w:t>
            </w: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批复规模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实际规模（㎡）</w:t>
            </w: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控制率</w:t>
            </w: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预算投资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投资概算控制率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70"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厉行节约保障措施</w:t>
            </w:r>
          </w:p>
        </w:tc>
        <w:tc>
          <w:tcPr>
            <w:tcW w:w="5858" w:type="dxa"/>
            <w:gridSpan w:val="7"/>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sz w:val="21"/>
                <w:szCs w:val="21"/>
                <w:lang w:val="en-US" w:eastAsia="zh-CN"/>
              </w:rPr>
              <w:t>减少不必要的开支</w:t>
            </w:r>
          </w:p>
        </w:tc>
      </w:tr>
    </w:tbl>
    <w:p>
      <w:pPr>
        <w:rPr>
          <w:rFonts w:hint="eastAsia"/>
          <w:lang w:eastAsia="zh-CN"/>
        </w:rPr>
      </w:pPr>
      <w:r>
        <w:rPr>
          <w:rFonts w:hint="eastAsia"/>
        </w:rPr>
        <w:t>说明：“项目支出” 需要填报基本支出以外的所有项目支出情况，“公用经费”填报基本支出</w:t>
      </w:r>
      <w:r>
        <w:rPr>
          <w:rFonts w:hint="eastAsia"/>
          <w:lang w:eastAsia="zh-CN"/>
        </w:rPr>
        <w:t>中的一般商品和服务支出。</w:t>
      </w:r>
    </w:p>
    <w:p>
      <w:pPr>
        <w:pStyle w:val="12"/>
        <w:rPr>
          <w:rFonts w:hint="eastAsia"/>
          <w:lang w:eastAsia="zh-CN"/>
        </w:rPr>
      </w:pPr>
    </w:p>
    <w:p>
      <w:pPr>
        <w:rPr>
          <w:rFonts w:hint="eastAsia"/>
          <w:lang w:eastAsia="zh-CN"/>
        </w:rPr>
      </w:pPr>
    </w:p>
    <w:p>
      <w:r>
        <w:rPr>
          <w:rFonts w:hint="eastAsia"/>
        </w:rPr>
        <w:t>填表人：</w:t>
      </w:r>
      <w:r>
        <w:rPr>
          <w:rFonts w:hint="eastAsia"/>
          <w:lang w:eastAsia="zh-CN"/>
        </w:rPr>
        <w:t>余佳敏</w:t>
      </w:r>
      <w:r>
        <w:rPr>
          <w:rFonts w:hint="eastAsia"/>
        </w:rPr>
        <w:t xml:space="preserve"> 填报日期：</w:t>
      </w:r>
      <w:r>
        <w:rPr>
          <w:rFonts w:hint="eastAsia"/>
          <w:lang w:val="en-US" w:eastAsia="zh-CN"/>
        </w:rPr>
        <w:t>2024.5.27</w:t>
      </w:r>
      <w:r>
        <w:rPr>
          <w:rFonts w:hint="eastAsia"/>
        </w:rPr>
        <w:t xml:space="preserve">   联系电话：</w:t>
      </w:r>
      <w:r>
        <w:rPr>
          <w:rFonts w:hint="eastAsia"/>
          <w:lang w:val="en-US" w:eastAsia="zh-CN"/>
        </w:rPr>
        <w:t>18773089332</w:t>
      </w:r>
      <w:r>
        <w:rPr>
          <w:rFonts w:hint="eastAsia"/>
        </w:rPr>
        <w:t xml:space="preserve">      单位负责人签字：</w:t>
      </w:r>
    </w:p>
    <w:p>
      <w:pPr>
        <w:rPr>
          <w:spacing w:val="-13"/>
          <w:sz w:val="22"/>
          <w:szCs w:val="22"/>
        </w:rPr>
      </w:pPr>
      <w:r>
        <w:rPr>
          <w:spacing w:val="-13"/>
          <w:sz w:val="22"/>
          <w:szCs w:val="22"/>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3</w:t>
      </w:r>
    </w:p>
    <w:p>
      <w:pPr>
        <w:spacing w:line="251" w:lineRule="auto"/>
        <w:rPr>
          <w:rFonts w:ascii="Arial"/>
          <w:sz w:val="21"/>
        </w:rPr>
      </w:pPr>
    </w:p>
    <w:p>
      <w:pPr>
        <w:spacing w:line="251" w:lineRule="auto"/>
        <w:rPr>
          <w:rFonts w:ascii="Arial"/>
          <w:sz w:val="21"/>
        </w:rPr>
      </w:pPr>
    </w:p>
    <w:p>
      <w:pPr>
        <w:rPr>
          <w:rFonts w:ascii="Arial"/>
          <w:sz w:val="21"/>
        </w:rPr>
      </w:pPr>
    </w:p>
    <w:p>
      <w:pPr>
        <w:pStyle w:val="12"/>
      </w:pPr>
    </w:p>
    <w:p/>
    <w:p>
      <w:pPr>
        <w:jc w:val="center"/>
        <w:rPr>
          <w:rFonts w:hint="eastAsia" w:asciiTheme="majorEastAsia" w:hAnsiTheme="majorEastAsia" w:eastAsiaTheme="majorEastAsia" w:cstheme="majorEastAsia"/>
          <w:b w:val="0"/>
          <w:bCs w:val="0"/>
          <w:sz w:val="44"/>
          <w:szCs w:val="44"/>
        </w:rPr>
      </w:pPr>
      <w:r>
        <w:rPr>
          <w:rFonts w:hint="eastAsia" w:asciiTheme="majorEastAsia" w:hAnsiTheme="majorEastAsia" w:eastAsiaTheme="majorEastAsia" w:cstheme="majorEastAsia"/>
          <w:b w:val="0"/>
          <w:bCs w:val="0"/>
          <w:sz w:val="44"/>
          <w:szCs w:val="44"/>
        </w:rPr>
        <w:t>2023年度</w:t>
      </w:r>
      <w:r>
        <w:rPr>
          <w:rFonts w:hint="eastAsia" w:asciiTheme="majorEastAsia" w:hAnsiTheme="majorEastAsia" w:eastAsiaTheme="majorEastAsia" w:cstheme="majorEastAsia"/>
          <w:b w:val="0"/>
          <w:bCs w:val="0"/>
          <w:sz w:val="44"/>
          <w:szCs w:val="44"/>
          <w:lang w:eastAsia="zh-CN"/>
        </w:rPr>
        <w:t>华容县东山镇人民政府</w:t>
      </w:r>
      <w:r>
        <w:rPr>
          <w:rFonts w:hint="eastAsia" w:asciiTheme="majorEastAsia" w:hAnsiTheme="majorEastAsia" w:eastAsiaTheme="majorEastAsia" w:cstheme="majorEastAsia"/>
          <w:b w:val="0"/>
          <w:bCs w:val="0"/>
          <w:sz w:val="44"/>
          <w:szCs w:val="44"/>
        </w:rPr>
        <w:t>整体支出</w:t>
      </w:r>
    </w:p>
    <w:p>
      <w:pPr>
        <w:jc w:val="center"/>
        <w:rPr>
          <w:rFonts w:hint="eastAsia" w:asciiTheme="majorEastAsia" w:hAnsiTheme="majorEastAsia" w:eastAsiaTheme="majorEastAsia" w:cstheme="majorEastAsia"/>
          <w:b w:val="0"/>
          <w:bCs w:val="0"/>
          <w:sz w:val="44"/>
          <w:szCs w:val="44"/>
        </w:rPr>
      </w:pPr>
      <w:r>
        <w:rPr>
          <w:rFonts w:hint="eastAsia" w:asciiTheme="majorEastAsia" w:hAnsiTheme="majorEastAsia" w:eastAsiaTheme="majorEastAsia" w:cstheme="majorEastAsia"/>
          <w:b w:val="0"/>
          <w:bCs w:val="0"/>
          <w:sz w:val="44"/>
          <w:szCs w:val="44"/>
        </w:rPr>
        <w:t>绩效自评报告</w:t>
      </w:r>
    </w:p>
    <w:p>
      <w:pPr>
        <w:jc w:val="center"/>
        <w:rPr>
          <w:rFonts w:hint="eastAsia" w:ascii="方正小标宋简体" w:hAnsi="方正小标宋简体" w:eastAsia="方正小标宋简体" w:cs="方正小标宋简体"/>
          <w:sz w:val="44"/>
          <w:szCs w:val="44"/>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12"/>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5"/>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w:t>
      </w:r>
      <w:r>
        <w:rPr>
          <w:rFonts w:hint="eastAsia" w:ascii="仿宋_GB2312" w:hAnsi="仿宋_GB2312" w:eastAsia="仿宋_GB2312" w:cs="仿宋_GB2312"/>
          <w:spacing w:val="-118"/>
          <w:sz w:val="32"/>
          <w:szCs w:val="32"/>
          <w:u w:val="single" w:color="auto"/>
        </w:rPr>
        <w:t xml:space="preserve"> </w:t>
      </w:r>
      <w:r>
        <w:rPr>
          <w:rFonts w:hint="eastAsia" w:ascii="仿宋_GB2312" w:hAnsi="仿宋_GB2312" w:eastAsia="仿宋_GB2312" w:cs="仿宋_GB2312"/>
          <w:spacing w:val="-75"/>
          <w:sz w:val="32"/>
          <w:szCs w:val="32"/>
          <w:u w:val="single" w:color="auto"/>
        </w:rPr>
        <w:t xml:space="preserve"> </w:t>
      </w:r>
      <w:r>
        <w:rPr>
          <w:rFonts w:hint="eastAsia" w:ascii="仿宋_GB2312" w:hAnsi="仿宋_GB2312" w:eastAsia="仿宋_GB2312" w:cs="仿宋_GB2312"/>
          <w:spacing w:val="-10"/>
          <w:sz w:val="32"/>
          <w:szCs w:val="32"/>
          <w:u w:val="single" w:color="auto"/>
        </w:rPr>
        <w:t>盖章）</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ind w:firstLine="2432" w:firstLineChars="800"/>
        <w:jc w:val="both"/>
        <w:rPr>
          <w:rFonts w:hint="eastAsia" w:asciiTheme="majorEastAsia" w:hAnsiTheme="majorEastAsia" w:eastAsiaTheme="majorEastAsia" w:cstheme="majorEastAsia"/>
          <w:sz w:val="32"/>
          <w:szCs w:val="32"/>
        </w:rPr>
      </w:pPr>
      <w:r>
        <w:rPr>
          <w:rFonts w:hint="eastAsia" w:asciiTheme="majorEastAsia" w:hAnsiTheme="majorEastAsia" w:eastAsiaTheme="majorEastAsia" w:cstheme="majorEastAsia"/>
          <w:spacing w:val="-8"/>
          <w:sz w:val="32"/>
          <w:szCs w:val="32"/>
          <w:lang w:val="en-US" w:eastAsia="zh-CN"/>
        </w:rPr>
        <w:t>2024</w:t>
      </w:r>
      <w:r>
        <w:rPr>
          <w:rFonts w:hint="eastAsia" w:asciiTheme="majorEastAsia" w:hAnsiTheme="majorEastAsia" w:eastAsiaTheme="majorEastAsia" w:cstheme="majorEastAsia"/>
          <w:spacing w:val="-8"/>
          <w:sz w:val="32"/>
          <w:szCs w:val="32"/>
        </w:rPr>
        <w:t>年</w:t>
      </w:r>
      <w:r>
        <w:rPr>
          <w:rFonts w:hint="eastAsia" w:asciiTheme="majorEastAsia" w:hAnsiTheme="majorEastAsia" w:eastAsiaTheme="majorEastAsia" w:cstheme="majorEastAsia"/>
          <w:spacing w:val="21"/>
          <w:sz w:val="32"/>
          <w:szCs w:val="32"/>
        </w:rPr>
        <w:t xml:space="preserve">  </w:t>
      </w:r>
      <w:r>
        <w:rPr>
          <w:rFonts w:hint="eastAsia" w:asciiTheme="majorEastAsia" w:hAnsiTheme="majorEastAsia" w:eastAsiaTheme="majorEastAsia" w:cstheme="majorEastAsia"/>
          <w:spacing w:val="21"/>
          <w:sz w:val="32"/>
          <w:szCs w:val="32"/>
          <w:lang w:val="en-US" w:eastAsia="zh-CN"/>
        </w:rPr>
        <w:t>5</w:t>
      </w:r>
      <w:r>
        <w:rPr>
          <w:rFonts w:hint="eastAsia" w:asciiTheme="majorEastAsia" w:hAnsiTheme="majorEastAsia" w:eastAsiaTheme="majorEastAsia" w:cstheme="majorEastAsia"/>
          <w:spacing w:val="-8"/>
          <w:sz w:val="32"/>
          <w:szCs w:val="32"/>
        </w:rPr>
        <w:t>月</w:t>
      </w:r>
      <w:r>
        <w:rPr>
          <w:rFonts w:hint="eastAsia" w:asciiTheme="majorEastAsia" w:hAnsiTheme="majorEastAsia" w:eastAsiaTheme="majorEastAsia" w:cstheme="majorEastAsia"/>
          <w:spacing w:val="43"/>
          <w:sz w:val="32"/>
          <w:szCs w:val="32"/>
        </w:rPr>
        <w:t xml:space="preserve"> </w:t>
      </w:r>
      <w:r>
        <w:rPr>
          <w:rFonts w:hint="eastAsia" w:asciiTheme="majorEastAsia" w:hAnsiTheme="majorEastAsia" w:eastAsiaTheme="majorEastAsia" w:cstheme="majorEastAsia"/>
          <w:spacing w:val="43"/>
          <w:sz w:val="32"/>
          <w:szCs w:val="32"/>
          <w:lang w:val="en-US" w:eastAsia="zh-CN"/>
        </w:rPr>
        <w:t>27</w:t>
      </w:r>
      <w:r>
        <w:rPr>
          <w:rFonts w:hint="eastAsia" w:asciiTheme="majorEastAsia" w:hAnsiTheme="majorEastAsia" w:eastAsiaTheme="majorEastAsia" w:cstheme="majorEastAsia"/>
          <w:spacing w:val="43"/>
          <w:sz w:val="32"/>
          <w:szCs w:val="32"/>
        </w:rPr>
        <w:t xml:space="preserve"> </w:t>
      </w:r>
      <w:r>
        <w:rPr>
          <w:rFonts w:hint="eastAsia" w:asciiTheme="majorEastAsia" w:hAnsiTheme="majorEastAsia" w:eastAsiaTheme="majorEastAsia" w:cstheme="majorEastAsia"/>
          <w:spacing w:val="-8"/>
          <w:sz w:val="32"/>
          <w:szCs w:val="32"/>
        </w:rPr>
        <w:t>日</w:t>
      </w:r>
    </w:p>
    <w:p>
      <w:pPr>
        <w:spacing w:line="335" w:lineRule="auto"/>
        <w:rPr>
          <w:rFonts w:hint="eastAsia" w:asciiTheme="majorEastAsia" w:hAnsiTheme="majorEastAsia" w:eastAsiaTheme="majorEastAsia" w:cstheme="majorEastAsia"/>
          <w:sz w:val="32"/>
          <w:szCs w:val="32"/>
        </w:rPr>
      </w:pPr>
    </w:p>
    <w:p>
      <w:r>
        <w:br w:type="page"/>
      </w:r>
    </w:p>
    <w:p>
      <w:pPr>
        <w:pStyle w:val="12"/>
        <w:sectPr>
          <w:footerReference r:id="rId3" w:type="default"/>
          <w:pgSz w:w="11905" w:h="16838"/>
          <w:pgMar w:top="1984" w:right="1701" w:bottom="1984" w:left="1701" w:header="850" w:footer="1587" w:gutter="0"/>
          <w:pgNumType w:fmt="numberInDash" w:start="7"/>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p>
    <w:p>
      <w:pPr>
        <w:pStyle w:val="12"/>
        <w:rPr>
          <w:rFonts w:hint="eastAsia"/>
        </w:rPr>
      </w:pP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宋体" w:hAnsi="宋体" w:eastAsia="宋体" w:cs="宋体"/>
          <w:sz w:val="44"/>
          <w:szCs w:val="44"/>
        </w:rPr>
      </w:pPr>
      <w:r>
        <w:rPr>
          <w:rFonts w:hint="eastAsia" w:ascii="宋体" w:hAnsi="宋体" w:eastAsia="宋体" w:cs="宋体"/>
          <w:sz w:val="44"/>
          <w:szCs w:val="44"/>
        </w:rPr>
        <w:t>202</w:t>
      </w:r>
      <w:r>
        <w:rPr>
          <w:rFonts w:hint="eastAsia" w:ascii="宋体" w:hAnsi="宋体" w:eastAsia="宋体" w:cs="宋体"/>
          <w:sz w:val="44"/>
          <w:szCs w:val="44"/>
          <w:lang w:val="en-US" w:eastAsia="zh-CN"/>
        </w:rPr>
        <w:t>3</w:t>
      </w:r>
      <w:r>
        <w:rPr>
          <w:rFonts w:hint="eastAsia" w:ascii="宋体" w:hAnsi="宋体" w:eastAsia="宋体" w:cs="宋体"/>
          <w:sz w:val="44"/>
          <w:szCs w:val="44"/>
        </w:rPr>
        <w:t>年度</w:t>
      </w:r>
      <w:r>
        <w:rPr>
          <w:rFonts w:hint="eastAsia" w:ascii="宋体" w:hAnsi="宋体" w:eastAsia="宋体" w:cs="宋体"/>
          <w:sz w:val="44"/>
          <w:szCs w:val="44"/>
          <w:lang w:eastAsia="zh-CN"/>
        </w:rPr>
        <w:t>华容县</w:t>
      </w:r>
      <w:r>
        <w:rPr>
          <w:rFonts w:hint="eastAsia" w:ascii="宋体" w:hAnsi="宋体" w:cs="宋体"/>
          <w:sz w:val="44"/>
          <w:szCs w:val="44"/>
          <w:lang w:eastAsia="zh-CN"/>
        </w:rPr>
        <w:t>东山</w:t>
      </w:r>
      <w:r>
        <w:rPr>
          <w:rFonts w:hint="eastAsia" w:ascii="宋体" w:hAnsi="宋体" w:eastAsia="宋体" w:cs="宋体"/>
          <w:sz w:val="44"/>
          <w:szCs w:val="44"/>
          <w:lang w:eastAsia="zh-CN"/>
        </w:rPr>
        <w:t>镇人民政府</w:t>
      </w:r>
      <w:r>
        <w:rPr>
          <w:rFonts w:hint="eastAsia" w:ascii="宋体" w:hAnsi="宋体" w:eastAsia="宋体" w:cs="宋体"/>
          <w:sz w:val="44"/>
          <w:szCs w:val="44"/>
        </w:rPr>
        <w:t>整体支出</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宋体" w:hAnsi="宋体" w:eastAsia="宋体" w:cs="宋体"/>
          <w:sz w:val="44"/>
          <w:szCs w:val="44"/>
        </w:rPr>
      </w:pPr>
      <w:r>
        <w:rPr>
          <w:rFonts w:hint="eastAsia" w:ascii="宋体" w:hAnsi="宋体" w:eastAsia="宋体" w:cs="宋体"/>
          <w:sz w:val="44"/>
          <w:szCs w:val="44"/>
        </w:rPr>
        <w:t>绩效自评报告</w:t>
      </w:r>
    </w:p>
    <w:p>
      <w:pPr>
        <w:keepNext w:val="0"/>
        <w:keepLines w:val="0"/>
        <w:pageBreakBefore w:val="0"/>
        <w:widowControl w:val="0"/>
        <w:kinsoku/>
        <w:wordWrap/>
        <w:overflowPunct/>
        <w:topLinePunct w:val="0"/>
        <w:autoSpaceDE/>
        <w:autoSpaceDN/>
        <w:bidi w:val="0"/>
        <w:adjustRightInd/>
        <w:snapToGrid/>
        <w:spacing w:beforeAutospacing="0" w:line="600" w:lineRule="exact"/>
        <w:ind w:firstLine="640" w:firstLineChars="200"/>
        <w:textAlignment w:val="auto"/>
        <w:rPr>
          <w:rFonts w:hint="eastAsia" w:ascii="宋体" w:hAnsi="宋体" w:eastAsia="宋体" w:cs="宋体"/>
          <w:sz w:val="32"/>
          <w:lang w:val="en-US" w:eastAsia="zh-CN"/>
        </w:rPr>
      </w:pPr>
      <w:r>
        <w:rPr>
          <w:rFonts w:hint="eastAsia" w:ascii="宋体" w:hAnsi="宋体" w:eastAsia="宋体" w:cs="宋体"/>
          <w:sz w:val="32"/>
          <w:lang w:val="en-US" w:eastAsia="zh-CN"/>
        </w:rPr>
        <w:t>根据《华容县财政局关于开展2023年度部门整体支出绩效自评工作的通知》（华财函〔2024〕103号）的相关规定和要求，现对我部门2023年度整体支出开展绩效自评，现将情况汇报如下：</w:t>
      </w:r>
    </w:p>
    <w:p>
      <w:pPr>
        <w:pStyle w:val="12"/>
        <w:rPr>
          <w:rFonts w:hint="eastAsia" w:ascii="宋体" w:hAnsi="宋体" w:eastAsia="宋体" w:cs="宋体"/>
        </w:rPr>
      </w:pPr>
    </w:p>
    <w:p>
      <w:pPr>
        <w:numPr>
          <w:ilvl w:val="0"/>
          <w:numId w:val="1"/>
        </w:numPr>
        <w:spacing w:before="101" w:line="228" w:lineRule="auto"/>
        <w:ind w:left="648"/>
        <w:rPr>
          <w:rFonts w:hint="eastAsia" w:ascii="宋体" w:hAnsi="宋体" w:eastAsia="宋体" w:cs="宋体"/>
          <w:spacing w:val="5"/>
          <w:sz w:val="32"/>
          <w:szCs w:val="32"/>
        </w:rPr>
      </w:pPr>
      <w:r>
        <w:rPr>
          <w:rFonts w:hint="eastAsia" w:ascii="宋体" w:hAnsi="宋体" w:eastAsia="宋体" w:cs="宋体"/>
          <w:spacing w:val="5"/>
          <w:sz w:val="32"/>
          <w:szCs w:val="32"/>
        </w:rPr>
        <w:t>部门基本情况</w:t>
      </w:r>
    </w:p>
    <w:p>
      <w:pPr>
        <w:keepNext w:val="0"/>
        <w:keepLines w:val="0"/>
        <w:pageBreakBefore w:val="0"/>
        <w:widowControl w:val="0"/>
        <w:kinsoku/>
        <w:wordWrap/>
        <w:overflowPunct/>
        <w:topLinePunct w:val="0"/>
        <w:autoSpaceDE/>
        <w:autoSpaceDN/>
        <w:bidi w:val="0"/>
        <w:adjustRightInd/>
        <w:snapToGrid/>
        <w:spacing w:beforeAutospacing="0" w:line="600" w:lineRule="exact"/>
        <w:ind w:firstLine="640" w:firstLineChars="200"/>
        <w:textAlignment w:val="auto"/>
        <w:rPr>
          <w:rFonts w:hint="eastAsia" w:ascii="宋体" w:hAnsi="宋体" w:eastAsia="宋体" w:cs="宋体"/>
          <w:sz w:val="32"/>
          <w:lang w:val="en-US" w:eastAsia="zh-CN"/>
        </w:rPr>
      </w:pPr>
      <w:r>
        <w:rPr>
          <w:rFonts w:hint="eastAsia" w:ascii="宋体" w:hAnsi="宋体" w:eastAsia="宋体" w:cs="宋体"/>
          <w:sz w:val="32"/>
          <w:lang w:val="en-US" w:eastAsia="zh-CN"/>
        </w:rPr>
        <w:t>华容县东山镇人民政府共有</w:t>
      </w:r>
      <w:r>
        <w:rPr>
          <w:rFonts w:hint="eastAsia" w:ascii="宋体" w:hAnsi="宋体" w:eastAsia="宋体" w:cs="宋体"/>
          <w:sz w:val="32"/>
          <w:lang w:val="zh-CN" w:eastAsia="zh-CN"/>
        </w:rPr>
        <w:t>镇政府机关、镇财政所、镇农业综合服务中心、镇社会事业综合服务中心、镇退役军人服务站、镇综合行政执法大队、镇水利服务站</w:t>
      </w:r>
      <w:r>
        <w:rPr>
          <w:rFonts w:hint="eastAsia" w:ascii="宋体" w:hAnsi="宋体" w:eastAsia="宋体" w:cs="宋体"/>
          <w:sz w:val="32"/>
          <w:lang w:val="en-US" w:eastAsia="zh-CN"/>
        </w:rPr>
        <w:t>7个独立核算工作机构。现有人员编制128名（其中：行政编制47名，事业全额编制81名），实有在职干部、职工128人（其中：全额人员128人）。</w:t>
      </w:r>
    </w:p>
    <w:p>
      <w:pPr>
        <w:spacing w:before="216" w:line="226" w:lineRule="auto"/>
        <w:ind w:left="648"/>
        <w:rPr>
          <w:rFonts w:hint="eastAsia" w:ascii="宋体" w:hAnsi="宋体" w:eastAsia="宋体" w:cs="宋体"/>
          <w:sz w:val="32"/>
          <w:szCs w:val="32"/>
        </w:rPr>
      </w:pPr>
      <w:r>
        <w:rPr>
          <w:rFonts w:hint="eastAsia" w:ascii="宋体" w:hAnsi="宋体" w:eastAsia="宋体" w:cs="宋体"/>
          <w:spacing w:val="-2"/>
          <w:sz w:val="32"/>
          <w:szCs w:val="32"/>
        </w:rPr>
        <w:t>二、一般公共预算支出情况</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宋体" w:hAnsi="宋体" w:eastAsia="宋体" w:cs="宋体"/>
          <w:b/>
          <w:bCs/>
          <w:sz w:val="32"/>
          <w:szCs w:val="32"/>
        </w:rPr>
      </w:pPr>
      <w:r>
        <w:rPr>
          <w:rFonts w:hint="eastAsia" w:ascii="宋体" w:hAnsi="宋体" w:eastAsia="宋体" w:cs="宋体"/>
          <w:b/>
          <w:bCs/>
          <w:sz w:val="32"/>
          <w:szCs w:val="32"/>
        </w:rPr>
        <w:t>（一）基本支出情况</w:t>
      </w:r>
    </w:p>
    <w:p>
      <w:pPr>
        <w:keepNext w:val="0"/>
        <w:keepLines w:val="0"/>
        <w:pageBreakBefore w:val="0"/>
        <w:widowControl w:val="0"/>
        <w:kinsoku/>
        <w:wordWrap/>
        <w:overflowPunct/>
        <w:topLinePunct w:val="0"/>
        <w:autoSpaceDE/>
        <w:autoSpaceDN/>
        <w:bidi w:val="0"/>
        <w:adjustRightInd/>
        <w:snapToGrid/>
        <w:spacing w:beforeAutospacing="0" w:line="600" w:lineRule="exact"/>
        <w:ind w:firstLine="640" w:firstLineChars="200"/>
        <w:textAlignment w:val="auto"/>
        <w:rPr>
          <w:rFonts w:hint="eastAsia" w:ascii="宋体" w:hAnsi="宋体" w:eastAsia="宋体" w:cs="宋体"/>
          <w:sz w:val="32"/>
          <w:lang w:val="en-US" w:eastAsia="zh-CN"/>
        </w:rPr>
      </w:pPr>
      <w:r>
        <w:rPr>
          <w:rFonts w:hint="eastAsia" w:ascii="宋体" w:hAnsi="宋体" w:eastAsia="宋体" w:cs="宋体"/>
          <w:sz w:val="32"/>
          <w:lang w:val="en-US" w:eastAsia="zh-CN"/>
        </w:rPr>
        <w:t>2023年我单位基本支出共</w:t>
      </w:r>
      <w:r>
        <w:rPr>
          <w:rFonts w:hint="eastAsia" w:ascii="宋体" w:hAnsi="宋体" w:cs="宋体"/>
          <w:sz w:val="32"/>
          <w:lang w:val="en-US" w:eastAsia="zh-CN"/>
        </w:rPr>
        <w:t>1908.79</w:t>
      </w:r>
      <w:r>
        <w:rPr>
          <w:rFonts w:hint="eastAsia" w:ascii="宋体" w:hAnsi="宋体" w:eastAsia="宋体" w:cs="宋体"/>
          <w:sz w:val="32"/>
          <w:lang w:val="en-US" w:eastAsia="zh-CN"/>
        </w:rPr>
        <w:t>万元，主要用于职工的工资福利支出、五险一金支出及商品服务支出；其中人员经费</w:t>
      </w:r>
      <w:r>
        <w:rPr>
          <w:rFonts w:hint="eastAsia" w:ascii="宋体" w:hAnsi="宋体" w:cs="宋体"/>
          <w:sz w:val="32"/>
          <w:lang w:val="en-US" w:eastAsia="zh-CN"/>
        </w:rPr>
        <w:t>1588.30</w:t>
      </w:r>
      <w:r>
        <w:rPr>
          <w:rFonts w:hint="eastAsia" w:ascii="宋体" w:hAnsi="宋体" w:eastAsia="宋体" w:cs="宋体"/>
          <w:sz w:val="32"/>
          <w:lang w:val="en-US" w:eastAsia="zh-CN"/>
        </w:rPr>
        <w:t>万元，日常公用经费</w:t>
      </w:r>
      <w:r>
        <w:rPr>
          <w:rFonts w:hint="eastAsia" w:ascii="宋体" w:hAnsi="宋体" w:cs="宋体"/>
          <w:sz w:val="32"/>
          <w:lang w:val="en-US" w:eastAsia="zh-CN"/>
        </w:rPr>
        <w:t>320.49</w:t>
      </w:r>
      <w:r>
        <w:rPr>
          <w:rFonts w:hint="eastAsia" w:ascii="宋体" w:hAnsi="宋体" w:eastAsia="宋体" w:cs="宋体"/>
          <w:sz w:val="32"/>
          <w:lang w:val="en-US" w:eastAsia="zh-CN"/>
        </w:rPr>
        <w:t>万元。2022年基本支出中人员经费</w:t>
      </w:r>
      <w:r>
        <w:rPr>
          <w:rFonts w:hint="eastAsia" w:ascii="宋体" w:hAnsi="宋体" w:cs="宋体"/>
          <w:sz w:val="32"/>
          <w:lang w:val="en-US" w:eastAsia="zh-CN"/>
        </w:rPr>
        <w:t>1485.44</w:t>
      </w:r>
      <w:r>
        <w:rPr>
          <w:rFonts w:hint="eastAsia" w:ascii="宋体" w:hAnsi="宋体" w:eastAsia="宋体" w:cs="宋体"/>
          <w:sz w:val="32"/>
          <w:lang w:val="en-US" w:eastAsia="zh-CN"/>
        </w:rPr>
        <w:t>万元，本年比上年增加</w:t>
      </w:r>
      <w:r>
        <w:rPr>
          <w:rFonts w:hint="eastAsia" w:ascii="宋体" w:hAnsi="宋体" w:cs="宋体"/>
          <w:sz w:val="32"/>
          <w:lang w:val="en-US" w:eastAsia="zh-CN"/>
        </w:rPr>
        <w:t>102.86</w:t>
      </w:r>
      <w:r>
        <w:rPr>
          <w:rFonts w:hint="eastAsia" w:ascii="宋体" w:hAnsi="宋体" w:eastAsia="宋体" w:cs="宋体"/>
          <w:sz w:val="32"/>
          <w:lang w:val="en-US" w:eastAsia="zh-CN"/>
        </w:rPr>
        <w:t>万元，增幅</w:t>
      </w:r>
      <w:r>
        <w:rPr>
          <w:rFonts w:hint="eastAsia" w:ascii="宋体" w:hAnsi="宋体" w:cs="宋体"/>
          <w:sz w:val="32"/>
          <w:lang w:val="en-US" w:eastAsia="zh-CN"/>
        </w:rPr>
        <w:t>6.92</w:t>
      </w:r>
      <w:r>
        <w:rPr>
          <w:rFonts w:hint="eastAsia" w:ascii="宋体" w:hAnsi="宋体" w:eastAsia="宋体" w:cs="宋体"/>
          <w:sz w:val="32"/>
          <w:lang w:val="en-US" w:eastAsia="zh-CN"/>
        </w:rPr>
        <w:t>%，主要原因是</w:t>
      </w:r>
      <w:r>
        <w:rPr>
          <w:rFonts w:hint="eastAsia" w:ascii="宋体" w:hAnsi="宋体" w:cs="宋体"/>
          <w:sz w:val="32"/>
          <w:lang w:val="en-US" w:eastAsia="zh-CN"/>
        </w:rPr>
        <w:t>人员经费的增加</w:t>
      </w:r>
      <w:r>
        <w:rPr>
          <w:rFonts w:hint="eastAsia" w:ascii="宋体" w:hAnsi="宋体" w:eastAsia="宋体" w:cs="宋体"/>
          <w:sz w:val="32"/>
          <w:lang w:val="en-US" w:eastAsia="zh-CN"/>
        </w:rPr>
        <w:t>；日常公用经费</w:t>
      </w:r>
      <w:r>
        <w:rPr>
          <w:rFonts w:hint="eastAsia" w:ascii="宋体" w:hAnsi="宋体" w:cs="宋体"/>
          <w:sz w:val="32"/>
          <w:lang w:val="en-US" w:eastAsia="zh-CN"/>
        </w:rPr>
        <w:t>490.16</w:t>
      </w:r>
      <w:r>
        <w:rPr>
          <w:rFonts w:hint="eastAsia" w:ascii="宋体" w:hAnsi="宋体" w:eastAsia="宋体" w:cs="宋体"/>
          <w:sz w:val="32"/>
          <w:lang w:val="en-US" w:eastAsia="zh-CN"/>
        </w:rPr>
        <w:t>万元，本年</w:t>
      </w:r>
      <w:r>
        <w:rPr>
          <w:rFonts w:hint="eastAsia" w:ascii="宋体" w:hAnsi="宋体" w:cs="宋体"/>
          <w:sz w:val="32"/>
          <w:lang w:val="en-US" w:eastAsia="zh-CN"/>
        </w:rPr>
        <w:t>比</w:t>
      </w:r>
      <w:r>
        <w:rPr>
          <w:rFonts w:hint="eastAsia" w:ascii="宋体" w:hAnsi="宋体" w:eastAsia="宋体" w:cs="宋体"/>
          <w:sz w:val="32"/>
          <w:lang w:val="en-US" w:eastAsia="zh-CN"/>
        </w:rPr>
        <w:t>上年度</w:t>
      </w:r>
      <w:r>
        <w:rPr>
          <w:rFonts w:hint="eastAsia" w:ascii="宋体" w:hAnsi="宋体" w:cs="宋体"/>
          <w:sz w:val="32"/>
          <w:lang w:val="en-US" w:eastAsia="zh-CN"/>
        </w:rPr>
        <w:t>减少169.67</w:t>
      </w:r>
      <w:r>
        <w:rPr>
          <w:rFonts w:hint="eastAsia" w:ascii="宋体" w:hAnsi="宋体" w:eastAsia="宋体" w:cs="宋体"/>
          <w:sz w:val="32"/>
          <w:lang w:val="en-US" w:eastAsia="zh-CN"/>
        </w:rPr>
        <w:t>万元，</w:t>
      </w:r>
      <w:r>
        <w:rPr>
          <w:rFonts w:hint="eastAsia" w:ascii="宋体" w:hAnsi="宋体" w:cs="宋体"/>
          <w:sz w:val="32"/>
          <w:lang w:val="en-US" w:eastAsia="zh-CN"/>
        </w:rPr>
        <w:t>减增</w:t>
      </w:r>
      <w:r>
        <w:rPr>
          <w:rFonts w:hint="eastAsia" w:ascii="宋体" w:hAnsi="宋体" w:eastAsia="宋体" w:cs="宋体"/>
          <w:sz w:val="32"/>
          <w:lang w:val="en-US" w:eastAsia="zh-CN"/>
        </w:rPr>
        <w:t>幅</w:t>
      </w:r>
      <w:r>
        <w:rPr>
          <w:rFonts w:hint="eastAsia" w:ascii="宋体" w:hAnsi="宋体" w:cs="宋体"/>
          <w:sz w:val="32"/>
          <w:lang w:val="en-US" w:eastAsia="zh-CN"/>
        </w:rPr>
        <w:t>34.61</w:t>
      </w:r>
      <w:r>
        <w:rPr>
          <w:rFonts w:hint="eastAsia" w:ascii="宋体" w:hAnsi="宋体" w:eastAsia="宋体" w:cs="宋体"/>
          <w:sz w:val="32"/>
          <w:lang w:val="en-US" w:eastAsia="zh-CN"/>
        </w:rPr>
        <w:t>%，主要原因是厉行节约，减少公用经费。</w:t>
      </w:r>
    </w:p>
    <w:p>
      <w:pPr>
        <w:keepNext w:val="0"/>
        <w:keepLines w:val="0"/>
        <w:pageBreakBefore w:val="0"/>
        <w:widowControl w:val="0"/>
        <w:numPr>
          <w:ilvl w:val="0"/>
          <w:numId w:val="2"/>
        </w:numPr>
        <w:kinsoku/>
        <w:wordWrap/>
        <w:overflowPunct/>
        <w:topLinePunct w:val="0"/>
        <w:autoSpaceDE/>
        <w:autoSpaceDN/>
        <w:bidi w:val="0"/>
        <w:adjustRightInd/>
        <w:snapToGrid/>
        <w:ind w:firstLine="643" w:firstLineChars="200"/>
        <w:textAlignment w:val="auto"/>
        <w:rPr>
          <w:rFonts w:hint="eastAsia" w:ascii="宋体" w:hAnsi="宋体" w:eastAsia="宋体" w:cs="宋体"/>
          <w:b/>
          <w:bCs/>
          <w:sz w:val="32"/>
          <w:szCs w:val="32"/>
        </w:rPr>
      </w:pPr>
      <w:r>
        <w:rPr>
          <w:rFonts w:hint="eastAsia" w:ascii="宋体" w:hAnsi="宋体" w:eastAsia="宋体" w:cs="宋体"/>
          <w:b/>
          <w:bCs/>
          <w:sz w:val="32"/>
          <w:szCs w:val="32"/>
        </w:rPr>
        <w:t>项目支出情况</w:t>
      </w:r>
    </w:p>
    <w:p>
      <w:pPr>
        <w:keepNext w:val="0"/>
        <w:keepLines w:val="0"/>
        <w:pageBreakBefore w:val="0"/>
        <w:widowControl w:val="0"/>
        <w:kinsoku/>
        <w:wordWrap/>
        <w:overflowPunct/>
        <w:topLinePunct w:val="0"/>
        <w:autoSpaceDE/>
        <w:autoSpaceDN/>
        <w:bidi w:val="0"/>
        <w:adjustRightInd/>
        <w:snapToGrid/>
        <w:spacing w:beforeAutospacing="0" w:line="600" w:lineRule="exact"/>
        <w:ind w:firstLine="640" w:firstLineChars="200"/>
        <w:textAlignment w:val="auto"/>
        <w:rPr>
          <w:rFonts w:hint="eastAsia" w:ascii="宋体" w:hAnsi="宋体" w:eastAsia="宋体" w:cs="宋体"/>
          <w:sz w:val="32"/>
          <w:lang w:val="en-US" w:eastAsia="zh-CN"/>
        </w:rPr>
      </w:pPr>
      <w:r>
        <w:rPr>
          <w:rFonts w:hint="eastAsia" w:ascii="宋体" w:hAnsi="宋体" w:eastAsia="宋体" w:cs="宋体"/>
          <w:sz w:val="32"/>
          <w:lang w:val="en-US" w:eastAsia="zh-CN"/>
        </w:rPr>
        <w:t>2023年项目支出为</w:t>
      </w:r>
      <w:r>
        <w:rPr>
          <w:rFonts w:hint="eastAsia" w:ascii="宋体" w:hAnsi="宋体" w:cs="宋体"/>
          <w:sz w:val="32"/>
          <w:lang w:val="en-US" w:eastAsia="zh-CN"/>
        </w:rPr>
        <w:t>5050.75</w:t>
      </w:r>
      <w:r>
        <w:rPr>
          <w:rFonts w:hint="eastAsia" w:ascii="宋体" w:hAnsi="宋体" w:eastAsia="宋体" w:cs="宋体"/>
          <w:sz w:val="32"/>
          <w:lang w:val="en-US" w:eastAsia="zh-CN"/>
        </w:rPr>
        <w:t>万元，占总支出的</w:t>
      </w:r>
      <w:r>
        <w:rPr>
          <w:rFonts w:hint="eastAsia" w:ascii="宋体" w:hAnsi="宋体" w:cs="宋体"/>
          <w:sz w:val="32"/>
          <w:lang w:val="en-US" w:eastAsia="zh-CN"/>
        </w:rPr>
        <w:t>72.57</w:t>
      </w:r>
      <w:r>
        <w:rPr>
          <w:rFonts w:hint="eastAsia" w:ascii="宋体" w:hAnsi="宋体" w:eastAsia="宋体" w:cs="宋体"/>
          <w:sz w:val="32"/>
          <w:lang w:val="en-US" w:eastAsia="zh-CN"/>
        </w:rPr>
        <w:t>%，主要是项目建设支付的办公费、印刷费、差旅费、会议费、培训费、劳务费、对企事业单位的补贴、基础设施建设、拆迁补偿、大型修缮等商品和服务支出。其中商品和服务支出</w:t>
      </w:r>
      <w:r>
        <w:rPr>
          <w:rFonts w:hint="eastAsia" w:ascii="宋体" w:hAnsi="宋体" w:cs="宋体"/>
          <w:sz w:val="32"/>
          <w:lang w:val="en-US" w:eastAsia="zh-CN"/>
        </w:rPr>
        <w:t>206.24</w:t>
      </w:r>
      <w:r>
        <w:rPr>
          <w:rFonts w:hint="eastAsia" w:ascii="宋体" w:hAnsi="宋体" w:eastAsia="宋体" w:cs="宋体"/>
          <w:sz w:val="32"/>
          <w:lang w:val="en-US" w:eastAsia="zh-CN"/>
        </w:rPr>
        <w:t>万元,对个人和家庭的补助</w:t>
      </w:r>
      <w:r>
        <w:rPr>
          <w:rFonts w:hint="eastAsia" w:ascii="宋体" w:hAnsi="宋体" w:cs="宋体"/>
          <w:sz w:val="32"/>
          <w:lang w:val="en-US" w:eastAsia="zh-CN"/>
        </w:rPr>
        <w:t>1479.13</w:t>
      </w:r>
      <w:r>
        <w:rPr>
          <w:rFonts w:hint="eastAsia" w:ascii="宋体" w:hAnsi="宋体" w:eastAsia="宋体" w:cs="宋体"/>
          <w:sz w:val="32"/>
          <w:lang w:val="en-US" w:eastAsia="zh-CN"/>
        </w:rPr>
        <w:t>万元，资本性支出</w:t>
      </w:r>
      <w:r>
        <w:rPr>
          <w:rFonts w:hint="eastAsia" w:ascii="宋体" w:hAnsi="宋体" w:cs="宋体"/>
          <w:sz w:val="32"/>
          <w:lang w:val="en-US" w:eastAsia="zh-CN"/>
        </w:rPr>
        <w:t>3136.38</w:t>
      </w:r>
      <w:r>
        <w:rPr>
          <w:rFonts w:hint="eastAsia" w:ascii="宋体" w:hAnsi="宋体" w:eastAsia="宋体" w:cs="宋体"/>
          <w:sz w:val="32"/>
          <w:lang w:val="en-US" w:eastAsia="zh-CN"/>
        </w:rPr>
        <w:t>万元</w:t>
      </w:r>
      <w:r>
        <w:rPr>
          <w:rFonts w:hint="eastAsia" w:ascii="宋体" w:hAnsi="宋体" w:cs="宋体"/>
          <w:sz w:val="32"/>
          <w:lang w:val="en-US" w:eastAsia="zh-CN"/>
        </w:rPr>
        <w:t>，对企业补助229.00万元</w:t>
      </w:r>
      <w:r>
        <w:rPr>
          <w:rFonts w:hint="eastAsia" w:ascii="宋体" w:hAnsi="宋体" w:eastAsia="宋体" w:cs="宋体"/>
          <w:sz w:val="32"/>
          <w:lang w:val="en-US" w:eastAsia="zh-CN"/>
        </w:rPr>
        <w:t>。</w:t>
      </w:r>
    </w:p>
    <w:p>
      <w:pPr>
        <w:numPr>
          <w:ilvl w:val="0"/>
          <w:numId w:val="1"/>
        </w:numPr>
        <w:spacing w:before="224" w:line="227" w:lineRule="auto"/>
        <w:ind w:left="648" w:leftChars="0" w:firstLine="0" w:firstLineChars="0"/>
        <w:rPr>
          <w:rFonts w:hint="eastAsia" w:ascii="宋体" w:hAnsi="宋体" w:eastAsia="宋体" w:cs="宋体"/>
          <w:spacing w:val="8"/>
          <w:sz w:val="32"/>
          <w:szCs w:val="32"/>
        </w:rPr>
      </w:pPr>
      <w:r>
        <w:rPr>
          <w:rFonts w:hint="eastAsia" w:ascii="宋体" w:hAnsi="宋体" w:eastAsia="宋体" w:cs="宋体"/>
          <w:spacing w:val="8"/>
          <w:sz w:val="32"/>
          <w:szCs w:val="32"/>
        </w:rPr>
        <w:t>政府性基金预算支出情况</w:t>
      </w:r>
    </w:p>
    <w:p>
      <w:pPr>
        <w:keepNext w:val="0"/>
        <w:keepLines w:val="0"/>
        <w:pageBreakBefore w:val="0"/>
        <w:widowControl w:val="0"/>
        <w:kinsoku/>
        <w:wordWrap/>
        <w:overflowPunct/>
        <w:topLinePunct w:val="0"/>
        <w:autoSpaceDE/>
        <w:autoSpaceDN/>
        <w:bidi w:val="0"/>
        <w:adjustRightInd/>
        <w:snapToGrid/>
        <w:spacing w:beforeAutospacing="0" w:line="600" w:lineRule="exact"/>
        <w:ind w:firstLine="640" w:firstLineChars="200"/>
        <w:textAlignment w:val="auto"/>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2023年政府性基金预算支出</w:t>
      </w:r>
      <w:r>
        <w:rPr>
          <w:rFonts w:hint="eastAsia" w:ascii="宋体" w:hAnsi="宋体" w:cs="宋体"/>
          <w:sz w:val="32"/>
          <w:szCs w:val="32"/>
          <w:highlight w:val="none"/>
          <w:lang w:val="en-US" w:eastAsia="zh-CN"/>
        </w:rPr>
        <w:t>549.82</w:t>
      </w:r>
      <w:r>
        <w:rPr>
          <w:rFonts w:hint="eastAsia" w:ascii="宋体" w:hAnsi="宋体" w:eastAsia="宋体" w:cs="宋体"/>
          <w:sz w:val="32"/>
          <w:szCs w:val="32"/>
          <w:highlight w:val="none"/>
          <w:lang w:val="en-US" w:eastAsia="zh-CN"/>
        </w:rPr>
        <w:t>万元,主要是基础设施建设等商品和服务支出。其中资本性支出</w:t>
      </w:r>
      <w:r>
        <w:rPr>
          <w:rFonts w:hint="eastAsia" w:ascii="宋体" w:hAnsi="宋体" w:cs="宋体"/>
          <w:sz w:val="32"/>
          <w:szCs w:val="32"/>
          <w:highlight w:val="none"/>
          <w:lang w:val="en-US" w:eastAsia="zh-CN"/>
        </w:rPr>
        <w:t>549.82</w:t>
      </w:r>
      <w:r>
        <w:rPr>
          <w:rFonts w:hint="eastAsia" w:ascii="宋体" w:hAnsi="宋体" w:eastAsia="宋体" w:cs="宋体"/>
          <w:sz w:val="32"/>
          <w:szCs w:val="32"/>
          <w:highlight w:val="none"/>
          <w:lang w:val="en-US" w:eastAsia="zh-CN"/>
        </w:rPr>
        <w:t>万元。</w:t>
      </w:r>
    </w:p>
    <w:p>
      <w:pPr>
        <w:numPr>
          <w:ilvl w:val="0"/>
          <w:numId w:val="1"/>
        </w:numPr>
        <w:spacing w:before="219" w:line="600" w:lineRule="exact"/>
        <w:ind w:left="648" w:leftChars="0" w:firstLine="0" w:firstLineChars="0"/>
        <w:rPr>
          <w:rFonts w:hint="eastAsia" w:ascii="宋体" w:hAnsi="宋体" w:eastAsia="宋体" w:cs="宋体"/>
          <w:spacing w:val="7"/>
          <w:position w:val="21"/>
          <w:sz w:val="32"/>
          <w:szCs w:val="32"/>
        </w:rPr>
      </w:pPr>
      <w:r>
        <w:rPr>
          <w:rFonts w:hint="eastAsia" w:ascii="宋体" w:hAnsi="宋体" w:eastAsia="宋体" w:cs="宋体"/>
          <w:spacing w:val="7"/>
          <w:position w:val="21"/>
          <w:sz w:val="32"/>
          <w:szCs w:val="32"/>
        </w:rPr>
        <w:t>国有资本经营预算支出情况</w:t>
      </w:r>
    </w:p>
    <w:p>
      <w:pPr>
        <w:keepNext w:val="0"/>
        <w:keepLines w:val="0"/>
        <w:pageBreakBefore w:val="0"/>
        <w:widowControl w:val="0"/>
        <w:kinsoku/>
        <w:wordWrap/>
        <w:overflowPunct/>
        <w:topLinePunct w:val="0"/>
        <w:autoSpaceDE/>
        <w:autoSpaceDN/>
        <w:bidi w:val="0"/>
        <w:adjustRightInd/>
        <w:snapToGrid/>
        <w:spacing w:beforeAutospacing="0" w:line="600" w:lineRule="exact"/>
        <w:ind w:firstLine="640" w:firstLineChars="200"/>
        <w:textAlignment w:val="auto"/>
        <w:rPr>
          <w:rFonts w:hint="default" w:ascii="宋体" w:hAnsi="宋体" w:eastAsia="宋体" w:cs="宋体"/>
          <w:sz w:val="32"/>
          <w:lang w:val="en-US" w:eastAsia="zh-CN"/>
        </w:rPr>
      </w:pPr>
      <w:r>
        <w:rPr>
          <w:rFonts w:hint="eastAsia" w:ascii="宋体" w:hAnsi="宋体" w:eastAsia="宋体" w:cs="宋体"/>
          <w:sz w:val="32"/>
          <w:lang w:val="en-US" w:eastAsia="zh-CN"/>
        </w:rPr>
        <w:t>2023年</w:t>
      </w:r>
      <w:r>
        <w:rPr>
          <w:rFonts w:hint="eastAsia" w:ascii="宋体" w:hAnsi="宋体" w:cs="宋体"/>
          <w:sz w:val="32"/>
          <w:lang w:val="en-US" w:eastAsia="zh-CN"/>
        </w:rPr>
        <w:t>无</w:t>
      </w:r>
      <w:r>
        <w:rPr>
          <w:rFonts w:hint="eastAsia" w:ascii="宋体" w:hAnsi="宋体" w:eastAsia="宋体" w:cs="宋体"/>
          <w:sz w:val="32"/>
          <w:lang w:val="en-US" w:eastAsia="zh-CN"/>
        </w:rPr>
        <w:t>国有资本经营预算支出</w:t>
      </w:r>
      <w:r>
        <w:rPr>
          <w:rFonts w:hint="eastAsia" w:ascii="宋体" w:hAnsi="宋体" w:cs="宋体"/>
          <w:sz w:val="32"/>
          <w:lang w:val="en-US" w:eastAsia="zh-CN"/>
        </w:rPr>
        <w:t>。</w:t>
      </w:r>
    </w:p>
    <w:p>
      <w:pPr>
        <w:numPr>
          <w:ilvl w:val="0"/>
          <w:numId w:val="1"/>
        </w:numPr>
        <w:spacing w:line="227" w:lineRule="auto"/>
        <w:ind w:left="648" w:leftChars="0" w:firstLine="0" w:firstLineChars="0"/>
        <w:rPr>
          <w:rFonts w:hint="eastAsia" w:ascii="宋体" w:hAnsi="宋体" w:eastAsia="宋体" w:cs="宋体"/>
          <w:spacing w:val="8"/>
          <w:sz w:val="32"/>
          <w:szCs w:val="32"/>
        </w:rPr>
      </w:pPr>
      <w:r>
        <w:rPr>
          <w:rFonts w:hint="eastAsia" w:ascii="宋体" w:hAnsi="宋体" w:eastAsia="宋体" w:cs="宋体"/>
          <w:spacing w:val="8"/>
          <w:sz w:val="32"/>
          <w:szCs w:val="32"/>
        </w:rPr>
        <w:t>社会保险基金预算支出情况</w:t>
      </w:r>
    </w:p>
    <w:p>
      <w:pPr>
        <w:pStyle w:val="15"/>
        <w:numPr>
          <w:ilvl w:val="0"/>
          <w:numId w:val="0"/>
        </w:numPr>
        <w:ind w:left="648" w:leftChars="0"/>
        <w:rPr>
          <w:rFonts w:hint="eastAsia" w:ascii="宋体" w:hAnsi="宋体" w:eastAsia="宋体" w:cs="宋体"/>
          <w:kern w:val="2"/>
          <w:sz w:val="32"/>
          <w:szCs w:val="24"/>
          <w:lang w:val="en-US" w:eastAsia="zh-CN" w:bidi="ar-SA"/>
        </w:rPr>
      </w:pPr>
      <w:r>
        <w:rPr>
          <w:rFonts w:hint="eastAsia" w:ascii="宋体" w:hAnsi="宋体" w:eastAsia="宋体" w:cs="宋体"/>
          <w:kern w:val="2"/>
          <w:sz w:val="32"/>
          <w:szCs w:val="24"/>
          <w:lang w:val="en-US" w:eastAsia="zh-CN" w:bidi="ar-SA"/>
        </w:rPr>
        <w:t>2023年无社会保险基金预算支出。</w:t>
      </w:r>
    </w:p>
    <w:p>
      <w:pPr>
        <w:numPr>
          <w:ilvl w:val="0"/>
          <w:numId w:val="1"/>
        </w:numPr>
        <w:spacing w:before="219" w:line="226" w:lineRule="auto"/>
        <w:ind w:left="648" w:leftChars="0" w:firstLine="0" w:firstLineChars="0"/>
        <w:rPr>
          <w:rFonts w:hint="eastAsia" w:ascii="宋体" w:hAnsi="宋体" w:eastAsia="宋体" w:cs="宋体"/>
          <w:spacing w:val="8"/>
          <w:sz w:val="32"/>
          <w:szCs w:val="32"/>
        </w:rPr>
      </w:pPr>
      <w:r>
        <w:rPr>
          <w:rFonts w:hint="eastAsia" w:ascii="宋体" w:hAnsi="宋体" w:eastAsia="宋体" w:cs="宋体"/>
          <w:spacing w:val="8"/>
          <w:sz w:val="32"/>
          <w:szCs w:val="32"/>
        </w:rPr>
        <w:t>部门整体支出绩效情况</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宋体" w:hAnsi="宋体" w:eastAsia="宋体" w:cs="宋体"/>
          <w:sz w:val="32"/>
          <w:szCs w:val="32"/>
          <w:lang w:val="en-US" w:eastAsia="zh-CN"/>
        </w:rPr>
      </w:pPr>
      <w:r>
        <w:rPr>
          <w:rFonts w:hint="eastAsia" w:ascii="宋体" w:hAnsi="宋体" w:eastAsia="宋体" w:cs="宋体"/>
          <w:b/>
          <w:bCs/>
          <w:sz w:val="32"/>
          <w:szCs w:val="32"/>
          <w:lang w:val="en-US" w:eastAsia="zh-CN"/>
        </w:rPr>
        <w:t>1.党的建设持续巩固。</w:t>
      </w:r>
      <w:r>
        <w:rPr>
          <w:rFonts w:hint="eastAsia" w:ascii="宋体" w:hAnsi="宋体" w:eastAsia="宋体" w:cs="宋体"/>
          <w:sz w:val="32"/>
          <w:szCs w:val="32"/>
          <w:lang w:val="en-US" w:eastAsia="zh-CN"/>
        </w:rPr>
        <w:t>坚持把“四亮”主题活动作为基层党建工作的“总抓手”，以“一月一课一片一实践”活动为载体，开展“与党同心 与青春同行”“学雷锋、当先锋、践行动”“大美长江，净滩行动”“党建引领她力量巾帼绽放谱新篇”“共建清洁家园，共创文明城市暨“扫黄打非”知识进万家”等系列活动，充分践行了四项行动，有力推动“四亮”主题活动向内拓展、向外延伸；深入推进“党建+N”模式，按照镇、村两级书记靠前指挥、分管负责人具体负责、网格具体实施的工作模式，</w:t>
      </w:r>
      <w:r>
        <w:rPr>
          <w:rFonts w:hint="eastAsia" w:ascii="宋体" w:hAnsi="宋体" w:eastAsia="宋体" w:cs="宋体"/>
          <w:sz w:val="32"/>
          <w:szCs w:val="32"/>
        </w:rPr>
        <w:t>推动服务重大项目建设、壮大村级集体经济、深化基层社会治理、践行为民服务理念、落实意识形态责任等方面取得新突破</w:t>
      </w:r>
      <w:r>
        <w:rPr>
          <w:rFonts w:hint="eastAsia" w:ascii="宋体" w:hAnsi="宋体" w:eastAsia="宋体" w:cs="宋体"/>
          <w:sz w:val="32"/>
          <w:szCs w:val="32"/>
          <w:lang w:eastAsia="zh-CN"/>
        </w:rPr>
        <w:t>。</w:t>
      </w:r>
      <w:r>
        <w:rPr>
          <w:rFonts w:hint="eastAsia" w:ascii="宋体" w:hAnsi="宋体" w:eastAsia="宋体" w:cs="宋体"/>
          <w:sz w:val="32"/>
          <w:szCs w:val="32"/>
          <w:lang w:val="en-US" w:eastAsia="zh-CN"/>
        </w:rPr>
        <w:t>联合石首市桃花山镇开展区域党建合作“一月一课一片一实践”主题活动，并按照县委组织部统一部署，开展村干部挂职交流一人，持续加强石首－华容区域党建合作，组织共建、阵地共创、活动共办、成果共享进一步深化。深入落实发展壮大集体经济，集体经济收入50万元以上的经济强村达到5个，全镇年平均收入突破20万元。</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宋体" w:hAnsi="宋体" w:eastAsia="宋体" w:cs="宋体"/>
          <w:sz w:val="32"/>
          <w:szCs w:val="32"/>
          <w:lang w:val="en-US" w:eastAsia="zh-CN"/>
        </w:rPr>
      </w:pPr>
      <w:r>
        <w:rPr>
          <w:rFonts w:hint="eastAsia" w:ascii="宋体" w:hAnsi="宋体" w:eastAsia="宋体" w:cs="宋体"/>
          <w:b/>
          <w:bCs/>
          <w:sz w:val="32"/>
          <w:szCs w:val="32"/>
          <w:lang w:val="en-US" w:eastAsia="zh-CN"/>
        </w:rPr>
        <w:t>2.项目建设协调有力。</w:t>
      </w:r>
      <w:r>
        <w:rPr>
          <w:rFonts w:hint="eastAsia" w:ascii="宋体" w:hAnsi="宋体" w:eastAsia="宋体" w:cs="宋体"/>
          <w:sz w:val="32"/>
          <w:szCs w:val="32"/>
          <w:lang w:val="en-US" w:eastAsia="zh-CN"/>
        </w:rPr>
        <w:t>为确保国华岳阳电厂、煤炭铁水联运、洪山头工业园及高桥水厂四大项目的顺利投产运营，建立“一个项目、一名领导、一套方案、一抓到底”的“四个一”工作机制，将工作任务细化、量化，做到领导、干部、责任、措施“四落实”，目标、任务、时限、要求“四明确”，齐抓共管形成强大的工作合力。充分发挥“主动介入、靠前服务”的工作作风，适时组织召开调度会，抓好跟踪协调服务工作，提高项目调度质量，找准项目“调解员”“服务员”的角色定位，全力营造平安、稳定、高效的施工环境。经过全镇上下的共同努力，累计完成腾地4300多亩、征拆房屋390多栋，协调矛盾300余起，保护性施工20多次，切实做到矛盾不上交、信访不出镇，问题第一时间解决、堵点第一时间疏通、难点第一时间研讨，确保了项目建设的顺利推进。</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宋体" w:hAnsi="宋体" w:eastAsia="宋体" w:cs="宋体"/>
          <w:sz w:val="32"/>
          <w:szCs w:val="32"/>
          <w:lang w:val="en-US" w:eastAsia="zh-CN"/>
        </w:rPr>
      </w:pPr>
      <w:r>
        <w:rPr>
          <w:rFonts w:hint="eastAsia" w:ascii="宋体" w:hAnsi="宋体" w:eastAsia="宋体" w:cs="宋体"/>
          <w:b/>
          <w:bCs/>
          <w:sz w:val="32"/>
          <w:szCs w:val="32"/>
          <w:lang w:val="en-US" w:eastAsia="zh-CN"/>
        </w:rPr>
        <w:t>3.“迎回建”成效显著。</w:t>
      </w:r>
      <w:r>
        <w:rPr>
          <w:rFonts w:hint="eastAsia" w:ascii="宋体" w:hAnsi="宋体" w:eastAsia="宋体" w:cs="宋体"/>
          <w:sz w:val="32"/>
          <w:szCs w:val="32"/>
          <w:lang w:val="en-US" w:eastAsia="zh-CN"/>
        </w:rPr>
        <w:t>大力开展“迎老乡、回故乡、建家乡”系列活动，成功引进3家乡友企业，并分别完成3个过亿元项目的签约，投产后预计创造税收5000万以上，圆满完成招商引资工作任务。同时，积极筹备东山镇乡村振兴促进会建设，组建了由8名东山籍退休县级领导组成的顾问小组和镇党委班子组成的筹备小组，充分挖掘乡友资源，已开展华容、岳阳、长沙、广州、深圳、珠海、中山等7个地方的乡友拜会活动、完成分会建设。通过系列前期工作，整理出了700多名乡友形成乡友名录，筛选了300多个具有资源性、特色性、地方性的民生项目，邀请乡友实实在在地参与家乡建设，将在年底的成立大会上主动签约一批项目、认领一批项目、捐赠一批项目，以项目建设助推乡村振兴。</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宋体" w:hAnsi="宋体" w:eastAsia="宋体" w:cs="宋体"/>
          <w:sz w:val="32"/>
          <w:szCs w:val="32"/>
          <w:lang w:val="en-US" w:eastAsia="zh-CN"/>
        </w:rPr>
      </w:pPr>
      <w:r>
        <w:rPr>
          <w:rFonts w:hint="eastAsia" w:ascii="宋体" w:hAnsi="宋体" w:eastAsia="宋体" w:cs="宋体"/>
          <w:b/>
          <w:bCs/>
          <w:sz w:val="32"/>
          <w:szCs w:val="32"/>
          <w:lang w:val="en-US" w:eastAsia="zh-CN"/>
        </w:rPr>
        <w:t>4.乡村振兴稳步推进。一是做好防返贫监测。</w:t>
      </w:r>
      <w:r>
        <w:rPr>
          <w:rFonts w:hint="eastAsia" w:ascii="宋体" w:hAnsi="宋体" w:eastAsia="宋体" w:cs="宋体"/>
          <w:sz w:val="32"/>
          <w:szCs w:val="32"/>
          <w:lang w:val="en-US" w:eastAsia="zh-CN"/>
        </w:rPr>
        <w:t>认真贯彻上级文件精神，先后两次召开集中排查工作动员大会，共排查26330户79342人，进一步开展精准画像，纳入9户28人，做到了脱贫户应纳尽纳。</w:t>
      </w:r>
      <w:r>
        <w:rPr>
          <w:rFonts w:hint="eastAsia" w:ascii="宋体" w:hAnsi="宋体" w:eastAsia="宋体" w:cs="宋体"/>
          <w:b/>
          <w:bCs/>
          <w:sz w:val="32"/>
          <w:szCs w:val="32"/>
          <w:lang w:val="en-US" w:eastAsia="zh-CN"/>
        </w:rPr>
        <w:t>二是强化结对帮扶。</w:t>
      </w:r>
      <w:r>
        <w:rPr>
          <w:rFonts w:hint="eastAsia" w:ascii="宋体" w:hAnsi="宋体" w:eastAsia="宋体" w:cs="宋体"/>
          <w:sz w:val="32"/>
          <w:szCs w:val="32"/>
          <w:lang w:val="en-US" w:eastAsia="zh-CN"/>
        </w:rPr>
        <w:t>加强村（社区）与相关部门单位衔接，压实帮扶干部责任，制定结对帮扶工作方案，结合实际情况为帮扶对象制订帮扶计划，并建好帮扶工作台账，扎实有效地开展工作。</w:t>
      </w:r>
      <w:r>
        <w:rPr>
          <w:rFonts w:hint="eastAsia" w:ascii="宋体" w:hAnsi="宋体" w:eastAsia="宋体" w:cs="宋体"/>
          <w:b/>
          <w:bCs/>
          <w:sz w:val="32"/>
          <w:szCs w:val="32"/>
          <w:lang w:val="en-US" w:eastAsia="zh-CN"/>
        </w:rPr>
        <w:t>三是完成项目库调整。</w:t>
      </w:r>
      <w:r>
        <w:rPr>
          <w:rFonts w:hint="eastAsia" w:ascii="宋体" w:hAnsi="宋体" w:eastAsia="宋体" w:cs="宋体"/>
          <w:sz w:val="32"/>
          <w:szCs w:val="32"/>
          <w:lang w:eastAsia="zh-CN"/>
        </w:rPr>
        <w:t>新增</w:t>
      </w:r>
      <w:r>
        <w:rPr>
          <w:rFonts w:hint="eastAsia" w:ascii="宋体" w:hAnsi="宋体" w:eastAsia="宋体" w:cs="宋体"/>
          <w:sz w:val="32"/>
          <w:szCs w:val="32"/>
        </w:rPr>
        <w:t>入库项</w:t>
      </w:r>
      <w:r>
        <w:rPr>
          <w:rFonts w:hint="eastAsia" w:ascii="宋体" w:hAnsi="宋体" w:eastAsia="宋体" w:cs="宋体"/>
          <w:sz w:val="32"/>
          <w:szCs w:val="32"/>
          <w:lang w:val="en-US" w:eastAsia="zh-CN"/>
        </w:rPr>
        <w:t>目14个，拟减少出库项目11个，最终确定申报项目92个，主要用于发展壮大村级集体经济。10月底前完成4批资金项目计划安排，共上报16个项目，涉及13个村（社区），已有13个项目已完工验收，其他项目正在建设中。</w:t>
      </w:r>
      <w:r>
        <w:rPr>
          <w:rFonts w:hint="eastAsia" w:ascii="宋体" w:hAnsi="宋体" w:eastAsia="宋体" w:cs="宋体"/>
          <w:b/>
          <w:bCs/>
          <w:sz w:val="32"/>
          <w:szCs w:val="32"/>
          <w:lang w:val="en-US" w:eastAsia="zh-CN"/>
        </w:rPr>
        <w:t>四是抓实改厕工作。</w:t>
      </w:r>
      <w:r>
        <w:rPr>
          <w:rFonts w:hint="eastAsia" w:ascii="宋体" w:hAnsi="宋体" w:eastAsia="宋体" w:cs="宋体"/>
          <w:sz w:val="32"/>
          <w:szCs w:val="32"/>
          <w:lang w:val="en-US" w:eastAsia="zh-CN"/>
        </w:rPr>
        <w:t>今年已完成新建厕所259个，还剩30个待农户房屋建成后完成建设，高标准完成县定任务；针对摸排出的696个问题厕所，成立整改专班压茬推进，已完成305个问题厕所整改，剩余391个将逐年销号。</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宋体" w:hAnsi="宋体" w:eastAsia="宋体" w:cs="宋体"/>
          <w:sz w:val="32"/>
          <w:szCs w:val="32"/>
          <w:lang w:val="en-US" w:eastAsia="zh-CN"/>
        </w:rPr>
      </w:pPr>
      <w:r>
        <w:rPr>
          <w:rFonts w:hint="eastAsia" w:ascii="宋体" w:hAnsi="宋体" w:eastAsia="宋体" w:cs="宋体"/>
          <w:b/>
          <w:bCs/>
          <w:sz w:val="32"/>
          <w:szCs w:val="32"/>
          <w:lang w:val="en-US" w:eastAsia="zh-CN"/>
        </w:rPr>
        <w:t>5.产业发展取得突破。一是粮食生产迎来丰收。</w:t>
      </w:r>
      <w:r>
        <w:rPr>
          <w:rFonts w:hint="eastAsia" w:ascii="宋体" w:hAnsi="宋体" w:eastAsia="宋体" w:cs="宋体"/>
          <w:sz w:val="32"/>
          <w:szCs w:val="32"/>
          <w:lang w:val="en-US" w:eastAsia="zh-CN"/>
        </w:rPr>
        <w:t>历经去年、今年连旱，我镇坚持“不惜一切代价、想尽一切办法”工作基调，投入600余万元全力抗旱保收，克服万难完成粮食生产播种面积18.2万亩，早稻9.18万亩，预计粮食总产量达到8万吨以上，完成县定任务的同时也收获了群众的高度认可。</w:t>
      </w:r>
      <w:r>
        <w:rPr>
          <w:rFonts w:hint="eastAsia" w:ascii="宋体" w:hAnsi="宋体" w:eastAsia="宋体" w:cs="宋体"/>
          <w:b/>
          <w:bCs/>
          <w:sz w:val="32"/>
          <w:szCs w:val="32"/>
          <w:lang w:val="en-US" w:eastAsia="zh-CN"/>
        </w:rPr>
        <w:t>二是特色产业擦亮品牌。</w:t>
      </w:r>
      <w:r>
        <w:rPr>
          <w:rFonts w:hint="eastAsia" w:ascii="宋体" w:hAnsi="宋体" w:eastAsia="宋体" w:cs="宋体"/>
          <w:sz w:val="32"/>
          <w:szCs w:val="32"/>
          <w:lang w:val="en-US" w:eastAsia="zh-CN"/>
        </w:rPr>
        <w:t>高标准打造华容道皱皮柑、兰家红松菌、桃花山竹笋等种植加工产业，引进社会资本运营，逐渐实现产业规模化、品牌化，能够在市场上抢占一席之地，经济带动能力进一步放大。</w:t>
      </w:r>
      <w:r>
        <w:rPr>
          <w:rFonts w:hint="eastAsia" w:ascii="宋体" w:hAnsi="宋体" w:eastAsia="宋体" w:cs="宋体"/>
          <w:b/>
          <w:bCs/>
          <w:sz w:val="32"/>
          <w:szCs w:val="32"/>
          <w:lang w:val="en-US" w:eastAsia="zh-CN"/>
        </w:rPr>
        <w:t>三是文旅融合发展平稳。</w:t>
      </w:r>
      <w:r>
        <w:rPr>
          <w:rFonts w:hint="eastAsia" w:ascii="宋体" w:hAnsi="宋体" w:eastAsia="宋体" w:cs="宋体"/>
          <w:sz w:val="32"/>
          <w:szCs w:val="32"/>
          <w:lang w:val="en-US" w:eastAsia="zh-CN"/>
        </w:rPr>
        <w:t>立足千年古道华容道、千年古寺仙鹅寺、千年古树白果树、千年古城七星墩、千年古驿塔市驿“五个千年”拉开镇旅游休闲产业发展的骨架，完成概念性旅游规划，完善景点配套服务，成功打造东山“一日游”“两日游”的精品线路，充分展现东山的底蕴和风貌，走出了农文旅融合发展的新路径。四是基础建设不断加强。完成G240长岗庙至东山集镇的全线黑化、大荆湖路面硬化5.4公里、顽瘴痼疾整治和五小工程整治共计19处、乡村道路养护工程12.2公里，完成高标准农田建设项目5000多亩，群众生产生活条件得到显著改善。</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宋体" w:hAnsi="宋体" w:eastAsia="宋体" w:cs="宋体"/>
          <w:sz w:val="32"/>
          <w:szCs w:val="32"/>
          <w:lang w:val="en-US" w:eastAsia="zh-CN"/>
        </w:rPr>
      </w:pPr>
      <w:r>
        <w:rPr>
          <w:rFonts w:hint="eastAsia" w:ascii="宋体" w:hAnsi="宋体" w:eastAsia="宋体" w:cs="宋体"/>
          <w:b/>
          <w:bCs/>
          <w:sz w:val="32"/>
          <w:szCs w:val="32"/>
          <w:lang w:val="en-US" w:eastAsia="zh-CN"/>
        </w:rPr>
        <w:t>6.底线工作常抓不懈。一是安全生产工作。</w:t>
      </w:r>
      <w:r>
        <w:rPr>
          <w:rFonts w:hint="eastAsia" w:ascii="宋体" w:hAnsi="宋体" w:eastAsia="宋体" w:cs="宋体"/>
          <w:sz w:val="32"/>
          <w:szCs w:val="32"/>
          <w:lang w:val="en-US" w:eastAsia="zh-CN"/>
        </w:rPr>
        <w:t>汲取银川烧烤店爆炸事故教训，常态化开展安全生产大检查，对全镇瓶装液化气进行摸底，建立接近1万户的台账进行日常管理，召集餐馆商户开展集中培训2次，成功安装100个燃气泄漏报警装置，全面消除安全隐患。</w:t>
      </w:r>
      <w:r>
        <w:rPr>
          <w:rFonts w:hint="eastAsia" w:ascii="宋体" w:hAnsi="宋体" w:eastAsia="宋体" w:cs="宋体"/>
          <w:b/>
          <w:bCs/>
          <w:sz w:val="32"/>
          <w:szCs w:val="32"/>
          <w:lang w:val="en-US" w:eastAsia="zh-CN"/>
        </w:rPr>
        <w:t>二是秸秆禁烧工作。</w:t>
      </w:r>
      <w:r>
        <w:rPr>
          <w:rFonts w:hint="eastAsia" w:ascii="宋体" w:hAnsi="宋体" w:eastAsia="宋体" w:cs="宋体"/>
          <w:sz w:val="32"/>
          <w:szCs w:val="32"/>
          <w:lang w:val="en-US" w:eastAsia="zh-CN"/>
        </w:rPr>
        <w:t>组织5支专班在全镇范围内开展全天候的巡查，对包干区域出现火点的责任干部顶格处理，对农户严格执行经济处罚，一定程度上遏制了火点的出现；</w:t>
      </w:r>
      <w:r>
        <w:rPr>
          <w:rFonts w:hint="eastAsia" w:ascii="宋体" w:hAnsi="宋体" w:eastAsia="宋体" w:cs="宋体"/>
          <w:b/>
          <w:bCs/>
          <w:sz w:val="32"/>
          <w:szCs w:val="32"/>
          <w:lang w:val="en-US" w:eastAsia="zh-CN"/>
        </w:rPr>
        <w:t>三是森林防火工作。</w:t>
      </w:r>
      <w:r>
        <w:rPr>
          <w:rFonts w:hint="eastAsia" w:ascii="宋体" w:hAnsi="宋体" w:eastAsia="宋体" w:cs="宋体"/>
          <w:sz w:val="32"/>
          <w:szCs w:val="32"/>
          <w:lang w:val="en-US" w:eastAsia="zh-CN"/>
        </w:rPr>
        <w:t>安装防火语音播报器20个，建成防火隔离带3处、消防蓄水池5个，开展森林防灭火消防演练1次，应急抢灭火能力得到强化。</w:t>
      </w:r>
      <w:r>
        <w:rPr>
          <w:rFonts w:hint="eastAsia" w:ascii="宋体" w:hAnsi="宋体" w:eastAsia="宋体" w:cs="宋体"/>
          <w:b/>
          <w:bCs/>
          <w:sz w:val="32"/>
          <w:szCs w:val="32"/>
          <w:lang w:val="en-US" w:eastAsia="zh-CN"/>
        </w:rPr>
        <w:t>四是耕地保护工作。</w:t>
      </w:r>
      <w:r>
        <w:rPr>
          <w:rFonts w:hint="eastAsia" w:ascii="宋体" w:hAnsi="宋体" w:eastAsia="宋体" w:cs="宋体"/>
          <w:sz w:val="32"/>
          <w:szCs w:val="32"/>
          <w:lang w:val="en-US" w:eastAsia="zh-CN"/>
        </w:rPr>
        <w:t>坚持“消存量、控增量”的思路，完善田长制工作机制，成立联席整改专班，出台专项问责措施，高效推进图斑整改工作，剩余15个“非农化”图斑将于年底全面清零，4个林业图斑将在县局的指导之下完成整改，“非粮化”图斑基本整治到位，举证资料已上报待全面销号。</w:t>
      </w:r>
      <w:r>
        <w:rPr>
          <w:rFonts w:hint="eastAsia" w:ascii="宋体" w:hAnsi="宋体" w:eastAsia="宋体" w:cs="宋体"/>
          <w:b/>
          <w:bCs/>
          <w:sz w:val="32"/>
          <w:szCs w:val="32"/>
          <w:lang w:val="en-US" w:eastAsia="zh-CN"/>
        </w:rPr>
        <w:t>五是生态环保工作。</w:t>
      </w:r>
      <w:r>
        <w:rPr>
          <w:rFonts w:hint="eastAsia" w:ascii="宋体" w:hAnsi="宋体" w:eastAsia="宋体" w:cs="宋体"/>
          <w:sz w:val="32"/>
          <w:szCs w:val="32"/>
          <w:lang w:val="en-US" w:eastAsia="zh-CN"/>
        </w:rPr>
        <w:t>始终扛牢“守护好一江碧水”的政治责任，持续抓好镇域畜禽养殖场、砖瓦厂和岸线治理、秸秆禁烧、大湖水质治理、矿山整治、人居环境等重点领域的问题排查，拆除非法码头14家、关停矿区5个，完成排渍口整治13个，每天开展禁钓禁牧禁渔专项巡查2次，坚决防止环保问题抬头。</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宋体" w:hAnsi="宋体" w:eastAsia="宋体" w:cs="宋体"/>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firstLine="676" w:firstLineChars="200"/>
        <w:textAlignment w:val="auto"/>
        <w:rPr>
          <w:rFonts w:hint="eastAsia" w:ascii="宋体" w:hAnsi="宋体" w:eastAsia="宋体" w:cs="宋体"/>
          <w:spacing w:val="9"/>
          <w:position w:val="21"/>
          <w:sz w:val="32"/>
          <w:szCs w:val="32"/>
        </w:rPr>
      </w:pPr>
      <w:r>
        <w:rPr>
          <w:rFonts w:hint="eastAsia" w:ascii="宋体" w:hAnsi="宋体" w:eastAsia="宋体" w:cs="宋体"/>
          <w:spacing w:val="9"/>
          <w:position w:val="21"/>
          <w:sz w:val="32"/>
          <w:szCs w:val="32"/>
        </w:rPr>
        <w:t>七、存在的问题及原因分析</w:t>
      </w:r>
    </w:p>
    <w:p>
      <w:pPr>
        <w:pStyle w:val="13"/>
        <w:keepNext w:val="0"/>
        <w:keepLines w:val="0"/>
        <w:widowControl/>
        <w:suppressLineNumbers w:val="0"/>
        <w:shd w:val="clear" w:fill="FFFFFF"/>
        <w:spacing w:before="0" w:beforeAutospacing="0" w:after="0" w:afterAutospacing="0" w:line="33" w:lineRule="atLeast"/>
        <w:ind w:firstLine="640" w:firstLineChars="200"/>
        <w:jc w:val="both"/>
        <w:rPr>
          <w:rFonts w:hint="eastAsia" w:ascii="宋体" w:hAnsi="宋体" w:eastAsia="宋体" w:cs="宋体"/>
          <w:kern w:val="2"/>
          <w:sz w:val="32"/>
          <w:szCs w:val="32"/>
          <w:lang w:val="en-US" w:eastAsia="zh-CN" w:bidi="ar-SA"/>
        </w:rPr>
      </w:pPr>
      <w:r>
        <w:rPr>
          <w:rFonts w:hint="eastAsia" w:ascii="宋体" w:hAnsi="宋体" w:eastAsia="宋体" w:cs="宋体"/>
          <w:kern w:val="2"/>
          <w:sz w:val="32"/>
          <w:szCs w:val="32"/>
          <w:lang w:val="en-US" w:eastAsia="zh-CN" w:bidi="ar-SA"/>
        </w:rPr>
        <w:t>1.预算绩效指标体系存在进一步完善的空间，我单位现建立的各项预算绩效目标指标仍有不科学、不细致的地方，影响了预算绩效评价的结果。</w:t>
      </w:r>
    </w:p>
    <w:p>
      <w:pPr>
        <w:pStyle w:val="13"/>
        <w:keepNext w:val="0"/>
        <w:keepLines w:val="0"/>
        <w:widowControl/>
        <w:suppressLineNumbers w:val="0"/>
        <w:shd w:val="clear" w:fill="FFFFFF"/>
        <w:spacing w:before="0" w:beforeAutospacing="0" w:after="0" w:afterAutospacing="0" w:line="33" w:lineRule="atLeast"/>
        <w:ind w:firstLine="640" w:firstLineChars="200"/>
        <w:jc w:val="both"/>
        <w:rPr>
          <w:rFonts w:hint="eastAsia" w:ascii="宋体" w:hAnsi="宋体" w:eastAsia="宋体" w:cs="宋体"/>
          <w:spacing w:val="9"/>
          <w:position w:val="21"/>
          <w:sz w:val="32"/>
          <w:szCs w:val="32"/>
        </w:rPr>
      </w:pPr>
      <w:r>
        <w:rPr>
          <w:rFonts w:hint="eastAsia" w:ascii="宋体" w:hAnsi="宋体" w:eastAsia="宋体" w:cs="宋体"/>
          <w:kern w:val="2"/>
          <w:sz w:val="32"/>
          <w:szCs w:val="32"/>
          <w:lang w:val="en-US" w:eastAsia="zh-CN" w:bidi="ar-SA"/>
        </w:rPr>
        <w:t>2.预算绩效管理经验需要进一步积累。因为预算绩效管理工作具有政策性强、专业性强、涉及面广、操作难度大等特点，经验不足，导致工作多走许多弯路，影响工作效果。</w:t>
      </w:r>
    </w:p>
    <w:p>
      <w:pPr>
        <w:spacing w:line="227" w:lineRule="auto"/>
        <w:ind w:left="643"/>
        <w:rPr>
          <w:rFonts w:hint="eastAsia" w:ascii="宋体" w:hAnsi="宋体" w:eastAsia="宋体" w:cs="宋体"/>
          <w:spacing w:val="8"/>
          <w:sz w:val="32"/>
          <w:szCs w:val="32"/>
        </w:rPr>
      </w:pPr>
      <w:r>
        <w:rPr>
          <w:rFonts w:hint="eastAsia" w:ascii="宋体" w:hAnsi="宋体" w:eastAsia="宋体" w:cs="宋体"/>
          <w:spacing w:val="8"/>
          <w:sz w:val="32"/>
          <w:szCs w:val="32"/>
        </w:rPr>
        <w:t>八、下一步改进措施</w:t>
      </w:r>
    </w:p>
    <w:p>
      <w:pPr>
        <w:pStyle w:val="13"/>
        <w:keepNext w:val="0"/>
        <w:keepLines w:val="0"/>
        <w:widowControl/>
        <w:suppressLineNumbers w:val="0"/>
        <w:shd w:val="clear" w:fill="FFFFFF"/>
        <w:spacing w:before="0" w:beforeAutospacing="0" w:after="0" w:afterAutospacing="0" w:line="33" w:lineRule="atLeast"/>
        <w:ind w:firstLine="640" w:firstLineChars="200"/>
        <w:jc w:val="both"/>
        <w:rPr>
          <w:rFonts w:hint="eastAsia"/>
        </w:rPr>
      </w:pPr>
      <w:r>
        <w:rPr>
          <w:rFonts w:hint="eastAsia" w:ascii="宋体" w:hAnsi="宋体" w:eastAsia="宋体" w:cs="宋体"/>
          <w:kern w:val="2"/>
          <w:sz w:val="32"/>
          <w:szCs w:val="32"/>
          <w:lang w:val="en-US" w:eastAsia="zh-CN" w:bidi="ar-SA"/>
        </w:rPr>
        <w:t>我单位应立足实际，坚持推行精细化管理，强化预算绩效目标管理、细化绩效目标，并将绩效目标细化分解为具体工作计划，同时，计划应明确规定在一定时间内完成的目标、任务和和应达到的要求，任务和要求应具体明确任务数量、质量。建立健全财政各项资金管理制度，严格执行财务管理制度，做到了财务处理及时，会计核算规范，严格按照计划进度支付。各项目资金严格实行专款专用，保证更规范严要求使用资金。在下年度的预算编制工作中，我们会时刻跟踪项目的进度，更好地完成预算资金，做好绩效评价工作。</w:t>
      </w:r>
    </w:p>
    <w:p>
      <w:pPr>
        <w:numPr>
          <w:ilvl w:val="0"/>
          <w:numId w:val="0"/>
        </w:numPr>
        <w:spacing w:before="220" w:line="600" w:lineRule="exact"/>
        <w:ind w:left="210" w:leftChars="0" w:firstLine="338" w:firstLineChars="100"/>
        <w:rPr>
          <w:rFonts w:hint="eastAsia" w:ascii="宋体" w:hAnsi="宋体" w:eastAsia="宋体" w:cs="宋体"/>
          <w:kern w:val="2"/>
          <w:sz w:val="32"/>
          <w:szCs w:val="32"/>
          <w:lang w:val="en-US" w:eastAsia="zh-CN" w:bidi="ar-SA"/>
        </w:rPr>
      </w:pPr>
      <w:r>
        <w:rPr>
          <w:rFonts w:hint="eastAsia" w:ascii="宋体" w:hAnsi="宋体" w:cs="宋体"/>
          <w:spacing w:val="9"/>
          <w:position w:val="21"/>
          <w:sz w:val="32"/>
          <w:szCs w:val="32"/>
          <w:lang w:eastAsia="zh-CN"/>
        </w:rPr>
        <w:t>九、</w:t>
      </w:r>
      <w:r>
        <w:rPr>
          <w:rFonts w:hint="eastAsia" w:ascii="宋体" w:hAnsi="宋体" w:eastAsia="宋体" w:cs="宋体"/>
          <w:spacing w:val="9"/>
          <w:position w:val="21"/>
          <w:sz w:val="32"/>
          <w:szCs w:val="32"/>
        </w:rPr>
        <w:t>部门整体支出绩效自评结果拟应用和公开情况</w:t>
      </w:r>
    </w:p>
    <w:p>
      <w:pPr>
        <w:numPr>
          <w:ilvl w:val="0"/>
          <w:numId w:val="0"/>
        </w:numPr>
        <w:spacing w:before="220" w:line="600" w:lineRule="exact"/>
        <w:ind w:left="210" w:leftChars="0" w:firstLine="320" w:firstLineChars="100"/>
        <w:rPr>
          <w:rFonts w:hint="eastAsia" w:ascii="宋体" w:hAnsi="宋体" w:eastAsia="宋体" w:cs="宋体"/>
          <w:kern w:val="2"/>
          <w:sz w:val="32"/>
          <w:szCs w:val="32"/>
          <w:lang w:val="en-US" w:eastAsia="zh-CN" w:bidi="ar-SA"/>
        </w:rPr>
      </w:pPr>
      <w:r>
        <w:rPr>
          <w:rFonts w:hint="eastAsia" w:ascii="宋体" w:hAnsi="宋体" w:eastAsia="宋体" w:cs="宋体"/>
          <w:kern w:val="2"/>
          <w:sz w:val="32"/>
          <w:szCs w:val="32"/>
          <w:lang w:val="en-US" w:eastAsia="zh-CN" w:bidi="ar-SA"/>
        </w:rPr>
        <w:t>1、在下一年度制定绩效目标时，将对往年的工作程序进行反馈，关注最新的发展变化，制定与时俱进的绩效目标，提高绩效目标的可操作性。</w:t>
      </w:r>
    </w:p>
    <w:p>
      <w:pPr>
        <w:pStyle w:val="13"/>
        <w:keepNext w:val="0"/>
        <w:keepLines w:val="0"/>
        <w:widowControl/>
        <w:suppressLineNumbers w:val="0"/>
        <w:shd w:val="clear" w:fill="FFFFFF"/>
        <w:spacing w:before="0" w:beforeAutospacing="0" w:after="0" w:afterAutospacing="0" w:line="33" w:lineRule="atLeast"/>
        <w:ind w:firstLine="640" w:firstLineChars="200"/>
        <w:jc w:val="both"/>
        <w:rPr>
          <w:rFonts w:hint="eastAsia" w:ascii="宋体" w:hAnsi="宋体" w:eastAsia="宋体" w:cs="宋体"/>
          <w:kern w:val="2"/>
          <w:sz w:val="32"/>
          <w:szCs w:val="32"/>
          <w:lang w:val="en-US" w:eastAsia="zh-CN" w:bidi="ar-SA"/>
        </w:rPr>
      </w:pPr>
      <w:r>
        <w:rPr>
          <w:rFonts w:hint="eastAsia" w:ascii="宋体" w:hAnsi="宋体" w:eastAsia="宋体" w:cs="宋体"/>
          <w:kern w:val="2"/>
          <w:sz w:val="32"/>
          <w:szCs w:val="32"/>
          <w:lang w:val="en-US" w:eastAsia="zh-CN" w:bidi="ar-SA"/>
        </w:rPr>
        <w:t>2、</w:t>
      </w:r>
      <w:r>
        <w:rPr>
          <w:rFonts w:hint="default" w:ascii="宋体" w:hAnsi="宋体" w:eastAsia="宋体" w:cs="宋体"/>
          <w:kern w:val="2"/>
          <w:sz w:val="32"/>
          <w:szCs w:val="32"/>
          <w:lang w:val="en-US" w:eastAsia="zh-CN" w:bidi="ar-SA"/>
        </w:rPr>
        <w:t>拟与预算安排相结合的情况</w:t>
      </w:r>
      <w:r>
        <w:rPr>
          <w:rFonts w:hint="eastAsia" w:ascii="宋体" w:hAnsi="宋体" w:eastAsia="宋体" w:cs="宋体"/>
          <w:kern w:val="2"/>
          <w:sz w:val="32"/>
          <w:szCs w:val="32"/>
          <w:lang w:val="en-US" w:eastAsia="zh-CN" w:bidi="ar-SA"/>
        </w:rPr>
        <w:t>在</w:t>
      </w:r>
      <w:r>
        <w:rPr>
          <w:rFonts w:hint="default" w:ascii="宋体" w:hAnsi="宋体" w:eastAsia="宋体" w:cs="宋体"/>
          <w:kern w:val="2"/>
          <w:sz w:val="32"/>
          <w:szCs w:val="32"/>
          <w:lang w:val="en-US" w:eastAsia="zh-CN" w:bidi="ar-SA"/>
        </w:rPr>
        <w:t>制定合理、可操作的</w:t>
      </w:r>
      <w:r>
        <w:rPr>
          <w:rFonts w:hint="eastAsia" w:ascii="宋体" w:hAnsi="宋体" w:eastAsia="宋体" w:cs="宋体"/>
          <w:kern w:val="2"/>
          <w:sz w:val="32"/>
          <w:szCs w:val="32"/>
          <w:lang w:val="en-US" w:eastAsia="zh-CN" w:bidi="ar-SA"/>
        </w:rPr>
        <w:t>绩</w:t>
      </w:r>
      <w:r>
        <w:rPr>
          <w:rFonts w:hint="default" w:ascii="宋体" w:hAnsi="宋体" w:eastAsia="宋体" w:cs="宋体"/>
          <w:kern w:val="2"/>
          <w:sz w:val="32"/>
          <w:szCs w:val="32"/>
          <w:lang w:val="en-US" w:eastAsia="zh-CN" w:bidi="ar-SA"/>
        </w:rPr>
        <w:t>效目标基础上，将根据年度预算情况，加强对预算执行的监控，提高与</w:t>
      </w:r>
      <w:r>
        <w:rPr>
          <w:rFonts w:hint="eastAsia" w:ascii="宋体" w:hAnsi="宋体" w:eastAsia="宋体" w:cs="宋体"/>
          <w:kern w:val="2"/>
          <w:sz w:val="32"/>
          <w:szCs w:val="32"/>
          <w:lang w:val="en-US" w:eastAsia="zh-CN" w:bidi="ar-SA"/>
        </w:rPr>
        <w:t>相关部门</w:t>
      </w:r>
      <w:r>
        <w:rPr>
          <w:rFonts w:hint="default" w:ascii="宋体" w:hAnsi="宋体" w:eastAsia="宋体" w:cs="宋体"/>
          <w:kern w:val="2"/>
          <w:sz w:val="32"/>
          <w:szCs w:val="32"/>
          <w:lang w:val="en-US" w:eastAsia="zh-CN" w:bidi="ar-SA"/>
        </w:rPr>
        <w:t>的协调配合，跟进资金使用情况，保证资金的执行率，提高资金的使用效益。定期</w:t>
      </w:r>
      <w:r>
        <w:rPr>
          <w:rFonts w:hint="eastAsia" w:ascii="宋体" w:hAnsi="宋体" w:eastAsia="宋体" w:cs="宋体"/>
          <w:kern w:val="2"/>
          <w:sz w:val="32"/>
          <w:szCs w:val="32"/>
          <w:lang w:val="en-US" w:eastAsia="zh-CN" w:bidi="ar-SA"/>
        </w:rPr>
        <w:t>找</w:t>
      </w:r>
      <w:r>
        <w:rPr>
          <w:rFonts w:hint="default" w:ascii="宋体" w:hAnsi="宋体" w:eastAsia="宋体" w:cs="宋体"/>
          <w:kern w:val="2"/>
          <w:sz w:val="32"/>
          <w:szCs w:val="32"/>
          <w:lang w:val="en-US" w:eastAsia="zh-CN" w:bidi="ar-SA"/>
        </w:rPr>
        <w:t>准资金使用过程中与绩效存在差异的地方，及时修正，保证年度目标绩效能按时完成。</w:t>
      </w:r>
      <w:r>
        <w:rPr>
          <w:rFonts w:hint="eastAsia" w:ascii="宋体" w:hAnsi="宋体" w:eastAsia="宋体" w:cs="宋体"/>
          <w:kern w:val="2"/>
          <w:sz w:val="32"/>
          <w:szCs w:val="32"/>
          <w:lang w:val="en-US" w:eastAsia="zh-CN" w:bidi="ar-SA"/>
        </w:rPr>
        <w:t xml:space="preserve">          </w:t>
      </w:r>
    </w:p>
    <w:p>
      <w:pPr>
        <w:pStyle w:val="13"/>
        <w:keepNext w:val="0"/>
        <w:keepLines w:val="0"/>
        <w:widowControl/>
        <w:suppressLineNumbers w:val="0"/>
        <w:shd w:val="clear" w:fill="FFFFFF"/>
        <w:spacing w:before="0" w:beforeAutospacing="0" w:after="0" w:afterAutospacing="0" w:line="33" w:lineRule="atLeast"/>
        <w:ind w:firstLine="640" w:firstLineChars="200"/>
        <w:jc w:val="both"/>
        <w:rPr>
          <w:rFonts w:hint="default" w:ascii="宋体" w:hAnsi="宋体" w:eastAsia="宋体" w:cs="宋体"/>
          <w:kern w:val="2"/>
          <w:sz w:val="32"/>
          <w:szCs w:val="32"/>
          <w:lang w:val="en-US" w:eastAsia="zh-CN" w:bidi="ar-SA"/>
        </w:rPr>
      </w:pPr>
      <w:r>
        <w:rPr>
          <w:rFonts w:hint="eastAsia" w:ascii="宋体" w:hAnsi="宋体" w:eastAsia="宋体" w:cs="宋体"/>
          <w:kern w:val="2"/>
          <w:sz w:val="32"/>
          <w:szCs w:val="32"/>
          <w:lang w:val="en-US" w:eastAsia="zh-CN" w:bidi="ar-SA"/>
        </w:rPr>
        <w:t>3、</w:t>
      </w:r>
      <w:r>
        <w:rPr>
          <w:rFonts w:hint="default" w:ascii="宋体" w:hAnsi="宋体" w:eastAsia="宋体" w:cs="宋体"/>
          <w:kern w:val="2"/>
          <w:sz w:val="32"/>
          <w:szCs w:val="32"/>
          <w:lang w:val="en-US" w:eastAsia="zh-CN" w:bidi="ar-SA"/>
        </w:rPr>
        <w:t>拟公开情况按照政府信息公开相关要求，将绩效自评结果在本单位网站上公开。</w:t>
      </w:r>
    </w:p>
    <w:p>
      <w:pPr>
        <w:pStyle w:val="15"/>
        <w:numPr>
          <w:ilvl w:val="0"/>
          <w:numId w:val="0"/>
        </w:numPr>
        <w:ind w:leftChars="400"/>
        <w:rPr>
          <w:rFonts w:hint="eastAsia" w:ascii="宋体" w:hAnsi="宋体" w:eastAsia="宋体" w:cs="宋体"/>
          <w:spacing w:val="9"/>
          <w:position w:val="21"/>
          <w:sz w:val="32"/>
          <w:szCs w:val="32"/>
        </w:rPr>
      </w:pPr>
      <w:r>
        <w:rPr>
          <w:rFonts w:hint="eastAsia" w:ascii="宋体" w:hAnsi="宋体" w:eastAsia="宋体" w:cs="宋体"/>
          <w:spacing w:val="9"/>
          <w:position w:val="21"/>
          <w:sz w:val="32"/>
          <w:szCs w:val="32"/>
        </w:rPr>
        <w:t>十、其他需要说明的情况</w:t>
      </w:r>
    </w:p>
    <w:p>
      <w:pPr>
        <w:spacing w:before="220" w:line="600" w:lineRule="exact"/>
        <w:ind w:left="641"/>
        <w:rPr>
          <w:rFonts w:hint="eastAsia" w:ascii="宋体" w:hAnsi="宋体" w:eastAsia="宋体" w:cs="宋体"/>
          <w:spacing w:val="9"/>
          <w:position w:val="21"/>
          <w:sz w:val="32"/>
          <w:szCs w:val="32"/>
        </w:rPr>
      </w:pPr>
      <w:r>
        <w:rPr>
          <w:rFonts w:hint="eastAsia" w:ascii="宋体" w:hAnsi="宋体" w:eastAsia="宋体" w:cs="宋体"/>
          <w:spacing w:val="9"/>
          <w:position w:val="21"/>
          <w:sz w:val="32"/>
          <w:szCs w:val="32"/>
          <w:lang w:eastAsia="zh-CN"/>
        </w:rPr>
        <w:t>无</w:t>
      </w:r>
      <w:r>
        <w:rPr>
          <w:rFonts w:hint="eastAsia" w:ascii="宋体" w:hAnsi="宋体" w:eastAsia="宋体" w:cs="宋体"/>
          <w:spacing w:val="9"/>
          <w:position w:val="21"/>
          <w:sz w:val="32"/>
          <w:szCs w:val="32"/>
        </w:rPr>
        <w:br w:type="page"/>
      </w:r>
    </w:p>
    <w:p>
      <w:pPr>
        <w:spacing w:before="220" w:line="600" w:lineRule="exact"/>
        <w:ind w:left="641"/>
        <w:rPr>
          <w:rFonts w:hint="eastAsia" w:ascii="宋体" w:hAnsi="宋体" w:eastAsia="宋体" w:cs="宋体"/>
          <w:spacing w:val="9"/>
          <w:position w:val="21"/>
          <w:sz w:val="32"/>
          <w:szCs w:val="32"/>
        </w:rPr>
        <w:sectPr>
          <w:footerReference r:id="rId4" w:type="default"/>
          <w:pgSz w:w="11905" w:h="16838"/>
          <w:pgMar w:top="1984" w:right="1701" w:bottom="1984" w:left="1701" w:header="850" w:footer="992" w:gutter="0"/>
          <w:pgNumType w:fmt="numberInDash"/>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宋体" w:hAnsi="宋体" w:eastAsia="宋体" w:cs="宋体"/>
          <w:spacing w:val="-4"/>
          <w:sz w:val="32"/>
          <w:szCs w:val="32"/>
          <w:lang w:val="en-US" w:eastAsia="zh-CN"/>
        </w:rPr>
      </w:pPr>
      <w:r>
        <w:rPr>
          <w:rFonts w:hint="eastAsia" w:ascii="宋体" w:hAnsi="宋体" w:eastAsia="宋体" w:cs="宋体"/>
          <w:spacing w:val="-4"/>
          <w:sz w:val="32"/>
          <w:szCs w:val="32"/>
        </w:rPr>
        <w:t>附件</w:t>
      </w:r>
      <w:r>
        <w:rPr>
          <w:rFonts w:hint="eastAsia" w:ascii="宋体" w:hAnsi="宋体" w:eastAsia="宋体" w:cs="宋体"/>
          <w:spacing w:val="-4"/>
          <w:sz w:val="32"/>
          <w:szCs w:val="32"/>
          <w:lang w:val="en-US" w:eastAsia="zh-CN"/>
        </w:rPr>
        <w:t>4</w:t>
      </w:r>
    </w:p>
    <w:p>
      <w:pPr>
        <w:pStyle w:val="12"/>
        <w:keepNext w:val="0"/>
        <w:keepLines w:val="0"/>
        <w:pageBreakBefore w:val="0"/>
        <w:widowControl w:val="0"/>
        <w:kinsoku/>
        <w:wordWrap/>
        <w:overflowPunct/>
        <w:topLinePunct w:val="0"/>
        <w:autoSpaceDE/>
        <w:autoSpaceDN/>
        <w:bidi w:val="0"/>
        <w:adjustRightInd/>
        <w:snapToGrid w:val="0"/>
        <w:spacing w:line="580" w:lineRule="exact"/>
        <w:textAlignment w:val="auto"/>
        <w:rPr>
          <w:rFonts w:hint="eastAsia" w:ascii="宋体" w:hAnsi="宋体" w:eastAsia="宋体" w:cs="宋体"/>
          <w:lang w:val="en-US" w:eastAsia="zh-CN"/>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宋体" w:hAnsi="宋体" w:eastAsia="宋体" w:cs="宋体"/>
          <w:spacing w:val="6"/>
          <w:sz w:val="44"/>
          <w:szCs w:val="44"/>
        </w:rPr>
      </w:pPr>
      <w:r>
        <w:rPr>
          <w:rFonts w:hint="eastAsia" w:ascii="宋体" w:hAnsi="宋体" w:eastAsia="宋体" w:cs="宋体"/>
          <w:spacing w:val="6"/>
          <w:sz w:val="44"/>
          <w:szCs w:val="44"/>
        </w:rPr>
        <w:t>2023年度部门整体支出绩效自评表</w:t>
      </w:r>
    </w:p>
    <w:p>
      <w:pPr>
        <w:spacing w:line="132" w:lineRule="exact"/>
        <w:rPr>
          <w:rFonts w:hint="eastAsia" w:ascii="宋体" w:hAnsi="宋体" w:eastAsia="宋体" w:cs="宋体"/>
        </w:rPr>
      </w:pPr>
    </w:p>
    <w:tbl>
      <w:tblPr>
        <w:tblStyle w:val="24"/>
        <w:tblW w:w="8620"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9"/>
        <w:gridCol w:w="986"/>
        <w:gridCol w:w="901"/>
        <w:gridCol w:w="64"/>
        <w:gridCol w:w="1019"/>
        <w:gridCol w:w="1059"/>
        <w:gridCol w:w="1003"/>
        <w:gridCol w:w="691"/>
        <w:gridCol w:w="717"/>
        <w:gridCol w:w="136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PrEx>
        <w:trPr>
          <w:trHeight w:val="1029" w:hRule="atLeast"/>
          <w:jc w:val="center"/>
        </w:trPr>
        <w:tc>
          <w:tcPr>
            <w:tcW w:w="2770"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省级预算部门、单位名称</w:t>
            </w:r>
          </w:p>
        </w:tc>
        <w:tc>
          <w:tcPr>
            <w:tcW w:w="5850"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4"/>
                <w:szCs w:val="24"/>
                <w:lang w:eastAsia="zh-CN"/>
              </w:rPr>
              <w:t>华容县</w:t>
            </w:r>
            <w:r>
              <w:rPr>
                <w:rFonts w:hint="eastAsia" w:ascii="宋体" w:hAnsi="宋体" w:cs="宋体"/>
                <w:sz w:val="24"/>
                <w:szCs w:val="24"/>
                <w:lang w:eastAsia="zh-CN"/>
              </w:rPr>
              <w:t>东山</w:t>
            </w:r>
            <w:r>
              <w:rPr>
                <w:rFonts w:hint="eastAsia" w:ascii="宋体" w:hAnsi="宋体" w:eastAsia="宋体" w:cs="宋体"/>
                <w:sz w:val="24"/>
                <w:szCs w:val="24"/>
                <w:lang w:eastAsia="zh-CN"/>
              </w:rPr>
              <w:t>镇人民政府</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20" w:hRule="atLeast"/>
          <w:jc w:val="center"/>
        </w:trPr>
        <w:tc>
          <w:tcPr>
            <w:tcW w:w="8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年度预算申请（万元）</w:t>
            </w:r>
          </w:p>
        </w:tc>
        <w:tc>
          <w:tcPr>
            <w:tcW w:w="1951" w:type="dxa"/>
            <w:gridSpan w:val="3"/>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101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年初</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预算数</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预算数</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执行数</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分值</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执行率</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1951" w:type="dxa"/>
            <w:gridSpan w:val="3"/>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年度资金总额</w:t>
            </w:r>
          </w:p>
        </w:tc>
        <w:tc>
          <w:tcPr>
            <w:tcW w:w="101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1406.18</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6959.54</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6959.54</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10</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4029"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58" w:firstLineChars="28"/>
              <w:jc w:val="both"/>
              <w:textAlignment w:val="auto"/>
              <w:rPr>
                <w:rFonts w:hint="default" w:ascii="宋体" w:hAnsi="宋体" w:eastAsia="宋体" w:cs="宋体"/>
                <w:sz w:val="21"/>
                <w:szCs w:val="21"/>
                <w:lang w:val="en-US" w:eastAsia="zh-CN"/>
              </w:rPr>
            </w:pPr>
            <w:r>
              <w:rPr>
                <w:rFonts w:hint="eastAsia" w:ascii="宋体" w:hAnsi="宋体" w:eastAsia="宋体" w:cs="宋体"/>
                <w:sz w:val="21"/>
                <w:szCs w:val="21"/>
              </w:rPr>
              <w:t>按收入性质分：</w:t>
            </w:r>
          </w:p>
        </w:tc>
        <w:tc>
          <w:tcPr>
            <w:tcW w:w="3772"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default" w:ascii="宋体" w:hAnsi="宋体" w:eastAsia="宋体" w:cs="宋体"/>
                <w:sz w:val="21"/>
                <w:szCs w:val="21"/>
                <w:lang w:val="en-US" w:eastAsia="zh-CN"/>
              </w:rPr>
            </w:pPr>
            <w:r>
              <w:rPr>
                <w:rFonts w:hint="eastAsia" w:ascii="宋体" w:hAnsi="宋体" w:eastAsia="宋体" w:cs="宋体"/>
                <w:sz w:val="21"/>
                <w:szCs w:val="21"/>
              </w:rPr>
              <w:t>按支出性质分：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4029"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both"/>
              <w:textAlignment w:val="auto"/>
              <w:rPr>
                <w:rFonts w:hint="default" w:ascii="宋体" w:hAnsi="宋体" w:eastAsia="宋体" w:cs="宋体"/>
                <w:sz w:val="21"/>
                <w:szCs w:val="21"/>
                <w:lang w:val="en-US" w:eastAsia="zh-CN"/>
              </w:rPr>
            </w:pPr>
            <w:r>
              <w:rPr>
                <w:rFonts w:hint="eastAsia" w:ascii="宋体" w:hAnsi="宋体" w:eastAsia="宋体" w:cs="宋体"/>
                <w:sz w:val="21"/>
                <w:szCs w:val="21"/>
              </w:rPr>
              <w:t>其中：一般公共预算：</w:t>
            </w:r>
            <w:r>
              <w:rPr>
                <w:rFonts w:hint="eastAsia" w:ascii="宋体" w:hAnsi="宋体" w:cs="宋体"/>
                <w:sz w:val="21"/>
                <w:szCs w:val="21"/>
                <w:lang w:val="en-US" w:eastAsia="zh-CN"/>
              </w:rPr>
              <w:t>6409.72</w:t>
            </w:r>
          </w:p>
        </w:tc>
        <w:tc>
          <w:tcPr>
            <w:tcW w:w="3772"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left"/>
              <w:textAlignment w:val="auto"/>
              <w:rPr>
                <w:rFonts w:hint="default" w:ascii="宋体" w:hAnsi="宋体" w:eastAsia="宋体" w:cs="宋体"/>
                <w:sz w:val="21"/>
                <w:szCs w:val="21"/>
                <w:lang w:val="en-US" w:eastAsia="zh-CN"/>
              </w:rPr>
            </w:pPr>
            <w:r>
              <w:rPr>
                <w:rFonts w:hint="eastAsia" w:ascii="宋体" w:hAnsi="宋体" w:eastAsia="宋体" w:cs="宋体"/>
                <w:sz w:val="21"/>
                <w:szCs w:val="21"/>
              </w:rPr>
              <w:t>其中：基本支出：</w:t>
            </w:r>
            <w:r>
              <w:rPr>
                <w:rFonts w:hint="eastAsia" w:ascii="宋体" w:hAnsi="宋体" w:cs="宋体"/>
                <w:sz w:val="21"/>
                <w:szCs w:val="21"/>
                <w:lang w:val="en-US" w:eastAsia="zh-CN"/>
              </w:rPr>
              <w:t>1908.79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4029"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both"/>
              <w:textAlignment w:val="auto"/>
              <w:rPr>
                <w:rFonts w:hint="default" w:ascii="宋体" w:hAnsi="宋体" w:eastAsia="宋体" w:cs="宋体"/>
                <w:sz w:val="21"/>
                <w:szCs w:val="21"/>
                <w:lang w:val="en-US" w:eastAsia="zh-CN"/>
              </w:rPr>
            </w:pPr>
            <w:r>
              <w:rPr>
                <w:rFonts w:hint="eastAsia" w:ascii="宋体" w:hAnsi="宋体" w:eastAsia="宋体" w:cs="宋体"/>
                <w:sz w:val="21"/>
                <w:szCs w:val="21"/>
              </w:rPr>
              <w:t>政府性基金拨款：</w:t>
            </w:r>
            <w:r>
              <w:rPr>
                <w:rFonts w:hint="eastAsia" w:ascii="宋体" w:hAnsi="宋体" w:cs="宋体"/>
                <w:sz w:val="21"/>
                <w:szCs w:val="21"/>
                <w:lang w:val="en-US" w:eastAsia="zh-CN"/>
              </w:rPr>
              <w:t>549.82</w:t>
            </w:r>
          </w:p>
        </w:tc>
        <w:tc>
          <w:tcPr>
            <w:tcW w:w="3772"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840" w:firstLineChars="400"/>
              <w:jc w:val="left"/>
              <w:textAlignment w:val="auto"/>
              <w:rPr>
                <w:rFonts w:hint="default" w:ascii="宋体" w:hAnsi="宋体" w:eastAsia="宋体" w:cs="宋体"/>
                <w:sz w:val="21"/>
                <w:szCs w:val="21"/>
                <w:lang w:val="en-US" w:eastAsia="zh-CN"/>
              </w:rPr>
            </w:pPr>
            <w:r>
              <w:rPr>
                <w:rFonts w:hint="eastAsia" w:ascii="宋体" w:hAnsi="宋体" w:eastAsia="宋体" w:cs="宋体"/>
                <w:sz w:val="21"/>
                <w:szCs w:val="21"/>
              </w:rPr>
              <w:t>项目支出：</w:t>
            </w:r>
            <w:r>
              <w:rPr>
                <w:rFonts w:hint="eastAsia" w:ascii="宋体" w:hAnsi="宋体" w:cs="宋体"/>
                <w:sz w:val="21"/>
                <w:szCs w:val="21"/>
                <w:lang w:val="en-US" w:eastAsia="zh-CN"/>
              </w:rPr>
              <w:t>5050.75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9"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4029"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default" w:ascii="宋体" w:hAnsi="宋体" w:eastAsia="宋体" w:cs="宋体"/>
                <w:sz w:val="21"/>
                <w:szCs w:val="21"/>
                <w:lang w:val="en-US" w:eastAsia="zh-CN"/>
              </w:rPr>
            </w:pPr>
            <w:r>
              <w:rPr>
                <w:rFonts w:hint="eastAsia" w:ascii="宋体" w:hAnsi="宋体" w:eastAsia="宋体" w:cs="宋体"/>
                <w:sz w:val="21"/>
                <w:szCs w:val="21"/>
              </w:rPr>
              <w:t>纳入专户管理的非税收入拨款：</w:t>
            </w:r>
          </w:p>
        </w:tc>
        <w:tc>
          <w:tcPr>
            <w:tcW w:w="3772"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4029"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宋体" w:hAnsi="宋体" w:eastAsia="宋体" w:cs="宋体"/>
                <w:sz w:val="21"/>
                <w:szCs w:val="21"/>
              </w:rPr>
            </w:pPr>
            <w:r>
              <w:rPr>
                <w:rFonts w:hint="eastAsia" w:ascii="宋体" w:hAnsi="宋体" w:eastAsia="宋体" w:cs="宋体"/>
                <w:sz w:val="21"/>
                <w:szCs w:val="21"/>
              </w:rPr>
              <w:t>其他资金：</w:t>
            </w:r>
          </w:p>
        </w:tc>
        <w:tc>
          <w:tcPr>
            <w:tcW w:w="3772"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年度</w:t>
            </w:r>
            <w:r>
              <w:rPr>
                <w:rFonts w:hint="eastAsia" w:ascii="宋体" w:hAnsi="宋体" w:eastAsia="宋体" w:cs="宋体"/>
                <w:sz w:val="21"/>
                <w:szCs w:val="21"/>
                <w:lang w:eastAsia="zh-CN"/>
              </w:rPr>
              <w:t>总</w:t>
            </w:r>
            <w:r>
              <w:rPr>
                <w:rFonts w:hint="eastAsia" w:ascii="宋体" w:hAnsi="宋体" w:eastAsia="宋体" w:cs="宋体"/>
                <w:sz w:val="21"/>
                <w:szCs w:val="21"/>
              </w:rPr>
              <w:t>体目标</w:t>
            </w:r>
          </w:p>
        </w:tc>
        <w:tc>
          <w:tcPr>
            <w:tcW w:w="4029"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预期目标</w:t>
            </w:r>
          </w:p>
        </w:tc>
        <w:tc>
          <w:tcPr>
            <w:tcW w:w="3772"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4029"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全民贯彻落实党和国家在农村的各项方针政策和法律法规，加强基层组织建设，完善党对农村工作的领导，紧紧围绕促进经济发展，增加农民收入，强化公共服务，着力改善民生，加强社会管理、维护农村稳定，推进基层民主、促进农村和谐四个方面履职。</w:t>
            </w:r>
          </w:p>
        </w:tc>
        <w:tc>
          <w:tcPr>
            <w:tcW w:w="3772"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今年来，东山镇领导班子始终坚持以习近平新时代中国特色社会主义思想为指引，在县委、县政府的坚强领导下，主动担当作为、奋力拼搏赶超，统筹推进各项工作，为县委“一廊二中心”建设交上满意的答卷。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60" w:hRule="atLeast"/>
          <w:jc w:val="center"/>
        </w:trPr>
        <w:tc>
          <w:tcPr>
            <w:tcW w:w="819"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标</w:t>
            </w:r>
          </w:p>
        </w:tc>
        <w:tc>
          <w:tcPr>
            <w:tcW w:w="986" w:type="dxa"/>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一级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90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二级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8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三级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年度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指标值</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实际</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完成值</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分值</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自评</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得分</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lang w:eastAsia="zh-CN"/>
              </w:rPr>
              <w:t>偏差原因分析</w:t>
            </w:r>
            <w:r>
              <w:rPr>
                <w:rFonts w:hint="eastAsia" w:ascii="宋体" w:hAnsi="宋体" w:eastAsia="宋体" w:cs="宋体"/>
                <w:sz w:val="21"/>
                <w:szCs w:val="21"/>
              </w:rPr>
              <w:t>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出</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sz w:val="21"/>
                <w:szCs w:val="21"/>
                <w:lang w:val="en-US" w:eastAsia="zh-CN"/>
              </w:rPr>
              <w:t>3</w:t>
            </w:r>
            <w:r>
              <w:rPr>
                <w:rFonts w:hint="eastAsia" w:ascii="宋体" w:hAnsi="宋体" w:eastAsia="宋体" w:cs="宋体"/>
                <w:sz w:val="21"/>
                <w:szCs w:val="21"/>
              </w:rPr>
              <w:t>0分</w:t>
            </w:r>
            <w:r>
              <w:rPr>
                <w:rFonts w:hint="eastAsia" w:ascii="宋体" w:hAnsi="宋体" w:eastAsia="宋体" w:cs="宋体"/>
                <w:sz w:val="21"/>
                <w:szCs w:val="21"/>
                <w:lang w:eastAsia="zh-CN"/>
              </w:rPr>
              <w:t>）</w:t>
            </w:r>
          </w:p>
        </w:tc>
        <w:tc>
          <w:tcPr>
            <w:tcW w:w="901" w:type="dxa"/>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数量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8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宋体" w:hAnsi="宋体" w:eastAsia="宋体" w:cs="宋体"/>
                <w:sz w:val="21"/>
                <w:szCs w:val="21"/>
                <w:lang w:val="en-US" w:eastAsia="zh-CN"/>
              </w:rPr>
            </w:pPr>
            <w:r>
              <w:rPr>
                <w:rFonts w:hint="eastAsia" w:ascii="宋体" w:hAnsi="宋体" w:cs="宋体"/>
                <w:sz w:val="21"/>
                <w:szCs w:val="21"/>
                <w:lang w:val="en-US" w:eastAsia="zh-CN"/>
              </w:rPr>
              <w:t>投入资金改善居民用水问题</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i w:val="0"/>
                <w:iCs w:val="0"/>
                <w:color w:val="000000"/>
                <w:kern w:val="0"/>
                <w:sz w:val="20"/>
                <w:szCs w:val="20"/>
                <w:u w:val="none"/>
                <w:lang w:val="en-US" w:eastAsia="zh-CN" w:bidi="ar"/>
              </w:rPr>
              <w:t>&gt;=</w:t>
            </w:r>
            <w:r>
              <w:rPr>
                <w:rFonts w:hint="eastAsia" w:ascii="宋体" w:hAnsi="宋体" w:cs="宋体"/>
                <w:sz w:val="21"/>
                <w:szCs w:val="21"/>
                <w:lang w:val="en-US" w:eastAsia="zh-CN"/>
              </w:rPr>
              <w:t>500万元</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500万元</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31"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108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宋体" w:hAnsi="宋体" w:eastAsia="宋体" w:cs="宋体"/>
                <w:sz w:val="21"/>
                <w:szCs w:val="21"/>
                <w:lang w:val="en-US" w:eastAsia="zh-CN"/>
              </w:rPr>
            </w:pPr>
            <w:r>
              <w:rPr>
                <w:rFonts w:hint="eastAsia" w:ascii="宋体" w:hAnsi="宋体" w:cs="宋体"/>
                <w:sz w:val="21"/>
                <w:szCs w:val="21"/>
                <w:lang w:val="en-US" w:eastAsia="zh-CN"/>
              </w:rPr>
              <w:t>粮食生产播种面积</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i w:val="0"/>
                <w:iCs w:val="0"/>
                <w:color w:val="000000"/>
                <w:kern w:val="0"/>
                <w:sz w:val="20"/>
                <w:szCs w:val="20"/>
                <w:u w:val="none"/>
                <w:lang w:val="en-US" w:eastAsia="zh-CN" w:bidi="ar"/>
              </w:rPr>
              <w:t>&gt;=</w:t>
            </w:r>
            <w:r>
              <w:rPr>
                <w:rFonts w:hint="eastAsia" w:ascii="宋体" w:hAnsi="宋体" w:cs="宋体"/>
                <w:sz w:val="21"/>
                <w:szCs w:val="21"/>
                <w:lang w:val="en-US" w:eastAsia="zh-CN"/>
              </w:rPr>
              <w:t>18.2万亩</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18.2万亩</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vMerge w:val="continue"/>
            <w:tcBorders>
              <w:top w:val="nil"/>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108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cs="宋体"/>
                <w:sz w:val="21"/>
                <w:szCs w:val="21"/>
                <w:lang w:val="en-US" w:eastAsia="zh-CN"/>
              </w:rPr>
              <w:t>新建厕所</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rPr>
            </w:pPr>
            <w:r>
              <w:rPr>
                <w:rFonts w:hint="eastAsia" w:ascii="宋体" w:hAnsi="宋体" w:eastAsia="宋体" w:cs="宋体"/>
                <w:i w:val="0"/>
                <w:iCs w:val="0"/>
                <w:color w:val="000000"/>
                <w:kern w:val="0"/>
                <w:sz w:val="20"/>
                <w:szCs w:val="20"/>
                <w:u w:val="none"/>
                <w:lang w:val="en-US" w:eastAsia="zh-CN" w:bidi="ar"/>
              </w:rPr>
              <w:t>&gt;=</w:t>
            </w:r>
            <w:r>
              <w:rPr>
                <w:rFonts w:hint="eastAsia" w:ascii="宋体" w:hAnsi="宋体" w:cs="宋体"/>
                <w:i w:val="0"/>
                <w:iCs w:val="0"/>
                <w:color w:val="000000"/>
                <w:kern w:val="0"/>
                <w:sz w:val="20"/>
                <w:szCs w:val="20"/>
                <w:u w:val="none"/>
                <w:lang w:val="en-US" w:eastAsia="zh-CN" w:bidi="ar"/>
              </w:rPr>
              <w:t>259个</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i w:val="0"/>
                <w:iCs w:val="0"/>
                <w:color w:val="000000"/>
                <w:kern w:val="0"/>
                <w:sz w:val="20"/>
                <w:szCs w:val="20"/>
                <w:u w:val="none"/>
                <w:lang w:val="en-US" w:eastAsia="zh-CN" w:bidi="ar"/>
              </w:rPr>
              <w:t>259个</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质量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8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i w:val="0"/>
                <w:iCs w:val="0"/>
                <w:color w:val="000000"/>
                <w:kern w:val="0"/>
                <w:sz w:val="22"/>
                <w:szCs w:val="22"/>
                <w:u w:val="none"/>
                <w:lang w:val="en-US" w:eastAsia="zh-CN" w:bidi="ar"/>
              </w:rPr>
              <w:t>办公设备利用率</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i w:val="0"/>
                <w:iCs w:val="0"/>
                <w:color w:val="000000"/>
                <w:kern w:val="0"/>
                <w:sz w:val="22"/>
                <w:szCs w:val="22"/>
                <w:u w:val="none"/>
                <w:lang w:val="en-US" w:eastAsia="zh-CN" w:bidi="ar"/>
              </w:rPr>
              <w:t>&gt;=90%</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1083" w:type="dxa"/>
            <w:gridSpan w:val="2"/>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新宋体" w:hAnsi="新宋体" w:eastAsia="新宋体" w:cs="新宋体"/>
                <w:color w:val="000000"/>
                <w:kern w:val="2"/>
                <w:sz w:val="21"/>
                <w:szCs w:val="21"/>
                <w:lang w:val="en-US" w:eastAsia="zh-CN" w:bidi="ar-SA"/>
              </w:rPr>
            </w:pPr>
            <w:r>
              <w:rPr>
                <w:rFonts w:hint="eastAsia" w:ascii="宋体" w:hAnsi="宋体" w:eastAsia="宋体" w:cs="宋体"/>
                <w:i w:val="0"/>
                <w:iCs w:val="0"/>
                <w:color w:val="000000"/>
                <w:kern w:val="0"/>
                <w:sz w:val="22"/>
                <w:szCs w:val="22"/>
                <w:u w:val="none"/>
                <w:lang w:val="en-US" w:eastAsia="zh-CN" w:bidi="ar"/>
              </w:rPr>
              <w:t>考核指标对标对表率</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i w:val="0"/>
                <w:iCs w:val="0"/>
                <w:color w:val="000000"/>
                <w:kern w:val="0"/>
                <w:sz w:val="22"/>
                <w:szCs w:val="22"/>
                <w:u w:val="none"/>
                <w:lang w:val="en-US" w:eastAsia="zh-CN" w:bidi="ar"/>
              </w:rPr>
              <w:t>&gt;=90%</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vMerge w:val="continue"/>
            <w:tcBorders>
              <w:top w:val="nil"/>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108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i w:val="0"/>
                <w:iCs w:val="0"/>
                <w:color w:val="000000"/>
                <w:kern w:val="0"/>
                <w:sz w:val="22"/>
                <w:szCs w:val="22"/>
                <w:u w:val="none"/>
                <w:lang w:val="en-US" w:eastAsia="zh-CN" w:bidi="ar"/>
              </w:rPr>
              <w:t>完成工作及时率</w:t>
            </w:r>
          </w:p>
        </w:tc>
        <w:tc>
          <w:tcPr>
            <w:tcW w:w="1059" w:type="dxa"/>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新宋体" w:hAnsi="新宋体" w:eastAsia="新宋体" w:cs="新宋体"/>
                <w:color w:val="000000"/>
                <w:kern w:val="2"/>
                <w:sz w:val="21"/>
                <w:szCs w:val="21"/>
                <w:lang w:val="en-US" w:eastAsia="zh-CN" w:bidi="ar-SA"/>
              </w:rPr>
            </w:pPr>
            <w:r>
              <w:rPr>
                <w:rFonts w:hint="eastAsia" w:ascii="宋体" w:hAnsi="宋体" w:eastAsia="宋体" w:cs="宋体"/>
                <w:i w:val="0"/>
                <w:iCs w:val="0"/>
                <w:color w:val="000000"/>
                <w:kern w:val="0"/>
                <w:sz w:val="22"/>
                <w:szCs w:val="22"/>
                <w:u w:val="none"/>
                <w:lang w:val="en-US" w:eastAsia="zh-CN" w:bidi="ar"/>
              </w:rPr>
              <w:t>&gt;=98%</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时效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83" w:type="dxa"/>
            <w:gridSpan w:val="2"/>
            <w:tcBorders>
              <w:left w:val="single" w:color="auto" w:sz="4" w:space="0"/>
            </w:tcBorders>
            <w:vAlign w:val="center"/>
          </w:tcPr>
          <w:p>
            <w:pPr>
              <w:keepNext w:val="0"/>
              <w:keepLines w:val="0"/>
              <w:widowControl/>
              <w:suppressLineNumbers w:val="0"/>
              <w:spacing w:before="0" w:beforeAutospacing="0" w:after="0" w:afterAutospacing="0"/>
              <w:ind w:left="0" w:leftChars="0" w:right="0" w:rightChars="0"/>
              <w:jc w:val="left"/>
              <w:textAlignment w:val="center"/>
              <w:rPr>
                <w:rFonts w:hint="eastAsia" w:ascii="新宋体" w:hAnsi="新宋体" w:eastAsia="新宋体" w:cs="新宋体"/>
                <w:i w:val="0"/>
                <w:iCs w:val="0"/>
                <w:color w:val="000000"/>
                <w:kern w:val="2"/>
                <w:sz w:val="21"/>
                <w:szCs w:val="21"/>
                <w:lang w:val="en-US" w:eastAsia="zh-CN" w:bidi="ar-SA"/>
              </w:rPr>
            </w:pPr>
            <w:r>
              <w:rPr>
                <w:rFonts w:hint="eastAsia" w:ascii="宋体" w:hAnsi="宋体" w:eastAsia="宋体" w:cs="宋体"/>
                <w:i w:val="0"/>
                <w:iCs w:val="0"/>
                <w:color w:val="000000"/>
                <w:kern w:val="0"/>
                <w:sz w:val="22"/>
                <w:szCs w:val="22"/>
                <w:u w:val="none"/>
                <w:lang w:val="en-US" w:eastAsia="zh-CN" w:bidi="ar"/>
              </w:rPr>
              <w:t>12月30日前预算执行支出率</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i w:val="0"/>
                <w:iCs w:val="0"/>
                <w:color w:val="000000"/>
                <w:kern w:val="0"/>
                <w:sz w:val="22"/>
                <w:szCs w:val="22"/>
                <w:u w:val="none"/>
                <w:lang w:val="en-US" w:eastAsia="zh-CN" w:bidi="ar"/>
              </w:rPr>
              <w:t>&gt;=9</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9"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标</w:t>
            </w:r>
          </w:p>
        </w:tc>
        <w:tc>
          <w:tcPr>
            <w:tcW w:w="986"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（30分）</w:t>
            </w:r>
          </w:p>
        </w:tc>
        <w:tc>
          <w:tcPr>
            <w:tcW w:w="90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83"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i w:val="0"/>
                <w:iCs w:val="0"/>
                <w:color w:val="000000"/>
                <w:kern w:val="0"/>
                <w:sz w:val="22"/>
                <w:szCs w:val="22"/>
                <w:u w:val="none"/>
                <w:lang w:val="en-US" w:eastAsia="zh-CN" w:bidi="ar"/>
              </w:rPr>
              <w:t>集体经济平均收入</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&gt;=</w:t>
            </w:r>
            <w:r>
              <w:rPr>
                <w:rFonts w:hint="eastAsia" w:ascii="宋体" w:hAnsi="宋体" w:cs="宋体"/>
                <w:i w:val="0"/>
                <w:iCs w:val="0"/>
                <w:color w:val="000000"/>
                <w:kern w:val="0"/>
                <w:sz w:val="22"/>
                <w:szCs w:val="22"/>
                <w:u w:val="none"/>
                <w:lang w:val="en-US" w:eastAsia="zh-CN" w:bidi="ar"/>
              </w:rPr>
              <w:t>20</w:t>
            </w:r>
            <w:r>
              <w:rPr>
                <w:rFonts w:hint="eastAsia" w:ascii="宋体" w:hAnsi="宋体" w:eastAsia="宋体" w:cs="宋体"/>
                <w:i w:val="0"/>
                <w:iCs w:val="0"/>
                <w:color w:val="000000"/>
                <w:kern w:val="0"/>
                <w:sz w:val="22"/>
                <w:szCs w:val="22"/>
                <w:u w:val="none"/>
                <w:lang w:val="en-US" w:eastAsia="zh-CN" w:bidi="ar"/>
              </w:rPr>
              <w:t>万元</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20</w:t>
            </w:r>
            <w:r>
              <w:rPr>
                <w:rFonts w:hint="eastAsia" w:ascii="宋体" w:hAnsi="宋体" w:eastAsia="宋体" w:cs="宋体"/>
                <w:sz w:val="21"/>
                <w:szCs w:val="21"/>
                <w:lang w:val="en-US" w:eastAsia="zh-CN"/>
              </w:rPr>
              <w:t>万元</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8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新宋体" w:hAnsi="新宋体" w:eastAsia="新宋体" w:cs="新宋体"/>
                <w:i w:val="0"/>
                <w:iCs w:val="0"/>
                <w:color w:val="000000"/>
                <w:sz w:val="21"/>
                <w:szCs w:val="21"/>
                <w:lang w:val="en-US" w:eastAsia="zh-CN"/>
              </w:rPr>
              <w:t>城乡居民养老保险参保率</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rPr>
            </w:pPr>
            <w:r>
              <w:rPr>
                <w:rFonts w:hint="eastAsia" w:ascii="宋体" w:hAnsi="宋体" w:eastAsia="宋体" w:cs="宋体"/>
                <w:i w:val="0"/>
                <w:iCs w:val="0"/>
                <w:color w:val="000000"/>
                <w:kern w:val="0"/>
                <w:sz w:val="22"/>
                <w:szCs w:val="22"/>
                <w:u w:val="none"/>
                <w:lang w:val="en-US" w:eastAsia="zh-CN" w:bidi="ar"/>
              </w:rPr>
              <w:t>&gt;=</w:t>
            </w:r>
            <w:r>
              <w:rPr>
                <w:rFonts w:hint="eastAsia" w:ascii="新宋体" w:hAnsi="新宋体" w:eastAsia="新宋体" w:cs="新宋体"/>
                <w:i w:val="0"/>
                <w:iCs w:val="0"/>
                <w:color w:val="000000"/>
                <w:sz w:val="21"/>
                <w:szCs w:val="21"/>
                <w:lang w:val="en-US" w:eastAsia="zh-CN"/>
              </w:rPr>
              <w:t>95%</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新宋体" w:hAnsi="新宋体" w:eastAsia="新宋体" w:cs="新宋体"/>
                <w:i w:val="0"/>
                <w:iCs w:val="0"/>
                <w:color w:val="000000"/>
                <w:sz w:val="21"/>
                <w:szCs w:val="21"/>
                <w:lang w:val="en-US" w:eastAsia="zh-CN"/>
              </w:rPr>
              <w:t>98%</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8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i w:val="0"/>
                <w:iCs w:val="0"/>
                <w:color w:val="000000"/>
                <w:sz w:val="21"/>
                <w:szCs w:val="21"/>
                <w:lang w:val="en-US" w:eastAsia="zh-CN"/>
              </w:rPr>
            </w:pPr>
            <w:r>
              <w:rPr>
                <w:rFonts w:hint="eastAsia" w:ascii="新宋体" w:hAnsi="新宋体" w:eastAsia="新宋体" w:cs="新宋体"/>
                <w:i w:val="0"/>
                <w:iCs w:val="0"/>
                <w:color w:val="000000"/>
                <w:sz w:val="21"/>
                <w:szCs w:val="21"/>
                <w:lang w:val="en-US" w:eastAsia="zh-CN"/>
              </w:rPr>
              <w:t>加强秸秆禁烧管理</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i w:val="0"/>
                <w:iCs w:val="0"/>
                <w:color w:val="000000"/>
                <w:sz w:val="21"/>
                <w:szCs w:val="21"/>
                <w:lang w:val="en-US" w:eastAsia="zh-CN"/>
              </w:rPr>
            </w:pPr>
            <w:r>
              <w:rPr>
                <w:rFonts w:hint="eastAsia" w:ascii="新宋体" w:hAnsi="新宋体" w:eastAsia="新宋体" w:cs="新宋体"/>
                <w:i w:val="0"/>
                <w:iCs w:val="0"/>
                <w:color w:val="000000"/>
                <w:sz w:val="21"/>
                <w:szCs w:val="21"/>
                <w:lang w:val="en-US" w:eastAsia="zh-CN"/>
              </w:rPr>
              <w:t>=人居环境得到改善%</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可持续</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影响</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83"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新宋体" w:hAnsi="新宋体" w:eastAsia="新宋体" w:cs="新宋体"/>
                <w:i w:val="0"/>
                <w:iCs w:val="0"/>
                <w:color w:val="000000"/>
                <w:sz w:val="21"/>
                <w:szCs w:val="21"/>
                <w:lang w:val="en-US" w:eastAsia="zh-CN"/>
              </w:rPr>
              <w:t>全镇经济发展</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新宋体" w:hAnsi="新宋体" w:eastAsia="新宋体" w:cs="新宋体"/>
                <w:i w:val="0"/>
                <w:iCs w:val="0"/>
                <w:color w:val="000000"/>
                <w:sz w:val="21"/>
                <w:szCs w:val="21"/>
                <w:lang w:val="en-US" w:eastAsia="zh-CN"/>
              </w:rPr>
              <w:t>=促进全镇经济发展%</w:t>
            </w:r>
          </w:p>
        </w:tc>
        <w:tc>
          <w:tcPr>
            <w:tcW w:w="100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default" w:ascii="新宋体" w:hAnsi="新宋体" w:eastAsia="新宋体" w:cs="新宋体"/>
                <w:i w:val="0"/>
                <w:iCs w:val="0"/>
                <w:color w:val="000000"/>
                <w:kern w:val="2"/>
                <w:sz w:val="21"/>
                <w:szCs w:val="21"/>
                <w:lang w:val="en-US" w:eastAsia="zh-CN" w:bidi="ar-SA"/>
              </w:rPr>
            </w:pPr>
            <w:r>
              <w:rPr>
                <w:rFonts w:hint="eastAsia" w:ascii="新宋体" w:hAnsi="新宋体" w:eastAsia="新宋体" w:cs="新宋体"/>
                <w:i w:val="0"/>
                <w:iCs w:val="0"/>
                <w:color w:val="000000"/>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（10分）</w:t>
            </w:r>
          </w:p>
        </w:tc>
        <w:tc>
          <w:tcPr>
            <w:tcW w:w="901" w:type="dxa"/>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服务对象</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1083"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i w:val="0"/>
                <w:iCs w:val="0"/>
                <w:color w:val="000000"/>
                <w:kern w:val="0"/>
                <w:sz w:val="22"/>
                <w:szCs w:val="22"/>
                <w:u w:val="none"/>
                <w:lang w:val="en-US" w:eastAsia="zh-CN" w:bidi="ar"/>
              </w:rPr>
              <w:t>社会公众满意度</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i w:val="0"/>
                <w:iCs w:val="0"/>
                <w:color w:val="000000"/>
                <w:kern w:val="0"/>
                <w:sz w:val="22"/>
                <w:szCs w:val="22"/>
                <w:u w:val="none"/>
                <w:lang w:val="en-US" w:eastAsia="zh-CN" w:bidi="ar"/>
              </w:rPr>
              <w:t>&gt;=9</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r>
              <w:rPr>
                <w:rFonts w:hint="eastAsia" w:ascii="宋体" w:hAnsi="宋体" w:cs="宋体"/>
                <w:sz w:val="21"/>
                <w:szCs w:val="21"/>
                <w:lang w:val="en-US" w:eastAsia="zh-CN"/>
              </w:rPr>
              <w:t>8</w:t>
            </w:r>
            <w:r>
              <w:rPr>
                <w:rFonts w:hint="eastAsia" w:ascii="宋体" w:hAnsi="宋体" w:eastAsia="宋体" w:cs="宋体"/>
                <w:sz w:val="21"/>
                <w:szCs w:val="21"/>
                <w:lang w:val="en-US" w:eastAsia="zh-CN"/>
              </w:rPr>
              <w:t>%</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10</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restart"/>
            <w:tcBorders>
              <w:top w:val="single" w:color="auto" w:sz="4" w:space="0"/>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成</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r>
              <w:rPr>
                <w:rFonts w:hint="eastAsia" w:ascii="宋体" w:hAnsi="宋体" w:eastAsia="宋体" w:cs="宋体"/>
                <w:sz w:val="21"/>
                <w:szCs w:val="21"/>
              </w:rPr>
              <w:t>0分</w:t>
            </w:r>
            <w:r>
              <w:rPr>
                <w:rFonts w:hint="eastAsia" w:ascii="宋体" w:hAnsi="宋体" w:eastAsia="宋体" w:cs="宋体"/>
                <w:sz w:val="21"/>
                <w:szCs w:val="21"/>
                <w:lang w:val="en-US" w:eastAsia="zh-CN"/>
              </w:rPr>
              <w:t>）</w:t>
            </w:r>
          </w:p>
        </w:tc>
        <w:tc>
          <w:tcPr>
            <w:tcW w:w="901" w:type="dxa"/>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指标</w:t>
            </w:r>
          </w:p>
        </w:tc>
        <w:tc>
          <w:tcPr>
            <w:tcW w:w="1083"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预算内成本</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rPr>
            </w:pPr>
            <w:r>
              <w:rPr>
                <w:rFonts w:hint="eastAsia" w:ascii="宋体" w:hAnsi="宋体" w:eastAsia="宋体" w:cs="宋体"/>
                <w:i w:val="0"/>
                <w:iCs w:val="0"/>
                <w:color w:val="000000"/>
                <w:kern w:val="0"/>
                <w:sz w:val="22"/>
                <w:szCs w:val="22"/>
                <w:u w:val="none"/>
                <w:lang w:val="en-US" w:eastAsia="zh-CN" w:bidi="ar"/>
              </w:rPr>
              <w:t>&gt;=</w:t>
            </w:r>
            <w:r>
              <w:rPr>
                <w:rFonts w:hint="eastAsia" w:ascii="宋体" w:hAnsi="宋体" w:cs="宋体"/>
                <w:i w:val="0"/>
                <w:iCs w:val="0"/>
                <w:color w:val="000000"/>
                <w:kern w:val="0"/>
                <w:sz w:val="22"/>
                <w:szCs w:val="22"/>
                <w:u w:val="none"/>
                <w:lang w:val="en-US" w:eastAsia="zh-CN" w:bidi="ar"/>
              </w:rPr>
              <w:t>1406.18</w:t>
            </w:r>
            <w:r>
              <w:rPr>
                <w:rFonts w:hint="eastAsia" w:ascii="宋体" w:hAnsi="宋体" w:eastAsia="宋体" w:cs="宋体"/>
                <w:i w:val="0"/>
                <w:iCs w:val="0"/>
                <w:color w:val="000000"/>
                <w:kern w:val="0"/>
                <w:sz w:val="22"/>
                <w:szCs w:val="22"/>
                <w:u w:val="none"/>
                <w:lang w:val="en-US" w:eastAsia="zh-CN" w:bidi="ar"/>
              </w:rPr>
              <w:t>万元</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6959.54</w:t>
            </w:r>
            <w:r>
              <w:rPr>
                <w:rFonts w:hint="eastAsia" w:ascii="宋体" w:hAnsi="宋体" w:eastAsia="宋体" w:cs="宋体"/>
                <w:sz w:val="21"/>
                <w:szCs w:val="21"/>
                <w:lang w:val="en-US" w:eastAsia="zh-CN"/>
              </w:rPr>
              <w:t>万元</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指标</w:t>
            </w:r>
          </w:p>
        </w:tc>
        <w:tc>
          <w:tcPr>
            <w:tcW w:w="1083"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财政拨款</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w:t>
            </w:r>
            <w:r>
              <w:rPr>
                <w:rFonts w:hint="eastAsia" w:ascii="宋体" w:hAnsi="宋体" w:cs="宋体"/>
                <w:sz w:val="21"/>
                <w:szCs w:val="21"/>
                <w:lang w:val="en-US" w:eastAsia="zh-CN"/>
              </w:rPr>
              <w:t>6959.54</w:t>
            </w:r>
            <w:r>
              <w:rPr>
                <w:rFonts w:hint="eastAsia" w:ascii="宋体" w:hAnsi="宋体" w:eastAsia="宋体" w:cs="宋体"/>
                <w:sz w:val="21"/>
                <w:szCs w:val="21"/>
                <w:lang w:val="en-US" w:eastAsia="zh-CN"/>
              </w:rPr>
              <w:t>万元</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6959.54</w:t>
            </w:r>
            <w:r>
              <w:rPr>
                <w:rFonts w:hint="eastAsia" w:ascii="宋体" w:hAnsi="宋体" w:eastAsia="宋体" w:cs="宋体"/>
                <w:sz w:val="21"/>
                <w:szCs w:val="21"/>
                <w:lang w:val="en-US" w:eastAsia="zh-CN"/>
              </w:rPr>
              <w:t>万元</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9"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86"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c>
          <w:tcPr>
            <w:tcW w:w="901" w:type="dxa"/>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环境</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指标</w:t>
            </w:r>
          </w:p>
        </w:tc>
        <w:tc>
          <w:tcPr>
            <w:tcW w:w="1083"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新宋体" w:hAnsi="新宋体" w:eastAsia="新宋体" w:cs="新宋体"/>
                <w:i w:val="0"/>
                <w:iCs w:val="0"/>
                <w:color w:val="000000"/>
                <w:sz w:val="21"/>
                <w:szCs w:val="21"/>
                <w:lang w:val="en-US" w:eastAsia="zh-CN"/>
              </w:rPr>
              <w:t>上级补助收入</w:t>
            </w:r>
          </w:p>
        </w:tc>
        <w:tc>
          <w:tcPr>
            <w:tcW w:w="105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i w:val="0"/>
                <w:iCs w:val="0"/>
                <w:color w:val="000000"/>
                <w:kern w:val="0"/>
                <w:sz w:val="22"/>
                <w:szCs w:val="22"/>
                <w:u w:val="none"/>
                <w:lang w:val="en-US" w:eastAsia="zh-CN" w:bidi="ar"/>
              </w:rPr>
              <w:t>&gt;=9</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w:t>
            </w:r>
          </w:p>
        </w:tc>
        <w:tc>
          <w:tcPr>
            <w:tcW w:w="10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5851" w:type="dxa"/>
            <w:gridSpan w:val="7"/>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总分</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r>
              <w:rPr>
                <w:rFonts w:hint="eastAsia" w:ascii="宋体" w:hAnsi="宋体" w:eastAsia="宋体" w:cs="宋体"/>
                <w:sz w:val="21"/>
                <w:szCs w:val="21"/>
              </w:rPr>
              <w:t>100</w:t>
            </w:r>
          </w:p>
        </w:tc>
        <w:tc>
          <w:tcPr>
            <w:tcW w:w="71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r>
              <w:rPr>
                <w:rFonts w:hint="eastAsia" w:ascii="宋体" w:hAnsi="宋体" w:cs="宋体"/>
                <w:sz w:val="21"/>
                <w:szCs w:val="21"/>
                <w:lang w:val="en-US" w:eastAsia="zh-CN"/>
              </w:rPr>
              <w:t>8</w:t>
            </w:r>
          </w:p>
        </w:tc>
        <w:tc>
          <w:tcPr>
            <w:tcW w:w="136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rPr>
            </w:pPr>
          </w:p>
        </w:tc>
      </w:tr>
    </w:tbl>
    <w:p>
      <w:pPr>
        <w:rPr>
          <w:rFonts w:hint="eastAsia" w:ascii="宋体" w:hAnsi="宋体" w:eastAsia="宋体" w:cs="宋体"/>
        </w:rPr>
      </w:pPr>
    </w:p>
    <w:p>
      <w:r>
        <w:rPr>
          <w:rFonts w:hint="eastAsia"/>
        </w:rPr>
        <w:t>填表人：</w:t>
      </w:r>
      <w:r>
        <w:rPr>
          <w:rFonts w:hint="eastAsia"/>
          <w:lang w:eastAsia="zh-CN"/>
        </w:rPr>
        <w:t>余佳敏</w:t>
      </w:r>
      <w:r>
        <w:rPr>
          <w:rFonts w:hint="eastAsia"/>
        </w:rPr>
        <w:t xml:space="preserve"> 填报日期：</w:t>
      </w:r>
      <w:r>
        <w:rPr>
          <w:rFonts w:hint="eastAsia"/>
          <w:lang w:val="en-US" w:eastAsia="zh-CN"/>
        </w:rPr>
        <w:t>2024.5.27</w:t>
      </w:r>
      <w:r>
        <w:rPr>
          <w:rFonts w:hint="eastAsia"/>
        </w:rPr>
        <w:t xml:space="preserve">   联系电话：</w:t>
      </w:r>
      <w:r>
        <w:rPr>
          <w:rFonts w:hint="eastAsia"/>
          <w:lang w:val="en-US" w:eastAsia="zh-CN"/>
        </w:rPr>
        <w:t>18773089332</w:t>
      </w:r>
      <w:r>
        <w:rPr>
          <w:rFonts w:hint="eastAsia"/>
        </w:rPr>
        <w:t xml:space="preserve">      单位负责人签字：</w:t>
      </w:r>
    </w:p>
    <w:p>
      <w:pPr>
        <w:rPr>
          <w:rFonts w:hint="eastAsia"/>
          <w:lang w:val="en-US" w:eastAsia="zh-CN"/>
        </w:rPr>
      </w:pPr>
      <w:bookmarkStart w:id="0" w:name="_GoBack"/>
      <w:bookmarkEnd w:id="0"/>
    </w:p>
    <w:sectPr>
      <w:footerReference r:id="rId5"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C814625B-4904-4F3D-89CB-C5DCCC642BB6}"/>
  </w:font>
  <w:font w:name="Arial">
    <w:panose1 w:val="020B0604020202020204"/>
    <w:charset w:val="01"/>
    <w:family w:val="swiss"/>
    <w:pitch w:val="default"/>
    <w:sig w:usb0="E0002AFF" w:usb1="C0007843" w:usb2="00000009" w:usb3="00000000" w:csb0="400001FF" w:csb1="FFFF0000"/>
    <w:embedRegular r:id="rId2" w:fontKey="{8D751676-1192-4A4E-8CB9-81E4DE5B4CC9}"/>
  </w:font>
  <w:font w:name="黑体">
    <w:panose1 w:val="02010609060101010101"/>
    <w:charset w:val="86"/>
    <w:family w:val="auto"/>
    <w:pitch w:val="default"/>
    <w:sig w:usb0="800002BF" w:usb1="38CF7CFA" w:usb2="00000016" w:usb3="00000000" w:csb0="00040001" w:csb1="00000000"/>
    <w:embedRegular r:id="rId3" w:fontKey="{C3339E7A-1B89-479C-927B-063D3AD647AD}"/>
  </w:font>
  <w:font w:name="Courier New">
    <w:panose1 w:val="02070309020205020404"/>
    <w:charset w:val="01"/>
    <w:family w:val="modern"/>
    <w:pitch w:val="default"/>
    <w:sig w:usb0="E0002AFF" w:usb1="C0007843" w:usb2="00000009" w:usb3="00000000" w:csb0="400001FF" w:csb1="FFFF0000"/>
    <w:embedRegular r:id="rId4" w:fontKey="{216E8CD5-930B-445D-A85C-A0458B3E7671}"/>
  </w:font>
  <w:font w:name="Symbol">
    <w:panose1 w:val="05050102010706020507"/>
    <w:charset w:val="02"/>
    <w:family w:val="roman"/>
    <w:pitch w:val="default"/>
    <w:sig w:usb0="00000000" w:usb1="00000000" w:usb2="00000000" w:usb3="00000000" w:csb0="80000000" w:csb1="00000000"/>
    <w:embedRegular r:id="rId5" w:fontKey="{1C32B17B-81B9-4A84-B6A8-7A4EFED315BA}"/>
  </w:font>
  <w:font w:name="Calibri">
    <w:panose1 w:val="020F0502020204030204"/>
    <w:charset w:val="00"/>
    <w:family w:val="swiss"/>
    <w:pitch w:val="default"/>
    <w:sig w:usb0="E00002FF" w:usb1="4000ACFF" w:usb2="00000001" w:usb3="00000000" w:csb0="2000019F" w:csb1="00000000"/>
    <w:embedRegular r:id="rId6" w:fontKey="{B6D11472-1A54-4736-890A-92AE3D284DD1}"/>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0" w:usb1="00000000" w:usb2="00000000" w:usb3="00000000" w:csb0="00000000" w:csb1="00000000"/>
    <w:embedRegular r:id="rId7" w:fontKey="{2EEF89B3-1488-4CFD-AEFC-1905DB6DEEA6}"/>
  </w:font>
  <w:font w:name="???-18030">
    <w:altName w:val="Segoe Print"/>
    <w:panose1 w:val="00000000000000000000"/>
    <w:charset w:val="00"/>
    <w:family w:val="auto"/>
    <w:pitch w:val="default"/>
    <w:sig w:usb0="00000000" w:usb1="00000000" w:usb2="00000000" w:usb3="00000000" w:csb0="00000001" w:csb1="00000000"/>
  </w:font>
  <w:font w:name="方正小标宋简体">
    <w:panose1 w:val="03000509000000000000"/>
    <w:charset w:val="86"/>
    <w:family w:val="auto"/>
    <w:pitch w:val="default"/>
    <w:sig w:usb0="00000000" w:usb1="00000000" w:usb2="00000000" w:usb3="00000000" w:csb0="00000000" w:csb1="00000000"/>
    <w:embedRegular r:id="rId8" w:fontKey="{292E239B-E2AD-4661-8D43-BEBF93648BFD}"/>
  </w:font>
  <w:font w:name="新宋体">
    <w:panose1 w:val="02010609030101010101"/>
    <w:charset w:val="86"/>
    <w:family w:val="auto"/>
    <w:pitch w:val="default"/>
    <w:sig w:usb0="00000003" w:usb1="288F0000" w:usb2="00000006" w:usb3="00000000" w:csb0="00040001" w:csb1="00000000"/>
    <w:embedRegular r:id="rId9" w:fontKey="{F27D82FF-5418-44D0-B359-C564DA5AF560}"/>
  </w:font>
  <w:font w:name="华文仿宋">
    <w:panose1 w:val="02010600040101010101"/>
    <w:charset w:val="86"/>
    <w:family w:val="auto"/>
    <w:pitch w:val="default"/>
    <w:sig w:usb0="00000000" w:usb1="00000000" w:usb2="00000000" w:usb3="00000000" w:csb0="00000000" w:csb1="00000000"/>
    <w:embedRegular r:id="rId10" w:fontKey="{628B1418-9FF1-4978-A4A1-18BC8CA1F7CB}"/>
  </w:font>
  <w:font w:name="Segoe Print">
    <w:panose1 w:val="02000600000000000000"/>
    <w:charset w:val="00"/>
    <w:family w:val="auto"/>
    <w:pitch w:val="default"/>
    <w:sig w:usb0="0000028F" w:usb1="00000000" w:usb2="00000000" w:usb3="00000000" w:csb0="2000009F" w:csb1="47010000"/>
    <w:embedRegular r:id="rId11" w:fontKey="{BF918105-2E36-4B70-9C28-FA354FA8F79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jc w:val="center"/>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I3F45UVAgAAFQQAAA4AAAAAAAAA&#10;AQAgAAAAHwEAAGRycy9lMm9Eb2MueG1sUEsFBgAAAAAGAAYAWQEAAKYFAAAAAA==&#10;">
              <v:fill on="f" focussize="0,0"/>
              <v:stroke on="f" weight="0.5pt"/>
              <v:imagedata o:title=""/>
              <o:lock v:ext="edit" aspectratio="f"/>
              <v:textbox inset="0mm,0mm,0mm,0mm" style="mso-fit-shape-to-text:t;">
                <w:txbxContent>
                  <w:p>
                    <w:pPr>
                      <w:pStyle w:val="9"/>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ind w:left="8576"/>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9tdHoS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M9tdHoSAgAAFQQAAA4AAAAAAAAAAQAg&#10;AAAAHwEAAGRycy9lMm9Eb2MueG1sUEsFBgAAAAAGAAYAWQEAAKMFAAAAAA==&#10;">
              <v:fill on="f" focussize="0,0"/>
              <v:stroke on="f" weight="0.5pt"/>
              <v:imagedata o:title=""/>
              <o:lock v:ext="edit" aspectratio="f"/>
              <v:textbox inset="0mm,0mm,0mm,0mm" style="mso-fit-shape-to-text:t;">
                <w:txbxContent>
                  <w:p>
                    <w:pPr>
                      <w:pStyle w:val="9"/>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ind w:left="574"/>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doX50U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RtKNFPY0enH99PPh9OvbwQ6ANRaP4PfxsIzdO9MB+dB76GMc3eV&#10;U/HGRAR2QH28wCu6QHgMmk6m0xwmDtvwQP7sMdw6H94Lo0gUCuqwvwQrO6x96F0Hl1hNm1UjZdqh&#10;1KQt6NXrt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B2hfnRQCAAAVBAAADgAAAAAAAAAB&#10;ACAAAAAfAQAAZHJzL2Uyb0RvYy54bWxQSwUGAAAAAAYABgBZAQAApQUAAAAA&#10;">
              <v:fill on="f" focussize="0,0"/>
              <v:stroke on="f" weight="0.5pt"/>
              <v:imagedata o:title=""/>
              <o:lock v:ext="edit" aspectratio="f"/>
              <v:textbox inset="0mm,0mm,0mm,0mm" style="mso-fit-shape-to-text:t;">
                <w:txbxContent>
                  <w:p>
                    <w:pPr>
                      <w:pStyle w:val="9"/>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59DE3BD"/>
    <w:multiLevelType w:val="singleLevel"/>
    <w:tmpl w:val="C59DE3BD"/>
    <w:lvl w:ilvl="0" w:tentative="0">
      <w:start w:val="2"/>
      <w:numFmt w:val="chineseCounting"/>
      <w:suff w:val="nothing"/>
      <w:lvlText w:val="（%1）"/>
      <w:lvlJc w:val="left"/>
      <w:rPr>
        <w:rFonts w:hint="eastAsia"/>
      </w:rPr>
    </w:lvl>
  </w:abstractNum>
  <w:abstractNum w:abstractNumId="1">
    <w:nsid w:val="E9320B48"/>
    <w:multiLevelType w:val="singleLevel"/>
    <w:tmpl w:val="E9320B48"/>
    <w:lvl w:ilvl="0" w:tentative="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EzMTc3YjllNTI5Y2UyNTk5ZWVjZGQyYjJmYTkwZjcifQ=="/>
    <w:docVar w:name="KSO_WPS_MARK_KEY" w:val="55841f92-a021-4380-99ac-9bd8fcfd3d41"/>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153D40"/>
    <w:rsid w:val="04EE6171"/>
    <w:rsid w:val="05315F6B"/>
    <w:rsid w:val="05395EA9"/>
    <w:rsid w:val="0616597F"/>
    <w:rsid w:val="06426ACC"/>
    <w:rsid w:val="07A62D33"/>
    <w:rsid w:val="086B5F82"/>
    <w:rsid w:val="09E6794E"/>
    <w:rsid w:val="0A067AB9"/>
    <w:rsid w:val="0A465AEA"/>
    <w:rsid w:val="0ABD557B"/>
    <w:rsid w:val="0BB15C15"/>
    <w:rsid w:val="0BBB5A8D"/>
    <w:rsid w:val="0C104906"/>
    <w:rsid w:val="0C607C21"/>
    <w:rsid w:val="0CCB7736"/>
    <w:rsid w:val="0D0B7276"/>
    <w:rsid w:val="0D9E0E8D"/>
    <w:rsid w:val="0E1F65D3"/>
    <w:rsid w:val="0E3E5716"/>
    <w:rsid w:val="0E6B257C"/>
    <w:rsid w:val="0EAB7397"/>
    <w:rsid w:val="0EF755B3"/>
    <w:rsid w:val="0F17035E"/>
    <w:rsid w:val="0F4E168D"/>
    <w:rsid w:val="0F7A0392"/>
    <w:rsid w:val="0FAF3959"/>
    <w:rsid w:val="0FD26E31"/>
    <w:rsid w:val="0FE80902"/>
    <w:rsid w:val="1020625B"/>
    <w:rsid w:val="11404466"/>
    <w:rsid w:val="11837AA9"/>
    <w:rsid w:val="11963ADD"/>
    <w:rsid w:val="11EB0F5C"/>
    <w:rsid w:val="11F20483"/>
    <w:rsid w:val="12123C76"/>
    <w:rsid w:val="12831010"/>
    <w:rsid w:val="129038DB"/>
    <w:rsid w:val="13441D7E"/>
    <w:rsid w:val="135C1CDB"/>
    <w:rsid w:val="136F31F8"/>
    <w:rsid w:val="138750E0"/>
    <w:rsid w:val="1396506E"/>
    <w:rsid w:val="13D82A59"/>
    <w:rsid w:val="140E6961"/>
    <w:rsid w:val="15604228"/>
    <w:rsid w:val="15A620D3"/>
    <w:rsid w:val="16A3369E"/>
    <w:rsid w:val="16F5004B"/>
    <w:rsid w:val="17114A8B"/>
    <w:rsid w:val="176B77A7"/>
    <w:rsid w:val="178536BD"/>
    <w:rsid w:val="17DF24C4"/>
    <w:rsid w:val="18952734"/>
    <w:rsid w:val="190A16E6"/>
    <w:rsid w:val="19516372"/>
    <w:rsid w:val="19575CC2"/>
    <w:rsid w:val="19A80228"/>
    <w:rsid w:val="19AF68C7"/>
    <w:rsid w:val="19D905F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9D6843"/>
    <w:rsid w:val="20D30097"/>
    <w:rsid w:val="20D76C5F"/>
    <w:rsid w:val="20E55C2B"/>
    <w:rsid w:val="21057490"/>
    <w:rsid w:val="214A230E"/>
    <w:rsid w:val="21B052C4"/>
    <w:rsid w:val="226C6BA7"/>
    <w:rsid w:val="22B43877"/>
    <w:rsid w:val="22CA430C"/>
    <w:rsid w:val="22DF2F05"/>
    <w:rsid w:val="22FF5445"/>
    <w:rsid w:val="23201E3D"/>
    <w:rsid w:val="2342170A"/>
    <w:rsid w:val="238D0E57"/>
    <w:rsid w:val="24256710"/>
    <w:rsid w:val="251E7983"/>
    <w:rsid w:val="25FE2B31"/>
    <w:rsid w:val="260D5D83"/>
    <w:rsid w:val="260E1D77"/>
    <w:rsid w:val="27185343"/>
    <w:rsid w:val="277A77CA"/>
    <w:rsid w:val="28043432"/>
    <w:rsid w:val="284A2254"/>
    <w:rsid w:val="28E30DCE"/>
    <w:rsid w:val="29165294"/>
    <w:rsid w:val="292F1467"/>
    <w:rsid w:val="29786927"/>
    <w:rsid w:val="297B51B4"/>
    <w:rsid w:val="29E40467"/>
    <w:rsid w:val="29F527E2"/>
    <w:rsid w:val="2A9A1E2C"/>
    <w:rsid w:val="2BF35971"/>
    <w:rsid w:val="2C487650"/>
    <w:rsid w:val="2C5A7AC4"/>
    <w:rsid w:val="2DE25FC3"/>
    <w:rsid w:val="2E4F43C0"/>
    <w:rsid w:val="2EC7368E"/>
    <w:rsid w:val="2EDC05D9"/>
    <w:rsid w:val="2F240CAA"/>
    <w:rsid w:val="2F5137B6"/>
    <w:rsid w:val="2FF62815"/>
    <w:rsid w:val="30FB4B41"/>
    <w:rsid w:val="31621165"/>
    <w:rsid w:val="31BE4652"/>
    <w:rsid w:val="31D50CD0"/>
    <w:rsid w:val="322E1E8E"/>
    <w:rsid w:val="323C5548"/>
    <w:rsid w:val="33235CE2"/>
    <w:rsid w:val="33A4019B"/>
    <w:rsid w:val="33F22F3B"/>
    <w:rsid w:val="34281B05"/>
    <w:rsid w:val="359F2200"/>
    <w:rsid w:val="35A42962"/>
    <w:rsid w:val="36AD0EA9"/>
    <w:rsid w:val="36FF783F"/>
    <w:rsid w:val="37450F88"/>
    <w:rsid w:val="375F1A7E"/>
    <w:rsid w:val="378B026E"/>
    <w:rsid w:val="37B47BE4"/>
    <w:rsid w:val="37D6106F"/>
    <w:rsid w:val="37F52D97"/>
    <w:rsid w:val="38241593"/>
    <w:rsid w:val="38856E40"/>
    <w:rsid w:val="38BE1DF3"/>
    <w:rsid w:val="38D61E41"/>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5C4FEC"/>
    <w:rsid w:val="3DAE53BC"/>
    <w:rsid w:val="3DBC4496"/>
    <w:rsid w:val="3DC55CAA"/>
    <w:rsid w:val="3DD556CA"/>
    <w:rsid w:val="3DFE271A"/>
    <w:rsid w:val="3E5F4AE1"/>
    <w:rsid w:val="3F450429"/>
    <w:rsid w:val="3FB6105E"/>
    <w:rsid w:val="3FBF3F86"/>
    <w:rsid w:val="3FF70715"/>
    <w:rsid w:val="3FFD550C"/>
    <w:rsid w:val="4021030A"/>
    <w:rsid w:val="40226C80"/>
    <w:rsid w:val="40C451A5"/>
    <w:rsid w:val="40C671E5"/>
    <w:rsid w:val="40E331D5"/>
    <w:rsid w:val="41051ABE"/>
    <w:rsid w:val="4156470B"/>
    <w:rsid w:val="41943ACE"/>
    <w:rsid w:val="42521D88"/>
    <w:rsid w:val="425D4066"/>
    <w:rsid w:val="42605E1E"/>
    <w:rsid w:val="42CE6719"/>
    <w:rsid w:val="430118BA"/>
    <w:rsid w:val="43173FD4"/>
    <w:rsid w:val="43B27D8E"/>
    <w:rsid w:val="43D00200"/>
    <w:rsid w:val="44143822"/>
    <w:rsid w:val="44654A12"/>
    <w:rsid w:val="44CF6332"/>
    <w:rsid w:val="44E421C9"/>
    <w:rsid w:val="45320384"/>
    <w:rsid w:val="457C5F26"/>
    <w:rsid w:val="45D71611"/>
    <w:rsid w:val="4716830A"/>
    <w:rsid w:val="47BF53CA"/>
    <w:rsid w:val="47D94207"/>
    <w:rsid w:val="48B126BB"/>
    <w:rsid w:val="49CF255F"/>
    <w:rsid w:val="4A3239D7"/>
    <w:rsid w:val="4B2C5DCD"/>
    <w:rsid w:val="4B46D032"/>
    <w:rsid w:val="4B7D1173"/>
    <w:rsid w:val="4BBDFBDE"/>
    <w:rsid w:val="4BCF5C41"/>
    <w:rsid w:val="4C150E22"/>
    <w:rsid w:val="4C6A38FC"/>
    <w:rsid w:val="4CD520DA"/>
    <w:rsid w:val="4CE74BC3"/>
    <w:rsid w:val="4CEEB85C"/>
    <w:rsid w:val="4CF5000E"/>
    <w:rsid w:val="4CF74D38"/>
    <w:rsid w:val="4D6D6EEB"/>
    <w:rsid w:val="4DB17672"/>
    <w:rsid w:val="4DB27F04"/>
    <w:rsid w:val="4F5D15A2"/>
    <w:rsid w:val="4FCB46B2"/>
    <w:rsid w:val="4FFE57BD"/>
    <w:rsid w:val="50AC44C4"/>
    <w:rsid w:val="50EA6DB9"/>
    <w:rsid w:val="50FC089B"/>
    <w:rsid w:val="51453FF0"/>
    <w:rsid w:val="515661FD"/>
    <w:rsid w:val="51714DE5"/>
    <w:rsid w:val="51CA7471"/>
    <w:rsid w:val="521C2FA3"/>
    <w:rsid w:val="522529B2"/>
    <w:rsid w:val="524806C4"/>
    <w:rsid w:val="5301082D"/>
    <w:rsid w:val="5387476B"/>
    <w:rsid w:val="53910AF4"/>
    <w:rsid w:val="53FBDA3F"/>
    <w:rsid w:val="54286E59"/>
    <w:rsid w:val="54F63F7F"/>
    <w:rsid w:val="555952B3"/>
    <w:rsid w:val="555E65E4"/>
    <w:rsid w:val="556B5A36"/>
    <w:rsid w:val="5599697B"/>
    <w:rsid w:val="55A97C81"/>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664228"/>
    <w:rsid w:val="5BAE68E2"/>
    <w:rsid w:val="5BE211F7"/>
    <w:rsid w:val="5BF510BE"/>
    <w:rsid w:val="5C6C4B26"/>
    <w:rsid w:val="5D03DFF6"/>
    <w:rsid w:val="5D9C3D56"/>
    <w:rsid w:val="5DD775C7"/>
    <w:rsid w:val="5E134100"/>
    <w:rsid w:val="5F7A1C50"/>
    <w:rsid w:val="5FC69000"/>
    <w:rsid w:val="601C4AB5"/>
    <w:rsid w:val="604F2F3E"/>
    <w:rsid w:val="60624663"/>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955CB1"/>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6D5F81"/>
    <w:rsid w:val="75FD1676"/>
    <w:rsid w:val="7687113B"/>
    <w:rsid w:val="76C3247D"/>
    <w:rsid w:val="76EFC8B0"/>
    <w:rsid w:val="776ACBF9"/>
    <w:rsid w:val="77FF7A21"/>
    <w:rsid w:val="7951325E"/>
    <w:rsid w:val="799536BA"/>
    <w:rsid w:val="7B170752"/>
    <w:rsid w:val="7B382425"/>
    <w:rsid w:val="7B8F681B"/>
    <w:rsid w:val="7BC55225"/>
    <w:rsid w:val="7BFF9B5C"/>
    <w:rsid w:val="7C3B673F"/>
    <w:rsid w:val="7CC202A1"/>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uiPriority="39" w:name="toc 3"/>
    <w:lsdException w:uiPriority="39" w:name="toc 4"/>
    <w:lsdException w:qFormat="1" w:unhideWhenUsed="0" w:uiPriority="0" w:semiHidden="0"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locked/>
    <w:uiPriority w:val="0"/>
    <w:pPr>
      <w:keepNext/>
      <w:keepLines/>
      <w:outlineLvl w:val="0"/>
    </w:pPr>
    <w:rPr>
      <w:rFonts w:eastAsia="黑体"/>
      <w:bCs/>
      <w:kern w:val="44"/>
      <w:szCs w:val="44"/>
    </w:rPr>
  </w:style>
  <w:style w:type="paragraph" w:styleId="3">
    <w:name w:val="heading 2"/>
    <w:basedOn w:val="1"/>
    <w:next w:val="1"/>
    <w:unhideWhenUsed/>
    <w:qFormat/>
    <w:locked/>
    <w:uiPriority w:val="0"/>
    <w:pPr>
      <w:spacing w:before="100" w:beforeAutospacing="1" w:after="100" w:afterAutospacing="1"/>
      <w:jc w:val="left"/>
      <w:outlineLvl w:val="1"/>
    </w:pPr>
    <w:rPr>
      <w:rFonts w:hint="eastAsia" w:ascii="宋体" w:hAnsi="宋体" w:eastAsia="宋体" w:cs="宋体"/>
      <w:b/>
      <w:bCs/>
      <w:kern w:val="0"/>
      <w:sz w:val="36"/>
      <w:szCs w:val="36"/>
      <w:lang w:val="en-US" w:eastAsia="zh-CN" w:bidi="ar"/>
    </w:rPr>
  </w:style>
  <w:style w:type="character" w:default="1" w:styleId="18">
    <w:name w:val="Default Paragraph Font"/>
    <w:semiHidden/>
    <w:qFormat/>
    <w:uiPriority w:val="99"/>
  </w:style>
  <w:style w:type="table" w:default="1" w:styleId="1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4">
    <w:name w:val="Normal Indent"/>
    <w:basedOn w:val="1"/>
    <w:qFormat/>
    <w:uiPriority w:val="0"/>
    <w:pPr>
      <w:widowControl/>
      <w:overflowPunct w:val="0"/>
      <w:autoSpaceDE w:val="0"/>
      <w:autoSpaceDN w:val="0"/>
      <w:adjustRightInd w:val="0"/>
      <w:ind w:firstLine="420" w:firstLineChars="200"/>
      <w:textAlignment w:val="baseline"/>
    </w:pPr>
    <w:rPr>
      <w:rFonts w:ascii="Calibri" w:hAnsi="Calibri"/>
      <w:kern w:val="0"/>
      <w:szCs w:val="22"/>
    </w:rPr>
  </w:style>
  <w:style w:type="paragraph" w:styleId="5">
    <w:name w:val="Body Text"/>
    <w:basedOn w:val="1"/>
    <w:next w:val="6"/>
    <w:semiHidden/>
    <w:qFormat/>
    <w:uiPriority w:val="0"/>
    <w:rPr>
      <w:rFonts w:ascii="仿宋" w:hAnsi="仿宋" w:eastAsia="仿宋" w:cs="仿宋"/>
      <w:sz w:val="31"/>
      <w:szCs w:val="31"/>
      <w:lang w:val="en-US" w:eastAsia="en-US" w:bidi="ar-SA"/>
    </w:rPr>
  </w:style>
  <w:style w:type="paragraph" w:styleId="6">
    <w:name w:val="toc 5"/>
    <w:basedOn w:val="1"/>
    <w:next w:val="1"/>
    <w:qFormat/>
    <w:uiPriority w:val="0"/>
    <w:pPr>
      <w:widowControl w:val="0"/>
      <w:ind w:left="1680" w:leftChars="800"/>
      <w:jc w:val="both"/>
    </w:pPr>
    <w:rPr>
      <w:kern w:val="2"/>
      <w:sz w:val="21"/>
      <w:szCs w:val="21"/>
      <w:lang w:val="en-US" w:eastAsia="zh-CN" w:bidi="ar-SA"/>
    </w:rPr>
  </w:style>
  <w:style w:type="paragraph" w:styleId="7">
    <w:name w:val="Body Text Indent"/>
    <w:basedOn w:val="1"/>
    <w:qFormat/>
    <w:uiPriority w:val="0"/>
    <w:pPr>
      <w:spacing w:after="120"/>
      <w:ind w:left="420" w:leftChars="200"/>
    </w:pPr>
    <w:rPr>
      <w:rFonts w:ascii="Times New Roman" w:hAnsi="Times New Roman" w:eastAsia="宋体" w:cs="Times New Roman"/>
    </w:rPr>
  </w:style>
  <w:style w:type="paragraph" w:styleId="8">
    <w:name w:val="Body Text Indent 2"/>
    <w:basedOn w:val="1"/>
    <w:qFormat/>
    <w:uiPriority w:val="0"/>
    <w:pPr>
      <w:spacing w:after="120" w:afterAutospacing="0" w:line="480" w:lineRule="auto"/>
      <w:ind w:left="420" w:leftChars="200"/>
    </w:pPr>
  </w:style>
  <w:style w:type="paragraph" w:styleId="9">
    <w:name w:val="footer"/>
    <w:basedOn w:val="1"/>
    <w:link w:val="21"/>
    <w:qFormat/>
    <w:uiPriority w:val="99"/>
    <w:pPr>
      <w:tabs>
        <w:tab w:val="center" w:pos="4153"/>
        <w:tab w:val="right" w:pos="8306"/>
      </w:tabs>
      <w:snapToGrid w:val="0"/>
      <w:jc w:val="left"/>
    </w:pPr>
    <w:rPr>
      <w:sz w:val="18"/>
      <w:szCs w:val="18"/>
    </w:rPr>
  </w:style>
  <w:style w:type="paragraph" w:styleId="10">
    <w:name w:val="header"/>
    <w:basedOn w:val="1"/>
    <w:link w:val="22"/>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1">
    <w:name w:val="toc 1"/>
    <w:basedOn w:val="1"/>
    <w:next w:val="1"/>
    <w:qFormat/>
    <w:uiPriority w:val="0"/>
    <w:pPr>
      <w:widowControl w:val="0"/>
      <w:spacing w:after="0"/>
      <w:jc w:val="both"/>
    </w:pPr>
    <w:rPr>
      <w:rFonts w:ascii="Times New Roman" w:hAnsi="Times New Roman" w:eastAsia="宋体" w:cs="Times New Roman"/>
      <w:kern w:val="2"/>
      <w:sz w:val="21"/>
      <w:szCs w:val="24"/>
      <w:lang w:val="en-US" w:eastAsia="zh-CN" w:bidi="ar-SA"/>
    </w:rPr>
  </w:style>
  <w:style w:type="paragraph" w:styleId="12">
    <w:name w:val="footnote text"/>
    <w:basedOn w:val="1"/>
    <w:next w:val="1"/>
    <w:qFormat/>
    <w:uiPriority w:val="0"/>
    <w:pPr>
      <w:snapToGrid w:val="0"/>
      <w:jc w:val="left"/>
    </w:pPr>
    <w:rPr>
      <w:sz w:val="18"/>
      <w:szCs w:val="18"/>
    </w:rPr>
  </w:style>
  <w:style w:type="paragraph" w:styleId="13">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14">
    <w:name w:val="Body Text First Indent"/>
    <w:basedOn w:val="5"/>
    <w:qFormat/>
    <w:uiPriority w:val="0"/>
    <w:pPr>
      <w:ind w:firstLine="100" w:firstLineChars="100"/>
    </w:pPr>
  </w:style>
  <w:style w:type="paragraph" w:styleId="15">
    <w:name w:val="Body Text First Indent 2"/>
    <w:basedOn w:val="7"/>
    <w:qFormat/>
    <w:uiPriority w:val="0"/>
    <w:pPr>
      <w:spacing w:before="100" w:beforeAutospacing="1" w:after="0"/>
      <w:ind w:left="0" w:firstLine="420" w:firstLineChars="200"/>
    </w:pPr>
    <w:rPr>
      <w:rFonts w:ascii="Calibri" w:hAnsi="Calibri" w:eastAsia="宋体" w:cs="Times New Roman"/>
    </w:rPr>
  </w:style>
  <w:style w:type="table" w:styleId="17">
    <w:name w:val="Table Grid"/>
    <w:basedOn w:val="16"/>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19">
    <w:name w:val="Strong"/>
    <w:basedOn w:val="18"/>
    <w:qFormat/>
    <w:locked/>
    <w:uiPriority w:val="0"/>
    <w:rPr>
      <w:b/>
      <w:bCs/>
    </w:rPr>
  </w:style>
  <w:style w:type="character" w:styleId="20">
    <w:name w:val="page number"/>
    <w:basedOn w:val="18"/>
    <w:qFormat/>
    <w:uiPriority w:val="99"/>
    <w:rPr>
      <w:rFonts w:cs="Times New Roman"/>
    </w:rPr>
  </w:style>
  <w:style w:type="character" w:customStyle="1" w:styleId="21">
    <w:name w:val="Footer Char"/>
    <w:basedOn w:val="18"/>
    <w:link w:val="9"/>
    <w:semiHidden/>
    <w:qFormat/>
    <w:uiPriority w:val="99"/>
    <w:rPr>
      <w:sz w:val="18"/>
      <w:szCs w:val="18"/>
    </w:rPr>
  </w:style>
  <w:style w:type="character" w:customStyle="1" w:styleId="22">
    <w:name w:val="Header Char"/>
    <w:basedOn w:val="18"/>
    <w:link w:val="10"/>
    <w:semiHidden/>
    <w:qFormat/>
    <w:uiPriority w:val="99"/>
    <w:rPr>
      <w:sz w:val="18"/>
      <w:szCs w:val="18"/>
    </w:rPr>
  </w:style>
  <w:style w:type="paragraph" w:styleId="23">
    <w:name w:val="List Paragraph"/>
    <w:basedOn w:val="1"/>
    <w:qFormat/>
    <w:uiPriority w:val="99"/>
    <w:pPr>
      <w:ind w:firstLine="420" w:firstLineChars="200"/>
    </w:pPr>
    <w:rPr>
      <w:rFonts w:ascii="Calibri" w:hAnsi="Calibri"/>
      <w:szCs w:val="22"/>
    </w:rPr>
  </w:style>
  <w:style w:type="table" w:customStyle="1" w:styleId="24">
    <w:name w:val="Table Normal"/>
    <w:semiHidden/>
    <w:unhideWhenUsed/>
    <w:qFormat/>
    <w:uiPriority w:val="0"/>
    <w:tblPr>
      <w:tblLayout w:type="fixed"/>
      <w:tblCellMar>
        <w:top w:w="0" w:type="dxa"/>
        <w:left w:w="0" w:type="dxa"/>
        <w:bottom w:w="0" w:type="dxa"/>
        <w:right w:w="0" w:type="dxa"/>
      </w:tblCellMar>
    </w:tblPr>
  </w:style>
  <w:style w:type="paragraph" w:customStyle="1" w:styleId="25">
    <w:name w:val="Table Text"/>
    <w:basedOn w:val="1"/>
    <w:semiHidden/>
    <w:qFormat/>
    <w:uiPriority w:val="0"/>
    <w:rPr>
      <w:rFonts w:ascii="Arial" w:hAnsi="Arial" w:eastAsia="Arial" w:cs="Arial"/>
      <w:sz w:val="21"/>
      <w:szCs w:val="21"/>
      <w:lang w:val="en-US" w:eastAsia="en-US" w:bidi="ar-SA"/>
    </w:rPr>
  </w:style>
  <w:style w:type="paragraph" w:customStyle="1" w:styleId="26">
    <w:name w:val="BodyText"/>
    <w:basedOn w:val="1"/>
    <w:next w:val="27"/>
    <w:qFormat/>
    <w:uiPriority w:val="0"/>
    <w:pPr>
      <w:widowControl/>
      <w:spacing w:before="100" w:beforeAutospacing="1" w:after="120" w:line="560" w:lineRule="exact"/>
      <w:ind w:firstLine="640" w:firstLineChars="200"/>
      <w:textAlignment w:val="baseline"/>
    </w:pPr>
    <w:rPr>
      <w:rFonts w:eastAsia="仿宋_GB2312"/>
      <w:sz w:val="32"/>
      <w:szCs w:val="32"/>
    </w:rPr>
  </w:style>
  <w:style w:type="paragraph" w:customStyle="1" w:styleId="27">
    <w:name w:val="UserStyle_3"/>
    <w:basedOn w:val="1"/>
    <w:qFormat/>
    <w:uiPriority w:val="0"/>
    <w:pPr>
      <w:widowControl/>
      <w:pBdr>
        <w:top w:val="single" w:color="000000" w:sz="4" w:space="0"/>
        <w:left w:val="single" w:color="000000" w:sz="8" w:space="0"/>
        <w:bottom w:val="single" w:color="000000" w:sz="4" w:space="0"/>
        <w:right w:val="single" w:color="000000" w:sz="4" w:space="0"/>
      </w:pBdr>
      <w:spacing w:before="100" w:beforeAutospacing="1" w:after="100" w:afterAutospacing="1" w:line="560" w:lineRule="exact"/>
      <w:ind w:firstLine="640" w:firstLineChars="200"/>
      <w:jc w:val="center"/>
      <w:textAlignment w:val="baseline"/>
    </w:pPr>
    <w:rPr>
      <w:rFonts w:ascii="???-18030" w:hAnsi="???-18030" w:eastAsia="仿宋_GB2312"/>
      <w:kern w:val="0"/>
      <w:sz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13</Pages>
  <Words>4148</Words>
  <Characters>4703</Characters>
  <Lines>0</Lines>
  <Paragraphs>0</Paragraphs>
  <TotalTime>0</TotalTime>
  <ScaleCrop>false</ScaleCrop>
  <LinksUpToDate>false</LinksUpToDate>
  <CharactersWithSpaces>4784</CharactersWithSpaces>
  <Application>WPS Office_11.1.0.9021_F1E327BC-269C-435d-A152-05C5408002CA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Administrator</cp:lastModifiedBy>
  <cp:lastPrinted>2024-05-20T07:59:00Z</cp:lastPrinted>
  <dcterms:modified xsi:type="dcterms:W3CDTF">2024-05-26T18:11:07Z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2052-11.1.0.9021</vt:lpwstr>
  </property>
  <property fmtid="{D5CDD505-2E9C-101B-9397-08002B2CF9AE}" pid="3" name="KSOSaveFontToCloudKey">
    <vt:lpwstr>386772509_embed</vt:lpwstr>
  </property>
  <property fmtid="{D5CDD505-2E9C-101B-9397-08002B2CF9AE}" pid="4" name="ICV">
    <vt:lpwstr>9CC01C7BD4944ED0AB76D6B45FFD8790_13</vt:lpwstr>
  </property>
</Properties>
</file>