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9CAA7">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21700431">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中共华容县委政策研究中心</w:t>
      </w:r>
      <w:r>
        <w:rPr>
          <w:rFonts w:hint="eastAsia" w:ascii="方正小标宋_GBK" w:hAnsi="方正小标宋_GBK" w:eastAsia="方正小标宋_GBK" w:cs="方正小标宋_GBK"/>
          <w:color w:val="auto"/>
          <w:sz w:val="84"/>
          <w:szCs w:val="84"/>
        </w:rPr>
        <w:t>部门决算</w:t>
      </w:r>
    </w:p>
    <w:p w14:paraId="0DB0147B">
      <w:pPr>
        <w:pStyle w:val="14"/>
        <w:spacing w:line="500" w:lineRule="exact"/>
        <w:jc w:val="both"/>
        <w:rPr>
          <w:b/>
          <w:color w:val="auto"/>
          <w:sz w:val="36"/>
          <w:szCs w:val="28"/>
        </w:rPr>
      </w:pPr>
    </w:p>
    <w:p w14:paraId="260A5037">
      <w:pPr>
        <w:pStyle w:val="14"/>
        <w:spacing w:line="500" w:lineRule="exact"/>
        <w:jc w:val="center"/>
        <w:rPr>
          <w:b/>
          <w:color w:val="auto"/>
          <w:sz w:val="36"/>
          <w:szCs w:val="28"/>
        </w:rPr>
      </w:pPr>
      <w:r>
        <w:rPr>
          <w:rFonts w:hint="eastAsia"/>
          <w:b/>
          <w:color w:val="auto"/>
          <w:sz w:val="36"/>
          <w:szCs w:val="28"/>
        </w:rPr>
        <w:t>目录</w:t>
      </w:r>
    </w:p>
    <w:p w14:paraId="35B4614E">
      <w:pPr>
        <w:pStyle w:val="14"/>
        <w:spacing w:line="500" w:lineRule="exact"/>
        <w:rPr>
          <w:rFonts w:hAnsi="黑体"/>
          <w:bCs/>
          <w:color w:val="auto"/>
          <w:sz w:val="28"/>
          <w:szCs w:val="28"/>
        </w:rPr>
      </w:pPr>
      <w:r>
        <w:rPr>
          <w:rFonts w:hint="eastAsia" w:hAnsi="黑体"/>
          <w:bCs/>
          <w:color w:val="auto"/>
          <w:sz w:val="28"/>
          <w:szCs w:val="28"/>
        </w:rPr>
        <w:t>第一部分中共华容县委政策研究中心（单位）概况</w:t>
      </w:r>
    </w:p>
    <w:p w14:paraId="538F47D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5060A78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7D49A185">
      <w:pPr>
        <w:pStyle w:val="14"/>
        <w:spacing w:line="500" w:lineRule="exact"/>
        <w:rPr>
          <w:rFonts w:hAnsi="黑体"/>
          <w:bCs/>
          <w:color w:val="auto"/>
          <w:sz w:val="28"/>
          <w:szCs w:val="28"/>
        </w:rPr>
      </w:pPr>
      <w:r>
        <w:rPr>
          <w:rFonts w:hint="eastAsia" w:hAnsi="黑体"/>
          <w:bCs/>
          <w:color w:val="auto"/>
          <w:sz w:val="28"/>
          <w:szCs w:val="28"/>
        </w:rPr>
        <w:t>第二部分 部门决算表</w:t>
      </w:r>
    </w:p>
    <w:p w14:paraId="69DDCA9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285943E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3C859B8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40674D0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5218B36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0208821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4C9D029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0754358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3BE23B6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1769649">
      <w:pPr>
        <w:pStyle w:val="14"/>
        <w:spacing w:line="500" w:lineRule="exact"/>
        <w:rPr>
          <w:rFonts w:hAnsi="黑体"/>
          <w:bCs/>
          <w:color w:val="auto"/>
          <w:sz w:val="28"/>
          <w:szCs w:val="28"/>
        </w:rPr>
      </w:pPr>
      <w:r>
        <w:rPr>
          <w:rFonts w:hint="eastAsia" w:hAnsi="黑体"/>
          <w:bCs/>
          <w:color w:val="auto"/>
          <w:sz w:val="28"/>
          <w:szCs w:val="28"/>
        </w:rPr>
        <w:t>第四部分 名词解释</w:t>
      </w:r>
    </w:p>
    <w:p w14:paraId="797AD5C2">
      <w:pPr>
        <w:pStyle w:val="14"/>
        <w:spacing w:line="500" w:lineRule="exact"/>
        <w:rPr>
          <w:rFonts w:hAnsi="黑体"/>
          <w:bCs/>
          <w:color w:val="auto"/>
          <w:sz w:val="28"/>
          <w:szCs w:val="28"/>
        </w:rPr>
      </w:pPr>
      <w:r>
        <w:rPr>
          <w:rFonts w:hint="eastAsia" w:hAnsi="黑体"/>
          <w:bCs/>
          <w:color w:val="auto"/>
          <w:sz w:val="28"/>
          <w:szCs w:val="28"/>
        </w:rPr>
        <w:t>第五部分 附件</w:t>
      </w:r>
    </w:p>
    <w:p w14:paraId="321A5F29">
      <w:pPr>
        <w:pStyle w:val="14"/>
        <w:spacing w:line="500" w:lineRule="exact"/>
        <w:rPr>
          <w:rFonts w:hAnsi="黑体"/>
          <w:bCs/>
          <w:color w:val="auto"/>
          <w:sz w:val="28"/>
          <w:szCs w:val="28"/>
        </w:rPr>
      </w:pPr>
    </w:p>
    <w:p w14:paraId="5CF995CF">
      <w:pPr>
        <w:pStyle w:val="14"/>
        <w:jc w:val="center"/>
        <w:rPr>
          <w:rFonts w:ascii="方正小标宋_GBK" w:hAnsi="方正小标宋_GBK" w:eastAsia="方正小标宋_GBK" w:cs="方正小标宋_GBK"/>
          <w:color w:val="auto"/>
          <w:sz w:val="48"/>
          <w:szCs w:val="48"/>
        </w:rPr>
      </w:pPr>
    </w:p>
    <w:p w14:paraId="59F8948E">
      <w:pPr>
        <w:pStyle w:val="14"/>
        <w:jc w:val="center"/>
        <w:rPr>
          <w:rFonts w:ascii="方正小标宋_GBK" w:hAnsi="方正小标宋_GBK" w:eastAsia="方正小标宋_GBK" w:cs="方正小标宋_GBK"/>
          <w:color w:val="auto"/>
          <w:sz w:val="48"/>
          <w:szCs w:val="48"/>
        </w:rPr>
      </w:pPr>
    </w:p>
    <w:p w14:paraId="163AE34F">
      <w:pPr>
        <w:pStyle w:val="14"/>
        <w:jc w:val="center"/>
        <w:rPr>
          <w:rFonts w:ascii="方正小标宋_GBK" w:hAnsi="方正小标宋_GBK" w:eastAsia="方正小标宋_GBK" w:cs="方正小标宋_GBK"/>
          <w:color w:val="auto"/>
          <w:sz w:val="48"/>
          <w:szCs w:val="48"/>
        </w:rPr>
      </w:pPr>
    </w:p>
    <w:p w14:paraId="30D92B87">
      <w:pPr>
        <w:pStyle w:val="14"/>
        <w:jc w:val="center"/>
        <w:rPr>
          <w:rFonts w:ascii="方正小标宋_GBK" w:hAnsi="方正小标宋_GBK" w:eastAsia="方正小标宋_GBK" w:cs="方正小标宋_GBK"/>
          <w:color w:val="auto"/>
          <w:sz w:val="48"/>
          <w:szCs w:val="48"/>
        </w:rPr>
      </w:pPr>
    </w:p>
    <w:p w14:paraId="509946C3">
      <w:pPr>
        <w:pStyle w:val="14"/>
        <w:jc w:val="center"/>
        <w:rPr>
          <w:rFonts w:ascii="方正小标宋_GBK" w:hAnsi="方正小标宋_GBK" w:eastAsia="方正小标宋_GBK" w:cs="方正小标宋_GBK"/>
          <w:color w:val="auto"/>
          <w:sz w:val="48"/>
          <w:szCs w:val="48"/>
        </w:rPr>
      </w:pPr>
    </w:p>
    <w:p w14:paraId="16B0C7BE">
      <w:pPr>
        <w:pStyle w:val="14"/>
        <w:jc w:val="center"/>
        <w:rPr>
          <w:rFonts w:ascii="方正小标宋_GBK" w:hAnsi="方正小标宋_GBK" w:eastAsia="方正小标宋_GBK" w:cs="方正小标宋_GBK"/>
          <w:color w:val="auto"/>
          <w:sz w:val="48"/>
          <w:szCs w:val="48"/>
        </w:rPr>
      </w:pPr>
    </w:p>
    <w:p w14:paraId="06D77FBF">
      <w:pPr>
        <w:pStyle w:val="14"/>
        <w:jc w:val="center"/>
        <w:rPr>
          <w:rFonts w:ascii="方正小标宋_GBK" w:hAnsi="方正小标宋_GBK" w:eastAsia="方正小标宋_GBK" w:cs="方正小标宋_GBK"/>
          <w:color w:val="auto"/>
          <w:sz w:val="48"/>
          <w:szCs w:val="48"/>
        </w:rPr>
      </w:pPr>
    </w:p>
    <w:p w14:paraId="7E0AB3ED">
      <w:pPr>
        <w:pStyle w:val="14"/>
        <w:jc w:val="center"/>
        <w:rPr>
          <w:rFonts w:ascii="方正小标宋_GBK" w:hAnsi="方正小标宋_GBK" w:eastAsia="方正小标宋_GBK" w:cs="方正小标宋_GBK"/>
          <w:color w:val="auto"/>
          <w:sz w:val="48"/>
          <w:szCs w:val="48"/>
        </w:rPr>
      </w:pPr>
    </w:p>
    <w:p w14:paraId="5C8C95DA">
      <w:pPr>
        <w:pStyle w:val="14"/>
        <w:jc w:val="center"/>
        <w:rPr>
          <w:rFonts w:ascii="方正小标宋_GBK" w:hAnsi="方正小标宋_GBK" w:eastAsia="方正小标宋_GBK" w:cs="方正小标宋_GBK"/>
          <w:color w:val="auto"/>
          <w:sz w:val="48"/>
          <w:szCs w:val="48"/>
        </w:rPr>
      </w:pPr>
    </w:p>
    <w:p w14:paraId="2355867D">
      <w:pPr>
        <w:pStyle w:val="14"/>
        <w:jc w:val="center"/>
        <w:rPr>
          <w:rFonts w:ascii="方正小标宋_GBK" w:hAnsi="方正小标宋_GBK" w:eastAsia="方正小标宋_GBK" w:cs="方正小标宋_GBK"/>
          <w:color w:val="auto"/>
          <w:sz w:val="48"/>
          <w:szCs w:val="48"/>
        </w:rPr>
      </w:pPr>
    </w:p>
    <w:p w14:paraId="4F3A99A2">
      <w:pPr>
        <w:pStyle w:val="14"/>
        <w:jc w:val="center"/>
        <w:rPr>
          <w:rFonts w:ascii="方正小标宋_GBK" w:hAnsi="方正小标宋_GBK" w:eastAsia="方正小标宋_GBK" w:cs="方正小标宋_GBK"/>
          <w:color w:val="auto"/>
          <w:sz w:val="48"/>
          <w:szCs w:val="48"/>
        </w:rPr>
      </w:pPr>
    </w:p>
    <w:p w14:paraId="5843E4F0">
      <w:pPr>
        <w:pStyle w:val="14"/>
        <w:jc w:val="center"/>
        <w:rPr>
          <w:rFonts w:ascii="方正小标宋_GBK" w:hAnsi="方正小标宋_GBK" w:eastAsia="方正小标宋_GBK" w:cs="方正小标宋_GBK"/>
          <w:color w:val="auto"/>
          <w:sz w:val="48"/>
          <w:szCs w:val="48"/>
        </w:rPr>
      </w:pPr>
    </w:p>
    <w:p w14:paraId="3135D719">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1D86BC0E">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中共华容县委政策研究中心概况</w:t>
      </w:r>
    </w:p>
    <w:p w14:paraId="25035ACA">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04BBE874">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根据县委的意图和部署，围绕全县中心工作，进行有关经济、政治、文化、社会、生态文明和党建等方面政策问题的调查研究，提出意见和建议，供县委决策参考，并进行决策后的跟踪调查，为完善县委决策服务。</w:t>
      </w:r>
    </w:p>
    <w:p w14:paraId="32894F05">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牵头组织、协调和联络县直各部门和各乡镇的调查研究工作；负责全县党委办公室系统调查研究、文稿写作等方面的业务指导。</w:t>
      </w:r>
    </w:p>
    <w:p w14:paraId="18894EF9">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参与起草或修改县委重要政策性文件；协助县委主要领导起草工作报告、讲话稿；组织撰写全县性会议工作报告及其他有关材料；起草县委及县委主要领导同志向中央、省、市领导的汇报材料。</w:t>
      </w:r>
    </w:p>
    <w:p w14:paraId="4ABE43E6">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收集和筛选关系县域经济社会发展的各项重要信息，对重要问题进行分析、预测，并及时将有关资料和研究成果报送县委主要领导阅研、参考。</w:t>
      </w:r>
    </w:p>
    <w:p w14:paraId="1F4CE9B9">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负责县委重要工作的对外宣传。</w:t>
      </w:r>
    </w:p>
    <w:p w14:paraId="4F6DD60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完成县委主要领导交办的其他工作</w:t>
      </w:r>
      <w:r>
        <w:rPr>
          <w:rFonts w:hint="eastAsia" w:ascii="宋体" w:hAnsi="Times New Roman" w:eastAsia="宋体" w:cs="宋体"/>
          <w:color w:val="auto"/>
          <w:sz w:val="32"/>
          <w:szCs w:val="32"/>
          <w:highlight w:val="white"/>
        </w:rPr>
        <w:t>。</w:t>
      </w:r>
    </w:p>
    <w:p w14:paraId="1E35E392">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04D19468">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1975ECEE">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中共华容县委政策研究中心单位内设机构包括：</w:t>
      </w:r>
      <w:r>
        <w:rPr>
          <w:rFonts w:hint="eastAsia" w:ascii="宋体" w:hAnsi="Times New Roman" w:eastAsia="宋体" w:cs="宋体"/>
          <w:sz w:val="32"/>
          <w:szCs w:val="32"/>
          <w:lang w:val="zh-CN"/>
        </w:rPr>
        <w:t>综合办、文稿室（信息室）、调研一室、调研二室</w:t>
      </w:r>
      <w:r>
        <w:rPr>
          <w:rFonts w:hint="eastAsia" w:ascii="宋体" w:hAnsi="Times New Roman" w:eastAsia="宋体" w:cs="宋体"/>
          <w:sz w:val="32"/>
          <w:szCs w:val="32"/>
          <w:highlight w:val="white"/>
        </w:rPr>
        <w:t>。</w:t>
      </w:r>
    </w:p>
    <w:p w14:paraId="4D1CB054">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2A90EE7F">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中共华容县委政策研究中心单位2023年部门决算汇总公开单位构成包括：局机关本级决算（根据财政预算管理制度，所属二级机构为一级预算单位，部门决算报表分别单独公开）,不包含下属单位。</w:t>
      </w:r>
    </w:p>
    <w:p w14:paraId="036453E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63EC44C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02519AF3">
      <w:pPr>
        <w:pStyle w:val="14"/>
        <w:jc w:val="center"/>
        <w:rPr>
          <w:rFonts w:hAnsi="黑体"/>
          <w:bCs/>
          <w:color w:val="auto"/>
          <w:kern w:val="2"/>
          <w:sz w:val="32"/>
          <w:szCs w:val="32"/>
        </w:rPr>
      </w:pPr>
      <w:r>
        <w:rPr>
          <w:rFonts w:hint="eastAsia" w:hAnsi="黑体"/>
          <w:bCs/>
          <w:color w:val="auto"/>
          <w:kern w:val="2"/>
          <w:sz w:val="32"/>
          <w:szCs w:val="32"/>
        </w:rPr>
        <w:t>详见附件表格</w:t>
      </w:r>
    </w:p>
    <w:p w14:paraId="5B8BDC2B">
      <w:pPr>
        <w:pStyle w:val="14"/>
        <w:jc w:val="center"/>
        <w:rPr>
          <w:rFonts w:ascii="方正小标宋_GBK" w:hAnsi="方正小标宋_GBK" w:eastAsia="方正小标宋_GBK" w:cs="方正小标宋_GBK"/>
          <w:color w:val="auto"/>
          <w:sz w:val="48"/>
          <w:szCs w:val="48"/>
        </w:rPr>
      </w:pPr>
    </w:p>
    <w:p w14:paraId="662ED6E6">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612B3633">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4C2BFC6A">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2872094F">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164.67</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30.22</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15.51%</w:t>
      </w:r>
      <w:r>
        <w:rPr>
          <w:rFonts w:hint="eastAsia" w:ascii="宋体" w:hAnsi="Times New Roman" w:eastAsia="宋体" w:cs="宋体"/>
          <w:sz w:val="32"/>
          <w:szCs w:val="32"/>
          <w:highlight w:val="white"/>
          <w:lang w:val="zh-CN"/>
        </w:rPr>
        <w:t>。主要原因是单位厉行节约，压减一般性支出，财政拨款收入减少</w:t>
      </w:r>
      <w:r>
        <w:rPr>
          <w:rFonts w:hint="eastAsia" w:ascii="宋体" w:hAnsi="Times New Roman" w:eastAsia="宋体" w:cs="宋体"/>
          <w:sz w:val="32"/>
          <w:szCs w:val="32"/>
          <w:highlight w:val="white"/>
        </w:rPr>
        <w:t>。</w:t>
      </w:r>
    </w:p>
    <w:p w14:paraId="564A8419">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6F2E67A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164.67</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164.67</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50F290D6">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3CE2AD89">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164.67</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164.67</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72C17530">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5460EA33">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164.67</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30.22</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15.51%</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主要原因是单位厉行节约，压减一般性支出，财政拨款收入减少</w:t>
      </w:r>
      <w:r>
        <w:rPr>
          <w:rFonts w:hint="eastAsia" w:ascii="宋体" w:hAnsi="Times New Roman" w:eastAsia="宋体" w:cs="宋体"/>
          <w:sz w:val="32"/>
          <w:szCs w:val="32"/>
          <w:highlight w:val="white"/>
        </w:rPr>
        <w:t>。</w:t>
      </w:r>
    </w:p>
    <w:p w14:paraId="6676A016">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17D8AEC9">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5EF0613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164.67</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30.22</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15.51%,</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单位厉行节约，压减一般性支出，财政拨款收入减少。</w:t>
      </w:r>
    </w:p>
    <w:p w14:paraId="1D785EE1">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5B892680">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164.67</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164.67</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100%</w:t>
      </w:r>
      <w:r>
        <w:rPr>
          <w:rFonts w:hint="eastAsia" w:ascii="宋体" w:hAnsi="Times New Roman" w:eastAsia="宋体" w:cs="宋体"/>
          <w:kern w:val="0"/>
          <w:sz w:val="32"/>
          <w:szCs w:val="32"/>
          <w:highlight w:val="white"/>
        </w:rPr>
        <w:t>。</w:t>
      </w:r>
    </w:p>
    <w:p w14:paraId="5FC8D08F">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219C16F6">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年度财政拨款支出年初预算为</w:t>
      </w:r>
      <w:r>
        <w:rPr>
          <w:rFonts w:ascii="宋体" w:hAnsi="Times New Roman" w:eastAsia="宋体" w:cs="宋体"/>
          <w:color w:val="auto"/>
          <w:sz w:val="32"/>
          <w:szCs w:val="32"/>
          <w:highlight w:val="white"/>
        </w:rPr>
        <w:t>98</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164.67</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168.03%</w:t>
      </w:r>
      <w:r>
        <w:rPr>
          <w:rFonts w:hint="eastAsia" w:ascii="宋体" w:hAnsi="Times New Roman" w:eastAsia="宋体" w:cs="宋体"/>
          <w:color w:val="auto"/>
          <w:sz w:val="32"/>
          <w:szCs w:val="32"/>
          <w:highlight w:val="white"/>
        </w:rPr>
        <w:t>。其中：</w:t>
      </w:r>
    </w:p>
    <w:p w14:paraId="3A40B53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1、一般公共服务支出（类）党委办公厅（室）及相关机构事务（款）行政运行（项）。</w:t>
      </w:r>
    </w:p>
    <w:p w14:paraId="0C407F7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年初预算为</w:t>
      </w:r>
      <w:r>
        <w:rPr>
          <w:rFonts w:ascii="宋体" w:hAnsi="Times New Roman" w:eastAsia="宋体" w:cs="宋体"/>
          <w:color w:val="auto"/>
          <w:sz w:val="32"/>
          <w:szCs w:val="32"/>
          <w:highlight w:val="white"/>
        </w:rPr>
        <w:t>98</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160.37</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163.64%</w:t>
      </w:r>
      <w:r>
        <w:rPr>
          <w:rFonts w:hint="eastAsia" w:ascii="宋体" w:hAnsi="Times New Roman" w:eastAsia="宋体" w:cs="宋体"/>
          <w:color w:val="auto"/>
          <w:sz w:val="32"/>
          <w:szCs w:val="32"/>
          <w:highlight w:val="white"/>
        </w:rPr>
        <w:t>。决算数大于预算数的主要原因是业务工作任务增加，财政追拨行政运行经费。</w:t>
      </w:r>
      <w:r>
        <w:rPr>
          <w:rFonts w:ascii="宋体" w:hAnsi="Times New Roman" w:eastAsia="宋体" w:cs="宋体"/>
          <w:color w:val="auto"/>
          <w:sz w:val="32"/>
          <w:szCs w:val="32"/>
          <w:highlight w:val="white"/>
        </w:rPr>
        <w:t xml:space="preserve">  </w:t>
      </w:r>
    </w:p>
    <w:p w14:paraId="2420B38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2、一般公共服务支出（类）其他一般公共服务支出（款）其他一般公共服务支出（项）。</w:t>
      </w:r>
    </w:p>
    <w:p w14:paraId="5FF44A9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4.3</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，无法计算百分比。决算数大于预算数的主要原因是业务工作任务增加，财政追拨其他一般公共服务支出经费。</w:t>
      </w:r>
      <w:r>
        <w:rPr>
          <w:rFonts w:ascii="宋体" w:hAnsi="Times New Roman" w:eastAsia="宋体" w:cs="宋体"/>
          <w:color w:val="auto"/>
          <w:sz w:val="32"/>
          <w:szCs w:val="32"/>
          <w:highlight w:val="white"/>
        </w:rPr>
        <w:t xml:space="preserve">  </w:t>
      </w:r>
    </w:p>
    <w:p w14:paraId="3B7854AD">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0CDCB414">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164.67</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2CAA1ECB">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89.94</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54.62%</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03C187E3">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74.73</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45.38%</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BA093E0">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3CB298E6">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6ED97414">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经费财政拨款支出预算为</w:t>
      </w:r>
      <w:r>
        <w:rPr>
          <w:rFonts w:ascii="宋体" w:hAnsi="Times New Roman" w:eastAsia="宋体" w:cs="宋体"/>
          <w:color w:val="auto"/>
          <w:sz w:val="32"/>
          <w:szCs w:val="32"/>
          <w:highlight w:val="white"/>
        </w:rPr>
        <w:t>0.5</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0.29</w:t>
      </w:r>
      <w:r>
        <w:rPr>
          <w:rFonts w:hint="eastAsia" w:ascii="宋体" w:hAnsi="Times New Roman" w:eastAsia="宋体" w:cs="宋体"/>
          <w:color w:val="auto"/>
          <w:sz w:val="32"/>
          <w:szCs w:val="32"/>
          <w:highlight w:val="white"/>
        </w:rPr>
        <w:t>万元</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完成预算的</w:t>
      </w:r>
      <w:r>
        <w:rPr>
          <w:rFonts w:ascii="宋体" w:hAnsi="Times New Roman" w:eastAsia="宋体" w:cs="宋体"/>
          <w:color w:val="auto"/>
          <w:sz w:val="32"/>
          <w:szCs w:val="32"/>
          <w:highlight w:val="white"/>
        </w:rPr>
        <w:t>58%</w:t>
      </w:r>
      <w:r>
        <w:rPr>
          <w:rFonts w:hint="eastAsia" w:ascii="宋体" w:hAnsi="Times New Roman" w:eastAsia="宋体" w:cs="宋体"/>
          <w:color w:val="auto"/>
          <w:sz w:val="32"/>
          <w:szCs w:val="32"/>
          <w:highlight w:val="white"/>
        </w:rPr>
        <w:t>，决算数小于预算数的主要原因是认真贯彻落实</w:t>
      </w:r>
      <w:r>
        <w:rPr>
          <w:rFonts w:hint="eastAsia" w:ascii="宋体" w:hAnsi="Times New Roman" w:eastAsia="宋体" w:cs="宋体"/>
          <w:color w:val="auto"/>
          <w:sz w:val="32"/>
          <w:szCs w:val="32"/>
          <w:highlight w:val="white"/>
          <w:lang w:eastAsia="zh-CN"/>
        </w:rPr>
        <w:t>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经费开支，全年实际支出比预算有所节约。与上年相比减少</w:t>
      </w:r>
      <w:r>
        <w:rPr>
          <w:rFonts w:ascii="宋体" w:hAnsi="Times New Roman" w:eastAsia="宋体" w:cs="宋体"/>
          <w:color w:val="auto"/>
          <w:sz w:val="32"/>
          <w:szCs w:val="32"/>
          <w:highlight w:val="white"/>
        </w:rPr>
        <w:t>0.6</w:t>
      </w:r>
      <w:r>
        <w:rPr>
          <w:rFonts w:hint="eastAsia" w:ascii="宋体" w:hAnsi="Times New Roman" w:eastAsia="宋体" w:cs="宋体"/>
          <w:color w:val="auto"/>
          <w:sz w:val="32"/>
          <w:szCs w:val="32"/>
          <w:highlight w:val="white"/>
        </w:rPr>
        <w:t>万元，下降</w:t>
      </w:r>
      <w:r>
        <w:rPr>
          <w:rFonts w:ascii="宋体" w:hAnsi="Times New Roman" w:eastAsia="宋体" w:cs="宋体"/>
          <w:color w:val="auto"/>
          <w:sz w:val="32"/>
          <w:szCs w:val="32"/>
          <w:highlight w:val="white"/>
        </w:rPr>
        <w:t>67.42%,</w:t>
      </w:r>
      <w:r>
        <w:rPr>
          <w:rFonts w:hint="eastAsia" w:ascii="宋体" w:hAnsi="Times New Roman" w:eastAsia="宋体" w:cs="宋体"/>
          <w:color w:val="auto"/>
          <w:sz w:val="32"/>
          <w:szCs w:val="32"/>
          <w:highlight w:val="white"/>
        </w:rPr>
        <w:t>减少主要原因是认真贯彻落实</w:t>
      </w:r>
      <w:r>
        <w:rPr>
          <w:rFonts w:hint="eastAsia" w:ascii="宋体" w:hAnsi="Times New Roman" w:eastAsia="宋体" w:cs="宋体"/>
          <w:color w:val="auto"/>
          <w:sz w:val="32"/>
          <w:szCs w:val="32"/>
          <w:highlight w:val="white"/>
          <w:lang w:eastAsia="zh-CN"/>
        </w:rPr>
        <w:t>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经费开支，全年实际支出比预算有所节约。其中：</w:t>
      </w:r>
    </w:p>
    <w:p w14:paraId="0BA497E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因公出国（境）费支出预算为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万元，由于预算为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r>
        <w:rPr>
          <w:rFonts w:ascii="宋体" w:hAnsi="Times New Roman" w:eastAsia="宋体" w:cs="宋体"/>
          <w:color w:val="auto"/>
          <w:sz w:val="32"/>
          <w:szCs w:val="32"/>
          <w:highlight w:val="white"/>
        </w:rPr>
        <w:t xml:space="preserve">   </w:t>
      </w:r>
    </w:p>
    <w:p w14:paraId="2F664E8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公务接待费支出预算为</w:t>
      </w:r>
      <w:r>
        <w:rPr>
          <w:rFonts w:ascii="宋体" w:hAnsi="Times New Roman" w:eastAsia="宋体" w:cs="宋体"/>
          <w:color w:val="auto"/>
          <w:sz w:val="32"/>
          <w:szCs w:val="32"/>
          <w:highlight w:val="white"/>
        </w:rPr>
        <w:t>0.5</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0.29</w:t>
      </w:r>
      <w:r>
        <w:rPr>
          <w:rFonts w:hint="eastAsia" w:ascii="宋体" w:hAnsi="Times New Roman" w:eastAsia="宋体" w:cs="宋体"/>
          <w:color w:val="auto"/>
          <w:sz w:val="32"/>
          <w:szCs w:val="32"/>
          <w:highlight w:val="white"/>
        </w:rPr>
        <w:t>万元</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完成预算的</w:t>
      </w:r>
      <w:r>
        <w:rPr>
          <w:rFonts w:ascii="宋体" w:hAnsi="Times New Roman" w:eastAsia="宋体" w:cs="宋体"/>
          <w:color w:val="auto"/>
          <w:sz w:val="32"/>
          <w:szCs w:val="32"/>
          <w:highlight w:val="white"/>
        </w:rPr>
        <w:t>58%,</w:t>
      </w:r>
      <w:r>
        <w:rPr>
          <w:rFonts w:hint="eastAsia" w:ascii="宋体" w:hAnsi="Times New Roman" w:eastAsia="宋体" w:cs="宋体"/>
          <w:color w:val="auto"/>
          <w:sz w:val="32"/>
          <w:szCs w:val="32"/>
          <w:highlight w:val="white"/>
        </w:rPr>
        <w:t>决算数小于预算数的主要原因是认真贯彻落实</w:t>
      </w:r>
      <w:r>
        <w:rPr>
          <w:rFonts w:hint="eastAsia" w:ascii="宋体" w:hAnsi="Times New Roman" w:eastAsia="宋体" w:cs="宋体"/>
          <w:color w:val="auto"/>
          <w:sz w:val="32"/>
          <w:szCs w:val="32"/>
          <w:highlight w:val="white"/>
          <w:lang w:eastAsia="zh-CN"/>
        </w:rPr>
        <w:t>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经费开支，全年实际支出比预算有所节约。与上年相比减少</w:t>
      </w:r>
      <w:r>
        <w:rPr>
          <w:rFonts w:ascii="宋体" w:hAnsi="Times New Roman" w:eastAsia="宋体" w:cs="宋体"/>
          <w:color w:val="auto"/>
          <w:sz w:val="32"/>
          <w:szCs w:val="32"/>
          <w:highlight w:val="white"/>
        </w:rPr>
        <w:t>0.6</w:t>
      </w:r>
      <w:r>
        <w:rPr>
          <w:rFonts w:hint="eastAsia" w:ascii="宋体" w:hAnsi="Times New Roman" w:eastAsia="宋体" w:cs="宋体"/>
          <w:color w:val="auto"/>
          <w:sz w:val="32"/>
          <w:szCs w:val="32"/>
          <w:highlight w:val="white"/>
        </w:rPr>
        <w:t>万元，下降</w:t>
      </w:r>
      <w:r>
        <w:rPr>
          <w:rFonts w:ascii="宋体" w:hAnsi="Times New Roman" w:eastAsia="宋体" w:cs="宋体"/>
          <w:color w:val="auto"/>
          <w:sz w:val="32"/>
          <w:szCs w:val="32"/>
          <w:highlight w:val="white"/>
        </w:rPr>
        <w:t>67.42%,</w:t>
      </w:r>
      <w:r>
        <w:rPr>
          <w:rFonts w:hint="eastAsia" w:ascii="宋体" w:hAnsi="Times New Roman" w:eastAsia="宋体" w:cs="宋体"/>
          <w:color w:val="auto"/>
          <w:sz w:val="32"/>
          <w:szCs w:val="32"/>
          <w:highlight w:val="white"/>
        </w:rPr>
        <w:t>减少主要原因是认真贯彻落实</w:t>
      </w:r>
      <w:r>
        <w:rPr>
          <w:rFonts w:hint="eastAsia" w:ascii="宋体" w:hAnsi="Times New Roman" w:eastAsia="宋体" w:cs="宋体"/>
          <w:color w:val="auto"/>
          <w:sz w:val="32"/>
          <w:szCs w:val="32"/>
          <w:highlight w:val="white"/>
          <w:lang w:eastAsia="zh-CN"/>
        </w:rPr>
        <w:t>中央八项规定</w:t>
      </w:r>
      <w:bookmarkStart w:id="0" w:name="_GoBack"/>
      <w:bookmarkEnd w:id="0"/>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w:t>
      </w:r>
    </w:p>
    <w:p w14:paraId="32FFF39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公务用车购置费支出预算为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万元，由于预算为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r>
        <w:rPr>
          <w:rFonts w:ascii="宋体" w:hAnsi="Times New Roman" w:eastAsia="宋体" w:cs="宋体"/>
          <w:color w:val="auto"/>
          <w:sz w:val="32"/>
          <w:szCs w:val="32"/>
          <w:highlight w:val="white"/>
        </w:rPr>
        <w:t xml:space="preserve">   </w:t>
      </w:r>
    </w:p>
    <w:p w14:paraId="33FB58A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公务用车购置费及运行维护费支出预算为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万元，由于预算为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p>
    <w:p w14:paraId="1057C1E3">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11A11530">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0.29</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255F6A5A">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00885250">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0.29</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0.29</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5</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25</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14B3ABA8">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47A6ACD4">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454FF63">
      <w:pPr>
        <w:pStyle w:val="14"/>
        <w:spacing w:line="600" w:lineRule="exact"/>
        <w:ind w:firstLine="630"/>
        <w:rPr>
          <w:rFonts w:hint="eastAsia" w:ascii="宋体" w:hAnsi="Times New Roman" w:eastAsia="宋体" w:cs="宋体"/>
          <w:color w:val="auto"/>
          <w:sz w:val="32"/>
          <w:szCs w:val="32"/>
          <w:highlight w:val="white"/>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6B6BE597">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7285D05D">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7D7A421B">
      <w:pPr>
        <w:keepNext/>
        <w:keepLines/>
        <w:autoSpaceDE w:val="0"/>
        <w:autoSpaceDN w:val="0"/>
        <w:adjustRightInd w:val="0"/>
        <w:ind w:firstLine="640"/>
        <w:rPr>
          <w:rFonts w:ascii="宋体" w:hAnsi="Times New Roman" w:eastAsia="宋体" w:cs="宋体"/>
          <w:kern w:val="0"/>
          <w:sz w:val="32"/>
          <w:szCs w:val="32"/>
          <w:lang w:val="zh-CN"/>
        </w:rPr>
      </w:pPr>
      <w:r>
        <w:rPr>
          <w:rFonts w:hint="eastAsia" w:ascii="宋体" w:hAnsi="Times New Roman" w:eastAsia="宋体" w:cs="宋体"/>
          <w:sz w:val="32"/>
          <w:szCs w:val="32"/>
          <w:highlight w:val="white"/>
        </w:rPr>
        <w:t>本单位不属于行政单位和参照公务员法管理事业单位，无机关运行经费支出</w:t>
      </w:r>
      <w:r>
        <w:rPr>
          <w:rFonts w:hint="eastAsia" w:ascii="宋体" w:hAnsi="Times New Roman" w:eastAsia="宋体" w:cs="宋体"/>
          <w:kern w:val="0"/>
          <w:sz w:val="32"/>
          <w:szCs w:val="32"/>
          <w:lang w:val="zh-CN"/>
        </w:rPr>
        <w:t>。</w:t>
      </w:r>
    </w:p>
    <w:p w14:paraId="4D19262E">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057D4AFC">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0.89</w:t>
      </w:r>
      <w:r>
        <w:rPr>
          <w:rFonts w:hint="eastAsia" w:ascii="宋体" w:hAnsi="Times New Roman" w:eastAsia="宋体" w:cs="宋体"/>
          <w:kern w:val="0"/>
          <w:sz w:val="32"/>
          <w:szCs w:val="32"/>
          <w:highlight w:val="white"/>
        </w:rPr>
        <w:t>万元，用于召开</w:t>
      </w:r>
      <w:r>
        <w:rPr>
          <w:rFonts w:hint="eastAsia" w:ascii="宋体" w:hAnsi="Times New Roman" w:eastAsia="宋体" w:cs="宋体"/>
          <w:kern w:val="0"/>
          <w:sz w:val="32"/>
          <w:szCs w:val="32"/>
        </w:rPr>
        <w:t>业务工作会议</w:t>
      </w:r>
      <w:r>
        <w:rPr>
          <w:rFonts w:hint="eastAsia" w:ascii="宋体" w:hAnsi="Times New Roman" w:eastAsia="宋体" w:cs="宋体"/>
          <w:kern w:val="0"/>
          <w:sz w:val="32"/>
          <w:szCs w:val="32"/>
          <w:highlight w:val="white"/>
        </w:rPr>
        <w:t>，人数</w:t>
      </w:r>
      <w:r>
        <w:rPr>
          <w:rFonts w:ascii="宋体" w:hAnsi="Times New Roman" w:eastAsia="宋体" w:cs="宋体"/>
          <w:kern w:val="0"/>
          <w:sz w:val="32"/>
          <w:szCs w:val="32"/>
          <w:highlight w:val="white"/>
        </w:rPr>
        <w:t>55</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年度工作、任务部署等工作会议</w:t>
      </w:r>
      <w:r>
        <w:rPr>
          <w:rFonts w:hint="eastAsia" w:ascii="宋体" w:hAnsi="Times New Roman" w:eastAsia="宋体" w:cs="宋体"/>
          <w:kern w:val="0"/>
          <w:sz w:val="32"/>
          <w:szCs w:val="32"/>
          <w:highlight w:val="white"/>
        </w:rPr>
        <w:t>；开支培训费</w:t>
      </w:r>
      <w:r>
        <w:rPr>
          <w:rFonts w:ascii="宋体" w:hAnsi="Times New Roman" w:eastAsia="宋体" w:cs="宋体"/>
          <w:kern w:val="0"/>
          <w:sz w:val="32"/>
          <w:szCs w:val="32"/>
          <w:highlight w:val="white"/>
        </w:rPr>
        <w:t>0.23</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10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事业人员知识等培训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3046A31D">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602D4FD8">
      <w:pPr>
        <w:pStyle w:val="14"/>
        <w:spacing w:line="58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年度政府采购支出总额</w:t>
      </w:r>
      <w:r>
        <w:rPr>
          <w:rFonts w:ascii="宋体" w:hAnsi="Times New Roman" w:eastAsia="宋体" w:cs="宋体"/>
          <w:color w:val="auto"/>
          <w:sz w:val="32"/>
          <w:szCs w:val="32"/>
          <w:highlight w:val="white"/>
        </w:rPr>
        <w:t>56.77</w:t>
      </w:r>
      <w:r>
        <w:rPr>
          <w:rFonts w:hint="eastAsia" w:ascii="宋体" w:hAnsi="Times New Roman" w:eastAsia="宋体" w:cs="宋体"/>
          <w:color w:val="auto"/>
          <w:sz w:val="32"/>
          <w:szCs w:val="32"/>
          <w:highlight w:val="white"/>
        </w:rPr>
        <w:t>万元，其中：政府采购货物支出</w:t>
      </w:r>
      <w:r>
        <w:rPr>
          <w:rFonts w:ascii="宋体" w:hAnsi="Times New Roman" w:eastAsia="宋体" w:cs="宋体"/>
          <w:color w:val="auto"/>
          <w:sz w:val="32"/>
          <w:szCs w:val="32"/>
          <w:highlight w:val="white"/>
        </w:rPr>
        <w:t>4.38</w:t>
      </w:r>
      <w:r>
        <w:rPr>
          <w:rFonts w:hint="eastAsia" w:ascii="宋体" w:hAnsi="Times New Roman" w:eastAsia="宋体" w:cs="宋体"/>
          <w:color w:val="auto"/>
          <w:sz w:val="32"/>
          <w:szCs w:val="32"/>
          <w:highlight w:val="white"/>
        </w:rPr>
        <w:t>万元；政府采购工程支出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万元；政府采购服务支出</w:t>
      </w:r>
      <w:r>
        <w:rPr>
          <w:rFonts w:ascii="宋体" w:hAnsi="Times New Roman" w:eastAsia="宋体" w:cs="宋体"/>
          <w:color w:val="auto"/>
          <w:sz w:val="32"/>
          <w:szCs w:val="32"/>
          <w:highlight w:val="white"/>
        </w:rPr>
        <w:t>52.39</w:t>
      </w:r>
      <w:r>
        <w:rPr>
          <w:rFonts w:hint="eastAsia" w:ascii="宋体" w:hAnsi="Times New Roman" w:eastAsia="宋体" w:cs="宋体"/>
          <w:color w:val="auto"/>
          <w:sz w:val="32"/>
          <w:szCs w:val="32"/>
          <w:highlight w:val="white"/>
        </w:rPr>
        <w:t>万元。授予中小企业合同金额</w:t>
      </w:r>
      <w:r>
        <w:rPr>
          <w:rFonts w:ascii="宋体" w:hAnsi="Times New Roman" w:eastAsia="宋体" w:cs="宋体"/>
          <w:color w:val="auto"/>
          <w:sz w:val="32"/>
          <w:szCs w:val="32"/>
          <w:highlight w:val="white"/>
        </w:rPr>
        <w:t>56.77</w:t>
      </w:r>
      <w:r>
        <w:rPr>
          <w:rFonts w:hint="eastAsia" w:ascii="宋体" w:hAnsi="Times New Roman" w:eastAsia="宋体" w:cs="宋体"/>
          <w:color w:val="auto"/>
          <w:sz w:val="32"/>
          <w:szCs w:val="32"/>
          <w:highlight w:val="white"/>
        </w:rPr>
        <w:t>万元，占政府采购支出总额的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。其中：授予小微企业合同金额</w:t>
      </w:r>
      <w:r>
        <w:rPr>
          <w:rFonts w:ascii="宋体" w:hAnsi="Times New Roman" w:eastAsia="宋体" w:cs="宋体"/>
          <w:color w:val="auto"/>
          <w:sz w:val="32"/>
          <w:szCs w:val="32"/>
          <w:highlight w:val="white"/>
        </w:rPr>
        <w:t>56.77</w:t>
      </w:r>
      <w:r>
        <w:rPr>
          <w:rFonts w:hint="eastAsia" w:ascii="宋体" w:hAnsi="Times New Roman" w:eastAsia="宋体" w:cs="宋体"/>
          <w:color w:val="auto"/>
          <w:sz w:val="32"/>
          <w:szCs w:val="32"/>
          <w:highlight w:val="white"/>
        </w:rPr>
        <w:t>万元，占授予中小企业合同金额的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。货物采购授予中小企业合同金额占货物支出金额的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。服务采购授予中小企业合同金额占服务支出金额的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w:t>
      </w:r>
    </w:p>
    <w:p w14:paraId="435EC4B7">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73EB81F3">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02693A91">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7D3C61A4">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02597CA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503D293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部门开展整体支出绩效评价，涉及一般公共预算支出164.67万元，政府性基金预算支出0万元，国有资本经营预算支出0万元, 合计164.67万元，其中：基本支出164.67万元，占100%；项目支出0万元，占0%。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4C6F8BB5">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46D5424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2BC5C27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398D25CA">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65726DB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06E4D0B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0C21699C">
      <w:pPr>
        <w:pStyle w:val="14"/>
        <w:jc w:val="both"/>
        <w:rPr>
          <w:color w:val="auto"/>
          <w:sz w:val="72"/>
          <w:szCs w:val="72"/>
        </w:rPr>
      </w:pPr>
    </w:p>
    <w:p w14:paraId="1853718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3DA8270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685E2DC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财政拨款收入：指本级财政当年拨付的资金。</w:t>
      </w:r>
    </w:p>
    <w:p w14:paraId="1B3E8E3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D1798E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基本支出：指保障机构正常运转、完成支日常工作任务而发生的人员支出和公用支出。</w:t>
      </w:r>
    </w:p>
    <w:p w14:paraId="0AA54C8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工资福利支出：反映单位开支的在职职工和编制外长期聘用人员的各类劳动报酬，以及为上述人员缴纳的各项社会保险费等。</w:t>
      </w:r>
    </w:p>
    <w:p w14:paraId="701DD9F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见习期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7EF2760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津贴补贴：反映经国家批准建立的机关事业单位艰苦边远地区津贴、机关工作人员地区附加津贴、机关工作人员岗位津贴、事业单位工作人员特殊岗位津贴补贴等。</w:t>
      </w:r>
    </w:p>
    <w:p w14:paraId="1EDA6CF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奖金：反映机关工作人员年终一次性奖金。</w:t>
      </w:r>
    </w:p>
    <w:p w14:paraId="51D805F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机关事业单位基本养老保险缴费：反映机关事业单位缴纳的基本养老保险费。由单位代扣的工作人员基本养老保险缴费，不在此科目反映。</w:t>
      </w:r>
    </w:p>
    <w:p w14:paraId="0236A02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职工基本医疗保险缴费：反映单位为职工缴纳的基本医疗保险费。</w:t>
      </w:r>
    </w:p>
    <w:p w14:paraId="52F301B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其他社会保障缴费：反映单位为职工缴纳的基本医疗、失业、工伤、生育等社会保险费，残疾人就业保障金，军队（含武警）为军人缴纳的伤亡、退役医疗等社会保险费。</w:t>
      </w:r>
    </w:p>
    <w:p w14:paraId="3C2A5F5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住房公积金：反映行政事业单位按人力资源和社会保障部、财政部规定的基本工资和津贴补贴以及规定比例为职工缴纳的住房公积金。</w:t>
      </w:r>
    </w:p>
    <w:p w14:paraId="14A78C8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商品和服务支出：反映单位购买商品和服务的支出（不包括用于购置固定资产的支出、战略性和应急储备支出）。</w:t>
      </w:r>
    </w:p>
    <w:p w14:paraId="55A6E05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办公费：反映单位购买按财务会计制度规定不符合固定资产确认标准的日常办公用品、书报杂志等支出。</w:t>
      </w:r>
    </w:p>
    <w:p w14:paraId="0EE7A6F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印刷费：反映单位的印刷费支出。</w:t>
      </w:r>
    </w:p>
    <w:p w14:paraId="65D9D57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水费：反映单位支付的水费、污水处理费等支出。</w:t>
      </w:r>
    </w:p>
    <w:p w14:paraId="4AA9C2D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电费：反映单位的电费支出。</w:t>
      </w:r>
    </w:p>
    <w:p w14:paraId="565133A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邮电费：反映单位开支的信函、包裹、货物等物品的邮寄费及电话费、电报费、传真费、网络通讯费等。</w:t>
      </w:r>
    </w:p>
    <w:p w14:paraId="69C06C0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差旅费：反映单位工作人员出差发生的城市间交通费、住宿费、伙食补贴费和市内交通费。</w:t>
      </w:r>
    </w:p>
    <w:p w14:paraId="4A61335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维修</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护</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费：反映单位日常开支的固定资产（不包括车船等交通工具）修理和维护费用，网络信息系统运行与维护费用，以及按规定提取的修购基金。</w:t>
      </w:r>
    </w:p>
    <w:p w14:paraId="38F8A28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培训费：反映除因公出国（境）培训费以外的各类培训支出。</w:t>
      </w:r>
    </w:p>
    <w:p w14:paraId="0DCE2F0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劳务费：反映支付给单位和个人的劳务费用，如临时聘用人员、钟点工工资，稿费、翻译费，评审费等。</w:t>
      </w:r>
    </w:p>
    <w:p w14:paraId="039AE0A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委托业务费：反映因委托外单位办理业务而支付的委托业务费。</w:t>
      </w:r>
    </w:p>
    <w:p w14:paraId="6A27282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工会经费：反映单位按规定提取的工会经费。</w:t>
      </w:r>
    </w:p>
    <w:p w14:paraId="49C1565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福利费：反映单位按规定提取的福利费。</w:t>
      </w:r>
    </w:p>
    <w:p w14:paraId="02C0B8D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其他交通费用：反映单位除公务用车运行维护费以外的其他交通费用。如公务交通补贴，租车费用、出租车费用，飞机、船舶等的燃料费、维修费、保险费等。</w:t>
      </w:r>
    </w:p>
    <w:p w14:paraId="4B17987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其他商品和服务支出：反映上述科目未包括的日常公用支出。如行政赔偿费和诉讼费、国内组织的会员费、来访费、广告宣传、其他劳务费及离休人员特需费、公用经费等。</w:t>
      </w:r>
    </w:p>
    <w:p w14:paraId="5970CCD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对个人和家庭的补助：反映政府用于对个人和家庭的补助支出。</w:t>
      </w:r>
    </w:p>
    <w:p w14:paraId="2B002B8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奖励金：反映政府各部门的奖励支出，如对个体私营经济的奖励、计划生育目标责任奖励、独生子女父母奖励等。</w:t>
      </w:r>
    </w:p>
    <w:p w14:paraId="5B789DC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办公设备购置：反映用于购置并按财务会计制度规定纳入固定资产核算范围的办公家具和办公设备的支出，以及按规定提取的修购基金。</w:t>
      </w:r>
    </w:p>
    <w:p w14:paraId="6FBF471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02A30F9D">
      <w:pPr>
        <w:pStyle w:val="14"/>
        <w:jc w:val="center"/>
        <w:rPr>
          <w:rFonts w:ascii="方正小标宋_GBK" w:hAnsi="方正小标宋_GBK" w:eastAsia="方正小标宋_GBK" w:cs="方正小标宋_GBK"/>
          <w:color w:val="auto"/>
          <w:sz w:val="48"/>
          <w:szCs w:val="48"/>
        </w:rPr>
      </w:pPr>
    </w:p>
    <w:p w14:paraId="70E2EC3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13CA4FA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0F7658A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年度中共华容县委政策研究中心部门决算公开表格</w:t>
      </w:r>
    </w:p>
    <w:p w14:paraId="50AAA71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年度中共华容县委政策研究中心整体支出绩效自评报告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3B01"/>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759B1"/>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D1FB3"/>
    <w:rsid w:val="00904967"/>
    <w:rsid w:val="009237C4"/>
    <w:rsid w:val="00944C48"/>
    <w:rsid w:val="00950252"/>
    <w:rsid w:val="00967F5D"/>
    <w:rsid w:val="009818D7"/>
    <w:rsid w:val="009A0F95"/>
    <w:rsid w:val="009B3ADF"/>
    <w:rsid w:val="009C3B52"/>
    <w:rsid w:val="009E6817"/>
    <w:rsid w:val="009E6E9A"/>
    <w:rsid w:val="00A01D2B"/>
    <w:rsid w:val="00A42218"/>
    <w:rsid w:val="00A70249"/>
    <w:rsid w:val="00A70B02"/>
    <w:rsid w:val="00A71D9F"/>
    <w:rsid w:val="00A92292"/>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471C0"/>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0626"/>
    <w:rsid w:val="00E8683C"/>
    <w:rsid w:val="00EA2B72"/>
    <w:rsid w:val="00EE4896"/>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C592CF7"/>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5804</Words>
  <Characters>6143</Characters>
  <Lines>44</Lines>
  <Paragraphs>12</Paragraphs>
  <TotalTime>0</TotalTime>
  <ScaleCrop>false</ScaleCrop>
  <LinksUpToDate>false</LinksUpToDate>
  <CharactersWithSpaces>6163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2025-11-12T12:28:59Z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