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068E1">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2023年度</w:t>
      </w:r>
    </w:p>
    <w:p w14:paraId="64805145">
      <w:pPr>
        <w:pStyle w:val="14"/>
        <w:jc w:val="center"/>
        <w:rPr>
          <w:rFonts w:ascii="方正小标宋_GBK" w:hAnsi="方正小标宋_GBK" w:eastAsia="方正小标宋_GBK" w:cs="方正小标宋_GBK"/>
          <w:color w:val="auto"/>
          <w:sz w:val="84"/>
          <w:szCs w:val="84"/>
        </w:rPr>
      </w:pPr>
      <w:r>
        <w:rPr>
          <w:rFonts w:hint="eastAsia" w:hAnsi="Times New Roman"/>
          <w:color w:val="auto"/>
          <w:sz w:val="84"/>
          <w:szCs w:val="84"/>
          <w:highlight w:val="white"/>
          <w:lang w:val="zh-CN"/>
        </w:rPr>
        <w:t>华容县财政事务中心</w:t>
      </w:r>
      <w:r>
        <w:rPr>
          <w:rFonts w:hint="eastAsia" w:ascii="方正小标宋_GBK" w:hAnsi="方正小标宋_GBK" w:eastAsia="方正小标宋_GBK" w:cs="方正小标宋_GBK"/>
          <w:color w:val="auto"/>
          <w:sz w:val="84"/>
          <w:szCs w:val="84"/>
        </w:rPr>
        <w:t>部门决算</w:t>
      </w:r>
    </w:p>
    <w:p w14:paraId="6B97E5C9">
      <w:pPr>
        <w:pStyle w:val="14"/>
        <w:spacing w:line="500" w:lineRule="exact"/>
        <w:jc w:val="both"/>
        <w:rPr>
          <w:b/>
          <w:color w:val="auto"/>
          <w:sz w:val="36"/>
          <w:szCs w:val="28"/>
        </w:rPr>
      </w:pPr>
    </w:p>
    <w:p w14:paraId="34CE0E7D">
      <w:pPr>
        <w:pStyle w:val="14"/>
        <w:spacing w:line="500" w:lineRule="exact"/>
        <w:jc w:val="center"/>
        <w:rPr>
          <w:b/>
          <w:color w:val="auto"/>
          <w:sz w:val="36"/>
          <w:szCs w:val="28"/>
        </w:rPr>
      </w:pPr>
      <w:r>
        <w:rPr>
          <w:rFonts w:hint="eastAsia"/>
          <w:b/>
          <w:color w:val="auto"/>
          <w:sz w:val="36"/>
          <w:szCs w:val="28"/>
        </w:rPr>
        <w:t>目录</w:t>
      </w:r>
    </w:p>
    <w:p w14:paraId="422CE078">
      <w:pPr>
        <w:pStyle w:val="14"/>
        <w:spacing w:line="500" w:lineRule="exact"/>
        <w:rPr>
          <w:rFonts w:hAnsi="黑体"/>
          <w:bCs/>
          <w:color w:val="auto"/>
          <w:sz w:val="28"/>
          <w:szCs w:val="28"/>
        </w:rPr>
      </w:pPr>
      <w:r>
        <w:rPr>
          <w:rFonts w:hint="eastAsia" w:hAnsi="黑体"/>
          <w:bCs/>
          <w:color w:val="auto"/>
          <w:sz w:val="28"/>
          <w:szCs w:val="28"/>
        </w:rPr>
        <w:t>第一部分华容县财政事务中心（单位）概况</w:t>
      </w:r>
    </w:p>
    <w:p w14:paraId="15E02DFC">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14:paraId="5E0B3764">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14:paraId="2D76FBFC">
      <w:pPr>
        <w:pStyle w:val="14"/>
        <w:spacing w:line="500" w:lineRule="exact"/>
        <w:rPr>
          <w:rFonts w:hAnsi="黑体"/>
          <w:bCs/>
          <w:color w:val="auto"/>
          <w:sz w:val="28"/>
          <w:szCs w:val="28"/>
        </w:rPr>
      </w:pPr>
      <w:r>
        <w:rPr>
          <w:rFonts w:hint="eastAsia" w:hAnsi="黑体"/>
          <w:bCs/>
          <w:color w:val="auto"/>
          <w:sz w:val="28"/>
          <w:szCs w:val="28"/>
        </w:rPr>
        <w:t>第二部分 部门决算表</w:t>
      </w:r>
    </w:p>
    <w:p w14:paraId="52BA34E2">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14:paraId="5DC03740">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14:paraId="5C0FD1A0">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14:paraId="38D118FD">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14:paraId="011774DA">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14:paraId="0658B19B">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14:paraId="3C09FCA9">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14:paraId="5AD3BA7A">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14:paraId="7E7251AD">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14:paraId="0048E04D">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4A90615E">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420D4AF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5E382C2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512C5764">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77BF7EA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34284EB5">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DF7E262">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6E1C634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188B7720">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467206C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4E68521C">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770F4955">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5DD7F88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5941CB32">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3CF4926D">
      <w:pPr>
        <w:pStyle w:val="14"/>
        <w:spacing w:line="500" w:lineRule="exact"/>
        <w:rPr>
          <w:rFonts w:hAnsi="黑体"/>
          <w:bCs/>
          <w:color w:val="auto"/>
          <w:sz w:val="28"/>
          <w:szCs w:val="28"/>
        </w:rPr>
      </w:pPr>
      <w:r>
        <w:rPr>
          <w:rFonts w:hint="eastAsia" w:hAnsi="黑体"/>
          <w:bCs/>
          <w:color w:val="auto"/>
          <w:sz w:val="28"/>
          <w:szCs w:val="28"/>
        </w:rPr>
        <w:t>第四部分 名词解释</w:t>
      </w:r>
    </w:p>
    <w:p w14:paraId="179F38FE">
      <w:pPr>
        <w:pStyle w:val="14"/>
        <w:spacing w:line="500" w:lineRule="exact"/>
        <w:rPr>
          <w:rFonts w:hAnsi="黑体"/>
          <w:bCs/>
          <w:color w:val="auto"/>
          <w:sz w:val="28"/>
          <w:szCs w:val="28"/>
        </w:rPr>
      </w:pPr>
      <w:r>
        <w:rPr>
          <w:rFonts w:hint="eastAsia" w:hAnsi="黑体"/>
          <w:bCs/>
          <w:color w:val="auto"/>
          <w:sz w:val="28"/>
          <w:szCs w:val="28"/>
        </w:rPr>
        <w:t>第五部分 附件</w:t>
      </w:r>
    </w:p>
    <w:p w14:paraId="3A96F7A0">
      <w:pPr>
        <w:pStyle w:val="14"/>
        <w:spacing w:line="500" w:lineRule="exact"/>
        <w:rPr>
          <w:rFonts w:hAnsi="黑体"/>
          <w:bCs/>
          <w:color w:val="auto"/>
          <w:sz w:val="28"/>
          <w:szCs w:val="28"/>
        </w:rPr>
      </w:pPr>
    </w:p>
    <w:p w14:paraId="328EF10C">
      <w:pPr>
        <w:pStyle w:val="14"/>
        <w:jc w:val="center"/>
        <w:rPr>
          <w:rFonts w:ascii="方正小标宋_GBK" w:hAnsi="方正小标宋_GBK" w:eastAsia="方正小标宋_GBK" w:cs="方正小标宋_GBK"/>
          <w:color w:val="auto"/>
          <w:sz w:val="48"/>
          <w:szCs w:val="48"/>
        </w:rPr>
      </w:pPr>
    </w:p>
    <w:p w14:paraId="18E86447">
      <w:pPr>
        <w:pStyle w:val="14"/>
        <w:jc w:val="center"/>
        <w:rPr>
          <w:rFonts w:ascii="方正小标宋_GBK" w:hAnsi="方正小标宋_GBK" w:eastAsia="方正小标宋_GBK" w:cs="方正小标宋_GBK"/>
          <w:color w:val="auto"/>
          <w:sz w:val="48"/>
          <w:szCs w:val="48"/>
        </w:rPr>
      </w:pPr>
    </w:p>
    <w:p w14:paraId="7532462A">
      <w:pPr>
        <w:pStyle w:val="14"/>
        <w:jc w:val="center"/>
        <w:rPr>
          <w:rFonts w:ascii="方正小标宋_GBK" w:hAnsi="方正小标宋_GBK" w:eastAsia="方正小标宋_GBK" w:cs="方正小标宋_GBK"/>
          <w:color w:val="auto"/>
          <w:sz w:val="48"/>
          <w:szCs w:val="48"/>
        </w:rPr>
      </w:pPr>
    </w:p>
    <w:p w14:paraId="1C82810E">
      <w:pPr>
        <w:pStyle w:val="14"/>
        <w:jc w:val="center"/>
        <w:rPr>
          <w:rFonts w:ascii="方正小标宋_GBK" w:hAnsi="方正小标宋_GBK" w:eastAsia="方正小标宋_GBK" w:cs="方正小标宋_GBK"/>
          <w:color w:val="auto"/>
          <w:sz w:val="48"/>
          <w:szCs w:val="48"/>
        </w:rPr>
      </w:pPr>
    </w:p>
    <w:p w14:paraId="289ED4B9">
      <w:pPr>
        <w:pStyle w:val="14"/>
        <w:jc w:val="center"/>
        <w:rPr>
          <w:rFonts w:ascii="方正小标宋_GBK" w:hAnsi="方正小标宋_GBK" w:eastAsia="方正小标宋_GBK" w:cs="方正小标宋_GBK"/>
          <w:color w:val="auto"/>
          <w:sz w:val="48"/>
          <w:szCs w:val="48"/>
        </w:rPr>
      </w:pPr>
    </w:p>
    <w:p w14:paraId="75679B9D">
      <w:pPr>
        <w:pStyle w:val="14"/>
        <w:jc w:val="center"/>
        <w:rPr>
          <w:rFonts w:ascii="方正小标宋_GBK" w:hAnsi="方正小标宋_GBK" w:eastAsia="方正小标宋_GBK" w:cs="方正小标宋_GBK"/>
          <w:color w:val="auto"/>
          <w:sz w:val="48"/>
          <w:szCs w:val="48"/>
        </w:rPr>
      </w:pPr>
    </w:p>
    <w:p w14:paraId="2423416E">
      <w:pPr>
        <w:pStyle w:val="14"/>
        <w:jc w:val="center"/>
        <w:rPr>
          <w:rFonts w:ascii="方正小标宋_GBK" w:hAnsi="方正小标宋_GBK" w:eastAsia="方正小标宋_GBK" w:cs="方正小标宋_GBK"/>
          <w:color w:val="auto"/>
          <w:sz w:val="48"/>
          <w:szCs w:val="48"/>
        </w:rPr>
      </w:pPr>
    </w:p>
    <w:p w14:paraId="750DFDD8">
      <w:pPr>
        <w:pStyle w:val="14"/>
        <w:jc w:val="center"/>
        <w:rPr>
          <w:rFonts w:ascii="方正小标宋_GBK" w:hAnsi="方正小标宋_GBK" w:eastAsia="方正小标宋_GBK" w:cs="方正小标宋_GBK"/>
          <w:color w:val="auto"/>
          <w:sz w:val="48"/>
          <w:szCs w:val="48"/>
        </w:rPr>
      </w:pPr>
    </w:p>
    <w:p w14:paraId="2CB3ECBD">
      <w:pPr>
        <w:pStyle w:val="14"/>
        <w:jc w:val="center"/>
        <w:rPr>
          <w:rFonts w:ascii="方正小标宋_GBK" w:hAnsi="方正小标宋_GBK" w:eastAsia="方正小标宋_GBK" w:cs="方正小标宋_GBK"/>
          <w:color w:val="auto"/>
          <w:sz w:val="48"/>
          <w:szCs w:val="48"/>
        </w:rPr>
      </w:pPr>
    </w:p>
    <w:p w14:paraId="66293350">
      <w:pPr>
        <w:pStyle w:val="14"/>
        <w:jc w:val="center"/>
        <w:rPr>
          <w:rFonts w:ascii="方正小标宋_GBK" w:hAnsi="方正小标宋_GBK" w:eastAsia="方正小标宋_GBK" w:cs="方正小标宋_GBK"/>
          <w:color w:val="auto"/>
          <w:sz w:val="48"/>
          <w:szCs w:val="48"/>
        </w:rPr>
      </w:pPr>
    </w:p>
    <w:p w14:paraId="2EFC1FBD">
      <w:pPr>
        <w:pStyle w:val="14"/>
        <w:jc w:val="center"/>
        <w:rPr>
          <w:rFonts w:ascii="方正小标宋_GBK" w:hAnsi="方正小标宋_GBK" w:eastAsia="方正小标宋_GBK" w:cs="方正小标宋_GBK"/>
          <w:color w:val="auto"/>
          <w:sz w:val="48"/>
          <w:szCs w:val="48"/>
        </w:rPr>
      </w:pPr>
    </w:p>
    <w:p w14:paraId="2310D0CC">
      <w:pPr>
        <w:pStyle w:val="14"/>
        <w:jc w:val="center"/>
        <w:rPr>
          <w:rFonts w:ascii="方正小标宋_GBK" w:hAnsi="方正小标宋_GBK" w:eastAsia="方正小标宋_GBK" w:cs="方正小标宋_GBK"/>
          <w:color w:val="auto"/>
          <w:sz w:val="48"/>
          <w:szCs w:val="48"/>
        </w:rPr>
      </w:pPr>
    </w:p>
    <w:p w14:paraId="088D205D">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 xml:space="preserve">第一部分 </w:t>
      </w:r>
    </w:p>
    <w:p w14:paraId="72A96DFD">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48"/>
          <w:szCs w:val="48"/>
        </w:rPr>
        <w:t>华容县财政事务中心概况</w:t>
      </w:r>
    </w:p>
    <w:p w14:paraId="43282EF0">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一、部门职责</w:t>
      </w:r>
    </w:p>
    <w:p w14:paraId="7F0AA8AA">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1、负责贯彻非税收入征管的法律、法规和制度，负责为财政收支管理、政府非税收入征缴管理、财政票据管理等提供服务保障；</w:t>
      </w:r>
    </w:p>
    <w:p w14:paraId="66C5E6B0">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2、负责汇总、编审全县非税收入年度预期计划，并核定执收成本；</w:t>
      </w:r>
    </w:p>
    <w:p w14:paraId="1E30CAB8">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3、负责全县非税收入的征缴管理工作，为相关单位落实收支两条线管理提供政策咨询和服务；</w:t>
      </w:r>
    </w:p>
    <w:p w14:paraId="103C3F15">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4、组织对非税收入执收单位的收费项目、对象、标准的审核工作，实施非税收入征管项目的对接工作；</w:t>
      </w:r>
    </w:p>
    <w:p w14:paraId="57F1C8EB">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5、组织、委托和督促县直各执收单位做好非税收入的征缴工作，监管执收单位非税收入征管工作；</w:t>
      </w:r>
    </w:p>
    <w:p w14:paraId="653F225A">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6、负责全县非税收入的统计分析、报表报送工作；</w:t>
      </w:r>
    </w:p>
    <w:p w14:paraId="3807908B">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7、负责非税收入的核算与统计、结算与分成、减免与退付、清算与划解等事务性工作；</w:t>
      </w:r>
    </w:p>
    <w:p w14:paraId="7C9E14D8">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8、负责开展非税收入日常稽查和专项检查;</w:t>
      </w:r>
    </w:p>
    <w:p w14:paraId="73692072">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9、负责财政票据的管理、发放、核销工作，组织财政票据使用情况监督检查；</w:t>
      </w:r>
    </w:p>
    <w:p w14:paraId="77EB2B06">
      <w:pPr>
        <w:pStyle w:val="14"/>
        <w:spacing w:line="600" w:lineRule="exact"/>
        <w:ind w:firstLine="640" w:firstLineChars="200"/>
        <w:rPr>
          <w:rFonts w:ascii="宋体" w:hAnsi="Times New Roman" w:eastAsia="宋体" w:cs="宋体"/>
          <w:color w:val="auto"/>
          <w:sz w:val="32"/>
          <w:szCs w:val="32"/>
        </w:rPr>
      </w:pPr>
      <w:r>
        <w:rPr>
          <w:rFonts w:hint="eastAsia" w:ascii="宋体" w:hAnsi="Times New Roman" w:eastAsia="宋体" w:cs="宋体"/>
          <w:color w:val="auto"/>
          <w:sz w:val="32"/>
          <w:szCs w:val="32"/>
        </w:rPr>
        <w:t>10、承办全县非税收入征收管理信息化建设工作，做好非税执收系统的管理和维护事务；</w:t>
      </w:r>
    </w:p>
    <w:p w14:paraId="44F2F00F">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11、承办上级交办的其它任务</w:t>
      </w:r>
      <w:r>
        <w:rPr>
          <w:rFonts w:hint="eastAsia" w:ascii="宋体" w:hAnsi="Times New Roman" w:eastAsia="宋体" w:cs="宋体"/>
          <w:color w:val="auto"/>
          <w:sz w:val="32"/>
          <w:szCs w:val="32"/>
          <w:highlight w:val="white"/>
        </w:rPr>
        <w:t>。</w:t>
      </w:r>
    </w:p>
    <w:p w14:paraId="4BC6C8A0">
      <w:pPr>
        <w:widowControl/>
        <w:spacing w:line="600" w:lineRule="exact"/>
        <w:rPr>
          <w:rFonts w:ascii="黑体" w:hAnsi="黑体" w:eastAsia="黑体" w:cs="黑体"/>
          <w:bCs/>
          <w:kern w:val="0"/>
          <w:sz w:val="32"/>
          <w:szCs w:val="32"/>
        </w:rPr>
      </w:pPr>
    </w:p>
    <w:p w14:paraId="4F1E1302">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4BF07646">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1C3A2E9C">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华容县财政事务中心单位内设机构包括：</w:t>
      </w:r>
      <w:r>
        <w:rPr>
          <w:rFonts w:hint="eastAsia" w:ascii="宋体" w:hAnsi="Times New Roman" w:eastAsia="宋体" w:cs="宋体"/>
          <w:sz w:val="32"/>
          <w:szCs w:val="32"/>
        </w:rPr>
        <w:t>综合股、征稽股、核算股、票证股</w:t>
      </w:r>
      <w:r>
        <w:rPr>
          <w:rFonts w:hint="eastAsia" w:ascii="宋体" w:hAnsi="Times New Roman" w:eastAsia="宋体" w:cs="宋体"/>
          <w:sz w:val="32"/>
          <w:szCs w:val="32"/>
          <w:highlight w:val="white"/>
        </w:rPr>
        <w:t>。</w:t>
      </w:r>
    </w:p>
    <w:p w14:paraId="0E6861FB">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3810CBF9">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华容县财政事务中心单位2023年部门决算汇总公开单位构成包括：</w:t>
      </w:r>
      <w:r>
        <w:rPr>
          <w:rFonts w:hint="eastAsia" w:ascii="宋体" w:hAnsi="Times New Roman" w:eastAsia="宋体" w:cs="宋体"/>
          <w:sz w:val="32"/>
          <w:szCs w:val="32"/>
        </w:rPr>
        <w:t>局机关本级决算（根据财政预算管理制度，所属二级机构为一级预算单位，部门决算报表分别单独公开），不包含下属单位或机构</w:t>
      </w:r>
      <w:r>
        <w:rPr>
          <w:rFonts w:hint="eastAsia" w:ascii="宋体" w:hAnsi="Times New Roman" w:eastAsia="宋体" w:cs="宋体"/>
          <w:sz w:val="32"/>
          <w:szCs w:val="32"/>
          <w:highlight w:val="white"/>
        </w:rPr>
        <w:t>。</w:t>
      </w:r>
    </w:p>
    <w:p w14:paraId="77318E3B">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第二部分</w:t>
      </w:r>
    </w:p>
    <w:p w14:paraId="009D929A">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部门决算表</w:t>
      </w:r>
    </w:p>
    <w:p w14:paraId="101FCD8C">
      <w:pPr>
        <w:pStyle w:val="14"/>
        <w:jc w:val="center"/>
        <w:rPr>
          <w:rFonts w:hAnsi="黑体"/>
          <w:bCs/>
          <w:color w:val="auto"/>
          <w:kern w:val="2"/>
          <w:sz w:val="32"/>
          <w:szCs w:val="32"/>
        </w:rPr>
      </w:pPr>
      <w:r>
        <w:rPr>
          <w:rFonts w:hint="eastAsia" w:hAnsi="黑体"/>
          <w:bCs/>
          <w:color w:val="auto"/>
          <w:kern w:val="2"/>
          <w:sz w:val="32"/>
          <w:szCs w:val="32"/>
        </w:rPr>
        <w:t>详见附件表格</w:t>
      </w:r>
    </w:p>
    <w:p w14:paraId="3164031B">
      <w:pPr>
        <w:pStyle w:val="14"/>
        <w:jc w:val="center"/>
        <w:rPr>
          <w:rFonts w:ascii="方正小标宋_GBK" w:hAnsi="方正小标宋_GBK" w:eastAsia="方正小标宋_GBK" w:cs="方正小标宋_GBK"/>
          <w:color w:val="auto"/>
          <w:sz w:val="48"/>
          <w:szCs w:val="48"/>
        </w:rPr>
      </w:pPr>
    </w:p>
    <w:p w14:paraId="34C1D0A5">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第三部分</w:t>
      </w:r>
    </w:p>
    <w:p w14:paraId="79E81145">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2023年度部门决算情况说明</w:t>
      </w:r>
    </w:p>
    <w:p w14:paraId="52630647">
      <w:pPr>
        <w:widowControl/>
        <w:ind w:firstLine="640" w:firstLineChars="200"/>
        <w:jc w:val="left"/>
        <w:rPr>
          <w:rFonts w:ascii="黑体" w:hAnsi="黑体" w:eastAsia="黑体" w:cs="黑体"/>
          <w:bCs/>
          <w:sz w:val="32"/>
          <w:szCs w:val="32"/>
        </w:rPr>
      </w:pPr>
      <w:r>
        <w:rPr>
          <w:rFonts w:hint="eastAsia" w:ascii="黑体" w:hAnsi="黑体" w:eastAsia="黑体" w:cs="黑体"/>
          <w:bCs/>
          <w:sz w:val="32"/>
          <w:szCs w:val="32"/>
        </w:rPr>
        <w:t>一、收入支出决算总体情况说明</w:t>
      </w:r>
    </w:p>
    <w:p w14:paraId="74566A7A">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年度收、支总计均为</w:t>
      </w:r>
      <w:r>
        <w:rPr>
          <w:rFonts w:ascii="宋体" w:hAnsi="Times New Roman" w:eastAsia="宋体" w:cs="宋体"/>
          <w:sz w:val="32"/>
          <w:szCs w:val="32"/>
          <w:highlight w:val="white"/>
          <w:lang w:val="zh-CN"/>
        </w:rPr>
        <w:t>81.81</w:t>
      </w:r>
      <w:r>
        <w:rPr>
          <w:rFonts w:hint="eastAsia" w:ascii="宋体" w:hAnsi="Times New Roman" w:eastAsia="宋体" w:cs="宋体"/>
          <w:sz w:val="32"/>
          <w:szCs w:val="32"/>
          <w:highlight w:val="white"/>
          <w:lang w:val="zh-CN"/>
        </w:rPr>
        <w:t>万元，与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年相比，收、支总计各减少</w:t>
      </w:r>
      <w:r>
        <w:rPr>
          <w:rFonts w:ascii="宋体" w:hAnsi="Times New Roman" w:eastAsia="宋体" w:cs="宋体"/>
          <w:sz w:val="32"/>
          <w:szCs w:val="32"/>
          <w:highlight w:val="white"/>
          <w:lang w:val="zh-CN"/>
        </w:rPr>
        <w:t>49.38</w:t>
      </w:r>
      <w:r>
        <w:rPr>
          <w:rFonts w:hint="eastAsia" w:ascii="宋体" w:hAnsi="Times New Roman" w:eastAsia="宋体" w:cs="宋体"/>
          <w:sz w:val="32"/>
          <w:szCs w:val="32"/>
          <w:highlight w:val="white"/>
          <w:lang w:val="zh-CN"/>
        </w:rPr>
        <w:t>万元，下降</w:t>
      </w:r>
      <w:r>
        <w:rPr>
          <w:rFonts w:ascii="宋体" w:hAnsi="Times New Roman" w:eastAsia="宋体" w:cs="宋体"/>
          <w:sz w:val="32"/>
          <w:szCs w:val="32"/>
          <w:highlight w:val="white"/>
          <w:lang w:val="zh-CN"/>
        </w:rPr>
        <w:t>37.64%</w:t>
      </w:r>
      <w:r>
        <w:rPr>
          <w:rFonts w:hint="eastAsia" w:ascii="宋体" w:hAnsi="Times New Roman" w:eastAsia="宋体" w:cs="宋体"/>
          <w:sz w:val="32"/>
          <w:szCs w:val="32"/>
          <w:highlight w:val="white"/>
          <w:lang w:val="zh-CN"/>
        </w:rPr>
        <w:t>。主要原因是单位厉行节约，压减一般性支出，财政拨款收入减少</w:t>
      </w:r>
      <w:r>
        <w:rPr>
          <w:rFonts w:ascii="宋体" w:hAnsi="Times New Roman" w:eastAsia="宋体" w:cs="宋体"/>
          <w:sz w:val="32"/>
          <w:szCs w:val="32"/>
          <w:highlight w:val="white"/>
          <w:lang w:val="zh-CN"/>
        </w:rPr>
        <w:t>49.38</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w:t>
      </w:r>
    </w:p>
    <w:p w14:paraId="0C4B7F91">
      <w:pPr>
        <w:pStyle w:val="14"/>
        <w:spacing w:line="600" w:lineRule="exact"/>
        <w:ind w:firstLine="640" w:firstLineChars="200"/>
        <w:rPr>
          <w:rFonts w:hAnsi="黑体"/>
          <w:bCs/>
          <w:color w:val="auto"/>
          <w:sz w:val="32"/>
          <w:szCs w:val="32"/>
        </w:rPr>
      </w:pPr>
      <w:r>
        <w:rPr>
          <w:rFonts w:hint="eastAsia" w:hAnsi="黑体"/>
          <w:bCs/>
          <w:color w:val="auto"/>
          <w:sz w:val="32"/>
          <w:szCs w:val="32"/>
        </w:rPr>
        <w:t>二、收入决算情况说明</w:t>
      </w:r>
    </w:p>
    <w:p w14:paraId="506052FC">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年度收入合计</w:t>
      </w:r>
      <w:r>
        <w:rPr>
          <w:rFonts w:ascii="宋体" w:hAnsi="Times New Roman" w:eastAsia="宋体" w:cs="宋体"/>
          <w:sz w:val="32"/>
          <w:szCs w:val="32"/>
          <w:highlight w:val="white"/>
        </w:rPr>
        <w:t>81.81</w:t>
      </w:r>
      <w:r>
        <w:rPr>
          <w:rFonts w:hint="eastAsia" w:ascii="宋体" w:hAnsi="Times New Roman" w:eastAsia="宋体" w:cs="宋体"/>
          <w:sz w:val="32"/>
          <w:szCs w:val="32"/>
          <w:highlight w:val="white"/>
        </w:rPr>
        <w:t>万元，其中：财政拨款收入</w:t>
      </w:r>
      <w:r>
        <w:rPr>
          <w:rFonts w:ascii="宋体" w:hAnsi="Times New Roman" w:eastAsia="宋体" w:cs="宋体"/>
          <w:sz w:val="32"/>
          <w:szCs w:val="32"/>
          <w:highlight w:val="white"/>
        </w:rPr>
        <w:t>81.81</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237B2417">
      <w:pPr>
        <w:pStyle w:val="14"/>
        <w:spacing w:line="600" w:lineRule="exact"/>
        <w:ind w:left="420" w:leftChars="200" w:firstLine="160" w:firstLineChars="50"/>
        <w:rPr>
          <w:rFonts w:hAnsi="黑体"/>
          <w:bCs/>
          <w:color w:val="auto"/>
          <w:sz w:val="32"/>
          <w:szCs w:val="32"/>
        </w:rPr>
      </w:pPr>
      <w:r>
        <w:rPr>
          <w:rFonts w:hint="eastAsia" w:hAnsi="黑体"/>
          <w:bCs/>
          <w:color w:val="auto"/>
          <w:sz w:val="32"/>
          <w:szCs w:val="32"/>
        </w:rPr>
        <w:t>三、支出决算情况说明</w:t>
      </w:r>
    </w:p>
    <w:p w14:paraId="187ABA5E">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年度支出合计</w:t>
      </w:r>
      <w:r>
        <w:rPr>
          <w:rFonts w:ascii="宋体" w:hAnsi="Times New Roman" w:eastAsia="宋体" w:cs="宋体"/>
          <w:sz w:val="32"/>
          <w:szCs w:val="32"/>
          <w:highlight w:val="white"/>
        </w:rPr>
        <w:t>81.81</w:t>
      </w:r>
      <w:r>
        <w:rPr>
          <w:rFonts w:hint="eastAsia" w:ascii="宋体" w:hAnsi="Times New Roman" w:eastAsia="宋体" w:cs="宋体"/>
          <w:sz w:val="32"/>
          <w:szCs w:val="32"/>
          <w:highlight w:val="white"/>
        </w:rPr>
        <w:t>万元，其中：基本支出</w:t>
      </w:r>
      <w:r>
        <w:rPr>
          <w:rFonts w:ascii="宋体" w:hAnsi="Times New Roman" w:eastAsia="宋体" w:cs="宋体"/>
          <w:sz w:val="32"/>
          <w:szCs w:val="32"/>
          <w:highlight w:val="white"/>
          <w:lang w:val="zh-CN"/>
        </w:rPr>
        <w:t>81.81</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占</w:t>
      </w:r>
      <w:r>
        <w:rPr>
          <w:rFonts w:ascii="宋体" w:hAnsi="Times New Roman" w:eastAsia="宋体" w:cs="宋体"/>
          <w:sz w:val="32"/>
          <w:szCs w:val="32"/>
          <w:highlight w:val="white"/>
        </w:rPr>
        <w:t>100.00%</w:t>
      </w:r>
      <w:r>
        <w:rPr>
          <w:rFonts w:hint="eastAsia" w:ascii="宋体" w:hAnsi="Times New Roman" w:eastAsia="宋体" w:cs="宋体"/>
          <w:sz w:val="32"/>
          <w:szCs w:val="32"/>
          <w:highlight w:val="white"/>
        </w:rPr>
        <w:t>。</w:t>
      </w:r>
    </w:p>
    <w:p w14:paraId="780AC48D">
      <w:pPr>
        <w:pStyle w:val="14"/>
        <w:spacing w:line="600" w:lineRule="exact"/>
        <w:ind w:firstLine="640" w:firstLineChars="200"/>
        <w:rPr>
          <w:rFonts w:hAnsi="黑体"/>
          <w:bCs/>
          <w:color w:val="auto"/>
          <w:sz w:val="32"/>
          <w:szCs w:val="32"/>
        </w:rPr>
      </w:pPr>
      <w:r>
        <w:rPr>
          <w:rFonts w:hint="eastAsia" w:hAnsi="黑体"/>
          <w:bCs/>
          <w:color w:val="auto"/>
          <w:sz w:val="32"/>
          <w:szCs w:val="32"/>
        </w:rPr>
        <w:t>四、财政拨款收入支出决算总体情况说明</w:t>
      </w:r>
    </w:p>
    <w:p w14:paraId="4823B3BC">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年度财政拨款收、支总计均为</w:t>
      </w:r>
      <w:r>
        <w:rPr>
          <w:rFonts w:ascii="宋体" w:hAnsi="Times New Roman" w:eastAsia="宋体" w:cs="宋体"/>
          <w:sz w:val="32"/>
          <w:szCs w:val="32"/>
          <w:highlight w:val="white"/>
        </w:rPr>
        <w:t>81.81</w:t>
      </w:r>
      <w:r>
        <w:rPr>
          <w:rFonts w:hint="eastAsia" w:ascii="宋体" w:hAnsi="Times New Roman" w:eastAsia="宋体" w:cs="宋体"/>
          <w:sz w:val="32"/>
          <w:szCs w:val="32"/>
          <w:highlight w:val="white"/>
        </w:rPr>
        <w:t>万元，</w:t>
      </w:r>
      <w:r>
        <w:rPr>
          <w:rFonts w:hint="eastAsia" w:ascii="宋体" w:hAnsi="Times New Roman" w:eastAsia="宋体" w:cs="宋体"/>
          <w:sz w:val="32"/>
          <w:szCs w:val="32"/>
          <w:highlight w:val="white"/>
          <w:lang w:val="zh-CN"/>
        </w:rPr>
        <w:t>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w:t>
      </w:r>
      <w:r>
        <w:rPr>
          <w:rFonts w:hint="eastAsia" w:ascii="宋体" w:hAnsi="Times New Roman" w:eastAsia="宋体" w:cs="宋体"/>
          <w:sz w:val="32"/>
          <w:szCs w:val="32"/>
          <w:highlight w:val="white"/>
        </w:rPr>
        <w:t>财政拨款收、支总计各减少</w:t>
      </w:r>
      <w:r>
        <w:rPr>
          <w:rFonts w:ascii="宋体" w:hAnsi="Times New Roman" w:eastAsia="宋体" w:cs="宋体"/>
          <w:sz w:val="32"/>
          <w:szCs w:val="32"/>
          <w:highlight w:val="white"/>
        </w:rPr>
        <w:t>49.38</w:t>
      </w:r>
      <w:r>
        <w:rPr>
          <w:rFonts w:hint="eastAsia" w:ascii="宋体" w:hAnsi="Times New Roman" w:eastAsia="宋体" w:cs="宋体"/>
          <w:sz w:val="32"/>
          <w:szCs w:val="32"/>
          <w:highlight w:val="white"/>
        </w:rPr>
        <w:t>万元，下降</w:t>
      </w:r>
      <w:r>
        <w:rPr>
          <w:rFonts w:ascii="宋体" w:hAnsi="Times New Roman" w:eastAsia="宋体" w:cs="宋体"/>
          <w:sz w:val="32"/>
          <w:szCs w:val="32"/>
          <w:highlight w:val="white"/>
        </w:rPr>
        <w:t>37.64%</w:t>
      </w:r>
      <w:r>
        <w:rPr>
          <w:rFonts w:hint="eastAsia" w:ascii="宋体" w:hAnsi="Times New Roman" w:eastAsia="宋体" w:cs="宋体"/>
          <w:sz w:val="32"/>
          <w:szCs w:val="32"/>
          <w:highlight w:val="white"/>
        </w:rPr>
        <w:t>。</w:t>
      </w:r>
      <w:r>
        <w:rPr>
          <w:rFonts w:hint="eastAsia" w:ascii="宋体" w:hAnsi="Times New Roman" w:eastAsia="宋体" w:cs="宋体"/>
          <w:sz w:val="32"/>
          <w:szCs w:val="32"/>
          <w:highlight w:val="white"/>
          <w:lang w:val="zh-CN"/>
        </w:rPr>
        <w:t>主要原因是单位厉行节约，压减一般性支出，财政拨款收入减少</w:t>
      </w:r>
      <w:r>
        <w:rPr>
          <w:rFonts w:ascii="宋体" w:hAnsi="Times New Roman" w:eastAsia="宋体" w:cs="宋体"/>
          <w:sz w:val="32"/>
          <w:szCs w:val="32"/>
          <w:highlight w:val="white"/>
          <w:lang w:val="zh-CN"/>
        </w:rPr>
        <w:t>49.38</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w:t>
      </w:r>
    </w:p>
    <w:p w14:paraId="3BDD68D4">
      <w:pPr>
        <w:pStyle w:val="14"/>
        <w:spacing w:line="600" w:lineRule="exact"/>
        <w:ind w:firstLine="640" w:firstLineChars="200"/>
        <w:rPr>
          <w:rFonts w:hAnsi="黑体"/>
          <w:bCs/>
          <w:color w:val="auto"/>
          <w:sz w:val="32"/>
          <w:szCs w:val="32"/>
        </w:rPr>
      </w:pPr>
      <w:r>
        <w:rPr>
          <w:rFonts w:hint="eastAsia" w:hAnsi="黑体"/>
          <w:bCs/>
          <w:color w:val="auto"/>
          <w:sz w:val="32"/>
          <w:szCs w:val="32"/>
        </w:rPr>
        <w:t>五、一般公共预算财政拨款支出决算情况说明</w:t>
      </w:r>
    </w:p>
    <w:p w14:paraId="749360DC">
      <w:pPr>
        <w:pStyle w:val="14"/>
        <w:spacing w:line="600" w:lineRule="exact"/>
        <w:ind w:firstLine="640" w:firstLineChars="200"/>
        <w:rPr>
          <w:rFonts w:ascii="楷体" w:hAnsi="楷体" w:eastAsia="楷体" w:cs="楷体"/>
          <w:bCs/>
          <w:color w:val="auto"/>
          <w:sz w:val="32"/>
          <w:szCs w:val="32"/>
        </w:rPr>
      </w:pPr>
      <w:r>
        <w:rPr>
          <w:rFonts w:hint="eastAsia" w:ascii="楷体" w:hAnsi="楷体" w:eastAsia="楷体" w:cs="楷体"/>
          <w:bCs/>
          <w:color w:val="auto"/>
          <w:sz w:val="32"/>
          <w:szCs w:val="32"/>
        </w:rPr>
        <w:t>（一）一般公共预算财政拨款支出决算总体情况</w:t>
      </w:r>
    </w:p>
    <w:p w14:paraId="1DDC1E84">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年度财政拨款支出</w:t>
      </w:r>
      <w:r>
        <w:rPr>
          <w:rFonts w:ascii="宋体" w:hAnsi="Times New Roman" w:eastAsia="宋体" w:cs="宋体"/>
          <w:sz w:val="32"/>
          <w:szCs w:val="32"/>
          <w:highlight w:val="white"/>
        </w:rPr>
        <w:t>81.81</w:t>
      </w:r>
      <w:r>
        <w:rPr>
          <w:rFonts w:hint="eastAsia" w:ascii="宋体" w:hAnsi="Times New Roman" w:eastAsia="宋体" w:cs="宋体"/>
          <w:sz w:val="32"/>
          <w:szCs w:val="32"/>
          <w:highlight w:val="white"/>
        </w:rPr>
        <w:t>万元，占本年支出合计的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。与</w:t>
      </w:r>
      <w:r>
        <w:rPr>
          <w:rFonts w:ascii="宋体" w:hAnsi="Times New Roman" w:eastAsia="宋体" w:cs="宋体"/>
          <w:sz w:val="32"/>
          <w:szCs w:val="32"/>
          <w:highlight w:val="white"/>
        </w:rPr>
        <w:t>2022</w:t>
      </w:r>
      <w:r>
        <w:rPr>
          <w:rFonts w:hint="eastAsia" w:ascii="宋体" w:hAnsi="Times New Roman" w:eastAsia="宋体" w:cs="宋体"/>
          <w:sz w:val="32"/>
          <w:szCs w:val="32"/>
          <w:highlight w:val="white"/>
        </w:rPr>
        <w:t>年度相比，财政拨款支出减少</w:t>
      </w:r>
      <w:r>
        <w:rPr>
          <w:rFonts w:ascii="宋体" w:hAnsi="Times New Roman" w:eastAsia="宋体" w:cs="宋体"/>
          <w:sz w:val="32"/>
          <w:szCs w:val="32"/>
          <w:highlight w:val="white"/>
        </w:rPr>
        <w:t>49.38</w:t>
      </w:r>
      <w:r>
        <w:rPr>
          <w:rFonts w:hint="eastAsia" w:ascii="宋体" w:hAnsi="Times New Roman" w:eastAsia="宋体" w:cs="宋体"/>
          <w:sz w:val="32"/>
          <w:szCs w:val="32"/>
          <w:highlight w:val="white"/>
        </w:rPr>
        <w:t>万元，下降</w:t>
      </w:r>
      <w:r>
        <w:rPr>
          <w:rFonts w:ascii="宋体" w:hAnsi="Times New Roman" w:eastAsia="宋体" w:cs="宋体"/>
          <w:sz w:val="32"/>
          <w:szCs w:val="32"/>
          <w:highlight w:val="white"/>
        </w:rPr>
        <w:t>37.64%,</w:t>
      </w:r>
      <w:r>
        <w:rPr>
          <w:rFonts w:hint="eastAsia" w:ascii="宋体" w:hAnsi="Times New Roman" w:eastAsia="宋体" w:cs="宋体"/>
          <w:sz w:val="32"/>
          <w:szCs w:val="32"/>
          <w:highlight w:val="white"/>
        </w:rPr>
        <w:t>主要原因是</w:t>
      </w:r>
      <w:r>
        <w:rPr>
          <w:rFonts w:hint="eastAsia" w:ascii="宋体" w:hAnsi="Times New Roman" w:eastAsia="宋体" w:cs="宋体"/>
          <w:sz w:val="32"/>
          <w:szCs w:val="32"/>
          <w:highlight w:val="white"/>
          <w:lang w:val="zh-CN"/>
        </w:rPr>
        <w:t>单位厉行节约，压减一般性支出，财政拨款收入减少</w:t>
      </w:r>
      <w:r>
        <w:rPr>
          <w:rFonts w:ascii="宋体" w:hAnsi="Times New Roman" w:eastAsia="宋体" w:cs="宋体"/>
          <w:sz w:val="32"/>
          <w:szCs w:val="32"/>
          <w:highlight w:val="white"/>
          <w:lang w:val="zh-CN"/>
        </w:rPr>
        <w:t>49.38</w:t>
      </w:r>
      <w:r>
        <w:rPr>
          <w:rFonts w:hint="eastAsia" w:ascii="宋体" w:hAnsi="Times New Roman" w:eastAsia="宋体" w:cs="宋体"/>
          <w:sz w:val="32"/>
          <w:szCs w:val="32"/>
          <w:highlight w:val="white"/>
          <w:lang w:val="zh-CN"/>
        </w:rPr>
        <w:t>万元。</w:t>
      </w:r>
    </w:p>
    <w:p w14:paraId="5956D7FA">
      <w:pPr>
        <w:pStyle w:val="14"/>
        <w:spacing w:line="600" w:lineRule="exact"/>
        <w:ind w:firstLine="480" w:firstLineChars="150"/>
        <w:rPr>
          <w:rFonts w:ascii="楷体" w:hAnsi="楷体" w:eastAsia="楷体" w:cs="楷体"/>
          <w:bCs/>
          <w:color w:val="auto"/>
          <w:sz w:val="32"/>
          <w:szCs w:val="32"/>
        </w:rPr>
      </w:pPr>
      <w:r>
        <w:rPr>
          <w:rFonts w:hint="eastAsia" w:ascii="楷体" w:hAnsi="楷体" w:eastAsia="楷体" w:cs="楷体"/>
          <w:bCs/>
          <w:color w:val="auto"/>
          <w:sz w:val="32"/>
          <w:szCs w:val="32"/>
        </w:rPr>
        <w:t>（二）一般公共预算财政拨款支出决算结构情况</w:t>
      </w:r>
    </w:p>
    <w:p w14:paraId="1C18672A">
      <w:pPr>
        <w:keepNext/>
        <w:keepLines/>
        <w:autoSpaceDE w:val="0"/>
        <w:autoSpaceDN w:val="0"/>
        <w:adjustRightInd w:val="0"/>
        <w:ind w:firstLine="641"/>
        <w:rPr>
          <w:rFonts w:ascii="Calibri" w:hAnsi="Calibri" w:eastAsia="宋体" w:cs="Calibri"/>
          <w:szCs w:val="21"/>
          <w:highlight w:val="white"/>
          <w:lang w:val="zh-CN"/>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年度财政拨款支出</w:t>
      </w:r>
      <w:r>
        <w:rPr>
          <w:rFonts w:ascii="宋体" w:hAnsi="Times New Roman" w:eastAsia="宋体" w:cs="宋体"/>
          <w:kern w:val="0"/>
          <w:sz w:val="32"/>
          <w:szCs w:val="32"/>
          <w:highlight w:val="white"/>
        </w:rPr>
        <w:t>81.81</w:t>
      </w:r>
      <w:r>
        <w:rPr>
          <w:rFonts w:hint="eastAsia" w:ascii="宋体" w:hAnsi="Times New Roman" w:eastAsia="宋体" w:cs="宋体"/>
          <w:kern w:val="0"/>
          <w:sz w:val="32"/>
          <w:szCs w:val="32"/>
          <w:highlight w:val="white"/>
        </w:rPr>
        <w:t>万元，主要用于以下方面：一般公共服务（类）支出</w:t>
      </w:r>
      <w:r>
        <w:rPr>
          <w:rFonts w:ascii="宋体" w:hAnsi="Times New Roman" w:eastAsia="宋体" w:cs="宋体"/>
          <w:kern w:val="0"/>
          <w:sz w:val="32"/>
          <w:szCs w:val="32"/>
          <w:highlight w:val="white"/>
        </w:rPr>
        <w:t>49.11</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60.03%</w:t>
      </w:r>
      <w:r>
        <w:rPr>
          <w:rFonts w:hint="eastAsia" w:ascii="宋体" w:hAnsi="Times New Roman" w:eastAsia="宋体" w:cs="宋体"/>
          <w:kern w:val="0"/>
          <w:sz w:val="32"/>
          <w:szCs w:val="32"/>
          <w:highlight w:val="white"/>
        </w:rPr>
        <w:t>；文化旅游体育与传媒（类）支出</w:t>
      </w:r>
      <w:r>
        <w:rPr>
          <w:rFonts w:ascii="宋体" w:hAnsi="Times New Roman" w:eastAsia="宋体" w:cs="宋体"/>
          <w:kern w:val="0"/>
          <w:sz w:val="32"/>
          <w:szCs w:val="32"/>
          <w:highlight w:val="white"/>
        </w:rPr>
        <w:t>32.7</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39.97%</w:t>
      </w:r>
      <w:r>
        <w:rPr>
          <w:rFonts w:hint="eastAsia" w:ascii="宋体" w:hAnsi="Times New Roman" w:eastAsia="宋体" w:cs="宋体"/>
          <w:kern w:val="0"/>
          <w:sz w:val="32"/>
          <w:szCs w:val="32"/>
          <w:highlight w:val="white"/>
        </w:rPr>
        <w:t>。</w:t>
      </w:r>
    </w:p>
    <w:p w14:paraId="68ADBBFA">
      <w:pPr>
        <w:pStyle w:val="14"/>
        <w:spacing w:line="600" w:lineRule="exact"/>
        <w:ind w:firstLine="800" w:firstLineChars="250"/>
        <w:rPr>
          <w:rFonts w:ascii="楷体" w:hAnsi="楷体" w:eastAsia="楷体" w:cs="楷体"/>
          <w:bCs/>
          <w:color w:val="auto"/>
          <w:sz w:val="32"/>
          <w:szCs w:val="32"/>
        </w:rPr>
      </w:pPr>
      <w:r>
        <w:rPr>
          <w:rFonts w:hint="eastAsia" w:ascii="楷体" w:hAnsi="楷体" w:eastAsia="楷体" w:cs="楷体"/>
          <w:bCs/>
          <w:color w:val="auto"/>
          <w:sz w:val="32"/>
          <w:szCs w:val="32"/>
        </w:rPr>
        <w:t>（三）一般公共预算财政拨款支出决算具体情况</w:t>
      </w:r>
    </w:p>
    <w:p w14:paraId="4C3DCD09">
      <w:pPr>
        <w:pStyle w:val="14"/>
        <w:spacing w:line="600" w:lineRule="exact"/>
        <w:ind w:firstLine="640" w:firstLineChars="200"/>
        <w:rPr>
          <w:rFonts w:ascii="宋体" w:hAnsi="Times New Roman" w:eastAsia="宋体" w:cs="宋体"/>
          <w:color w:val="auto"/>
          <w:sz w:val="32"/>
          <w:szCs w:val="32"/>
          <w:highlight w:val="white"/>
        </w:rPr>
      </w:pP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年度财政拨款支出年初预算为</w:t>
      </w:r>
      <w:r>
        <w:rPr>
          <w:rFonts w:ascii="宋体" w:hAnsi="Times New Roman" w:eastAsia="宋体" w:cs="宋体"/>
          <w:color w:val="auto"/>
          <w:sz w:val="32"/>
          <w:szCs w:val="32"/>
          <w:highlight w:val="white"/>
        </w:rPr>
        <w:t>29.5</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81.81</w:t>
      </w:r>
      <w:r>
        <w:rPr>
          <w:rFonts w:hint="eastAsia" w:ascii="宋体" w:hAnsi="Times New Roman" w:eastAsia="宋体" w:cs="宋体"/>
          <w:color w:val="auto"/>
          <w:sz w:val="32"/>
          <w:szCs w:val="32"/>
          <w:highlight w:val="white"/>
        </w:rPr>
        <w:t>万元，完成年初预算的</w:t>
      </w:r>
      <w:r>
        <w:rPr>
          <w:rFonts w:ascii="宋体" w:hAnsi="Times New Roman" w:eastAsia="宋体" w:cs="宋体"/>
          <w:color w:val="auto"/>
          <w:sz w:val="32"/>
          <w:szCs w:val="32"/>
          <w:highlight w:val="white"/>
        </w:rPr>
        <w:t>277.32%</w:t>
      </w:r>
      <w:r>
        <w:rPr>
          <w:rFonts w:hint="eastAsia" w:ascii="宋体" w:hAnsi="Times New Roman" w:eastAsia="宋体" w:cs="宋体"/>
          <w:color w:val="auto"/>
          <w:sz w:val="32"/>
          <w:szCs w:val="32"/>
          <w:highlight w:val="white"/>
        </w:rPr>
        <w:t>。其中：</w:t>
      </w:r>
    </w:p>
    <w:p w14:paraId="2CB51EE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一般公共服务支出（类）财政事务（款）行政运行（项）。年初预算为</w:t>
      </w:r>
      <w:r>
        <w:rPr>
          <w:rFonts w:ascii="宋体" w:hAnsi="Times New Roman" w:eastAsia="宋体" w:cs="宋体"/>
          <w:color w:val="auto"/>
          <w:sz w:val="32"/>
          <w:szCs w:val="32"/>
          <w:highlight w:val="white"/>
        </w:rPr>
        <w:t>29.5</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49.11</w:t>
      </w:r>
      <w:r>
        <w:rPr>
          <w:rFonts w:hint="eastAsia" w:ascii="宋体" w:hAnsi="Times New Roman" w:eastAsia="宋体" w:cs="宋体"/>
          <w:color w:val="auto"/>
          <w:sz w:val="32"/>
          <w:szCs w:val="32"/>
          <w:highlight w:val="white"/>
        </w:rPr>
        <w:t>万元，完成年初预算的</w:t>
      </w:r>
      <w:r>
        <w:rPr>
          <w:rFonts w:ascii="宋体" w:hAnsi="Times New Roman" w:eastAsia="宋体" w:cs="宋体"/>
          <w:color w:val="auto"/>
          <w:sz w:val="32"/>
          <w:szCs w:val="32"/>
          <w:highlight w:val="white"/>
        </w:rPr>
        <w:t>166.47%</w:t>
      </w:r>
      <w:r>
        <w:rPr>
          <w:rFonts w:hint="eastAsia" w:ascii="宋体" w:hAnsi="Times New Roman" w:eastAsia="宋体" w:cs="宋体"/>
          <w:color w:val="auto"/>
          <w:sz w:val="32"/>
          <w:szCs w:val="32"/>
          <w:highlight w:val="white"/>
        </w:rPr>
        <w:t>。决算数大于预算数的主要原因是业务工作任务增加，调整预算支出，财政追拨行政运行经费。</w:t>
      </w:r>
      <w:r>
        <w:rPr>
          <w:rFonts w:ascii="宋体" w:hAnsi="Times New Roman" w:eastAsia="宋体" w:cs="宋体"/>
          <w:color w:val="auto"/>
          <w:sz w:val="32"/>
          <w:szCs w:val="32"/>
          <w:highlight w:val="white"/>
        </w:rPr>
        <w:t xml:space="preserve">  </w:t>
      </w:r>
    </w:p>
    <w:p w14:paraId="47A30C8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文化旅游体育与传媒支出（类）广播电视（款）行政运行（项）。年初预算为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32.7</w:t>
      </w:r>
      <w:r>
        <w:rPr>
          <w:rFonts w:hint="eastAsia" w:ascii="宋体" w:hAnsi="Times New Roman" w:eastAsia="宋体" w:cs="宋体"/>
          <w:color w:val="auto"/>
          <w:sz w:val="32"/>
          <w:szCs w:val="32"/>
          <w:highlight w:val="white"/>
        </w:rPr>
        <w:t>万元，由于年初预算为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，无法计算百分比。决算数大于预算数的主要原因是是业务工作任务增加，调整预算支出，财政追拨行政运行经费。</w:t>
      </w:r>
      <w:r>
        <w:rPr>
          <w:rFonts w:ascii="宋体" w:hAnsi="Times New Roman" w:eastAsia="宋体" w:cs="宋体"/>
          <w:color w:val="auto"/>
          <w:sz w:val="32"/>
          <w:szCs w:val="32"/>
          <w:highlight w:val="white"/>
        </w:rPr>
        <w:t xml:space="preserve">  </w:t>
      </w:r>
    </w:p>
    <w:p w14:paraId="652CCF5B">
      <w:pPr>
        <w:pStyle w:val="14"/>
        <w:spacing w:line="600" w:lineRule="exact"/>
        <w:ind w:firstLine="640" w:firstLineChars="200"/>
        <w:rPr>
          <w:rFonts w:hAnsi="黑体"/>
          <w:bCs/>
          <w:color w:val="auto"/>
          <w:sz w:val="32"/>
          <w:szCs w:val="32"/>
        </w:rPr>
      </w:pPr>
      <w:r>
        <w:rPr>
          <w:rFonts w:hint="eastAsia" w:hAnsi="黑体"/>
          <w:bCs/>
          <w:color w:val="auto"/>
          <w:sz w:val="32"/>
          <w:szCs w:val="32"/>
        </w:rPr>
        <w:t>六、一般公共预算财政拨款基本支出决算情况说明</w:t>
      </w:r>
    </w:p>
    <w:p w14:paraId="26D4717E">
      <w:pPr>
        <w:keepNext/>
        <w:keepLines/>
        <w:autoSpaceDE w:val="0"/>
        <w:autoSpaceDN w:val="0"/>
        <w:adjustRightInd w:val="0"/>
        <w:ind w:firstLine="640"/>
        <w:jc w:val="left"/>
        <w:rPr>
          <w:rFonts w:ascii="宋体" w:hAnsi="Times New Roman" w:eastAsia="宋体" w:cs="宋体"/>
          <w:kern w:val="0"/>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w:t>
      </w:r>
      <w:r>
        <w:rPr>
          <w:rFonts w:hint="eastAsia" w:ascii="宋体" w:hAnsi="Times New Roman" w:eastAsia="宋体" w:cs="宋体"/>
          <w:kern w:val="0"/>
          <w:sz w:val="32"/>
          <w:szCs w:val="32"/>
          <w:highlight w:val="white"/>
        </w:rPr>
        <w:t>财政拨款基本支出</w:t>
      </w:r>
      <w:r>
        <w:rPr>
          <w:rFonts w:ascii="宋体" w:hAnsi="Times New Roman" w:eastAsia="宋体" w:cs="宋体"/>
          <w:kern w:val="0"/>
          <w:sz w:val="32"/>
          <w:szCs w:val="32"/>
          <w:highlight w:val="white"/>
        </w:rPr>
        <w:t>81.81</w:t>
      </w:r>
      <w:r>
        <w:rPr>
          <w:rFonts w:hint="eastAsia" w:ascii="宋体" w:hAnsi="Times New Roman" w:eastAsia="宋体" w:cs="宋体"/>
          <w:kern w:val="0"/>
          <w:sz w:val="32"/>
          <w:szCs w:val="32"/>
          <w:highlight w:val="white"/>
        </w:rPr>
        <w:t>万元，其中</w:t>
      </w:r>
      <w:r>
        <w:rPr>
          <w:rFonts w:ascii="宋体" w:hAnsi="Times New Roman" w:eastAsia="宋体" w:cs="宋体"/>
          <w:kern w:val="0"/>
          <w:sz w:val="32"/>
          <w:szCs w:val="32"/>
          <w:highlight w:val="white"/>
        </w:rPr>
        <w:t>:</w:t>
      </w:r>
    </w:p>
    <w:p w14:paraId="1556D753">
      <w:pPr>
        <w:keepNext/>
        <w:keepLines/>
        <w:autoSpaceDE w:val="0"/>
        <w:autoSpaceDN w:val="0"/>
        <w:adjustRightInd w:val="0"/>
        <w:ind w:firstLine="643"/>
        <w:jc w:val="left"/>
        <w:rPr>
          <w:rFonts w:ascii="宋体" w:hAnsi="Times New Roman" w:eastAsia="宋体" w:cs="宋体"/>
          <w:kern w:val="0"/>
          <w:sz w:val="32"/>
          <w:szCs w:val="32"/>
          <w:highlight w:val="white"/>
          <w:lang w:val="zh-CN"/>
        </w:rPr>
      </w:pPr>
      <w:r>
        <w:rPr>
          <w:rFonts w:hint="eastAsia" w:ascii="宋体" w:hAnsi="Times New Roman" w:eastAsia="宋体" w:cs="宋体"/>
          <w:b/>
          <w:bCs/>
          <w:kern w:val="0"/>
          <w:sz w:val="32"/>
          <w:szCs w:val="32"/>
          <w:highlight w:val="white"/>
        </w:rPr>
        <w:t>人员经费</w:t>
      </w:r>
      <w:r>
        <w:rPr>
          <w:rFonts w:ascii="宋体" w:hAnsi="Times New Roman" w:eastAsia="宋体" w:cs="宋体"/>
          <w:kern w:val="0"/>
          <w:sz w:val="32"/>
          <w:szCs w:val="32"/>
          <w:highlight w:val="white"/>
        </w:rPr>
        <w:t>16.33</w:t>
      </w:r>
      <w:r>
        <w:rPr>
          <w:rFonts w:hint="eastAsia" w:ascii="宋体" w:hAnsi="Times New Roman" w:eastAsia="宋体" w:cs="宋体"/>
          <w:kern w:val="0"/>
          <w:sz w:val="32"/>
          <w:szCs w:val="32"/>
          <w:highlight w:val="white"/>
        </w:rPr>
        <w:t>万元，</w:t>
      </w:r>
      <w:r>
        <w:rPr>
          <w:rFonts w:hint="eastAsia" w:ascii="宋体" w:hAnsi="Times New Roman" w:eastAsia="宋体" w:cs="宋体"/>
          <w:sz w:val="32"/>
          <w:szCs w:val="32"/>
          <w:highlight w:val="white"/>
          <w:lang w:val="zh-CN"/>
        </w:rPr>
        <w:t>占基本支出的</w:t>
      </w:r>
      <w:r>
        <w:rPr>
          <w:rFonts w:ascii="宋体" w:hAnsi="Times New Roman" w:eastAsia="宋体" w:cs="宋体"/>
          <w:kern w:val="0"/>
          <w:sz w:val="32"/>
          <w:szCs w:val="32"/>
          <w:highlight w:val="white"/>
        </w:rPr>
        <w:t>19.96%</w:t>
      </w:r>
      <w:r>
        <w:rPr>
          <w:rFonts w:hint="eastAsia" w:ascii="宋体" w:hAnsi="Times New Roman" w:eastAsia="宋体" w:cs="宋体"/>
          <w:kern w:val="0"/>
          <w:sz w:val="32"/>
          <w:szCs w:val="32"/>
          <w:highlight w:val="white"/>
        </w:rPr>
        <w:t>，主要包括基本工资、津贴补贴、</w:t>
      </w:r>
      <w:r>
        <w:rPr>
          <w:rFonts w:hint="eastAsia" w:ascii="宋体" w:hAnsi="Times New Roman" w:eastAsia="宋体" w:cs="宋体"/>
          <w:kern w:val="0"/>
          <w:sz w:val="32"/>
          <w:szCs w:val="32"/>
          <w:highlight w:val="whit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4E1EB033">
      <w:pPr>
        <w:pStyle w:val="14"/>
        <w:spacing w:line="600" w:lineRule="exact"/>
        <w:ind w:firstLine="640" w:firstLineChars="200"/>
        <w:rPr>
          <w:rFonts w:ascii="Times New Roman" w:hAnsi="Times New Roman" w:eastAsia="仿宋_GB2312"/>
          <w:b/>
          <w:color w:val="auto"/>
          <w:sz w:val="32"/>
          <w:szCs w:val="32"/>
        </w:rPr>
      </w:pPr>
      <w:r>
        <w:rPr>
          <w:rFonts w:hint="eastAsia" w:ascii="宋体" w:hAnsi="Times New Roman" w:eastAsia="宋体" w:cs="宋体"/>
          <w:b/>
          <w:bCs/>
          <w:color w:val="auto"/>
          <w:sz w:val="32"/>
          <w:szCs w:val="32"/>
          <w:highlight w:val="white"/>
        </w:rPr>
        <w:t>公用经费</w:t>
      </w:r>
      <w:r>
        <w:rPr>
          <w:rFonts w:ascii="宋体" w:hAnsi="Times New Roman" w:eastAsia="宋体" w:cs="宋体"/>
          <w:color w:val="auto"/>
          <w:sz w:val="32"/>
          <w:szCs w:val="32"/>
          <w:highlight w:val="white"/>
        </w:rPr>
        <w:t>65.48</w:t>
      </w:r>
      <w:r>
        <w:rPr>
          <w:rFonts w:hint="eastAsia" w:ascii="宋体" w:hAnsi="Times New Roman" w:eastAsia="宋体" w:cs="宋体"/>
          <w:color w:val="auto"/>
          <w:sz w:val="32"/>
          <w:szCs w:val="32"/>
          <w:highlight w:val="white"/>
        </w:rPr>
        <w:t>万元，</w:t>
      </w:r>
      <w:r>
        <w:rPr>
          <w:rFonts w:hint="eastAsia" w:ascii="宋体" w:hAnsi="Times New Roman" w:eastAsia="宋体" w:cs="宋体"/>
          <w:color w:val="auto"/>
          <w:sz w:val="32"/>
          <w:szCs w:val="32"/>
          <w:highlight w:val="white"/>
          <w:lang w:val="zh-CN"/>
        </w:rPr>
        <w:t>占基本支出的</w:t>
      </w:r>
      <w:r>
        <w:rPr>
          <w:rFonts w:ascii="宋体" w:hAnsi="Times New Roman" w:eastAsia="宋体" w:cs="宋体"/>
          <w:color w:val="auto"/>
          <w:sz w:val="32"/>
          <w:szCs w:val="32"/>
          <w:highlight w:val="white"/>
        </w:rPr>
        <w:t>80.04%</w:t>
      </w:r>
      <w:r>
        <w:rPr>
          <w:rFonts w:hint="eastAsia" w:ascii="宋体" w:hAnsi="Times New Roman" w:eastAsia="宋体" w:cs="宋体"/>
          <w:color w:val="auto"/>
          <w:sz w:val="32"/>
          <w:szCs w:val="32"/>
          <w:highlight w:val="whit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497CBEDA">
      <w:pPr>
        <w:pStyle w:val="14"/>
        <w:spacing w:line="600" w:lineRule="exact"/>
        <w:ind w:firstLine="640" w:firstLineChars="200"/>
        <w:rPr>
          <w:rFonts w:ascii="Times New Roman" w:hAnsi="Times New Roman" w:eastAsia="仿宋_GB2312"/>
          <w:b/>
          <w:color w:val="auto"/>
          <w:sz w:val="32"/>
          <w:szCs w:val="32"/>
        </w:rPr>
      </w:pPr>
      <w:r>
        <w:rPr>
          <w:rFonts w:hint="eastAsia" w:hAnsi="黑体"/>
          <w:bCs/>
          <w:color w:val="auto"/>
          <w:sz w:val="32"/>
          <w:szCs w:val="32"/>
        </w:rPr>
        <w:t>七、财政拨款三公经费支出决算情况说明</w:t>
      </w:r>
    </w:p>
    <w:p w14:paraId="024B6307">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（一）“三公”经费财政拨款支出决算总体情况说明</w:t>
      </w:r>
    </w:p>
    <w:p w14:paraId="118CC65D">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w:t>
      </w:r>
      <w:r>
        <w:rPr>
          <w:rFonts w:ascii="宋体" w:hAnsi="Times New Roman" w:eastAsia="宋体" w:cs="宋体"/>
          <w:sz w:val="32"/>
          <w:szCs w:val="32"/>
          <w:highlight w:val="white"/>
          <w:lang w:val="zh-CN"/>
        </w:rPr>
        <w:t>“</w:t>
      </w:r>
      <w:r>
        <w:rPr>
          <w:rFonts w:hint="eastAsia" w:ascii="宋体" w:hAnsi="Times New Roman" w:eastAsia="宋体" w:cs="宋体"/>
          <w:sz w:val="32"/>
          <w:szCs w:val="32"/>
          <w:highlight w:val="white"/>
          <w:lang w:val="zh-CN"/>
        </w:rPr>
        <w:t>三公</w:t>
      </w:r>
      <w:r>
        <w:rPr>
          <w:rFonts w:ascii="宋体" w:hAnsi="Times New Roman" w:eastAsia="宋体" w:cs="宋体"/>
          <w:sz w:val="32"/>
          <w:szCs w:val="32"/>
          <w:highlight w:val="white"/>
          <w:lang w:val="zh-CN"/>
        </w:rPr>
        <w:t>”</w:t>
      </w:r>
      <w:r>
        <w:rPr>
          <w:rFonts w:hint="eastAsia" w:ascii="宋体" w:hAnsi="Times New Roman" w:eastAsia="宋体" w:cs="宋体"/>
          <w:sz w:val="32"/>
          <w:szCs w:val="32"/>
          <w:highlight w:val="white"/>
          <w:lang w:val="zh-CN"/>
        </w:rPr>
        <w:t>经费财政拨款支出预算为</w:t>
      </w:r>
      <w:r>
        <w:rPr>
          <w:rFonts w:ascii="宋体" w:hAnsi="Times New Roman" w:eastAsia="宋体" w:cs="宋体"/>
          <w:sz w:val="32"/>
          <w:szCs w:val="32"/>
          <w:highlight w:val="white"/>
          <w:lang w:val="zh-CN"/>
        </w:rPr>
        <w:t>0</w:t>
      </w:r>
      <w:r>
        <w:rPr>
          <w:rFonts w:hint="eastAsia" w:ascii="宋体" w:hAnsi="Times New Roman" w:eastAsia="宋体" w:cs="宋体"/>
          <w:sz w:val="32"/>
          <w:szCs w:val="32"/>
          <w:highlight w:val="white"/>
          <w:lang w:val="zh-CN"/>
        </w:rPr>
        <w:t>万元，支出决算为</w:t>
      </w:r>
      <w:r>
        <w:rPr>
          <w:rFonts w:ascii="宋体" w:hAnsi="Times New Roman" w:eastAsia="宋体" w:cs="宋体"/>
          <w:sz w:val="32"/>
          <w:szCs w:val="32"/>
          <w:highlight w:val="white"/>
          <w:lang w:val="zh-CN"/>
        </w:rPr>
        <w:t>0</w:t>
      </w:r>
      <w:r>
        <w:rPr>
          <w:rFonts w:hint="eastAsia" w:ascii="宋体" w:hAnsi="Times New Roman" w:eastAsia="宋体" w:cs="宋体"/>
          <w:sz w:val="32"/>
          <w:szCs w:val="32"/>
          <w:highlight w:val="white"/>
          <w:lang w:val="zh-CN"/>
        </w:rPr>
        <w:t>万元，</w:t>
      </w:r>
      <w:r>
        <w:rPr>
          <w:rFonts w:hint="eastAsia" w:ascii="宋体" w:cs="宋体"/>
          <w:sz w:val="32"/>
          <w:szCs w:val="32"/>
        </w:rPr>
        <w:t>由于预算为</w:t>
      </w:r>
      <w:r>
        <w:rPr>
          <w:rFonts w:ascii="宋体" w:cs="宋体"/>
          <w:sz w:val="32"/>
          <w:szCs w:val="32"/>
        </w:rPr>
        <w:t>0</w:t>
      </w:r>
      <w:r>
        <w:rPr>
          <w:rFonts w:hint="eastAsia" w:ascii="宋体" w:cs="宋体"/>
          <w:sz w:val="32"/>
          <w:szCs w:val="32"/>
        </w:rPr>
        <w:t>，无法计算百分比</w:t>
      </w:r>
      <w:r>
        <w:rPr>
          <w:rFonts w:hint="eastAsia" w:ascii="宋体" w:hAnsi="Times New Roman" w:eastAsia="宋体" w:cs="宋体"/>
          <w:sz w:val="32"/>
          <w:szCs w:val="32"/>
          <w:highlight w:val="white"/>
          <w:lang w:val="zh-CN"/>
        </w:rPr>
        <w:t>，与上年相比减少</w:t>
      </w:r>
      <w:r>
        <w:rPr>
          <w:rFonts w:ascii="宋体" w:hAnsi="Times New Roman" w:eastAsia="宋体" w:cs="宋体"/>
          <w:sz w:val="32"/>
          <w:szCs w:val="32"/>
          <w:highlight w:val="white"/>
          <w:lang w:val="zh-CN"/>
        </w:rPr>
        <w:t>0</w:t>
      </w:r>
      <w:r>
        <w:rPr>
          <w:rFonts w:hint="eastAsia" w:ascii="宋体" w:hAnsi="Times New Roman" w:eastAsia="宋体" w:cs="宋体"/>
          <w:sz w:val="32"/>
          <w:szCs w:val="32"/>
          <w:highlight w:val="white"/>
          <w:lang w:val="zh-CN"/>
        </w:rPr>
        <w:t>万元，减少</w:t>
      </w:r>
      <w:r>
        <w:rPr>
          <w:rFonts w:ascii="宋体" w:hAnsi="Times New Roman" w:eastAsia="宋体" w:cs="宋体"/>
          <w:sz w:val="32"/>
          <w:szCs w:val="32"/>
          <w:highlight w:val="white"/>
          <w:lang w:val="zh-CN"/>
        </w:rPr>
        <w:t>0%</w:t>
      </w:r>
      <w:r>
        <w:rPr>
          <w:rFonts w:hint="eastAsia" w:ascii="宋体" w:hAnsi="Times New Roman" w:eastAsia="宋体" w:cs="宋体"/>
          <w:sz w:val="32"/>
          <w:szCs w:val="32"/>
          <w:highlight w:val="white"/>
          <w:lang w:val="zh-CN"/>
        </w:rPr>
        <w:t>。其中：</w:t>
      </w:r>
    </w:p>
    <w:p w14:paraId="02714FD4">
      <w:pPr>
        <w:keepNext/>
        <w:keepLines/>
        <w:autoSpaceDE w:val="0"/>
        <w:autoSpaceDN w:val="0"/>
        <w:adjustRightInd w:val="0"/>
        <w:ind w:firstLine="640"/>
        <w:rPr>
          <w:rFonts w:ascii="宋体" w:hAnsi="Times New Roman" w:eastAsia="宋体" w:cs="宋体"/>
          <w:sz w:val="32"/>
          <w:szCs w:val="32"/>
          <w:highlight w:val="white"/>
          <w:lang w:val="zh-CN"/>
        </w:rPr>
      </w:pPr>
      <w:r>
        <w:rPr>
          <w:rFonts w:hint="eastAsia" w:ascii="宋体" w:hAnsi="Times New Roman" w:eastAsia="宋体" w:cs="宋体"/>
          <w:sz w:val="32"/>
          <w:szCs w:val="32"/>
          <w:highlight w:val="white"/>
        </w:rPr>
        <w:t>因公出国（境）费支出预算为</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万元，支出决算为</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万元，</w:t>
      </w:r>
      <w:r>
        <w:rPr>
          <w:rFonts w:hint="eastAsia" w:ascii="宋体" w:cs="宋体"/>
          <w:sz w:val="32"/>
          <w:szCs w:val="32"/>
        </w:rPr>
        <w:t>由于预算为</w:t>
      </w:r>
      <w:r>
        <w:rPr>
          <w:rFonts w:ascii="宋体" w:cs="宋体"/>
          <w:sz w:val="32"/>
          <w:szCs w:val="32"/>
        </w:rPr>
        <w:t>0</w:t>
      </w:r>
      <w:r>
        <w:rPr>
          <w:rFonts w:hint="eastAsia" w:ascii="宋体" w:cs="宋体"/>
          <w:sz w:val="32"/>
          <w:szCs w:val="32"/>
        </w:rPr>
        <w:t>，无法计算百分比</w:t>
      </w:r>
      <w:r>
        <w:rPr>
          <w:rFonts w:hint="eastAsia" w:ascii="宋体" w:hAnsi="Times New Roman" w:eastAsia="宋体" w:cs="宋体"/>
          <w:sz w:val="32"/>
          <w:szCs w:val="32"/>
          <w:highlight w:val="white"/>
        </w:rPr>
        <w:t>，与上年相比减少</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万元，减少</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w:t>
      </w:r>
      <w:r>
        <w:rPr>
          <w:rFonts w:ascii="宋体" w:hAnsi="Times New Roman" w:eastAsia="宋体" w:cs="宋体"/>
          <w:sz w:val="32"/>
          <w:szCs w:val="32"/>
          <w:highlight w:val="white"/>
          <w:lang w:val="zh-CN"/>
        </w:rPr>
        <w:t xml:space="preserve">   </w:t>
      </w:r>
    </w:p>
    <w:p w14:paraId="64F99500">
      <w:pPr>
        <w:keepNext/>
        <w:keepLines/>
        <w:autoSpaceDE w:val="0"/>
        <w:autoSpaceDN w:val="0"/>
        <w:adjustRightInd w:val="0"/>
        <w:ind w:firstLine="640"/>
        <w:rPr>
          <w:rFonts w:ascii="宋体" w:hAnsi="Times New Roman" w:eastAsia="宋体" w:cs="宋体"/>
          <w:sz w:val="32"/>
          <w:szCs w:val="32"/>
          <w:highlight w:val="white"/>
          <w:lang w:val="zh-CN"/>
        </w:rPr>
      </w:pPr>
      <w:r>
        <w:rPr>
          <w:rFonts w:hint="eastAsia" w:ascii="宋体" w:hAnsi="Times New Roman" w:eastAsia="宋体" w:cs="宋体"/>
          <w:sz w:val="32"/>
          <w:szCs w:val="32"/>
          <w:highlight w:val="white"/>
          <w:lang w:val="zh-CN"/>
        </w:rPr>
        <w:t>公务接待费支出预算为</w:t>
      </w:r>
      <w:r>
        <w:rPr>
          <w:rFonts w:ascii="宋体" w:hAnsi="Times New Roman" w:eastAsia="宋体" w:cs="宋体"/>
          <w:sz w:val="32"/>
          <w:szCs w:val="32"/>
          <w:highlight w:val="white"/>
          <w:lang w:val="zh-CN"/>
        </w:rPr>
        <w:t>0</w:t>
      </w:r>
      <w:r>
        <w:rPr>
          <w:rFonts w:hint="eastAsia" w:ascii="宋体" w:hAnsi="Times New Roman" w:eastAsia="宋体" w:cs="宋体"/>
          <w:sz w:val="32"/>
          <w:szCs w:val="32"/>
          <w:highlight w:val="white"/>
          <w:lang w:val="zh-CN"/>
        </w:rPr>
        <w:t>万元，支出决算为</w:t>
      </w:r>
      <w:r>
        <w:rPr>
          <w:rFonts w:ascii="宋体" w:hAnsi="Times New Roman" w:eastAsia="宋体" w:cs="宋体"/>
          <w:sz w:val="32"/>
          <w:szCs w:val="32"/>
          <w:highlight w:val="white"/>
          <w:lang w:val="zh-CN"/>
        </w:rPr>
        <w:t>0</w:t>
      </w:r>
      <w:r>
        <w:rPr>
          <w:rFonts w:hint="eastAsia" w:ascii="宋体" w:hAnsi="Times New Roman" w:eastAsia="宋体" w:cs="宋体"/>
          <w:sz w:val="32"/>
          <w:szCs w:val="32"/>
          <w:highlight w:val="white"/>
          <w:lang w:val="zh-CN"/>
        </w:rPr>
        <w:t>万元，</w:t>
      </w:r>
      <w:r>
        <w:rPr>
          <w:rFonts w:hint="eastAsia" w:ascii="宋体" w:cs="宋体"/>
          <w:sz w:val="32"/>
          <w:szCs w:val="32"/>
        </w:rPr>
        <w:t>由于预算为</w:t>
      </w:r>
      <w:r>
        <w:rPr>
          <w:rFonts w:ascii="宋体" w:cs="宋体"/>
          <w:sz w:val="32"/>
          <w:szCs w:val="32"/>
        </w:rPr>
        <w:t>0</w:t>
      </w:r>
      <w:r>
        <w:rPr>
          <w:rFonts w:hint="eastAsia" w:ascii="宋体" w:cs="宋体"/>
          <w:sz w:val="32"/>
          <w:szCs w:val="32"/>
        </w:rPr>
        <w:t>，无法计算百分比</w:t>
      </w:r>
      <w:r>
        <w:rPr>
          <w:rFonts w:hint="eastAsia" w:ascii="宋体" w:hAnsi="Times New Roman" w:eastAsia="宋体" w:cs="宋体"/>
          <w:sz w:val="32"/>
          <w:szCs w:val="32"/>
          <w:highlight w:val="white"/>
          <w:lang w:val="zh-CN"/>
        </w:rPr>
        <w:t>，与上年相比减少</w:t>
      </w:r>
      <w:r>
        <w:rPr>
          <w:rFonts w:ascii="宋体" w:hAnsi="Times New Roman" w:eastAsia="宋体" w:cs="宋体"/>
          <w:sz w:val="32"/>
          <w:szCs w:val="32"/>
          <w:highlight w:val="white"/>
          <w:lang w:val="zh-CN"/>
        </w:rPr>
        <w:t>0</w:t>
      </w:r>
      <w:r>
        <w:rPr>
          <w:rFonts w:hint="eastAsia" w:ascii="宋体" w:hAnsi="Times New Roman" w:eastAsia="宋体" w:cs="宋体"/>
          <w:sz w:val="32"/>
          <w:szCs w:val="32"/>
          <w:highlight w:val="white"/>
          <w:lang w:val="zh-CN"/>
        </w:rPr>
        <w:t>万元，减少</w:t>
      </w:r>
      <w:r>
        <w:rPr>
          <w:rFonts w:ascii="宋体" w:hAnsi="Times New Roman" w:eastAsia="宋体" w:cs="宋体"/>
          <w:sz w:val="32"/>
          <w:szCs w:val="32"/>
          <w:highlight w:val="white"/>
          <w:lang w:val="zh-CN"/>
        </w:rPr>
        <w:t>0%</w:t>
      </w:r>
      <w:r>
        <w:rPr>
          <w:rFonts w:hint="eastAsia" w:ascii="宋体" w:hAnsi="Times New Roman" w:eastAsia="宋体" w:cs="宋体"/>
          <w:sz w:val="32"/>
          <w:szCs w:val="32"/>
          <w:highlight w:val="white"/>
          <w:lang w:val="zh-CN"/>
        </w:rPr>
        <w:t>。</w:t>
      </w:r>
      <w:r>
        <w:rPr>
          <w:rFonts w:ascii="宋体" w:hAnsi="Times New Roman" w:eastAsia="宋体" w:cs="宋体"/>
          <w:sz w:val="32"/>
          <w:szCs w:val="32"/>
          <w:highlight w:val="white"/>
          <w:lang w:val="zh-CN"/>
        </w:rPr>
        <w:t xml:space="preserve">   </w:t>
      </w:r>
    </w:p>
    <w:p w14:paraId="2A2C2E8D">
      <w:pPr>
        <w:keepNext/>
        <w:keepLines/>
        <w:autoSpaceDE w:val="0"/>
        <w:autoSpaceDN w:val="0"/>
        <w:adjustRightInd w:val="0"/>
        <w:ind w:firstLine="640"/>
        <w:rPr>
          <w:rFonts w:ascii="Times New Roman" w:hAnsi="Times New Roman" w:eastAsia="宋体" w:cs="Times New Roman"/>
          <w:szCs w:val="21"/>
        </w:rPr>
      </w:pPr>
      <w:r>
        <w:rPr>
          <w:rFonts w:hint="eastAsia" w:ascii="宋体" w:hAnsi="Times New Roman" w:eastAsia="宋体" w:cs="宋体"/>
          <w:sz w:val="32"/>
          <w:szCs w:val="32"/>
          <w:highlight w:val="white"/>
        </w:rPr>
        <w:t>公务用车购置费支出预算为</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万元，支出决算为</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万元，</w:t>
      </w:r>
      <w:r>
        <w:rPr>
          <w:rFonts w:hint="eastAsia" w:ascii="宋体" w:cs="宋体"/>
          <w:sz w:val="32"/>
          <w:szCs w:val="32"/>
        </w:rPr>
        <w:t>由于预算为</w:t>
      </w:r>
      <w:r>
        <w:rPr>
          <w:rFonts w:ascii="宋体" w:cs="宋体"/>
          <w:sz w:val="32"/>
          <w:szCs w:val="32"/>
        </w:rPr>
        <w:t>0</w:t>
      </w:r>
      <w:r>
        <w:rPr>
          <w:rFonts w:hint="eastAsia" w:ascii="宋体" w:cs="宋体"/>
          <w:sz w:val="32"/>
          <w:szCs w:val="32"/>
        </w:rPr>
        <w:t>，无法计算百分比</w:t>
      </w:r>
      <w:r>
        <w:rPr>
          <w:rFonts w:hint="eastAsia" w:ascii="宋体" w:hAnsi="Times New Roman" w:eastAsia="宋体" w:cs="宋体"/>
          <w:sz w:val="32"/>
          <w:szCs w:val="32"/>
          <w:highlight w:val="white"/>
        </w:rPr>
        <w:t>，与上年相比减少</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万元，减少</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w:t>
      </w:r>
      <w:r>
        <w:rPr>
          <w:rFonts w:ascii="宋体" w:hAnsi="Times New Roman" w:eastAsia="宋体" w:cs="宋体"/>
          <w:sz w:val="32"/>
          <w:szCs w:val="32"/>
          <w:highlight w:val="white"/>
          <w:lang w:val="zh-CN"/>
        </w:rPr>
        <w:t xml:space="preserve">   </w:t>
      </w:r>
    </w:p>
    <w:p w14:paraId="5F7C381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公务用车购置费及运行维护费支出预算为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w:t>
      </w:r>
      <w:r>
        <w:rPr>
          <w:rFonts w:hint="eastAsia" w:ascii="宋体" w:cs="宋体"/>
          <w:color w:val="auto"/>
          <w:sz w:val="32"/>
          <w:szCs w:val="32"/>
        </w:rPr>
        <w:t>由于预算为</w:t>
      </w:r>
      <w:r>
        <w:rPr>
          <w:rFonts w:ascii="宋体" w:cs="宋体"/>
          <w:color w:val="auto"/>
          <w:sz w:val="32"/>
          <w:szCs w:val="32"/>
        </w:rPr>
        <w:t>0</w:t>
      </w:r>
      <w:r>
        <w:rPr>
          <w:rFonts w:hint="eastAsia" w:ascii="宋体" w:cs="宋体"/>
          <w:color w:val="auto"/>
          <w:sz w:val="32"/>
          <w:szCs w:val="32"/>
        </w:rPr>
        <w:t>，无法计算百分比</w:t>
      </w:r>
      <w:r>
        <w:rPr>
          <w:rFonts w:hint="eastAsia" w:ascii="宋体" w:hAnsi="Times New Roman" w:eastAsia="宋体" w:cs="宋体"/>
          <w:color w:val="auto"/>
          <w:sz w:val="32"/>
          <w:szCs w:val="32"/>
          <w:highlight w:val="white"/>
        </w:rPr>
        <w:t>，与上年相比减少</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万元，减少</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w:t>
      </w:r>
    </w:p>
    <w:p w14:paraId="7EF418E8">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（二）“三公”经费财政拨款支出决算具体情况说明</w:t>
      </w:r>
    </w:p>
    <w:p w14:paraId="3863DD7B">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2023</w:t>
      </w:r>
      <w:r>
        <w:rPr>
          <w:rFonts w:hint="eastAsia" w:ascii="宋体" w:hAnsi="Times New Roman" w:eastAsia="宋体" w:cs="宋体"/>
          <w:kern w:val="0"/>
          <w:sz w:val="32"/>
          <w:szCs w:val="32"/>
          <w:lang w:val="zh-CN"/>
        </w:rPr>
        <w:t>年度</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三公</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经费财政拨款支出决算中，因公出国（境）费支出决算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；公务接待费支出决算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；公务用车购置费及运行维护费支出决算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w:t>
      </w:r>
    </w:p>
    <w:p w14:paraId="2403F9E5">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1</w:t>
      </w:r>
      <w:r>
        <w:rPr>
          <w:rFonts w:hint="eastAsia" w:ascii="宋体" w:hAnsi="Times New Roman" w:eastAsia="宋体" w:cs="宋体"/>
          <w:kern w:val="0"/>
          <w:sz w:val="32"/>
          <w:szCs w:val="32"/>
          <w:lang w:val="zh-CN"/>
        </w:rPr>
        <w:t>、因公出国（境）费支出决算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万元，全年安排因公出国（境）团组</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个，累计</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人次。</w:t>
      </w:r>
    </w:p>
    <w:p w14:paraId="3948BEB6">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w:t>
      </w:r>
      <w:r>
        <w:rPr>
          <w:rFonts w:hint="eastAsia" w:ascii="宋体" w:hAnsi="Times New Roman" w:eastAsia="宋体" w:cs="宋体"/>
          <w:kern w:val="0"/>
          <w:sz w:val="32"/>
          <w:szCs w:val="32"/>
          <w:lang w:val="zh-CN"/>
        </w:rPr>
        <w:t>、公务接待费支出决算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万元，全年共接待来访团组</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个、来宾</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人次。</w:t>
      </w:r>
    </w:p>
    <w:p w14:paraId="2C11096E">
      <w:pPr>
        <w:pStyle w:val="14"/>
        <w:spacing w:line="600" w:lineRule="exact"/>
        <w:ind w:firstLine="640" w:firstLineChars="200"/>
        <w:rPr>
          <w:rFonts w:ascii="宋体" w:hAnsi="Times New Roman" w:eastAsia="宋体" w:cs="宋体"/>
          <w:color w:val="auto"/>
          <w:sz w:val="32"/>
          <w:szCs w:val="32"/>
          <w:highlight w:val="white"/>
        </w:rPr>
      </w:pPr>
      <w:r>
        <w:rPr>
          <w:rFonts w:ascii="宋体" w:hAnsi="Times New Roman" w:eastAsia="宋体" w:cs="宋体"/>
          <w:color w:val="auto"/>
          <w:sz w:val="32"/>
          <w:szCs w:val="32"/>
          <w:lang w:val="zh-CN"/>
        </w:rPr>
        <w:t xml:space="preserve"> 3</w:t>
      </w:r>
      <w:r>
        <w:rPr>
          <w:rFonts w:hint="eastAsia" w:ascii="宋体" w:hAnsi="Times New Roman" w:eastAsia="宋体" w:cs="宋体"/>
          <w:color w:val="auto"/>
          <w:sz w:val="32"/>
          <w:szCs w:val="32"/>
          <w:lang w:val="zh-CN"/>
        </w:rPr>
        <w:t>、公务用车购置费及运行维护费支出决算</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万元，其中：公务用车购置费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万元，更新公务用车</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辆。公务用车运行维护费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元，截止</w:t>
      </w:r>
      <w:r>
        <w:rPr>
          <w:rFonts w:ascii="宋体" w:hAnsi="Times New Roman" w:eastAsia="宋体" w:cs="宋体"/>
          <w:color w:val="auto"/>
          <w:sz w:val="32"/>
          <w:szCs w:val="32"/>
          <w:lang w:val="zh-CN"/>
        </w:rPr>
        <w:t>2023</w:t>
      </w:r>
      <w:r>
        <w:rPr>
          <w:rFonts w:hint="eastAsia" w:ascii="宋体" w:hAnsi="Times New Roman" w:eastAsia="宋体" w:cs="宋体"/>
          <w:color w:val="auto"/>
          <w:sz w:val="32"/>
          <w:szCs w:val="32"/>
          <w:lang w:val="zh-CN"/>
        </w:rPr>
        <w:t>年</w:t>
      </w:r>
      <w:r>
        <w:rPr>
          <w:rFonts w:ascii="宋体" w:hAnsi="Times New Roman" w:eastAsia="宋体" w:cs="宋体"/>
          <w:color w:val="auto"/>
          <w:sz w:val="32"/>
          <w:szCs w:val="32"/>
          <w:lang w:val="zh-CN"/>
        </w:rPr>
        <w:t>12</w:t>
      </w:r>
      <w:r>
        <w:rPr>
          <w:rFonts w:hint="eastAsia" w:ascii="宋体" w:hAnsi="Times New Roman" w:eastAsia="宋体" w:cs="宋体"/>
          <w:color w:val="auto"/>
          <w:sz w:val="32"/>
          <w:szCs w:val="32"/>
          <w:lang w:val="zh-CN"/>
        </w:rPr>
        <w:t>月</w:t>
      </w:r>
      <w:r>
        <w:rPr>
          <w:rFonts w:ascii="宋体" w:hAnsi="Times New Roman" w:eastAsia="宋体" w:cs="宋体"/>
          <w:color w:val="auto"/>
          <w:sz w:val="32"/>
          <w:szCs w:val="32"/>
          <w:lang w:val="zh-CN"/>
        </w:rPr>
        <w:t>31</w:t>
      </w:r>
      <w:r>
        <w:rPr>
          <w:rFonts w:hint="eastAsia" w:ascii="宋体" w:hAnsi="Times New Roman" w:eastAsia="宋体" w:cs="宋体"/>
          <w:color w:val="auto"/>
          <w:sz w:val="32"/>
          <w:szCs w:val="32"/>
          <w:lang w:val="zh-CN"/>
        </w:rPr>
        <w:t>日，我单位开支财政拨款的公务用车保有量为</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w:t>
      </w:r>
      <w:r>
        <w:rPr>
          <w:rFonts w:hint="eastAsia" w:ascii="宋体" w:hAnsi="Times New Roman" w:eastAsia="宋体" w:cs="宋体"/>
          <w:color w:val="auto"/>
          <w:sz w:val="32"/>
          <w:szCs w:val="32"/>
          <w:highlight w:val="white"/>
        </w:rPr>
        <w:t>。</w:t>
      </w:r>
    </w:p>
    <w:p w14:paraId="7390A391">
      <w:pPr>
        <w:pStyle w:val="14"/>
        <w:spacing w:line="600" w:lineRule="exact"/>
        <w:ind w:firstLine="640" w:firstLineChars="200"/>
        <w:rPr>
          <w:rFonts w:hAnsi="黑体"/>
          <w:bCs/>
          <w:color w:val="auto"/>
          <w:sz w:val="32"/>
          <w:szCs w:val="32"/>
        </w:rPr>
      </w:pPr>
      <w:r>
        <w:rPr>
          <w:rFonts w:hint="eastAsia" w:hAnsi="黑体"/>
          <w:bCs/>
          <w:color w:val="auto"/>
          <w:sz w:val="32"/>
          <w:szCs w:val="32"/>
        </w:rPr>
        <w:t>八、政府性基金预算收入支出决算情况</w:t>
      </w:r>
    </w:p>
    <w:p w14:paraId="315A43F9">
      <w:pPr>
        <w:pStyle w:val="14"/>
        <w:spacing w:line="600" w:lineRule="exact"/>
        <w:ind w:firstLine="630"/>
        <w:rPr>
          <w:rFonts w:hint="eastAsia" w:ascii="宋体" w:hAnsi="Times New Roman" w:eastAsia="宋体" w:cs="宋体"/>
          <w:color w:val="auto"/>
          <w:sz w:val="32"/>
          <w:szCs w:val="32"/>
          <w:highlight w:val="white"/>
          <w:lang w:val="zh-CN"/>
        </w:rPr>
      </w:pPr>
      <w:r>
        <w:rPr>
          <w:rFonts w:ascii="宋体" w:hAnsi="Times New Roman" w:eastAsia="宋体" w:cs="宋体"/>
          <w:color w:val="auto"/>
          <w:sz w:val="32"/>
          <w:szCs w:val="32"/>
          <w:highlight w:val="white"/>
          <w:lang w:val="zh-CN"/>
        </w:rPr>
        <w:t>2023</w:t>
      </w:r>
      <w:r>
        <w:rPr>
          <w:rFonts w:hint="eastAsia" w:ascii="宋体" w:hAnsi="Times New Roman" w:eastAsia="宋体" w:cs="宋体"/>
          <w:color w:val="auto"/>
          <w:sz w:val="32"/>
          <w:szCs w:val="32"/>
          <w:highlight w:val="white"/>
          <w:lang w:val="zh-CN"/>
        </w:rPr>
        <w:t>年本单位没有使用政府性基金预算财政拨款安排的收支。</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0A90A1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宋体" w:hAnsi="Times New Roman" w:eastAsia="宋体" w:cs="宋体"/>
          <w:color w:val="auto"/>
          <w:sz w:val="32"/>
          <w:szCs w:val="32"/>
          <w:highlight w:val="white"/>
          <w:lang w:val="zh-CN"/>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48019B54">
      <w:pPr>
        <w:pStyle w:val="14"/>
        <w:spacing w:line="600" w:lineRule="exact"/>
        <w:ind w:firstLine="630"/>
        <w:rPr>
          <w:rFonts w:ascii="Times New Roman" w:hAnsi="Times New Roman" w:eastAsia="仿宋_GB2312"/>
          <w:b/>
          <w:color w:val="auto"/>
          <w:sz w:val="32"/>
          <w:szCs w:val="32"/>
        </w:rPr>
      </w:pPr>
      <w:r>
        <w:rPr>
          <w:rFonts w:hint="eastAsia" w:hAnsi="黑体"/>
          <w:bCs/>
          <w:color w:val="auto"/>
          <w:sz w:val="32"/>
          <w:szCs w:val="32"/>
        </w:rPr>
        <w:t>十</w:t>
      </w:r>
      <w:r>
        <w:rPr>
          <w:rFonts w:hint="eastAsia" w:ascii="Times New Roman" w:hAnsi="Times New Roman" w:eastAsia="仿宋_GB2312"/>
          <w:b/>
          <w:color w:val="auto"/>
          <w:sz w:val="32"/>
          <w:szCs w:val="32"/>
        </w:rPr>
        <w:t>、关于机关运行经费支出说明</w:t>
      </w:r>
    </w:p>
    <w:p w14:paraId="3C7F9296">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2023</w:t>
      </w:r>
      <w:r>
        <w:rPr>
          <w:rFonts w:hint="eastAsia" w:ascii="宋体" w:hAnsi="Times New Roman" w:eastAsia="宋体" w:cs="宋体"/>
          <w:kern w:val="0"/>
          <w:sz w:val="32"/>
          <w:szCs w:val="32"/>
          <w:lang w:val="zh-CN"/>
        </w:rPr>
        <w:t>年度机关运行经费支出</w:t>
      </w:r>
      <w:r>
        <w:rPr>
          <w:rFonts w:ascii="宋体" w:hAnsi="Times New Roman" w:eastAsia="宋体" w:cs="宋体"/>
          <w:kern w:val="0"/>
          <w:sz w:val="32"/>
          <w:szCs w:val="32"/>
          <w:lang w:val="zh-CN"/>
        </w:rPr>
        <w:t>65.48</w:t>
      </w:r>
      <w:r>
        <w:rPr>
          <w:rFonts w:hint="eastAsia" w:ascii="宋体" w:hAnsi="Times New Roman" w:eastAsia="宋体" w:cs="宋体"/>
          <w:kern w:val="0"/>
          <w:sz w:val="32"/>
          <w:szCs w:val="32"/>
          <w:lang w:val="zh-CN"/>
        </w:rPr>
        <w:t>万元。比年初预算数增加</w:t>
      </w:r>
      <w:r>
        <w:rPr>
          <w:rFonts w:ascii="宋体" w:hAnsi="Times New Roman" w:eastAsia="宋体" w:cs="宋体"/>
          <w:kern w:val="0"/>
          <w:sz w:val="32"/>
          <w:szCs w:val="32"/>
          <w:lang w:val="zh-CN"/>
        </w:rPr>
        <w:t>59.71</w:t>
      </w:r>
      <w:r>
        <w:rPr>
          <w:rFonts w:hint="eastAsia" w:ascii="宋体" w:hAnsi="Times New Roman" w:eastAsia="宋体" w:cs="宋体"/>
          <w:kern w:val="0"/>
          <w:sz w:val="32"/>
          <w:szCs w:val="32"/>
          <w:lang w:val="zh-CN"/>
        </w:rPr>
        <w:t>万元。增长</w:t>
      </w:r>
      <w:r>
        <w:rPr>
          <w:rFonts w:ascii="宋体" w:hAnsi="Times New Roman" w:eastAsia="宋体" w:cs="宋体"/>
          <w:kern w:val="0"/>
          <w:sz w:val="32"/>
          <w:szCs w:val="32"/>
          <w:lang w:val="zh-CN"/>
        </w:rPr>
        <w:t>1034.84%</w:t>
      </w:r>
      <w:r>
        <w:rPr>
          <w:rFonts w:hint="eastAsia" w:ascii="宋体" w:hAnsi="Times New Roman" w:eastAsia="宋体" w:cs="宋体"/>
          <w:kern w:val="0"/>
          <w:sz w:val="32"/>
          <w:szCs w:val="32"/>
          <w:lang w:val="zh-CN"/>
        </w:rPr>
        <w:t>，主要原因是：业务工作任务增加，为保障机构正常运转，完成年度目标任务，财政追拨机关运行经费。</w:t>
      </w:r>
    </w:p>
    <w:p w14:paraId="7607F60B">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一</w:t>
      </w:r>
      <w:r>
        <w:rPr>
          <w:rFonts w:hint="eastAsia" w:hAnsi="黑体"/>
          <w:bCs/>
          <w:color w:val="auto"/>
          <w:sz w:val="32"/>
          <w:szCs w:val="32"/>
        </w:rPr>
        <w:t>、一般性支出情况说明</w:t>
      </w:r>
    </w:p>
    <w:p w14:paraId="6D17092B">
      <w:pPr>
        <w:keepNext/>
        <w:keepLines/>
        <w:autoSpaceDE w:val="0"/>
        <w:autoSpaceDN w:val="0"/>
        <w:adjustRightInd w:val="0"/>
        <w:ind w:firstLine="640"/>
        <w:rPr>
          <w:rFonts w:ascii="宋体" w:hAnsi="Times New Roman" w:eastAsia="宋体" w:cs="宋体"/>
          <w:kern w:val="0"/>
          <w:sz w:val="32"/>
          <w:szCs w:val="32"/>
          <w:highlight w:val="white"/>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年本部门开支会议费</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万元；开支培训费1.56万元，用于开展知识技能培训，人数100人，内容为非税收缴管理系统、票据业务等知识技能培训；</w:t>
      </w:r>
      <w:r>
        <w:rPr>
          <w:rFonts w:ascii="宋体" w:hAnsi="Times New Roman" w:eastAsia="宋体" w:cs="宋体"/>
          <w:kern w:val="0"/>
          <w:sz w:val="32"/>
          <w:szCs w:val="32"/>
          <w:highlight w:val="white"/>
        </w:rPr>
        <w:t xml:space="preserve"> 2023</w:t>
      </w:r>
      <w:r>
        <w:rPr>
          <w:rFonts w:hint="eastAsia" w:ascii="宋体" w:hAnsi="Times New Roman" w:eastAsia="宋体" w:cs="宋体"/>
          <w:kern w:val="0"/>
          <w:sz w:val="32"/>
          <w:szCs w:val="32"/>
          <w:highlight w:val="white"/>
        </w:rPr>
        <w:t>年本部门未举办节庆、晚会、论坛、赛事活动，开支</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w:t>
      </w:r>
    </w:p>
    <w:p w14:paraId="6EC3D714">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二</w:t>
      </w:r>
      <w:r>
        <w:rPr>
          <w:rFonts w:hint="eastAsia" w:hAnsi="黑体"/>
          <w:bCs/>
          <w:color w:val="auto"/>
          <w:sz w:val="32"/>
          <w:szCs w:val="32"/>
        </w:rPr>
        <w:t>、关于政府采购支出说明</w:t>
      </w:r>
    </w:p>
    <w:p w14:paraId="0FB383F1">
      <w:pPr>
        <w:pStyle w:val="14"/>
        <w:spacing w:line="580" w:lineRule="exact"/>
        <w:ind w:firstLine="640" w:firstLineChars="200"/>
        <w:rPr>
          <w:rFonts w:ascii="宋体" w:hAnsi="Times New Roman" w:eastAsia="宋体" w:cs="宋体"/>
          <w:color w:val="auto"/>
          <w:sz w:val="32"/>
          <w:szCs w:val="32"/>
        </w:rPr>
      </w:pP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年度政府采购支出总额23.49万元，其中：政府采购货物支出4.23万元；政府采购工程支出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万元；政府采购服务支出19.27万元。授予中小企业合同金额23.49万元，占政府采购支出总额的10</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。其中：授予小微企业合同金额6.49万元，占授予中小企业合同金额的27.63</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。货物采购授予中小企业合同金额占货物支出金额的10</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。工程采购授予中小企业合同金额占工程支出金额的</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。服务采购授予中小企业合同金额占服务支出金额的10</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w:t>
      </w:r>
    </w:p>
    <w:p w14:paraId="7909CD4A">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三</w:t>
      </w:r>
      <w:r>
        <w:rPr>
          <w:rFonts w:hint="eastAsia" w:hAnsi="黑体"/>
          <w:bCs/>
          <w:color w:val="auto"/>
          <w:sz w:val="32"/>
          <w:szCs w:val="32"/>
        </w:rPr>
        <w:t>、关于国有资产占用情况说明</w:t>
      </w:r>
    </w:p>
    <w:p w14:paraId="1F497220">
      <w:pPr>
        <w:keepNext/>
        <w:keepLines/>
        <w:autoSpaceDE w:val="0"/>
        <w:autoSpaceDN w:val="0"/>
        <w:adjustRightInd w:val="0"/>
        <w:ind w:firstLine="641"/>
        <w:rPr>
          <w:rFonts w:ascii="Calibri" w:hAnsi="Calibri" w:eastAsia="宋体" w:cs="Calibri"/>
          <w:szCs w:val="21"/>
          <w:highlight w:val="white"/>
          <w:lang w:val="zh-CN"/>
        </w:rPr>
      </w:pPr>
      <w:r>
        <w:rPr>
          <w:rFonts w:hint="eastAsia" w:ascii="宋体" w:hAnsi="Times New Roman" w:eastAsia="宋体" w:cs="宋体"/>
          <w:sz w:val="32"/>
          <w:szCs w:val="32"/>
          <w:highlight w:val="white"/>
        </w:rPr>
        <w:t>截至</w:t>
      </w: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w:t>
      </w:r>
      <w:r>
        <w:rPr>
          <w:rFonts w:ascii="宋体" w:hAnsi="Times New Roman" w:eastAsia="宋体" w:cs="宋体"/>
          <w:sz w:val="32"/>
          <w:szCs w:val="32"/>
          <w:highlight w:val="white"/>
        </w:rPr>
        <w:t>12</w:t>
      </w:r>
      <w:r>
        <w:rPr>
          <w:rFonts w:hint="eastAsia" w:ascii="宋体" w:hAnsi="Times New Roman" w:eastAsia="宋体" w:cs="宋体"/>
          <w:sz w:val="32"/>
          <w:szCs w:val="32"/>
          <w:highlight w:val="white"/>
        </w:rPr>
        <w:t>月</w:t>
      </w:r>
      <w:r>
        <w:rPr>
          <w:rFonts w:ascii="宋体" w:hAnsi="Times New Roman" w:eastAsia="宋体" w:cs="宋体"/>
          <w:sz w:val="32"/>
          <w:szCs w:val="32"/>
          <w:highlight w:val="white"/>
        </w:rPr>
        <w:t>31</w:t>
      </w:r>
      <w:r>
        <w:rPr>
          <w:rFonts w:hint="eastAsia" w:ascii="宋体" w:hAnsi="Times New Roman" w:eastAsia="宋体" w:cs="宋体"/>
          <w:sz w:val="32"/>
          <w:szCs w:val="32"/>
          <w:highlight w:val="white"/>
        </w:rPr>
        <w:t>日，部门（单位）共有车辆</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辆。</w:t>
      </w:r>
      <w:r>
        <w:rPr>
          <w:rFonts w:hint="eastAsia" w:ascii="宋体" w:hAnsi="Times New Roman" w:eastAsia="宋体" w:cs="宋体"/>
          <w:sz w:val="32"/>
          <w:szCs w:val="32"/>
        </w:rPr>
        <w:t>单位价值</w:t>
      </w:r>
      <w:r>
        <w:rPr>
          <w:rFonts w:ascii="宋体" w:hAnsi="Times New Roman" w:eastAsia="宋体" w:cs="宋体"/>
          <w:sz w:val="32"/>
          <w:szCs w:val="32"/>
        </w:rPr>
        <w:t>50</w:t>
      </w:r>
      <w:r>
        <w:rPr>
          <w:rFonts w:hint="eastAsia" w:ascii="宋体" w:hAnsi="Times New Roman" w:eastAsia="宋体" w:cs="宋体"/>
          <w:sz w:val="32"/>
          <w:szCs w:val="32"/>
        </w:rPr>
        <w:t>万元（含）以上设备</w:t>
      </w:r>
      <w:r>
        <w:rPr>
          <w:rFonts w:ascii="宋体" w:hAnsi="Times New Roman" w:eastAsia="宋体" w:cs="宋体"/>
          <w:sz w:val="32"/>
          <w:szCs w:val="32"/>
        </w:rPr>
        <w:t>0</w:t>
      </w:r>
      <w:r>
        <w:rPr>
          <w:rFonts w:hint="eastAsia" w:ascii="宋体" w:hAnsi="Times New Roman" w:eastAsia="宋体" w:cs="宋体"/>
          <w:sz w:val="32"/>
          <w:szCs w:val="32"/>
        </w:rPr>
        <w:t>台（套），</w:t>
      </w:r>
      <w:r>
        <w:rPr>
          <w:rFonts w:hint="eastAsia" w:ascii="宋体" w:hAnsi="Times New Roman" w:eastAsia="宋体" w:cs="宋体"/>
          <w:sz w:val="32"/>
          <w:szCs w:val="32"/>
          <w:highlight w:val="white"/>
        </w:rPr>
        <w:t>单位价值</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万元（含）以上设备</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台（套）。</w:t>
      </w:r>
    </w:p>
    <w:p w14:paraId="6F9C3A0B">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四</w:t>
      </w:r>
      <w:r>
        <w:rPr>
          <w:rFonts w:hint="eastAsia" w:hAnsi="黑体"/>
          <w:bCs/>
          <w:color w:val="auto"/>
          <w:sz w:val="32"/>
          <w:szCs w:val="32"/>
        </w:rPr>
        <w:t>、关于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32B05F11">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（一）绩效管理工作开展情况</w:t>
      </w:r>
    </w:p>
    <w:p w14:paraId="7831D54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为贯彻落实《中共中央国务院关于全面实施预算绩效管理的意见》的精神，落实《关于开展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年度财政预算支出绩效自评工作的通知》的要求，我部门积极组织开展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年度整体支出绩效自评工作，强化财政支出绩效理念和责任意识，以切实提高财政资金使用效益。</w:t>
      </w:r>
    </w:p>
    <w:p w14:paraId="54DDD77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部门开展整体支出绩效评价，涉及一般公共预算支出81.81万元，政府性基金预算支出0万元，国有资本经营预算支出0万元, 合计81.81万元，其中：基本支出81.81万元，占100%；项目支出0</w:t>
      </w:r>
      <w:bookmarkStart w:id="0" w:name="_GoBack"/>
      <w:bookmarkEnd w:id="0"/>
      <w:r>
        <w:rPr>
          <w:rFonts w:hint="eastAsia" w:ascii="宋体" w:hAnsi="Times New Roman" w:eastAsia="宋体" w:cs="宋体"/>
          <w:color w:val="auto"/>
          <w:sz w:val="32"/>
          <w:szCs w:val="32"/>
        </w:rPr>
        <w:t>万元，占0%。通过成立评价小组，依据相关政策规定、部门职能职责、年度工作计划、专项资金绩效目标及专项资金管理办法，对2023年度预算配置、预算执行、预算管理、资产管理、职责履行等指标完成情况、效益情况进行自评</w:t>
      </w:r>
      <w:r>
        <w:rPr>
          <w:rFonts w:hint="eastAsia" w:ascii="宋体" w:hAnsi="Times New Roman" w:eastAsia="宋体" w:cs="宋体"/>
          <w:color w:val="auto"/>
          <w:sz w:val="32"/>
          <w:szCs w:val="32"/>
          <w:highlight w:val="white"/>
        </w:rPr>
        <w:t>。</w:t>
      </w:r>
    </w:p>
    <w:p w14:paraId="5052D09B">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（二）部门（单位）整体支出绩效情况</w:t>
      </w:r>
    </w:p>
    <w:p w14:paraId="64EFE1D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年度整体绩效目标完成情况较好。</w:t>
      </w:r>
    </w:p>
    <w:p w14:paraId="4DBB5E9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部门整体支出绩效评价报告详见附件，同本部门的部门决算一同公开。</w:t>
      </w:r>
    </w:p>
    <w:p w14:paraId="5A96A318">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（三）存在的问题及原因分析</w:t>
      </w:r>
    </w:p>
    <w:p w14:paraId="7B724C9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一是进一步加强厉行节约机制，提高单位三保支出的保障能力。</w:t>
      </w:r>
    </w:p>
    <w:p w14:paraId="2251589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二是预算编制与实际支出项目有的存在差异，有待进一步优化预算，提高预算编制的准确性。</w:t>
      </w:r>
    </w:p>
    <w:p w14:paraId="21DEB272">
      <w:pPr>
        <w:pStyle w:val="14"/>
        <w:jc w:val="both"/>
        <w:rPr>
          <w:color w:val="auto"/>
          <w:sz w:val="72"/>
          <w:szCs w:val="72"/>
        </w:rPr>
      </w:pPr>
    </w:p>
    <w:p w14:paraId="66474717">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第四部分</w:t>
      </w:r>
    </w:p>
    <w:p w14:paraId="4A05DE15">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名词解释</w:t>
      </w:r>
    </w:p>
    <w:p w14:paraId="2CFBC71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财政拨款收入：指本级财政当年拨付的资金。</w:t>
      </w:r>
    </w:p>
    <w:p w14:paraId="5B790C5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1A87A1D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基本支出：指保障机构正常运转、完成支日常工作任务而发生的人员支出和公用支出。</w:t>
      </w:r>
    </w:p>
    <w:p w14:paraId="4F304FB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工资福利支出：反映单位开支的在职职工和编制外长期聘用人员的各类劳动报酬，以及为上述人员缴纳的各项社会保险费等。</w:t>
      </w:r>
    </w:p>
    <w:p w14:paraId="74A7E8D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见习期</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工资、新参加工作工人学徒期、熟练期工资；军队（武警）军官、文职干部的职务（专业技术等级）工资、军衔（级别）工资、基础工资和军龄工资；军队士官的军衔等级工资、基础工资和军龄工资等。</w:t>
      </w:r>
    </w:p>
    <w:p w14:paraId="769B9F2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津贴补贴：反映经国家批准建立的机关事业单位艰苦边远地区津贴、机关工作人员地区附加津贴、机关工作人员岗位津贴、事业单位工作人员特殊岗位津贴补贴等。</w:t>
      </w:r>
    </w:p>
    <w:p w14:paraId="42DE059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奖金：反映机关工作人员年终一次性奖金。</w:t>
      </w:r>
    </w:p>
    <w:p w14:paraId="1ADED2A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机关事业单位基本养老保险缴费：反映机关事业单位缴纳的基本养老保险费。由单位代扣的工作人员基本养老保险缴费，不在此科目反映。</w:t>
      </w:r>
    </w:p>
    <w:p w14:paraId="0072826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职工基本医疗保险缴费：反映单位为职工缴纳的基本医疗保险费。</w:t>
      </w:r>
    </w:p>
    <w:p w14:paraId="61053E4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其他社会保障缴费：反映单位为职工缴纳的基本医疗、失业、工伤、生育等社会保险费，残疾人就业保障金，军队（含武警）为军人缴纳的伤亡、退役医疗等社会保险费。</w:t>
      </w:r>
    </w:p>
    <w:p w14:paraId="0D96D3A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住房公积金：反映行政事业单位按人力资源和社会保障部、财政部规定的基本工资和津贴补贴以及规定比例为职工缴纳的住房公积金。</w:t>
      </w:r>
    </w:p>
    <w:p w14:paraId="5D97DE89">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商品和服务支出：反映单位购买商品和服务的支出（不包括用于购置固定资产的支出、战略性和应急储备支出）。</w:t>
      </w:r>
    </w:p>
    <w:p w14:paraId="74499CBF">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办公费：反映单位购买按财务会计制度规定不符合固定资产确认标准的日常办公用品、书报杂志等支出。</w:t>
      </w:r>
    </w:p>
    <w:p w14:paraId="50208A3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印刷费：反映单位的印刷费支出。</w:t>
      </w:r>
    </w:p>
    <w:p w14:paraId="078E2E1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水费：反映单位支付的水费、污水处理费等支出。</w:t>
      </w:r>
    </w:p>
    <w:p w14:paraId="57FAC2C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电费：反映单位的电费支出。</w:t>
      </w:r>
    </w:p>
    <w:p w14:paraId="766DA04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邮电费：反映单位开支的信函、包裹、货物等物品的邮寄费及电话费、电报费、传真费、网络通讯费等。</w:t>
      </w:r>
    </w:p>
    <w:p w14:paraId="3CD681B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差旅费：反映单位工作人员出差发生的城市间交通费、住宿费、伙食补贴费和市内交通费。</w:t>
      </w:r>
    </w:p>
    <w:p w14:paraId="7638219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维修</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护</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费：反映单位日常开支的固定资产（不包括车船等交通工具）修理和维护费用，网络信息系统运行与维护费用，以及按规定提取的修购基金。</w:t>
      </w:r>
    </w:p>
    <w:p w14:paraId="7E5EA1C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培训费：反映除因公出国（境）培训费以外的各类培训支出。</w:t>
      </w:r>
    </w:p>
    <w:p w14:paraId="18B68C7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劳务费：反映支付给单位和个人的劳务费用，如临时聘用人员、钟点工工资，稿费、翻译费，评审费等。</w:t>
      </w:r>
    </w:p>
    <w:p w14:paraId="03AB04B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委托业务费：反映因委托外单位办理业务而支付的委托业务费。</w:t>
      </w:r>
    </w:p>
    <w:p w14:paraId="28C37D2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工会经费：反映单位按规定提取的工会经费。</w:t>
      </w:r>
    </w:p>
    <w:p w14:paraId="7AC0094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福利费：反映单位按规定提取的福利费。</w:t>
      </w:r>
    </w:p>
    <w:p w14:paraId="27E69E0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其他交通费用：反映单位除公务用车运行维护费以外的其他交通费用。如公务交通补贴，租车费用、出租车费用，飞机、船舶等的燃料费、维修费、保险费等。</w:t>
      </w:r>
    </w:p>
    <w:p w14:paraId="7B6D40C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其他商品和服务支出：反映上述科目未包括的日常公用支出。如行政赔偿费和诉讼费、国内组织的会员费、来访费、广告宣传、其他劳务费及离休人员特需费、公用经费等。</w:t>
      </w:r>
    </w:p>
    <w:p w14:paraId="07FA6409">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对个人和家庭的补助：反映政府用于对个人和家庭的补助支出。</w:t>
      </w:r>
    </w:p>
    <w:p w14:paraId="3719F55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奖励金：反映政府各部门的奖励支出，如对个体私营经济的奖励、计划生育目标责任奖励、独生子女父母奖励等。</w:t>
      </w:r>
    </w:p>
    <w:p w14:paraId="73935AD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办公设备购置：反映用于购置并按财务会计制度规定纳入固定资产核算范围的办公家具和办公设备的支出，以及按规定提取的修购基金。</w:t>
      </w:r>
    </w:p>
    <w:p w14:paraId="13F9EAB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办公用房物业管理费、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公务用车运行维护费以及其他费用。</w:t>
      </w:r>
    </w:p>
    <w:p w14:paraId="6BD42D75">
      <w:pPr>
        <w:pStyle w:val="14"/>
        <w:jc w:val="center"/>
        <w:rPr>
          <w:rFonts w:ascii="方正小标宋_GBK" w:hAnsi="方正小标宋_GBK" w:eastAsia="方正小标宋_GBK" w:cs="方正小标宋_GBK"/>
          <w:color w:val="auto"/>
          <w:sz w:val="48"/>
          <w:szCs w:val="48"/>
        </w:rPr>
      </w:pPr>
    </w:p>
    <w:p w14:paraId="56747968">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第五部分</w:t>
      </w:r>
    </w:p>
    <w:p w14:paraId="3946AD55">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附 件</w:t>
      </w:r>
    </w:p>
    <w:p w14:paraId="1B7D867F">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年度华容县财政事务中心部门决算公开表格</w:t>
      </w:r>
    </w:p>
    <w:p w14:paraId="681B463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年度华容县财政事务中心整体支出绩效自评报告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SimSun-ExtB">
    <w:panose1 w:val="02010609060101010101"/>
    <w:charset w:val="86"/>
    <w:family w:val="auto"/>
    <w:pitch w:val="default"/>
    <w:sig w:usb0="00000001" w:usb1="02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0E3B6C"/>
    <w:rsid w:val="00103957"/>
    <w:rsid w:val="0012028E"/>
    <w:rsid w:val="00152C6D"/>
    <w:rsid w:val="00155778"/>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2E3273"/>
    <w:rsid w:val="003130C4"/>
    <w:rsid w:val="00316C4B"/>
    <w:rsid w:val="0032192B"/>
    <w:rsid w:val="003479BD"/>
    <w:rsid w:val="0037197D"/>
    <w:rsid w:val="003768D5"/>
    <w:rsid w:val="003926B9"/>
    <w:rsid w:val="003C47E6"/>
    <w:rsid w:val="003C4FC2"/>
    <w:rsid w:val="003C658E"/>
    <w:rsid w:val="004123DA"/>
    <w:rsid w:val="00416E61"/>
    <w:rsid w:val="0042790C"/>
    <w:rsid w:val="004506F9"/>
    <w:rsid w:val="004717A2"/>
    <w:rsid w:val="00473DF3"/>
    <w:rsid w:val="00487911"/>
    <w:rsid w:val="00491741"/>
    <w:rsid w:val="004B0CEE"/>
    <w:rsid w:val="00500E5F"/>
    <w:rsid w:val="005012D9"/>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5F7E2A"/>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71956"/>
    <w:rsid w:val="00787B42"/>
    <w:rsid w:val="007C4539"/>
    <w:rsid w:val="007F3657"/>
    <w:rsid w:val="00812ED5"/>
    <w:rsid w:val="008277D9"/>
    <w:rsid w:val="0084478C"/>
    <w:rsid w:val="0086638C"/>
    <w:rsid w:val="008A3E8D"/>
    <w:rsid w:val="008D1FB3"/>
    <w:rsid w:val="00904967"/>
    <w:rsid w:val="009237C4"/>
    <w:rsid w:val="00944C48"/>
    <w:rsid w:val="00950252"/>
    <w:rsid w:val="00967F5D"/>
    <w:rsid w:val="009A0F95"/>
    <w:rsid w:val="009B3ADF"/>
    <w:rsid w:val="009C3B52"/>
    <w:rsid w:val="009D2192"/>
    <w:rsid w:val="009E6817"/>
    <w:rsid w:val="009E6E9A"/>
    <w:rsid w:val="00A01D2B"/>
    <w:rsid w:val="00A42218"/>
    <w:rsid w:val="00A70249"/>
    <w:rsid w:val="00A70B02"/>
    <w:rsid w:val="00A71D9F"/>
    <w:rsid w:val="00A92E9F"/>
    <w:rsid w:val="00AB18FF"/>
    <w:rsid w:val="00B1240F"/>
    <w:rsid w:val="00B13AD4"/>
    <w:rsid w:val="00B33BEA"/>
    <w:rsid w:val="00B57C9F"/>
    <w:rsid w:val="00B63572"/>
    <w:rsid w:val="00B845B3"/>
    <w:rsid w:val="00B85D8B"/>
    <w:rsid w:val="00BB371C"/>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A728A"/>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62368CE"/>
    <w:rsid w:val="2FDF85B8"/>
    <w:rsid w:val="2FFFEE04"/>
    <w:rsid w:val="34DF85B0"/>
    <w:rsid w:val="3B8F36BC"/>
    <w:rsid w:val="491FF225"/>
    <w:rsid w:val="4E395582"/>
    <w:rsid w:val="4FFD214C"/>
    <w:rsid w:val="5777D4F5"/>
    <w:rsid w:val="59DD8326"/>
    <w:rsid w:val="5DEF592A"/>
    <w:rsid w:val="5FC6BB1E"/>
    <w:rsid w:val="5FF720F1"/>
    <w:rsid w:val="67AF5D43"/>
    <w:rsid w:val="67FF5C0B"/>
    <w:rsid w:val="6D281506"/>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5583</Words>
  <Characters>5914</Characters>
  <Lines>43</Lines>
  <Paragraphs>12</Paragraphs>
  <TotalTime>0</TotalTime>
  <ScaleCrop>false</ScaleCrop>
  <LinksUpToDate>false</LinksUpToDate>
  <CharactersWithSpaces>5938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2025-11-11T13:21:25Z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