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F9F55">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7B6947F5">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华容县信访局</w:t>
      </w:r>
      <w:r>
        <w:rPr>
          <w:rFonts w:hint="eastAsia" w:ascii="方正小标宋_GBK" w:hAnsi="方正小标宋_GBK" w:eastAsia="方正小标宋_GBK" w:cs="方正小标宋_GBK"/>
          <w:color w:val="auto"/>
          <w:sz w:val="84"/>
          <w:szCs w:val="84"/>
        </w:rPr>
        <w:t>部门决算</w:t>
      </w:r>
    </w:p>
    <w:p w14:paraId="7E9705BF">
      <w:pPr>
        <w:pStyle w:val="14"/>
        <w:spacing w:line="500" w:lineRule="exact"/>
        <w:jc w:val="both"/>
        <w:rPr>
          <w:b/>
          <w:color w:val="auto"/>
          <w:sz w:val="36"/>
          <w:szCs w:val="28"/>
        </w:rPr>
      </w:pPr>
    </w:p>
    <w:p w14:paraId="5E3F06C3">
      <w:pPr>
        <w:pStyle w:val="14"/>
        <w:spacing w:line="500" w:lineRule="exact"/>
        <w:jc w:val="center"/>
        <w:rPr>
          <w:b/>
          <w:color w:val="auto"/>
          <w:sz w:val="36"/>
          <w:szCs w:val="28"/>
        </w:rPr>
      </w:pPr>
      <w:r>
        <w:rPr>
          <w:rFonts w:hint="eastAsia"/>
          <w:b/>
          <w:color w:val="auto"/>
          <w:sz w:val="36"/>
          <w:szCs w:val="28"/>
        </w:rPr>
        <w:t>目录</w:t>
      </w:r>
    </w:p>
    <w:p w14:paraId="4D2173C2">
      <w:pPr>
        <w:pStyle w:val="14"/>
        <w:spacing w:line="500" w:lineRule="exact"/>
        <w:rPr>
          <w:rFonts w:hAnsi="黑体"/>
          <w:bCs/>
          <w:color w:val="auto"/>
          <w:sz w:val="28"/>
          <w:szCs w:val="28"/>
        </w:rPr>
      </w:pPr>
      <w:r>
        <w:rPr>
          <w:rFonts w:hint="eastAsia" w:hAnsi="黑体"/>
          <w:bCs/>
          <w:color w:val="auto"/>
          <w:sz w:val="28"/>
          <w:szCs w:val="28"/>
        </w:rPr>
        <w:t>第一部分华容县信访局（单位）概况</w:t>
      </w:r>
    </w:p>
    <w:p w14:paraId="0DFD303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056EE16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4949885C">
      <w:pPr>
        <w:pStyle w:val="14"/>
        <w:spacing w:line="500" w:lineRule="exact"/>
        <w:rPr>
          <w:rFonts w:hAnsi="黑体"/>
          <w:bCs/>
          <w:color w:val="auto"/>
          <w:sz w:val="28"/>
          <w:szCs w:val="28"/>
        </w:rPr>
      </w:pPr>
      <w:r>
        <w:rPr>
          <w:rFonts w:hint="eastAsia" w:hAnsi="黑体"/>
          <w:bCs/>
          <w:color w:val="auto"/>
          <w:sz w:val="28"/>
          <w:szCs w:val="28"/>
        </w:rPr>
        <w:t>第二部分 部门决算表</w:t>
      </w:r>
    </w:p>
    <w:p w14:paraId="6821FEF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724E37A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2378A88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0BAA324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41D5A56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1F331D8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2CA1666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1F0FD01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686E9C6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2D634BDC">
      <w:pPr>
        <w:rPr>
          <w:rFonts w:ascii="Calibri" w:hAnsi="Calibri" w:eastAsia="宋体" w:cs="Times New Roman"/>
          <w:szCs w:val="24"/>
        </w:rPr>
      </w:pPr>
    </w:p>
    <w:p w14:paraId="185BE1E6">
      <w:pPr>
        <w:pStyle w:val="14"/>
        <w:spacing w:line="500" w:lineRule="exact"/>
        <w:rPr>
          <w:rFonts w:hAnsi="黑体"/>
          <w:bCs/>
          <w:color w:val="auto"/>
          <w:sz w:val="28"/>
          <w:szCs w:val="28"/>
        </w:rPr>
      </w:pPr>
      <w:r>
        <w:rPr>
          <w:rFonts w:hint="eastAsia" w:hAnsi="黑体"/>
          <w:bCs/>
          <w:color w:val="auto"/>
          <w:sz w:val="28"/>
          <w:szCs w:val="28"/>
        </w:rPr>
        <w:t>第四部分 名词解释</w:t>
      </w:r>
    </w:p>
    <w:p w14:paraId="1DA8885B">
      <w:pPr>
        <w:pStyle w:val="14"/>
        <w:spacing w:line="500" w:lineRule="exact"/>
        <w:rPr>
          <w:rFonts w:hAnsi="黑体"/>
          <w:bCs/>
          <w:color w:val="auto"/>
          <w:sz w:val="28"/>
          <w:szCs w:val="28"/>
        </w:rPr>
      </w:pPr>
      <w:r>
        <w:rPr>
          <w:rFonts w:hint="eastAsia" w:hAnsi="黑体"/>
          <w:bCs/>
          <w:color w:val="auto"/>
          <w:sz w:val="28"/>
          <w:szCs w:val="28"/>
        </w:rPr>
        <w:t>第五部分 附件</w:t>
      </w:r>
    </w:p>
    <w:p w14:paraId="44A7E867">
      <w:pPr>
        <w:pStyle w:val="14"/>
        <w:spacing w:line="500" w:lineRule="exact"/>
        <w:rPr>
          <w:rFonts w:hAnsi="黑体"/>
          <w:bCs/>
          <w:color w:val="auto"/>
          <w:sz w:val="28"/>
          <w:szCs w:val="28"/>
        </w:rPr>
      </w:pPr>
    </w:p>
    <w:p w14:paraId="3C1EB95D">
      <w:pPr>
        <w:pStyle w:val="14"/>
        <w:jc w:val="center"/>
        <w:rPr>
          <w:rFonts w:ascii="方正小标宋_GBK" w:hAnsi="方正小标宋_GBK" w:eastAsia="方正小标宋_GBK" w:cs="方正小标宋_GBK"/>
          <w:color w:val="auto"/>
          <w:sz w:val="48"/>
          <w:szCs w:val="48"/>
        </w:rPr>
      </w:pPr>
    </w:p>
    <w:p w14:paraId="0E24EB3A">
      <w:pPr>
        <w:pStyle w:val="14"/>
        <w:jc w:val="center"/>
        <w:rPr>
          <w:rFonts w:ascii="方正小标宋_GBK" w:hAnsi="方正小标宋_GBK" w:eastAsia="方正小标宋_GBK" w:cs="方正小标宋_GBK"/>
          <w:color w:val="auto"/>
          <w:sz w:val="48"/>
          <w:szCs w:val="48"/>
        </w:rPr>
      </w:pPr>
    </w:p>
    <w:p w14:paraId="2E521A7C">
      <w:pPr>
        <w:pStyle w:val="14"/>
        <w:jc w:val="center"/>
        <w:rPr>
          <w:rFonts w:ascii="方正小标宋_GBK" w:hAnsi="方正小标宋_GBK" w:eastAsia="方正小标宋_GBK" w:cs="方正小标宋_GBK"/>
          <w:color w:val="auto"/>
          <w:sz w:val="48"/>
          <w:szCs w:val="48"/>
        </w:rPr>
      </w:pPr>
    </w:p>
    <w:p w14:paraId="3C5E775A">
      <w:pPr>
        <w:pStyle w:val="14"/>
        <w:jc w:val="center"/>
        <w:rPr>
          <w:rFonts w:ascii="方正小标宋_GBK" w:hAnsi="方正小标宋_GBK" w:eastAsia="方正小标宋_GBK" w:cs="方正小标宋_GBK"/>
          <w:color w:val="auto"/>
          <w:sz w:val="48"/>
          <w:szCs w:val="48"/>
        </w:rPr>
      </w:pPr>
    </w:p>
    <w:p w14:paraId="0E4EB92C">
      <w:pPr>
        <w:pStyle w:val="14"/>
        <w:jc w:val="center"/>
        <w:rPr>
          <w:rFonts w:ascii="方正小标宋_GBK" w:hAnsi="方正小标宋_GBK" w:eastAsia="方正小标宋_GBK" w:cs="方正小标宋_GBK"/>
          <w:color w:val="auto"/>
          <w:sz w:val="48"/>
          <w:szCs w:val="48"/>
        </w:rPr>
      </w:pPr>
    </w:p>
    <w:p w14:paraId="11B44D07">
      <w:pPr>
        <w:pStyle w:val="14"/>
        <w:jc w:val="center"/>
        <w:rPr>
          <w:rFonts w:ascii="方正小标宋_GBK" w:hAnsi="方正小标宋_GBK" w:eastAsia="方正小标宋_GBK" w:cs="方正小标宋_GBK"/>
          <w:color w:val="auto"/>
          <w:sz w:val="48"/>
          <w:szCs w:val="48"/>
        </w:rPr>
      </w:pPr>
    </w:p>
    <w:p w14:paraId="6AC15C9C">
      <w:pPr>
        <w:pStyle w:val="14"/>
        <w:jc w:val="center"/>
        <w:rPr>
          <w:rFonts w:ascii="方正小标宋_GBK" w:hAnsi="方正小标宋_GBK" w:eastAsia="方正小标宋_GBK" w:cs="方正小标宋_GBK"/>
          <w:color w:val="auto"/>
          <w:sz w:val="48"/>
          <w:szCs w:val="48"/>
        </w:rPr>
      </w:pPr>
    </w:p>
    <w:p w14:paraId="595E474A">
      <w:pPr>
        <w:pStyle w:val="14"/>
        <w:jc w:val="center"/>
        <w:rPr>
          <w:rFonts w:ascii="方正小标宋_GBK" w:hAnsi="方正小标宋_GBK" w:eastAsia="方正小标宋_GBK" w:cs="方正小标宋_GBK"/>
          <w:color w:val="auto"/>
          <w:sz w:val="48"/>
          <w:szCs w:val="48"/>
        </w:rPr>
      </w:pPr>
    </w:p>
    <w:p w14:paraId="2DB0ADEC">
      <w:pPr>
        <w:pStyle w:val="14"/>
        <w:jc w:val="center"/>
        <w:rPr>
          <w:rFonts w:ascii="方正小标宋_GBK" w:hAnsi="方正小标宋_GBK" w:eastAsia="方正小标宋_GBK" w:cs="方正小标宋_GBK"/>
          <w:color w:val="auto"/>
          <w:sz w:val="48"/>
          <w:szCs w:val="48"/>
        </w:rPr>
      </w:pPr>
    </w:p>
    <w:p w14:paraId="77E32716">
      <w:pPr>
        <w:pStyle w:val="14"/>
        <w:jc w:val="center"/>
        <w:rPr>
          <w:rFonts w:ascii="方正小标宋_GBK" w:hAnsi="方正小标宋_GBK" w:eastAsia="方正小标宋_GBK" w:cs="方正小标宋_GBK"/>
          <w:color w:val="auto"/>
          <w:sz w:val="48"/>
          <w:szCs w:val="48"/>
        </w:rPr>
      </w:pPr>
    </w:p>
    <w:p w14:paraId="7DF21886">
      <w:pPr>
        <w:pStyle w:val="14"/>
        <w:jc w:val="center"/>
        <w:rPr>
          <w:rFonts w:ascii="方正小标宋_GBK" w:hAnsi="方正小标宋_GBK" w:eastAsia="方正小标宋_GBK" w:cs="方正小标宋_GBK"/>
          <w:color w:val="auto"/>
          <w:sz w:val="48"/>
          <w:szCs w:val="48"/>
        </w:rPr>
      </w:pPr>
    </w:p>
    <w:p w14:paraId="632E6F66">
      <w:pPr>
        <w:pStyle w:val="14"/>
        <w:jc w:val="center"/>
        <w:rPr>
          <w:rFonts w:ascii="方正小标宋_GBK" w:hAnsi="方正小标宋_GBK" w:eastAsia="方正小标宋_GBK" w:cs="方正小标宋_GBK"/>
          <w:color w:val="auto"/>
          <w:sz w:val="48"/>
          <w:szCs w:val="48"/>
        </w:rPr>
      </w:pPr>
    </w:p>
    <w:p w14:paraId="05056A8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65EB4AEA">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华容县信访局概况</w:t>
      </w:r>
    </w:p>
    <w:p w14:paraId="787546A2">
      <w:pPr>
        <w:keepNext/>
        <w:keepLines/>
        <w:autoSpaceDE w:val="0"/>
        <w:autoSpaceDN w:val="0"/>
        <w:adjustRightInd w:val="0"/>
        <w:ind w:firstLine="640"/>
        <w:rPr>
          <w:rFonts w:ascii="宋体" w:hAnsi="Times New Roman" w:eastAsia="宋体" w:cs="宋体"/>
          <w:sz w:val="32"/>
          <w:szCs w:val="32"/>
          <w:highlight w:val="white"/>
        </w:rPr>
      </w:pPr>
      <w:r>
        <w:rPr>
          <w:rFonts w:hint="eastAsia" w:ascii="黑体" w:hAnsi="黑体" w:eastAsia="黑体" w:cs="黑体"/>
          <w:bCs/>
          <w:kern w:val="0"/>
          <w:sz w:val="32"/>
          <w:szCs w:val="32"/>
        </w:rPr>
        <w:t>一、部门职责</w:t>
      </w:r>
    </w:p>
    <w:p w14:paraId="5906046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（一）贯彻落实上级党委、政府和县委、县政府及县信访工作领导小组关于信访工作的意见、措施、办法。</w:t>
      </w:r>
    </w:p>
    <w:p w14:paraId="54DDB4B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（二）负责处理人民群众给县委、县政府及其领导同志的来信，接待处理群众来信、来访、网络信访，为领导同志接待上访群众做好组织服务工作。</w:t>
      </w:r>
    </w:p>
    <w:p w14:paraId="5E8D430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（三）受理、承办上级部门向县委、县政府交办的信访事项和县委、县政府及其领导交办的信访事项，并及时上报处理结果。</w:t>
      </w:r>
    </w:p>
    <w:p w14:paraId="09DCCF1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（四）向县委、县政府及其领导提供群众来信来访中的重要信息，及时反映倾向性、动态性问题和影响社会稳定的事件。</w:t>
      </w:r>
    </w:p>
    <w:p w14:paraId="06326E6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14:paraId="2E82BDD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（六）按照“属地管理、分级负责”、“谁主管、谁负责”</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的原则，向有关乡镇和部门转送、交办来信来访事项，并督促检查落实情况，协调办理重要信访问题。</w:t>
      </w:r>
    </w:p>
    <w:p w14:paraId="31D62B3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（七）协同有关部门处理跨地区、跨部门的重大信访问题，协调乡镇和部门解决群众反映的突出问题，协调处理群众到县到市赴省进京上访，协调全县各级党政机关的信访工作。</w:t>
      </w:r>
    </w:p>
    <w:p w14:paraId="72536E8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（八）开展信访工作宣传和调研；指导全县信访工作业务，总结推广信访工作经验，提出加强和改进信访工作的意见。</w:t>
      </w:r>
    </w:p>
    <w:p w14:paraId="2C65819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（九）负责全县信访工作的综合管理，负责指导全县信访工作的组织建设和理论建设</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制定并组织实施信访工作规划，协助县委、县政府部署、督查信访工作。</w:t>
      </w:r>
    </w:p>
    <w:p w14:paraId="34BD796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（十）掌握全县信访工作队伍建设情况，提出加强信访队伍建设的措施，对信访工作中失职、渎职行为提出处理建议，组织信访干部培训。</w:t>
      </w:r>
    </w:p>
    <w:p w14:paraId="279668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（十一）指导全县信访办公自动化建设和信访信息系统的运行、监管。</w:t>
      </w:r>
    </w:p>
    <w:p w14:paraId="72690E07">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十二</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完成县委、县政府交办的其他事项。</w:t>
      </w:r>
    </w:p>
    <w:p w14:paraId="5B94ED1F">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0082A47">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1E28FA5F">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华容县信访局单位内设机构包括：</w:t>
      </w:r>
      <w:r>
        <w:rPr>
          <w:rFonts w:hint="eastAsia" w:ascii="宋体" w:hAnsi="Times New Roman" w:eastAsia="宋体" w:cs="宋体"/>
          <w:sz w:val="32"/>
          <w:szCs w:val="32"/>
          <w:lang w:val="zh-CN"/>
        </w:rPr>
        <w:t>办公室、办信网信室、综合接待室和协调督查室</w:t>
      </w:r>
      <w:r>
        <w:rPr>
          <w:rFonts w:hint="eastAsia" w:ascii="宋体" w:hAnsi="Times New Roman" w:eastAsia="宋体" w:cs="宋体"/>
          <w:sz w:val="32"/>
          <w:szCs w:val="32"/>
          <w:highlight w:val="white"/>
        </w:rPr>
        <w:t>。</w:t>
      </w:r>
    </w:p>
    <w:p w14:paraId="77D81F6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578C3640">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华容县信访局单位2023年部门决算汇总公开单位构成包括：局机关本级决算（根据财政预算管理制度，所属二级机构为一级预算单位，部门决算报表分别单独公开）,不包含下属单位。</w:t>
      </w:r>
    </w:p>
    <w:p w14:paraId="75680C6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77AC58F3">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320795DA">
      <w:pPr>
        <w:pStyle w:val="14"/>
        <w:jc w:val="center"/>
        <w:rPr>
          <w:rFonts w:hAnsi="黑体"/>
          <w:bCs/>
          <w:color w:val="auto"/>
          <w:kern w:val="2"/>
          <w:sz w:val="32"/>
          <w:szCs w:val="32"/>
        </w:rPr>
      </w:pPr>
      <w:r>
        <w:rPr>
          <w:rFonts w:hint="eastAsia" w:hAnsi="黑体"/>
          <w:bCs/>
          <w:color w:val="auto"/>
          <w:kern w:val="2"/>
          <w:sz w:val="32"/>
          <w:szCs w:val="32"/>
        </w:rPr>
        <w:t>详见附件表格</w:t>
      </w:r>
    </w:p>
    <w:p w14:paraId="48510F33">
      <w:pPr>
        <w:pStyle w:val="14"/>
        <w:jc w:val="center"/>
        <w:rPr>
          <w:rFonts w:ascii="方正小标宋_GBK" w:hAnsi="方正小标宋_GBK" w:eastAsia="方正小标宋_GBK" w:cs="方正小标宋_GBK"/>
          <w:color w:val="auto"/>
          <w:sz w:val="48"/>
          <w:szCs w:val="48"/>
        </w:rPr>
      </w:pPr>
    </w:p>
    <w:p w14:paraId="3BC68A0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3B2602E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574592CC">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39B77CD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607.61</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129.08</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26.97%</w:t>
      </w:r>
      <w:r>
        <w:rPr>
          <w:rFonts w:hint="eastAsia" w:ascii="宋体" w:hAnsi="Times New Roman" w:eastAsia="宋体" w:cs="宋体"/>
          <w:sz w:val="32"/>
          <w:szCs w:val="32"/>
          <w:highlight w:val="white"/>
          <w:lang w:val="zh-CN"/>
        </w:rPr>
        <w:t>。主要原因是信访工作任务增加，基本支出增加</w:t>
      </w:r>
      <w:r>
        <w:rPr>
          <w:rFonts w:ascii="宋体" w:hAnsi="Times New Roman" w:eastAsia="宋体" w:cs="宋体"/>
          <w:sz w:val="32"/>
          <w:szCs w:val="32"/>
          <w:highlight w:val="white"/>
          <w:lang w:val="zh-CN"/>
        </w:rPr>
        <w:t>114.08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15</w:t>
      </w:r>
      <w:r>
        <w:rPr>
          <w:rFonts w:hint="eastAsia" w:ascii="宋体" w:hAnsi="Times New Roman" w:eastAsia="宋体" w:cs="宋体"/>
          <w:sz w:val="32"/>
          <w:szCs w:val="32"/>
          <w:highlight w:val="white"/>
          <w:lang w:val="zh-CN"/>
        </w:rPr>
        <w:t>万元，财政拨款收入增加</w:t>
      </w:r>
      <w:r>
        <w:rPr>
          <w:rFonts w:hint="eastAsia" w:ascii="宋体" w:hAnsi="Times New Roman" w:eastAsia="宋体" w:cs="宋体"/>
          <w:sz w:val="32"/>
          <w:szCs w:val="32"/>
          <w:highlight w:val="white"/>
        </w:rPr>
        <w:t>。</w:t>
      </w:r>
    </w:p>
    <w:p w14:paraId="47D397F6">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173F9E3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607.61</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607.61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3553F5E3">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26A1E42F">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607.61</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592.61</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97.53%</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15</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2.47%</w:t>
      </w:r>
      <w:r>
        <w:rPr>
          <w:rFonts w:hint="eastAsia" w:ascii="宋体" w:hAnsi="Times New Roman" w:eastAsia="宋体" w:cs="宋体"/>
          <w:sz w:val="32"/>
          <w:szCs w:val="32"/>
          <w:highlight w:val="white"/>
        </w:rPr>
        <w:t>。</w:t>
      </w:r>
    </w:p>
    <w:p w14:paraId="0D86A44D">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2732576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607.61</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129.08</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26.97%</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主要原因是信访工作任务增加，基本支出增加</w:t>
      </w:r>
      <w:r>
        <w:rPr>
          <w:rFonts w:ascii="宋体" w:hAnsi="Times New Roman" w:eastAsia="宋体" w:cs="宋体"/>
          <w:sz w:val="32"/>
          <w:szCs w:val="32"/>
          <w:highlight w:val="white"/>
          <w:lang w:val="zh-CN"/>
        </w:rPr>
        <w:t>114.08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15</w:t>
      </w:r>
      <w:r>
        <w:rPr>
          <w:rFonts w:hint="eastAsia" w:ascii="宋体" w:hAnsi="Times New Roman" w:eastAsia="宋体" w:cs="宋体"/>
          <w:sz w:val="32"/>
          <w:szCs w:val="32"/>
          <w:highlight w:val="white"/>
          <w:lang w:val="zh-CN"/>
        </w:rPr>
        <w:t>万元，财政拨款收入增加</w:t>
      </w:r>
      <w:r>
        <w:rPr>
          <w:rFonts w:hint="eastAsia" w:ascii="宋体" w:hAnsi="Times New Roman" w:eastAsia="宋体" w:cs="宋体"/>
          <w:sz w:val="32"/>
          <w:szCs w:val="32"/>
          <w:highlight w:val="white"/>
        </w:rPr>
        <w:t>。</w:t>
      </w:r>
    </w:p>
    <w:p w14:paraId="49A0297D">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7D6BF503">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368C2922">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607.61</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129.08</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26.97%,</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信访工作任务增加，基本支出增加</w:t>
      </w:r>
      <w:r>
        <w:rPr>
          <w:rFonts w:ascii="宋体" w:hAnsi="Times New Roman" w:eastAsia="宋体" w:cs="宋体"/>
          <w:sz w:val="32"/>
          <w:szCs w:val="32"/>
          <w:highlight w:val="white"/>
          <w:lang w:val="zh-CN"/>
        </w:rPr>
        <w:t>114.08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15</w:t>
      </w:r>
      <w:r>
        <w:rPr>
          <w:rFonts w:hint="eastAsia" w:ascii="宋体" w:hAnsi="Times New Roman" w:eastAsia="宋体" w:cs="宋体"/>
          <w:sz w:val="32"/>
          <w:szCs w:val="32"/>
          <w:highlight w:val="white"/>
          <w:lang w:val="zh-CN"/>
        </w:rPr>
        <w:t>万元，财政拨款收入增加。</w:t>
      </w:r>
    </w:p>
    <w:p w14:paraId="646129E5">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48380A7B">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607.61</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607.61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100%</w:t>
      </w:r>
      <w:r>
        <w:rPr>
          <w:rFonts w:hint="eastAsia" w:ascii="宋体" w:hAnsi="Times New Roman" w:eastAsia="宋体" w:cs="宋体"/>
          <w:kern w:val="0"/>
          <w:sz w:val="32"/>
          <w:szCs w:val="32"/>
          <w:highlight w:val="white"/>
        </w:rPr>
        <w:t>。</w:t>
      </w:r>
    </w:p>
    <w:p w14:paraId="351A9E05">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50F36111">
      <w:pPr>
        <w:keepNext/>
        <w:keepLines/>
        <w:autoSpaceDE w:val="0"/>
        <w:autoSpaceDN w:val="0"/>
        <w:adjustRightInd w:val="0"/>
        <w:ind w:firstLine="641"/>
        <w:rPr>
          <w:rFonts w:ascii="宋体" w:hAnsi="Calibri" w:eastAsia="宋体" w:cs="宋体"/>
          <w:sz w:val="32"/>
          <w:szCs w:val="32"/>
          <w:highlight w:val="white"/>
          <w:lang w:val="zh-CN"/>
        </w:rPr>
      </w:pPr>
      <w:r>
        <w:rPr>
          <w:rFonts w:ascii="宋体" w:hAnsi="Calibri" w:eastAsia="宋体" w:cs="宋体"/>
          <w:sz w:val="32"/>
          <w:szCs w:val="32"/>
          <w:highlight w:val="white"/>
          <w:lang w:val="zh-CN"/>
        </w:rPr>
        <w:t>2023</w:t>
      </w:r>
      <w:r>
        <w:rPr>
          <w:rFonts w:hint="eastAsia" w:ascii="宋体" w:hAnsi="Calibri" w:eastAsia="宋体" w:cs="宋体"/>
          <w:sz w:val="32"/>
          <w:szCs w:val="32"/>
          <w:highlight w:val="white"/>
          <w:lang w:val="zh-CN"/>
        </w:rPr>
        <w:t>年度财政拨款支出年初预算为</w:t>
      </w:r>
      <w:r>
        <w:rPr>
          <w:rFonts w:ascii="宋体" w:hAnsi="Calibri" w:eastAsia="宋体" w:cs="宋体"/>
          <w:sz w:val="32"/>
          <w:szCs w:val="32"/>
          <w:highlight w:val="white"/>
          <w:lang w:val="zh-CN"/>
        </w:rPr>
        <w:t>254</w:t>
      </w:r>
      <w:r>
        <w:rPr>
          <w:rFonts w:hint="eastAsia" w:ascii="宋体" w:hAnsi="Calibri" w:eastAsia="宋体" w:cs="宋体"/>
          <w:sz w:val="32"/>
          <w:szCs w:val="32"/>
          <w:highlight w:val="white"/>
          <w:lang w:val="zh-CN"/>
        </w:rPr>
        <w:t>万元，支出决算为</w:t>
      </w:r>
      <w:r>
        <w:rPr>
          <w:rFonts w:ascii="宋体" w:hAnsi="Calibri" w:eastAsia="宋体" w:cs="宋体"/>
          <w:sz w:val="32"/>
          <w:szCs w:val="32"/>
          <w:highlight w:val="white"/>
          <w:lang w:val="zh-CN"/>
        </w:rPr>
        <w:t>607.61</w:t>
      </w:r>
      <w:r>
        <w:rPr>
          <w:rFonts w:hint="eastAsia" w:ascii="宋体" w:hAnsi="Calibri" w:eastAsia="宋体" w:cs="宋体"/>
          <w:sz w:val="32"/>
          <w:szCs w:val="32"/>
          <w:highlight w:val="white"/>
          <w:lang w:val="zh-CN"/>
        </w:rPr>
        <w:t>万元，完成年初预算的</w:t>
      </w:r>
      <w:r>
        <w:rPr>
          <w:rFonts w:ascii="宋体" w:hAnsi="Calibri" w:eastAsia="宋体" w:cs="宋体"/>
          <w:sz w:val="32"/>
          <w:szCs w:val="32"/>
          <w:highlight w:val="white"/>
          <w:lang w:val="zh-CN"/>
        </w:rPr>
        <w:t>239.22%</w:t>
      </w:r>
      <w:r>
        <w:rPr>
          <w:rFonts w:hint="eastAsia" w:ascii="宋体" w:hAnsi="Calibri" w:eastAsia="宋体" w:cs="宋体"/>
          <w:sz w:val="32"/>
          <w:szCs w:val="32"/>
          <w:highlight w:val="white"/>
          <w:lang w:val="zh-CN"/>
        </w:rPr>
        <w:t>。其中：</w:t>
      </w:r>
    </w:p>
    <w:p w14:paraId="0BC9D064">
      <w:pPr>
        <w:keepNext/>
        <w:keepLines/>
        <w:autoSpaceDE w:val="0"/>
        <w:autoSpaceDN w:val="0"/>
        <w:adjustRightInd w:val="0"/>
        <w:ind w:firstLine="640"/>
        <w:rPr>
          <w:rFonts w:hint="eastAsia" w:ascii="宋体" w:hAnsi="Calibri" w:eastAsia="宋体" w:cs="宋体"/>
          <w:sz w:val="32"/>
          <w:szCs w:val="32"/>
        </w:rPr>
      </w:pPr>
      <w:r>
        <w:rPr>
          <w:rFonts w:hint="eastAsia" w:ascii="宋体" w:hAnsi="Calibri" w:eastAsia="宋体" w:cs="宋体"/>
          <w:sz w:val="32"/>
          <w:szCs w:val="32"/>
        </w:rPr>
        <w:t>1、一般公共服务支出（类）政府办公厅（室）及相关机构事务（款）一般行政管理事务（项）。</w:t>
      </w:r>
    </w:p>
    <w:p w14:paraId="654F32FD">
      <w:pPr>
        <w:keepNext/>
        <w:keepLines/>
        <w:autoSpaceDE w:val="0"/>
        <w:autoSpaceDN w:val="0"/>
        <w:adjustRightInd w:val="0"/>
        <w:ind w:firstLine="640"/>
        <w:rPr>
          <w:rFonts w:ascii="宋体" w:hAnsi="Calibri" w:eastAsia="宋体" w:cs="宋体"/>
          <w:sz w:val="32"/>
          <w:szCs w:val="32"/>
        </w:rPr>
      </w:pPr>
      <w:r>
        <w:rPr>
          <w:rFonts w:hint="eastAsia" w:ascii="宋体" w:hAnsi="Calibri" w:eastAsia="宋体" w:cs="宋体"/>
          <w:sz w:val="32"/>
          <w:szCs w:val="32"/>
        </w:rPr>
        <w:t>年初预算为</w:t>
      </w:r>
      <w:r>
        <w:rPr>
          <w:rFonts w:ascii="宋体" w:hAnsi="Calibri" w:eastAsia="宋体" w:cs="宋体"/>
          <w:sz w:val="32"/>
          <w:szCs w:val="32"/>
        </w:rPr>
        <w:t>0</w:t>
      </w:r>
      <w:r>
        <w:rPr>
          <w:rFonts w:hint="eastAsia" w:ascii="宋体" w:hAnsi="Calibri" w:eastAsia="宋体" w:cs="宋体"/>
          <w:sz w:val="32"/>
          <w:szCs w:val="32"/>
        </w:rPr>
        <w:t>万元，支出决算为</w:t>
      </w:r>
      <w:r>
        <w:rPr>
          <w:rFonts w:ascii="宋体" w:hAnsi="Calibri" w:eastAsia="宋体" w:cs="宋体"/>
          <w:sz w:val="32"/>
          <w:szCs w:val="32"/>
        </w:rPr>
        <w:t>15</w:t>
      </w:r>
      <w:r>
        <w:rPr>
          <w:rFonts w:hint="eastAsia" w:ascii="宋体" w:hAnsi="Calibri" w:eastAsia="宋体" w:cs="宋体"/>
          <w:sz w:val="32"/>
          <w:szCs w:val="32"/>
        </w:rPr>
        <w:t>万元，</w:t>
      </w:r>
      <w:r>
        <w:rPr>
          <w:rFonts w:hint="eastAsia" w:ascii="宋体" w:cs="宋体"/>
          <w:sz w:val="32"/>
          <w:szCs w:val="32"/>
        </w:rPr>
        <w:t>由于年初预算为</w:t>
      </w:r>
      <w:r>
        <w:rPr>
          <w:rFonts w:ascii="宋体" w:cs="宋体"/>
          <w:sz w:val="32"/>
          <w:szCs w:val="32"/>
        </w:rPr>
        <w:t>0</w:t>
      </w:r>
      <w:r>
        <w:rPr>
          <w:rFonts w:hint="eastAsia" w:ascii="宋体" w:cs="宋体"/>
          <w:sz w:val="32"/>
          <w:szCs w:val="32"/>
        </w:rPr>
        <w:t>，无法计算百分比</w:t>
      </w:r>
      <w:r>
        <w:rPr>
          <w:rFonts w:hint="eastAsia" w:ascii="宋体" w:hAnsi="Calibri" w:eastAsia="宋体" w:cs="宋体"/>
          <w:sz w:val="32"/>
          <w:szCs w:val="32"/>
        </w:rPr>
        <w:t>。决算数大于预算数的主要原因是</w:t>
      </w:r>
      <w:r>
        <w:rPr>
          <w:rFonts w:hint="eastAsia" w:ascii="宋体" w:cs="宋体"/>
          <w:sz w:val="32"/>
          <w:szCs w:val="32"/>
        </w:rPr>
        <w:t>业务工作任务增加，财政追拨</w:t>
      </w:r>
      <w:r>
        <w:rPr>
          <w:rFonts w:hint="eastAsia" w:ascii="宋体" w:hAnsi="Calibri" w:eastAsia="宋体" w:cs="宋体"/>
          <w:sz w:val="32"/>
          <w:szCs w:val="32"/>
        </w:rPr>
        <w:t>一般行政管理事务</w:t>
      </w:r>
      <w:r>
        <w:rPr>
          <w:rFonts w:hint="eastAsia" w:ascii="宋体" w:cs="宋体"/>
          <w:sz w:val="32"/>
          <w:szCs w:val="32"/>
        </w:rPr>
        <w:t>经费。</w:t>
      </w:r>
      <w:r>
        <w:rPr>
          <w:rFonts w:ascii="宋体" w:hAnsi="Calibri" w:eastAsia="宋体" w:cs="宋体"/>
          <w:sz w:val="32"/>
          <w:szCs w:val="32"/>
        </w:rPr>
        <w:t xml:space="preserve">  </w:t>
      </w:r>
    </w:p>
    <w:p w14:paraId="1A3BB83E">
      <w:pPr>
        <w:keepNext/>
        <w:keepLines/>
        <w:autoSpaceDE w:val="0"/>
        <w:autoSpaceDN w:val="0"/>
        <w:adjustRightInd w:val="0"/>
        <w:ind w:firstLine="640"/>
        <w:rPr>
          <w:rFonts w:hint="eastAsia" w:ascii="宋体" w:hAnsi="Calibri" w:eastAsia="宋体" w:cs="宋体"/>
          <w:sz w:val="32"/>
          <w:szCs w:val="32"/>
        </w:rPr>
      </w:pPr>
      <w:r>
        <w:rPr>
          <w:rFonts w:hint="eastAsia" w:ascii="宋体" w:hAnsi="Calibri" w:eastAsia="宋体" w:cs="宋体"/>
          <w:sz w:val="32"/>
          <w:szCs w:val="32"/>
        </w:rPr>
        <w:t>2、一般公共服务支出（类）政府办公厅（室）及相关机构事务（款）信访事务（项）。</w:t>
      </w:r>
    </w:p>
    <w:p w14:paraId="5A0BEA0A">
      <w:pPr>
        <w:keepNext/>
        <w:keepLines/>
        <w:autoSpaceDE w:val="0"/>
        <w:autoSpaceDN w:val="0"/>
        <w:adjustRightInd w:val="0"/>
        <w:ind w:firstLine="640"/>
        <w:rPr>
          <w:rFonts w:ascii="宋体" w:hAnsi="Calibri" w:eastAsia="宋体" w:cs="宋体"/>
          <w:sz w:val="32"/>
          <w:szCs w:val="32"/>
        </w:rPr>
      </w:pPr>
      <w:r>
        <w:rPr>
          <w:rFonts w:hint="eastAsia" w:ascii="宋体" w:hAnsi="Calibri" w:eastAsia="宋体" w:cs="宋体"/>
          <w:sz w:val="32"/>
          <w:szCs w:val="32"/>
        </w:rPr>
        <w:t>年初预算为</w:t>
      </w:r>
      <w:r>
        <w:rPr>
          <w:rFonts w:ascii="宋体" w:hAnsi="Calibri" w:eastAsia="宋体" w:cs="宋体"/>
          <w:sz w:val="32"/>
          <w:szCs w:val="32"/>
        </w:rPr>
        <w:t>254</w:t>
      </w:r>
      <w:r>
        <w:rPr>
          <w:rFonts w:hint="eastAsia" w:ascii="宋体" w:hAnsi="Calibri" w:eastAsia="宋体" w:cs="宋体"/>
          <w:sz w:val="32"/>
          <w:szCs w:val="32"/>
        </w:rPr>
        <w:t>万元，支出决算为</w:t>
      </w:r>
      <w:r>
        <w:rPr>
          <w:rFonts w:ascii="宋体" w:hAnsi="Calibri" w:eastAsia="宋体" w:cs="宋体"/>
          <w:sz w:val="32"/>
          <w:szCs w:val="32"/>
        </w:rPr>
        <w:t>592.61</w:t>
      </w:r>
      <w:r>
        <w:rPr>
          <w:rFonts w:hint="eastAsia" w:ascii="宋体" w:hAnsi="Calibri" w:eastAsia="宋体" w:cs="宋体"/>
          <w:sz w:val="32"/>
          <w:szCs w:val="32"/>
        </w:rPr>
        <w:t>万元，完成年初预算的</w:t>
      </w:r>
      <w:r>
        <w:rPr>
          <w:rFonts w:ascii="宋体" w:hAnsi="Calibri" w:eastAsia="宋体" w:cs="宋体"/>
          <w:sz w:val="32"/>
          <w:szCs w:val="32"/>
        </w:rPr>
        <w:t>233.31%</w:t>
      </w:r>
      <w:r>
        <w:rPr>
          <w:rFonts w:hint="eastAsia" w:ascii="宋体" w:hAnsi="Calibri" w:eastAsia="宋体" w:cs="宋体"/>
          <w:sz w:val="32"/>
          <w:szCs w:val="32"/>
        </w:rPr>
        <w:t>。决算数大于预算数的主要原因是</w:t>
      </w:r>
      <w:r>
        <w:rPr>
          <w:rFonts w:hint="eastAsia" w:ascii="宋体" w:cs="宋体"/>
          <w:sz w:val="32"/>
          <w:szCs w:val="32"/>
        </w:rPr>
        <w:t>业务工作任务增加，财政追拨</w:t>
      </w:r>
      <w:r>
        <w:rPr>
          <w:rFonts w:hint="eastAsia" w:ascii="宋体" w:hAnsi="Calibri" w:eastAsia="宋体" w:cs="宋体"/>
          <w:sz w:val="32"/>
          <w:szCs w:val="32"/>
        </w:rPr>
        <w:t>信访事务</w:t>
      </w:r>
      <w:r>
        <w:rPr>
          <w:rFonts w:hint="eastAsia" w:ascii="宋体" w:cs="宋体"/>
          <w:sz w:val="32"/>
          <w:szCs w:val="32"/>
        </w:rPr>
        <w:t>经费。</w:t>
      </w:r>
      <w:r>
        <w:rPr>
          <w:rFonts w:ascii="宋体" w:hAnsi="Calibri" w:eastAsia="宋体" w:cs="宋体"/>
          <w:sz w:val="32"/>
          <w:szCs w:val="32"/>
        </w:rPr>
        <w:t xml:space="preserve">  </w:t>
      </w:r>
    </w:p>
    <w:p w14:paraId="54B181D6">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12C3A745">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592.61</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0B2BD2C4">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303.34</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51.19%</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B6B08C8">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289.27</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48.81%</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6DA5E5E">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5E5808E7">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282E4667">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三公</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经费财政拨款支出预算为</w:t>
      </w:r>
      <w:r>
        <w:rPr>
          <w:rFonts w:ascii="宋体" w:hAnsi="Times New Roman" w:eastAsia="宋体" w:cs="宋体"/>
          <w:sz w:val="32"/>
          <w:szCs w:val="32"/>
          <w:highlight w:val="white"/>
        </w:rPr>
        <w:t>1.5</w:t>
      </w:r>
      <w:r>
        <w:rPr>
          <w:rFonts w:hint="eastAsia" w:ascii="宋体" w:hAnsi="Times New Roman" w:eastAsia="宋体" w:cs="宋体"/>
          <w:sz w:val="32"/>
          <w:szCs w:val="32"/>
          <w:highlight w:val="white"/>
        </w:rPr>
        <w:t>万元，支出决算为</w:t>
      </w:r>
      <w:r>
        <w:rPr>
          <w:rFonts w:ascii="宋体" w:hAnsi="Times New Roman" w:eastAsia="宋体" w:cs="宋体"/>
          <w:sz w:val="32"/>
          <w:szCs w:val="32"/>
          <w:highlight w:val="white"/>
        </w:rPr>
        <w:t>1.35</w:t>
      </w:r>
      <w:r>
        <w:rPr>
          <w:rFonts w:hint="eastAsia" w:ascii="宋体" w:hAnsi="Times New Roman" w:eastAsia="宋体" w:cs="宋体"/>
          <w:sz w:val="32"/>
          <w:szCs w:val="32"/>
          <w:highlight w:val="white"/>
        </w:rPr>
        <w:t>万元</w:t>
      </w:r>
      <w:r>
        <w:rPr>
          <w:rFonts w:ascii="宋体" w:hAnsi="Times New Roman" w:eastAsia="宋体" w:cs="宋体"/>
          <w:sz w:val="32"/>
          <w:szCs w:val="32"/>
          <w:highlight w:val="white"/>
        </w:rPr>
        <w:t>,</w:t>
      </w:r>
      <w:r>
        <w:rPr>
          <w:rFonts w:hint="eastAsia" w:ascii="宋体" w:hAnsi="Times New Roman" w:eastAsia="宋体" w:cs="宋体"/>
          <w:sz w:val="32"/>
          <w:szCs w:val="32"/>
          <w:highlight w:val="white"/>
          <w:lang w:val="zh-CN"/>
        </w:rPr>
        <w:t>完成预算的</w:t>
      </w:r>
      <w:r>
        <w:rPr>
          <w:rFonts w:ascii="宋体" w:hAnsi="Times New Roman" w:eastAsia="宋体" w:cs="宋体"/>
          <w:sz w:val="32"/>
          <w:szCs w:val="32"/>
          <w:highlight w:val="white"/>
          <w:lang w:val="zh-CN"/>
        </w:rPr>
        <w:t>90%</w:t>
      </w:r>
      <w:r>
        <w:rPr>
          <w:rFonts w:hint="eastAsia" w:ascii="宋体" w:hAnsi="Times New Roman" w:eastAsia="宋体" w:cs="宋体"/>
          <w:sz w:val="32"/>
          <w:szCs w:val="32"/>
          <w:highlight w:val="white"/>
          <w:lang w:val="zh-CN"/>
        </w:rPr>
        <w:t>，决算数小于预算数的主要原因是认真贯彻落实中央八项规定精神和厉行节约要求，从严控制</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三公</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经费开支，全年实际支出比预算有所节约。</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0.15</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10%,</w:t>
      </w:r>
      <w:r>
        <w:rPr>
          <w:rFonts w:hint="eastAsia" w:ascii="宋体" w:hAnsi="Times New Roman" w:eastAsia="宋体" w:cs="宋体"/>
          <w:sz w:val="32"/>
          <w:szCs w:val="32"/>
          <w:highlight w:val="white"/>
        </w:rPr>
        <w:t>减少主要原因是认真贯彻落实</w:t>
      </w:r>
      <w:r>
        <w:rPr>
          <w:rFonts w:hint="eastAsia" w:ascii="宋体" w:hAnsi="Times New Roman" w:eastAsia="宋体" w:cs="宋体"/>
          <w:sz w:val="32"/>
          <w:szCs w:val="32"/>
          <w:highlight w:val="white"/>
          <w:lang w:eastAsia="zh-CN"/>
        </w:rPr>
        <w:t>中央八项规定</w:t>
      </w:r>
      <w:r>
        <w:rPr>
          <w:rFonts w:hint="eastAsia" w:ascii="宋体" w:hAnsi="Times New Roman" w:eastAsia="宋体" w:cs="宋体"/>
          <w:sz w:val="32"/>
          <w:szCs w:val="32"/>
          <w:highlight w:val="white"/>
        </w:rPr>
        <w:t>精神和厉行节约要求，从严控制</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三公</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经费开支，全年实际支出比预算有所节约。</w:t>
      </w:r>
      <w:r>
        <w:rPr>
          <w:rFonts w:hint="eastAsia" w:ascii="宋体" w:hAnsi="Times New Roman" w:eastAsia="宋体" w:cs="宋体"/>
          <w:sz w:val="32"/>
          <w:szCs w:val="32"/>
          <w:highlight w:val="white"/>
          <w:lang w:val="zh-CN"/>
        </w:rPr>
        <w:t>其中：</w:t>
      </w:r>
    </w:p>
    <w:p w14:paraId="08EA1B67">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rPr>
        <w:t>因公出国（境）费支出预算为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万元，支出决算为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w:t>
      </w:r>
      <w:r>
        <w:rPr>
          <w:rFonts w:ascii="宋体" w:hAnsi="Times New Roman" w:eastAsia="宋体" w:cs="宋体"/>
          <w:sz w:val="32"/>
          <w:szCs w:val="32"/>
          <w:highlight w:val="white"/>
          <w:lang w:val="zh-CN"/>
        </w:rPr>
        <w:t xml:space="preserve">   </w:t>
      </w:r>
    </w:p>
    <w:p w14:paraId="77B38E77">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公务接待费支出预算为</w:t>
      </w:r>
      <w:r>
        <w:rPr>
          <w:rFonts w:ascii="宋体" w:hAnsi="Times New Roman" w:eastAsia="宋体" w:cs="宋体"/>
          <w:sz w:val="32"/>
          <w:szCs w:val="32"/>
          <w:highlight w:val="white"/>
          <w:lang w:val="zh-CN"/>
        </w:rPr>
        <w:t>1.5</w:t>
      </w:r>
      <w:r>
        <w:rPr>
          <w:rFonts w:hint="eastAsia" w:ascii="宋体" w:hAnsi="Times New Roman" w:eastAsia="宋体" w:cs="宋体"/>
          <w:sz w:val="32"/>
          <w:szCs w:val="32"/>
          <w:highlight w:val="white"/>
          <w:lang w:val="zh-CN"/>
        </w:rPr>
        <w:t>万元，支出决算为</w:t>
      </w:r>
      <w:r>
        <w:rPr>
          <w:rFonts w:ascii="宋体" w:hAnsi="Times New Roman" w:eastAsia="宋体" w:cs="宋体"/>
          <w:sz w:val="32"/>
          <w:szCs w:val="32"/>
          <w:highlight w:val="white"/>
          <w:lang w:val="zh-CN"/>
        </w:rPr>
        <w:t>1.35</w:t>
      </w:r>
      <w:r>
        <w:rPr>
          <w:rFonts w:hint="eastAsia" w:ascii="宋体" w:hAnsi="Times New Roman" w:eastAsia="宋体" w:cs="宋体"/>
          <w:sz w:val="32"/>
          <w:szCs w:val="32"/>
          <w:highlight w:val="white"/>
          <w:lang w:val="zh-CN"/>
        </w:rPr>
        <w:t>万元</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完成预算的</w:t>
      </w:r>
      <w:r>
        <w:rPr>
          <w:rFonts w:ascii="宋体" w:hAnsi="Times New Roman" w:eastAsia="宋体" w:cs="宋体"/>
          <w:sz w:val="32"/>
          <w:szCs w:val="32"/>
          <w:highlight w:val="white"/>
          <w:lang w:val="zh-CN"/>
        </w:rPr>
        <w:t>90%,</w:t>
      </w:r>
      <w:r>
        <w:rPr>
          <w:rFonts w:hint="eastAsia" w:ascii="宋体" w:hAnsi="Times New Roman" w:eastAsia="宋体" w:cs="宋体"/>
          <w:sz w:val="32"/>
          <w:szCs w:val="32"/>
          <w:highlight w:val="white"/>
          <w:lang w:val="zh-CN"/>
        </w:rPr>
        <w:t>决算数小于预算数的主要原因是认真贯彻落实中央八项规定精神和厉行节约要求，从严控制</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三公</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经费开支，全年实际支出比预算有所节约。</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0.15</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10%,</w:t>
      </w:r>
      <w:r>
        <w:rPr>
          <w:rFonts w:hint="eastAsia" w:ascii="宋体" w:hAnsi="Times New Roman" w:eastAsia="宋体" w:cs="宋体"/>
          <w:sz w:val="32"/>
          <w:szCs w:val="32"/>
          <w:highlight w:val="white"/>
        </w:rPr>
        <w:t>减少主要原因是认真贯彻落实</w:t>
      </w:r>
      <w:r>
        <w:rPr>
          <w:rFonts w:hint="eastAsia" w:ascii="宋体" w:hAnsi="Times New Roman" w:eastAsia="宋体" w:cs="宋体"/>
          <w:sz w:val="32"/>
          <w:szCs w:val="32"/>
          <w:highlight w:val="white"/>
          <w:lang w:eastAsia="zh-CN"/>
        </w:rPr>
        <w:t>中央八项规定</w:t>
      </w:r>
      <w:r>
        <w:rPr>
          <w:rFonts w:hint="eastAsia" w:ascii="宋体" w:hAnsi="Times New Roman" w:eastAsia="宋体" w:cs="宋体"/>
          <w:sz w:val="32"/>
          <w:szCs w:val="32"/>
          <w:highlight w:val="white"/>
        </w:rPr>
        <w:t>精神和厉行节约要求，从严控制</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三公</w:t>
      </w:r>
      <w:r>
        <w:rPr>
          <w:rFonts w:ascii="宋体" w:hAnsi="Times New Roman" w:eastAsia="宋体" w:cs="宋体"/>
          <w:sz w:val="32"/>
          <w:szCs w:val="32"/>
          <w:highlight w:val="white"/>
        </w:rPr>
        <w:t>”</w:t>
      </w:r>
      <w:r>
        <w:rPr>
          <w:rFonts w:hint="eastAsia" w:ascii="宋体" w:hAnsi="Times New Roman" w:eastAsia="宋体" w:cs="宋体"/>
          <w:sz w:val="32"/>
          <w:szCs w:val="32"/>
          <w:highlight w:val="white"/>
        </w:rPr>
        <w:t>经费开支，全年实际支出比预算有所节约。</w:t>
      </w:r>
    </w:p>
    <w:p w14:paraId="356A0480">
      <w:pPr>
        <w:keepNext/>
        <w:keepLines/>
        <w:autoSpaceDE w:val="0"/>
        <w:autoSpaceDN w:val="0"/>
        <w:adjustRightInd w:val="0"/>
        <w:ind w:firstLine="640"/>
        <w:rPr>
          <w:rFonts w:ascii="Times New Roman" w:hAnsi="Times New Roman" w:eastAsia="宋体" w:cs="Times New Roman"/>
          <w:szCs w:val="21"/>
        </w:rPr>
      </w:pPr>
      <w:r>
        <w:rPr>
          <w:rFonts w:hint="eastAsia" w:ascii="宋体" w:hAnsi="Times New Roman" w:eastAsia="宋体" w:cs="宋体"/>
          <w:sz w:val="32"/>
          <w:szCs w:val="32"/>
          <w:highlight w:val="white"/>
        </w:rPr>
        <w:t>公务用车购置费支出预算为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万元，支出决算为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w:t>
      </w:r>
      <w:r>
        <w:rPr>
          <w:rFonts w:ascii="宋体" w:hAnsi="Times New Roman" w:eastAsia="宋体" w:cs="宋体"/>
          <w:sz w:val="32"/>
          <w:szCs w:val="32"/>
          <w:highlight w:val="white"/>
          <w:lang w:val="zh-CN"/>
        </w:rPr>
        <w:t xml:space="preserve">   </w:t>
      </w:r>
    </w:p>
    <w:p w14:paraId="3B781B70">
      <w:pPr>
        <w:pStyle w:val="14"/>
        <w:spacing w:line="600" w:lineRule="exact"/>
        <w:ind w:firstLine="640" w:firstLineChars="200"/>
        <w:rPr>
          <w:rFonts w:ascii="宋体" w:hAnsi="Times New Roman" w:eastAsia="宋体" w:cs="宋体"/>
          <w:color w:val="auto"/>
          <w:kern w:val="2"/>
          <w:sz w:val="32"/>
          <w:szCs w:val="32"/>
          <w:highlight w:val="white"/>
        </w:rPr>
      </w:pPr>
      <w:r>
        <w:rPr>
          <w:rFonts w:hint="eastAsia" w:ascii="宋体" w:hAnsi="Times New Roman" w:eastAsia="宋体" w:cs="宋体"/>
          <w:color w:val="auto"/>
          <w:sz w:val="32"/>
          <w:szCs w:val="32"/>
          <w:highlight w:val="white"/>
        </w:rPr>
        <w:t>公务用车购置费及运行维护费支出预算为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kern w:val="2"/>
          <w:sz w:val="32"/>
          <w:szCs w:val="32"/>
          <w:highlight w:val="white"/>
        </w:rPr>
        <w:t>，由于预算为</w:t>
      </w:r>
      <w:r>
        <w:rPr>
          <w:rFonts w:ascii="宋体" w:hAnsi="Times New Roman" w:eastAsia="宋体" w:cs="宋体"/>
          <w:color w:val="auto"/>
          <w:kern w:val="2"/>
          <w:sz w:val="32"/>
          <w:szCs w:val="32"/>
          <w:highlight w:val="white"/>
        </w:rPr>
        <w:t>0</w:t>
      </w:r>
      <w:r>
        <w:rPr>
          <w:rFonts w:hint="eastAsia" w:ascii="宋体" w:hAnsi="Times New Roman" w:eastAsia="宋体" w:cs="宋体"/>
          <w:color w:val="auto"/>
          <w:kern w:val="2"/>
          <w:sz w:val="32"/>
          <w:szCs w:val="32"/>
          <w:highlight w:val="white"/>
        </w:rPr>
        <w:t>，无法计算百分比，与上年相比减少</w:t>
      </w:r>
      <w:r>
        <w:rPr>
          <w:rFonts w:ascii="宋体" w:hAnsi="Times New Roman" w:eastAsia="宋体" w:cs="宋体"/>
          <w:color w:val="auto"/>
          <w:kern w:val="2"/>
          <w:sz w:val="32"/>
          <w:szCs w:val="32"/>
          <w:highlight w:val="white"/>
        </w:rPr>
        <w:t>0</w:t>
      </w:r>
      <w:r>
        <w:rPr>
          <w:rFonts w:hint="eastAsia" w:ascii="宋体" w:hAnsi="Times New Roman" w:eastAsia="宋体" w:cs="宋体"/>
          <w:color w:val="auto"/>
          <w:kern w:val="2"/>
          <w:sz w:val="32"/>
          <w:szCs w:val="32"/>
          <w:highlight w:val="white"/>
        </w:rPr>
        <w:t>万元，减少</w:t>
      </w:r>
      <w:r>
        <w:rPr>
          <w:rFonts w:ascii="宋体" w:hAnsi="Times New Roman" w:eastAsia="宋体" w:cs="宋体"/>
          <w:color w:val="auto"/>
          <w:kern w:val="2"/>
          <w:sz w:val="32"/>
          <w:szCs w:val="32"/>
          <w:highlight w:val="white"/>
        </w:rPr>
        <w:t>0%</w:t>
      </w:r>
      <w:r>
        <w:rPr>
          <w:rFonts w:hint="eastAsia" w:ascii="宋体" w:hAnsi="Times New Roman" w:eastAsia="宋体" w:cs="宋体"/>
          <w:color w:val="auto"/>
          <w:kern w:val="2"/>
          <w:sz w:val="32"/>
          <w:szCs w:val="32"/>
          <w:highlight w:val="white"/>
        </w:rPr>
        <w:t>。</w:t>
      </w:r>
    </w:p>
    <w:p w14:paraId="74CDE242">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38FFDF44">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1.35</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6DE6CF4E">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602F27D3">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1.35</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1.35</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15</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98</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5EF90FEC">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74159F5B">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D5DAB0D">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28502A3F">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74C3EA59">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18992C70">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289.27</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250.63</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648.63%</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7758BF12">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71AC5C06">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2.26</w:t>
      </w:r>
      <w:r>
        <w:rPr>
          <w:rFonts w:hint="eastAsia" w:ascii="宋体" w:hAnsi="Times New Roman" w:eastAsia="宋体" w:cs="宋体"/>
          <w:kern w:val="0"/>
          <w:sz w:val="32"/>
          <w:szCs w:val="32"/>
          <w:highlight w:val="white"/>
        </w:rPr>
        <w:t>万元，用于召开业务工作会议，人数</w:t>
      </w:r>
      <w:r>
        <w:rPr>
          <w:rFonts w:ascii="宋体" w:hAnsi="Times New Roman" w:eastAsia="宋体" w:cs="宋体"/>
          <w:kern w:val="0"/>
          <w:sz w:val="32"/>
          <w:szCs w:val="32"/>
          <w:highlight w:val="white"/>
        </w:rPr>
        <w:t>140</w:t>
      </w:r>
      <w:r>
        <w:rPr>
          <w:rFonts w:hint="eastAsia" w:ascii="宋体" w:hAnsi="Times New Roman" w:eastAsia="宋体" w:cs="宋体"/>
          <w:kern w:val="0"/>
          <w:sz w:val="32"/>
          <w:szCs w:val="32"/>
          <w:highlight w:val="white"/>
        </w:rPr>
        <w:t>人，内容为信访维稳、调研部署等业务工作会议；开支培训费</w:t>
      </w:r>
      <w:r>
        <w:rPr>
          <w:rFonts w:ascii="宋体" w:hAnsi="Times New Roman" w:eastAsia="宋体" w:cs="宋体"/>
          <w:kern w:val="0"/>
          <w:sz w:val="32"/>
          <w:szCs w:val="32"/>
          <w:highlight w:val="white"/>
        </w:rPr>
        <w:t>0.95</w:t>
      </w:r>
      <w:r>
        <w:rPr>
          <w:rFonts w:hint="eastAsia" w:ascii="宋体" w:hAnsi="Times New Roman" w:eastAsia="宋体" w:cs="宋体"/>
          <w:kern w:val="0"/>
          <w:sz w:val="32"/>
          <w:szCs w:val="32"/>
          <w:highlight w:val="white"/>
        </w:rPr>
        <w:t>万元，用于开展业务知识培训，人数</w:t>
      </w:r>
      <w:r>
        <w:rPr>
          <w:rFonts w:ascii="宋体" w:hAnsi="Times New Roman" w:eastAsia="宋体" w:cs="宋体"/>
          <w:kern w:val="0"/>
          <w:sz w:val="32"/>
          <w:szCs w:val="32"/>
          <w:highlight w:val="white"/>
        </w:rPr>
        <w:t>55</w:t>
      </w:r>
      <w:r>
        <w:rPr>
          <w:rFonts w:hint="eastAsia" w:ascii="宋体" w:hAnsi="Times New Roman" w:eastAsia="宋体" w:cs="宋体"/>
          <w:kern w:val="0"/>
          <w:sz w:val="32"/>
          <w:szCs w:val="32"/>
          <w:highlight w:val="white"/>
        </w:rPr>
        <w:t>人，内容为信访业务知识等培训；</w:t>
      </w: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3C9CD5D4">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74BEFAFD">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w:t>
      </w:r>
      <w:r>
        <w:rPr>
          <w:rFonts w:ascii="宋体" w:hAnsi="Times New Roman" w:eastAsia="宋体" w:cs="宋体"/>
          <w:color w:val="auto"/>
          <w:sz w:val="32"/>
          <w:szCs w:val="32"/>
          <w:highlight w:val="white"/>
        </w:rPr>
        <w:t>46.31</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9.99</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0.8</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35.52</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46.31</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46.31</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w:t>
      </w:r>
    </w:p>
    <w:p w14:paraId="12367D56">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694089D6">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2F7FDABF">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F3CD5C4">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4CDF1DE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06F6E19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部门开展整体支出绩效评价，涉及一般公共预算支出607.61万元，政府性基金预算支出0万元，国有资本经营预算支出0万元, 合计607.61万元，其中：基本支出592.61万元，占97.53%；项目支出15万元，占2.47%。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2E2198B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5E21137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09A2B69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49A1A873">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67320BB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766C6E6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5CFD5A3C">
      <w:pPr>
        <w:pStyle w:val="14"/>
        <w:jc w:val="both"/>
        <w:rPr>
          <w:color w:val="auto"/>
          <w:sz w:val="72"/>
          <w:szCs w:val="72"/>
        </w:rPr>
      </w:pPr>
    </w:p>
    <w:p w14:paraId="057EF62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3F0D9AC2">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4C13FC1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65B97EA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FBE6B1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4995929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369559CC">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三公</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A8130A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0F58EB2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1B70F42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61970CC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1C9D883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4B27CDC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0FBB9FD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4E90A8E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611911A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5F358D7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5125DF7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0022079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72C4BC0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3281161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612CAF0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3640634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61F8AA3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租赁费：反映租赁办公用房、宿舍、专用通讯网以及其他设备等方面的费用。</w:t>
      </w:r>
    </w:p>
    <w:p w14:paraId="20AA661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0D38340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34ACD00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公务接待费：反映单位按规定开支的各类公务接待（含外宾接待）费用。</w:t>
      </w:r>
    </w:p>
    <w:p w14:paraId="29D4933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064903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68D51B4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167EF1F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58C3F73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73289BF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00C26C1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71B703F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129C4FA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奖励金：反映政府各部门的奖励支出，如对个体私营经济的奖励、计划生育目标责任奖励、独生子女父母奖励等。</w:t>
      </w:r>
    </w:p>
    <w:p w14:paraId="29A03CD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3843117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办公设备购置：反映用于购置并按财务会计制度规定纳入固定资产核算范围的办公家具和办公设备的支出，以及按规定提取的修购基金。</w:t>
      </w:r>
    </w:p>
    <w:p w14:paraId="032BF43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其他资本性支出：反映上述科目中未包括的资本性支出。</w:t>
      </w:r>
    </w:p>
    <w:p w14:paraId="0F1B724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34ADE123">
      <w:pPr>
        <w:pStyle w:val="14"/>
        <w:jc w:val="center"/>
        <w:rPr>
          <w:rFonts w:ascii="方正小标宋_GBK" w:hAnsi="方正小标宋_GBK" w:eastAsia="方正小标宋_GBK" w:cs="方正小标宋_GBK"/>
          <w:color w:val="auto"/>
          <w:sz w:val="48"/>
          <w:szCs w:val="48"/>
        </w:rPr>
      </w:pPr>
    </w:p>
    <w:p w14:paraId="4D344CF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3F8F326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51A2E7F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年度华容县信访局部门决算公开表格</w:t>
      </w:r>
    </w:p>
    <w:p w14:paraId="465B04A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年度华容县信访局整体支出绩效自评报告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47DBF"/>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4D4094"/>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956C1"/>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9F5824"/>
    <w:rsid w:val="00A01D2B"/>
    <w:rsid w:val="00A1517D"/>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0F93F7C"/>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6792</Words>
  <Characters>7189</Characters>
  <Lines>52</Lines>
  <Paragraphs>14</Paragraphs>
  <TotalTime>0</TotalTime>
  <ScaleCrop>false</ScaleCrop>
  <LinksUpToDate>false</LinksUpToDate>
  <CharactersWithSpaces>7212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2025-11-11T13:01:47Z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