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1CD494">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rPr>
        <w:t>2023年度</w:t>
      </w:r>
    </w:p>
    <w:p w14:paraId="209A67AF">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84"/>
          <w:szCs w:val="84"/>
        </w:rPr>
      </w:pPr>
      <w:r>
        <w:rPr>
          <w:rFonts w:hint="eastAsia" w:hAnsi="Times New Roman"/>
          <w:color w:val="auto"/>
          <w:sz w:val="84"/>
          <w:szCs w:val="84"/>
          <w:highlight w:val="white"/>
          <w:lang w:val="zh-CN"/>
        </w:rPr>
        <w:t>华容县政务服务中心</w:t>
      </w:r>
      <w:r>
        <w:rPr>
          <w:rFonts w:hint="eastAsia" w:ascii="方正小标宋_GBK" w:hAnsi="方正小标宋_GBK" w:eastAsia="方正小标宋_GBK" w:cs="方正小标宋_GBK"/>
          <w:color w:val="auto"/>
          <w:sz w:val="84"/>
          <w:szCs w:val="84"/>
        </w:rPr>
        <w:t>部门决算</w:t>
      </w:r>
    </w:p>
    <w:p w14:paraId="0CFF5636">
      <w:pPr>
        <w:pStyle w:val="14"/>
        <w:keepNext w:val="0"/>
        <w:keepLines w:val="0"/>
        <w:pageBreakBefore w:val="0"/>
        <w:widowControl w:val="0"/>
        <w:kinsoku/>
        <w:wordWrap/>
        <w:overflowPunct/>
        <w:topLinePunct w:val="0"/>
        <w:bidi w:val="0"/>
        <w:snapToGrid/>
        <w:spacing w:line="500" w:lineRule="exact"/>
        <w:jc w:val="both"/>
        <w:textAlignment w:val="auto"/>
        <w:rPr>
          <w:b/>
          <w:color w:val="auto"/>
          <w:sz w:val="36"/>
          <w:szCs w:val="28"/>
        </w:rPr>
      </w:pPr>
    </w:p>
    <w:p w14:paraId="2A10E7A8">
      <w:pPr>
        <w:pStyle w:val="14"/>
        <w:keepNext w:val="0"/>
        <w:keepLines w:val="0"/>
        <w:pageBreakBefore w:val="0"/>
        <w:widowControl w:val="0"/>
        <w:kinsoku/>
        <w:wordWrap/>
        <w:overflowPunct/>
        <w:topLinePunct w:val="0"/>
        <w:bidi w:val="0"/>
        <w:snapToGrid/>
        <w:spacing w:line="500" w:lineRule="exact"/>
        <w:jc w:val="center"/>
        <w:textAlignment w:val="auto"/>
        <w:rPr>
          <w:b/>
          <w:color w:val="auto"/>
          <w:sz w:val="36"/>
          <w:szCs w:val="28"/>
        </w:rPr>
      </w:pPr>
      <w:r>
        <w:rPr>
          <w:rFonts w:hint="eastAsia"/>
          <w:b/>
          <w:color w:val="auto"/>
          <w:sz w:val="36"/>
          <w:szCs w:val="28"/>
        </w:rPr>
        <w:t>目录</w:t>
      </w:r>
    </w:p>
    <w:p w14:paraId="25290259">
      <w:pPr>
        <w:pStyle w:val="14"/>
        <w:keepNext w:val="0"/>
        <w:keepLines w:val="0"/>
        <w:pageBreakBefore w:val="0"/>
        <w:widowControl w:val="0"/>
        <w:kinsoku/>
        <w:wordWrap/>
        <w:overflowPunct/>
        <w:topLinePunct w:val="0"/>
        <w:bidi w:val="0"/>
        <w:snapToGrid/>
        <w:spacing w:line="500" w:lineRule="exact"/>
        <w:textAlignment w:val="auto"/>
        <w:rPr>
          <w:rFonts w:hAnsi="黑体"/>
          <w:bCs/>
          <w:color w:val="auto"/>
          <w:sz w:val="28"/>
          <w:szCs w:val="28"/>
        </w:rPr>
      </w:pPr>
      <w:r>
        <w:rPr>
          <w:rFonts w:hint="eastAsia" w:hAnsi="黑体"/>
          <w:bCs/>
          <w:color w:val="auto"/>
          <w:sz w:val="28"/>
          <w:szCs w:val="28"/>
        </w:rPr>
        <w:t>第一部分华容县政务服务中心概况</w:t>
      </w:r>
    </w:p>
    <w:p w14:paraId="040882D9">
      <w:pPr>
        <w:pStyle w:val="14"/>
        <w:keepNext w:val="0"/>
        <w:keepLines w:val="0"/>
        <w:pageBreakBefore w:val="0"/>
        <w:widowControl w:val="0"/>
        <w:kinsoku/>
        <w:wordWrap/>
        <w:overflowPunct/>
        <w:topLinePunct w:val="0"/>
        <w:bidi w:val="0"/>
        <w:snapToGrid/>
        <w:spacing w:line="500" w:lineRule="exact"/>
        <w:ind w:firstLine="700" w:firstLineChars="250"/>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一、部门职责</w:t>
      </w:r>
    </w:p>
    <w:p w14:paraId="6B30C889">
      <w:pPr>
        <w:pStyle w:val="14"/>
        <w:keepNext w:val="0"/>
        <w:keepLines w:val="0"/>
        <w:pageBreakBefore w:val="0"/>
        <w:widowControl w:val="0"/>
        <w:kinsoku/>
        <w:wordWrap/>
        <w:overflowPunct/>
        <w:topLinePunct w:val="0"/>
        <w:bidi w:val="0"/>
        <w:snapToGrid/>
        <w:spacing w:line="500" w:lineRule="exact"/>
        <w:ind w:firstLine="700" w:firstLineChars="250"/>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二、机构设置</w:t>
      </w:r>
    </w:p>
    <w:p w14:paraId="6D0B0F90">
      <w:pPr>
        <w:pStyle w:val="14"/>
        <w:keepNext w:val="0"/>
        <w:keepLines w:val="0"/>
        <w:pageBreakBefore w:val="0"/>
        <w:widowControl w:val="0"/>
        <w:kinsoku/>
        <w:wordWrap/>
        <w:overflowPunct/>
        <w:topLinePunct w:val="0"/>
        <w:bidi w:val="0"/>
        <w:snapToGrid/>
        <w:spacing w:line="500" w:lineRule="exact"/>
        <w:textAlignment w:val="auto"/>
        <w:rPr>
          <w:rFonts w:hAnsi="黑体"/>
          <w:bCs/>
          <w:color w:val="auto"/>
          <w:sz w:val="28"/>
          <w:szCs w:val="28"/>
        </w:rPr>
      </w:pPr>
      <w:r>
        <w:rPr>
          <w:rFonts w:hint="eastAsia" w:hAnsi="黑体"/>
          <w:bCs/>
          <w:color w:val="auto"/>
          <w:sz w:val="28"/>
          <w:szCs w:val="28"/>
        </w:rPr>
        <w:t>第二部分 部门决算表</w:t>
      </w:r>
    </w:p>
    <w:p w14:paraId="333E9E5F">
      <w:pPr>
        <w:pStyle w:val="14"/>
        <w:keepNext w:val="0"/>
        <w:keepLines w:val="0"/>
        <w:pageBreakBefore w:val="0"/>
        <w:widowControl w:val="0"/>
        <w:kinsoku/>
        <w:wordWrap/>
        <w:overflowPunct/>
        <w:topLinePunct w:val="0"/>
        <w:bidi w:val="0"/>
        <w:snapToGrid/>
        <w:spacing w:line="500" w:lineRule="exact"/>
        <w:ind w:firstLine="700" w:firstLineChars="250"/>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一、收入支出决算总表</w:t>
      </w:r>
    </w:p>
    <w:p w14:paraId="1506BDBE">
      <w:pPr>
        <w:pStyle w:val="14"/>
        <w:keepNext w:val="0"/>
        <w:keepLines w:val="0"/>
        <w:pageBreakBefore w:val="0"/>
        <w:widowControl w:val="0"/>
        <w:kinsoku/>
        <w:wordWrap/>
        <w:overflowPunct/>
        <w:topLinePunct w:val="0"/>
        <w:bidi w:val="0"/>
        <w:snapToGrid/>
        <w:spacing w:line="500" w:lineRule="exact"/>
        <w:ind w:firstLine="700" w:firstLineChars="250"/>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二、收入决算表</w:t>
      </w:r>
    </w:p>
    <w:p w14:paraId="328486FF">
      <w:pPr>
        <w:pStyle w:val="14"/>
        <w:keepNext w:val="0"/>
        <w:keepLines w:val="0"/>
        <w:pageBreakBefore w:val="0"/>
        <w:widowControl w:val="0"/>
        <w:kinsoku/>
        <w:wordWrap/>
        <w:overflowPunct/>
        <w:topLinePunct w:val="0"/>
        <w:bidi w:val="0"/>
        <w:snapToGrid/>
        <w:spacing w:line="500" w:lineRule="exact"/>
        <w:ind w:firstLine="700" w:firstLineChars="250"/>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三、支出决算表</w:t>
      </w:r>
    </w:p>
    <w:p w14:paraId="041DED0C">
      <w:pPr>
        <w:pStyle w:val="14"/>
        <w:keepNext w:val="0"/>
        <w:keepLines w:val="0"/>
        <w:pageBreakBefore w:val="0"/>
        <w:widowControl w:val="0"/>
        <w:kinsoku/>
        <w:wordWrap/>
        <w:overflowPunct/>
        <w:topLinePunct w:val="0"/>
        <w:bidi w:val="0"/>
        <w:snapToGrid/>
        <w:spacing w:line="500" w:lineRule="exact"/>
        <w:ind w:firstLine="700" w:firstLineChars="250"/>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四、财政拨款收入支出决算总表</w:t>
      </w:r>
    </w:p>
    <w:p w14:paraId="37132C5D">
      <w:pPr>
        <w:pStyle w:val="14"/>
        <w:keepNext w:val="0"/>
        <w:keepLines w:val="0"/>
        <w:pageBreakBefore w:val="0"/>
        <w:widowControl w:val="0"/>
        <w:kinsoku/>
        <w:wordWrap/>
        <w:overflowPunct/>
        <w:topLinePunct w:val="0"/>
        <w:bidi w:val="0"/>
        <w:snapToGrid/>
        <w:spacing w:line="500" w:lineRule="exact"/>
        <w:ind w:firstLine="700" w:firstLineChars="250"/>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五、一般公共预算财政拨款支出决算表</w:t>
      </w:r>
    </w:p>
    <w:p w14:paraId="62BA332E">
      <w:pPr>
        <w:pStyle w:val="14"/>
        <w:keepNext w:val="0"/>
        <w:keepLines w:val="0"/>
        <w:pageBreakBefore w:val="0"/>
        <w:widowControl w:val="0"/>
        <w:kinsoku/>
        <w:wordWrap/>
        <w:overflowPunct/>
        <w:topLinePunct w:val="0"/>
        <w:bidi w:val="0"/>
        <w:snapToGrid/>
        <w:spacing w:line="500" w:lineRule="exact"/>
        <w:ind w:firstLine="700" w:firstLineChars="250"/>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六、一般公共预算财政拨款基本支出决算明细表</w:t>
      </w:r>
    </w:p>
    <w:p w14:paraId="4C1D202C">
      <w:pPr>
        <w:pStyle w:val="14"/>
        <w:keepNext w:val="0"/>
        <w:keepLines w:val="0"/>
        <w:pageBreakBefore w:val="0"/>
        <w:widowControl w:val="0"/>
        <w:kinsoku/>
        <w:wordWrap/>
        <w:overflowPunct/>
        <w:topLinePunct w:val="0"/>
        <w:bidi w:val="0"/>
        <w:snapToGrid/>
        <w:spacing w:line="500" w:lineRule="exact"/>
        <w:ind w:firstLine="700" w:firstLineChars="250"/>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七、政府性基金预算财政拨款收入支出决算表</w:t>
      </w:r>
    </w:p>
    <w:p w14:paraId="55ABAA02">
      <w:pPr>
        <w:pStyle w:val="14"/>
        <w:keepNext w:val="0"/>
        <w:keepLines w:val="0"/>
        <w:pageBreakBefore w:val="0"/>
        <w:widowControl w:val="0"/>
        <w:kinsoku/>
        <w:wordWrap/>
        <w:overflowPunct/>
        <w:topLinePunct w:val="0"/>
        <w:bidi w:val="0"/>
        <w:snapToGrid/>
        <w:spacing w:line="500" w:lineRule="exact"/>
        <w:ind w:firstLine="700" w:firstLineChars="250"/>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八、国有资本经营预算财政拨款支出决算表</w:t>
      </w:r>
    </w:p>
    <w:p w14:paraId="640654EF">
      <w:pPr>
        <w:pStyle w:val="14"/>
        <w:keepNext w:val="0"/>
        <w:keepLines w:val="0"/>
        <w:pageBreakBefore w:val="0"/>
        <w:widowControl w:val="0"/>
        <w:kinsoku/>
        <w:wordWrap/>
        <w:overflowPunct/>
        <w:topLinePunct w:val="0"/>
        <w:bidi w:val="0"/>
        <w:snapToGrid/>
        <w:spacing w:line="500" w:lineRule="exact"/>
        <w:ind w:firstLine="700" w:firstLineChars="250"/>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九、财政拨款“三公”经费支出决算表</w:t>
      </w:r>
    </w:p>
    <w:p w14:paraId="5C965BD2">
      <w:pPr>
        <w:keepNext w:val="0"/>
        <w:keepLines w:val="0"/>
        <w:pageBreakBefore w:val="0"/>
        <w:widowControl w:val="0"/>
        <w:kinsoku/>
        <w:wordWrap/>
        <w:overflowPunct/>
        <w:topLinePunct w:val="0"/>
        <w:autoSpaceDE w:val="0"/>
        <w:autoSpaceDN w:val="0"/>
        <w:bidi w:val="0"/>
        <w:adjustRightInd w:val="0"/>
        <w:snapToGrid/>
        <w:spacing w:line="600" w:lineRule="exact"/>
        <w:textAlignment w:val="auto"/>
        <w:rPr>
          <w:rFonts w:hint="eastAsia" w:ascii="黑体" w:hAnsi="黑体" w:eastAsia="黑体" w:cs="黑体"/>
          <w:b w:val="0"/>
          <w:bCs/>
          <w:color w:val="000000"/>
          <w:kern w:val="0"/>
          <w:sz w:val="28"/>
          <w:szCs w:val="28"/>
          <w:highlight w:val="none"/>
          <w:lang w:val="en-US" w:eastAsia="zh-CN" w:bidi="ar-SA"/>
        </w:rPr>
      </w:pPr>
      <w:r>
        <w:rPr>
          <w:rFonts w:hint="eastAsia" w:ascii="黑体" w:hAnsi="黑体" w:eastAsia="黑体" w:cs="黑体"/>
          <w:b w:val="0"/>
          <w:bCs/>
          <w:color w:val="000000"/>
          <w:kern w:val="0"/>
          <w:sz w:val="28"/>
          <w:szCs w:val="28"/>
          <w:highlight w:val="none"/>
          <w:lang w:val="en-US" w:eastAsia="zh-CN" w:bidi="ar-SA"/>
        </w:rPr>
        <w:t>第三部分2023年度部门决算情况说明</w:t>
      </w:r>
    </w:p>
    <w:p w14:paraId="3705B988">
      <w:pPr>
        <w:keepNext w:val="0"/>
        <w:keepLines w:val="0"/>
        <w:pageBreakBefore w:val="0"/>
        <w:widowControl w:val="0"/>
        <w:kinsoku/>
        <w:wordWrap/>
        <w:overflowPunct/>
        <w:topLinePunct w:val="0"/>
        <w:autoSpaceDE w:val="0"/>
        <w:autoSpaceDN w:val="0"/>
        <w:bidi w:val="0"/>
        <w:adjustRightInd w:val="0"/>
        <w:snapToGrid/>
        <w:spacing w:line="500" w:lineRule="exact"/>
        <w:ind w:firstLine="700" w:firstLineChars="250"/>
        <w:textAlignment w:val="auto"/>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一、收入支出决算总体情况说明</w:t>
      </w:r>
    </w:p>
    <w:p w14:paraId="5AE94C81">
      <w:pPr>
        <w:keepNext w:val="0"/>
        <w:keepLines w:val="0"/>
        <w:pageBreakBefore w:val="0"/>
        <w:widowControl w:val="0"/>
        <w:kinsoku/>
        <w:wordWrap/>
        <w:overflowPunct/>
        <w:topLinePunct w:val="0"/>
        <w:autoSpaceDE w:val="0"/>
        <w:autoSpaceDN w:val="0"/>
        <w:bidi w:val="0"/>
        <w:adjustRightInd w:val="0"/>
        <w:snapToGrid/>
        <w:spacing w:line="500" w:lineRule="exact"/>
        <w:ind w:firstLine="700" w:firstLineChars="250"/>
        <w:textAlignment w:val="auto"/>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二、收入决算情况说明</w:t>
      </w:r>
    </w:p>
    <w:p w14:paraId="00420706">
      <w:pPr>
        <w:keepNext w:val="0"/>
        <w:keepLines w:val="0"/>
        <w:pageBreakBefore w:val="0"/>
        <w:widowControl w:val="0"/>
        <w:kinsoku/>
        <w:wordWrap/>
        <w:overflowPunct/>
        <w:topLinePunct w:val="0"/>
        <w:autoSpaceDE w:val="0"/>
        <w:autoSpaceDN w:val="0"/>
        <w:bidi w:val="0"/>
        <w:adjustRightInd w:val="0"/>
        <w:snapToGrid/>
        <w:spacing w:line="500" w:lineRule="exact"/>
        <w:ind w:firstLine="700" w:firstLineChars="250"/>
        <w:textAlignment w:val="auto"/>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三、支出决算情况说明</w:t>
      </w:r>
    </w:p>
    <w:p w14:paraId="3AC14103">
      <w:pPr>
        <w:keepNext w:val="0"/>
        <w:keepLines w:val="0"/>
        <w:pageBreakBefore w:val="0"/>
        <w:widowControl w:val="0"/>
        <w:kinsoku/>
        <w:wordWrap/>
        <w:overflowPunct/>
        <w:topLinePunct w:val="0"/>
        <w:autoSpaceDE w:val="0"/>
        <w:autoSpaceDN w:val="0"/>
        <w:bidi w:val="0"/>
        <w:adjustRightInd w:val="0"/>
        <w:snapToGrid/>
        <w:spacing w:line="500" w:lineRule="exact"/>
        <w:ind w:firstLine="700" w:firstLineChars="250"/>
        <w:textAlignment w:val="auto"/>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四、财政拨款收入支出决算总体情况说明</w:t>
      </w:r>
    </w:p>
    <w:p w14:paraId="00B1A517">
      <w:pPr>
        <w:keepNext w:val="0"/>
        <w:keepLines w:val="0"/>
        <w:pageBreakBefore w:val="0"/>
        <w:widowControl w:val="0"/>
        <w:kinsoku/>
        <w:wordWrap/>
        <w:overflowPunct/>
        <w:topLinePunct w:val="0"/>
        <w:autoSpaceDE w:val="0"/>
        <w:autoSpaceDN w:val="0"/>
        <w:bidi w:val="0"/>
        <w:adjustRightInd w:val="0"/>
        <w:snapToGrid/>
        <w:spacing w:line="500" w:lineRule="exact"/>
        <w:ind w:firstLine="700" w:firstLineChars="250"/>
        <w:textAlignment w:val="auto"/>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五、一般公共预算财政拨款支出决算情况说明</w:t>
      </w:r>
    </w:p>
    <w:p w14:paraId="7AC0CE59">
      <w:pPr>
        <w:keepNext w:val="0"/>
        <w:keepLines w:val="0"/>
        <w:pageBreakBefore w:val="0"/>
        <w:widowControl w:val="0"/>
        <w:kinsoku/>
        <w:wordWrap/>
        <w:overflowPunct/>
        <w:topLinePunct w:val="0"/>
        <w:autoSpaceDE w:val="0"/>
        <w:autoSpaceDN w:val="0"/>
        <w:bidi w:val="0"/>
        <w:adjustRightInd w:val="0"/>
        <w:snapToGrid/>
        <w:spacing w:line="500" w:lineRule="exact"/>
        <w:ind w:firstLine="700" w:firstLineChars="250"/>
        <w:textAlignment w:val="auto"/>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六、一般公共预算财政拨款基本支出决算情况说明</w:t>
      </w:r>
    </w:p>
    <w:p w14:paraId="41C16576">
      <w:pPr>
        <w:keepNext w:val="0"/>
        <w:keepLines w:val="0"/>
        <w:pageBreakBefore w:val="0"/>
        <w:widowControl w:val="0"/>
        <w:kinsoku/>
        <w:wordWrap/>
        <w:overflowPunct/>
        <w:topLinePunct w:val="0"/>
        <w:autoSpaceDE w:val="0"/>
        <w:autoSpaceDN w:val="0"/>
        <w:bidi w:val="0"/>
        <w:adjustRightInd w:val="0"/>
        <w:snapToGrid/>
        <w:spacing w:line="500" w:lineRule="exact"/>
        <w:ind w:firstLine="700" w:firstLineChars="250"/>
        <w:textAlignment w:val="auto"/>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七、财政拨款“三公”经费支出决算情况说明</w:t>
      </w:r>
    </w:p>
    <w:p w14:paraId="740B4E0F">
      <w:pPr>
        <w:keepNext w:val="0"/>
        <w:keepLines w:val="0"/>
        <w:pageBreakBefore w:val="0"/>
        <w:widowControl w:val="0"/>
        <w:kinsoku/>
        <w:wordWrap/>
        <w:overflowPunct/>
        <w:topLinePunct w:val="0"/>
        <w:autoSpaceDE w:val="0"/>
        <w:autoSpaceDN w:val="0"/>
        <w:bidi w:val="0"/>
        <w:adjustRightInd w:val="0"/>
        <w:snapToGrid/>
        <w:spacing w:line="500" w:lineRule="exact"/>
        <w:ind w:firstLine="700" w:firstLineChars="250"/>
        <w:textAlignment w:val="auto"/>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八、政府性基金预算收入支出决算情况</w:t>
      </w:r>
    </w:p>
    <w:p w14:paraId="3B6D467D">
      <w:pPr>
        <w:keepNext w:val="0"/>
        <w:keepLines w:val="0"/>
        <w:pageBreakBefore w:val="0"/>
        <w:widowControl w:val="0"/>
        <w:kinsoku/>
        <w:wordWrap/>
        <w:overflowPunct/>
        <w:topLinePunct w:val="0"/>
        <w:autoSpaceDE w:val="0"/>
        <w:autoSpaceDN w:val="0"/>
        <w:bidi w:val="0"/>
        <w:adjustRightInd w:val="0"/>
        <w:snapToGrid/>
        <w:spacing w:line="500" w:lineRule="exact"/>
        <w:ind w:firstLine="700" w:firstLineChars="250"/>
        <w:textAlignment w:val="auto"/>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九、国有资本经营预算财政拨款支出决算情况</w:t>
      </w:r>
    </w:p>
    <w:p w14:paraId="3ABBDD4D">
      <w:pPr>
        <w:keepNext w:val="0"/>
        <w:keepLines w:val="0"/>
        <w:pageBreakBefore w:val="0"/>
        <w:widowControl w:val="0"/>
        <w:kinsoku/>
        <w:wordWrap/>
        <w:overflowPunct/>
        <w:topLinePunct w:val="0"/>
        <w:autoSpaceDE w:val="0"/>
        <w:autoSpaceDN w:val="0"/>
        <w:bidi w:val="0"/>
        <w:adjustRightInd w:val="0"/>
        <w:snapToGrid/>
        <w:spacing w:line="500" w:lineRule="exact"/>
        <w:ind w:firstLine="700" w:firstLineChars="250"/>
        <w:textAlignment w:val="auto"/>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十、关于机关运行经费支出说明</w:t>
      </w:r>
    </w:p>
    <w:p w14:paraId="5A1D256A">
      <w:pPr>
        <w:keepNext w:val="0"/>
        <w:keepLines w:val="0"/>
        <w:pageBreakBefore w:val="0"/>
        <w:widowControl w:val="0"/>
        <w:kinsoku/>
        <w:wordWrap/>
        <w:overflowPunct/>
        <w:topLinePunct w:val="0"/>
        <w:autoSpaceDE w:val="0"/>
        <w:autoSpaceDN w:val="0"/>
        <w:bidi w:val="0"/>
        <w:adjustRightInd w:val="0"/>
        <w:snapToGrid/>
        <w:spacing w:line="500" w:lineRule="exact"/>
        <w:ind w:firstLine="700" w:firstLineChars="250"/>
        <w:textAlignment w:val="auto"/>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十一、一般性支出情况说明</w:t>
      </w:r>
    </w:p>
    <w:p w14:paraId="382BF0DF">
      <w:pPr>
        <w:keepNext w:val="0"/>
        <w:keepLines w:val="0"/>
        <w:pageBreakBefore w:val="0"/>
        <w:widowControl w:val="0"/>
        <w:kinsoku/>
        <w:wordWrap/>
        <w:overflowPunct/>
        <w:topLinePunct w:val="0"/>
        <w:autoSpaceDE w:val="0"/>
        <w:autoSpaceDN w:val="0"/>
        <w:bidi w:val="0"/>
        <w:adjustRightInd w:val="0"/>
        <w:snapToGrid/>
        <w:spacing w:line="500" w:lineRule="exact"/>
        <w:ind w:firstLine="700" w:firstLineChars="250"/>
        <w:textAlignment w:val="auto"/>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十二、关于政府采购支出说明</w:t>
      </w:r>
    </w:p>
    <w:p w14:paraId="4646B28D">
      <w:pPr>
        <w:keepNext w:val="0"/>
        <w:keepLines w:val="0"/>
        <w:pageBreakBefore w:val="0"/>
        <w:widowControl w:val="0"/>
        <w:kinsoku/>
        <w:wordWrap/>
        <w:overflowPunct/>
        <w:topLinePunct w:val="0"/>
        <w:autoSpaceDE w:val="0"/>
        <w:autoSpaceDN w:val="0"/>
        <w:bidi w:val="0"/>
        <w:adjustRightInd w:val="0"/>
        <w:snapToGrid/>
        <w:spacing w:line="500" w:lineRule="exact"/>
        <w:ind w:firstLine="700" w:firstLineChars="250"/>
        <w:textAlignment w:val="auto"/>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十三、关于国有资产占用情况说明</w:t>
      </w:r>
    </w:p>
    <w:p w14:paraId="4F1AC7C9">
      <w:pPr>
        <w:keepNext w:val="0"/>
        <w:keepLines w:val="0"/>
        <w:pageBreakBefore w:val="0"/>
        <w:widowControl w:val="0"/>
        <w:kinsoku/>
        <w:wordWrap/>
        <w:overflowPunct/>
        <w:topLinePunct w:val="0"/>
        <w:autoSpaceDE w:val="0"/>
        <w:autoSpaceDN w:val="0"/>
        <w:bidi w:val="0"/>
        <w:adjustRightInd w:val="0"/>
        <w:snapToGrid/>
        <w:spacing w:line="500" w:lineRule="exact"/>
        <w:ind w:firstLine="700" w:firstLineChars="250"/>
        <w:textAlignment w:val="auto"/>
        <w:rPr>
          <w:rFonts w:ascii="Calibri" w:hAnsi="Calibri" w:eastAsia="宋体" w:cs="Times New Roman"/>
          <w:szCs w:val="24"/>
        </w:rPr>
      </w:pPr>
      <w:r>
        <w:rPr>
          <w:rFonts w:hint="eastAsia" w:ascii="仿宋_GB2312" w:hAnsi="仿宋_GB2312" w:eastAsia="仿宋_GB2312" w:cs="仿宋_GB2312"/>
          <w:color w:val="000000"/>
          <w:kern w:val="0"/>
          <w:sz w:val="28"/>
          <w:szCs w:val="28"/>
          <w:highlight w:val="none"/>
          <w:lang w:val="en-US" w:eastAsia="zh-CN" w:bidi="ar-SA"/>
        </w:rPr>
        <w:t>十四、关于2023年度预算绩效情况的说明</w:t>
      </w:r>
    </w:p>
    <w:p w14:paraId="1F994226">
      <w:pPr>
        <w:pStyle w:val="14"/>
        <w:keepNext w:val="0"/>
        <w:keepLines w:val="0"/>
        <w:pageBreakBefore w:val="0"/>
        <w:widowControl w:val="0"/>
        <w:kinsoku/>
        <w:wordWrap/>
        <w:overflowPunct/>
        <w:topLinePunct w:val="0"/>
        <w:bidi w:val="0"/>
        <w:snapToGrid/>
        <w:spacing w:line="500" w:lineRule="exact"/>
        <w:ind w:firstLine="700" w:firstLineChars="250"/>
        <w:textAlignment w:val="auto"/>
        <w:rPr>
          <w:rFonts w:ascii="仿宋_GB2312" w:hAnsi="仿宋_GB2312" w:eastAsia="仿宋_GB2312" w:cs="仿宋_GB2312"/>
          <w:color w:val="auto"/>
          <w:sz w:val="28"/>
          <w:szCs w:val="28"/>
        </w:rPr>
      </w:pPr>
    </w:p>
    <w:p w14:paraId="611FCE6A">
      <w:pPr>
        <w:pStyle w:val="14"/>
        <w:keepNext w:val="0"/>
        <w:keepLines w:val="0"/>
        <w:pageBreakBefore w:val="0"/>
        <w:widowControl w:val="0"/>
        <w:kinsoku/>
        <w:wordWrap/>
        <w:overflowPunct/>
        <w:topLinePunct w:val="0"/>
        <w:bidi w:val="0"/>
        <w:snapToGrid/>
        <w:spacing w:line="500" w:lineRule="exact"/>
        <w:textAlignment w:val="auto"/>
        <w:rPr>
          <w:rFonts w:hAnsi="黑体"/>
          <w:bCs/>
          <w:color w:val="auto"/>
          <w:sz w:val="28"/>
          <w:szCs w:val="28"/>
        </w:rPr>
      </w:pPr>
      <w:r>
        <w:rPr>
          <w:rFonts w:hint="eastAsia" w:hAnsi="黑体"/>
          <w:bCs/>
          <w:color w:val="auto"/>
          <w:sz w:val="28"/>
          <w:szCs w:val="28"/>
        </w:rPr>
        <w:t>第四部分 名词解释</w:t>
      </w:r>
    </w:p>
    <w:p w14:paraId="3C385207">
      <w:pPr>
        <w:pStyle w:val="14"/>
        <w:keepNext w:val="0"/>
        <w:keepLines w:val="0"/>
        <w:pageBreakBefore w:val="0"/>
        <w:widowControl w:val="0"/>
        <w:kinsoku/>
        <w:wordWrap/>
        <w:overflowPunct/>
        <w:topLinePunct w:val="0"/>
        <w:bidi w:val="0"/>
        <w:snapToGrid/>
        <w:spacing w:line="500" w:lineRule="exact"/>
        <w:textAlignment w:val="auto"/>
        <w:rPr>
          <w:rFonts w:hAnsi="黑体"/>
          <w:bCs/>
          <w:color w:val="auto"/>
          <w:sz w:val="28"/>
          <w:szCs w:val="28"/>
        </w:rPr>
      </w:pPr>
      <w:r>
        <w:rPr>
          <w:rFonts w:hint="eastAsia" w:hAnsi="黑体"/>
          <w:bCs/>
          <w:color w:val="auto"/>
          <w:sz w:val="28"/>
          <w:szCs w:val="28"/>
        </w:rPr>
        <w:t>第五部分 附件</w:t>
      </w:r>
    </w:p>
    <w:p w14:paraId="3817F73F">
      <w:pPr>
        <w:pStyle w:val="14"/>
        <w:keepNext w:val="0"/>
        <w:keepLines w:val="0"/>
        <w:pageBreakBefore w:val="0"/>
        <w:widowControl w:val="0"/>
        <w:kinsoku/>
        <w:wordWrap/>
        <w:overflowPunct/>
        <w:topLinePunct w:val="0"/>
        <w:bidi w:val="0"/>
        <w:snapToGrid/>
        <w:spacing w:line="500" w:lineRule="exact"/>
        <w:textAlignment w:val="auto"/>
        <w:rPr>
          <w:rFonts w:hAnsi="黑体"/>
          <w:bCs/>
          <w:color w:val="auto"/>
          <w:sz w:val="28"/>
          <w:szCs w:val="28"/>
        </w:rPr>
      </w:pPr>
    </w:p>
    <w:p w14:paraId="42C74FA3">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rPr>
      </w:pPr>
    </w:p>
    <w:p w14:paraId="075D56B2">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rPr>
      </w:pPr>
    </w:p>
    <w:p w14:paraId="1CE2AD7A">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rPr>
      </w:pPr>
    </w:p>
    <w:p w14:paraId="2C94CF27">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rPr>
      </w:pPr>
    </w:p>
    <w:p w14:paraId="7717A22B">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rPr>
      </w:pPr>
    </w:p>
    <w:p w14:paraId="312403BF">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rPr>
      </w:pPr>
    </w:p>
    <w:p w14:paraId="51DDED05">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rPr>
      </w:pPr>
    </w:p>
    <w:p w14:paraId="7BA23AC2">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rPr>
      </w:pPr>
    </w:p>
    <w:p w14:paraId="607C32AB">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rPr>
      </w:pPr>
    </w:p>
    <w:p w14:paraId="4E3A2FDA">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rPr>
      </w:pPr>
    </w:p>
    <w:p w14:paraId="4830C786">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rPr>
      </w:pPr>
    </w:p>
    <w:p w14:paraId="74874903">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rPr>
      </w:pPr>
    </w:p>
    <w:p w14:paraId="3BBC4555">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 xml:space="preserve">第一部分 </w:t>
      </w:r>
    </w:p>
    <w:p w14:paraId="04A030DC">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48"/>
          <w:szCs w:val="48"/>
        </w:rPr>
        <w:t>华容县政务服务中心概况</w:t>
      </w:r>
    </w:p>
    <w:p w14:paraId="54A12B13">
      <w:pPr>
        <w:keepNext w:val="0"/>
        <w:keepLines w:val="0"/>
        <w:pageBreakBefore w:val="0"/>
        <w:widowControl w:val="0"/>
        <w:kinsoku/>
        <w:wordWrap/>
        <w:overflowPunct/>
        <w:topLinePunct w:val="0"/>
        <w:bidi w:val="0"/>
        <w:snapToGrid/>
        <w:spacing w:line="600" w:lineRule="exact"/>
        <w:textAlignment w:val="auto"/>
        <w:rPr>
          <w:rFonts w:ascii="黑体" w:hAnsi="黑体" w:eastAsia="黑体" w:cs="黑体"/>
          <w:bCs/>
          <w:kern w:val="0"/>
          <w:sz w:val="32"/>
          <w:szCs w:val="32"/>
        </w:rPr>
      </w:pPr>
      <w:r>
        <w:rPr>
          <w:rFonts w:hint="eastAsia" w:ascii="黑体" w:hAnsi="黑体" w:eastAsia="黑体" w:cs="黑体"/>
          <w:bCs/>
          <w:kern w:val="0"/>
          <w:sz w:val="32"/>
          <w:szCs w:val="32"/>
        </w:rPr>
        <w:t>一、部门职责</w:t>
      </w:r>
    </w:p>
    <w:p w14:paraId="6C8B7B1B">
      <w:pPr>
        <w:keepNext w:val="0"/>
        <w:keepLines w:val="0"/>
        <w:pageBreakBefore w:val="0"/>
        <w:widowControl w:val="0"/>
        <w:shd w:val="clear" w:color="auto" w:fill="FFFFFF"/>
        <w:kinsoku/>
        <w:wordWrap/>
        <w:overflowPunct/>
        <w:topLinePunct w:val="0"/>
        <w:autoSpaceDE w:val="0"/>
        <w:autoSpaceDN w:val="0"/>
        <w:bidi w:val="0"/>
        <w:adjustRightInd w:val="0"/>
        <w:snapToGrid/>
        <w:ind w:firstLine="640"/>
        <w:jc w:val="left"/>
        <w:textAlignment w:val="auto"/>
        <w:rPr>
          <w:rFonts w:ascii="宋体" w:hAnsi="Times New Roman" w:eastAsia="宋体" w:cs="宋体"/>
          <w:kern w:val="0"/>
          <w:sz w:val="32"/>
          <w:szCs w:val="32"/>
        </w:rPr>
      </w:pPr>
      <w:r>
        <w:rPr>
          <w:rFonts w:hint="eastAsia" w:ascii="宋体" w:hAnsi="Times New Roman" w:eastAsia="宋体" w:cs="宋体"/>
          <w:kern w:val="0"/>
          <w:sz w:val="32"/>
          <w:szCs w:val="32"/>
        </w:rPr>
        <w:t>（一）贯彻落实国家、省、市、县有关行政审批制度改革、优化政务服务等方面的方针政策、法律法规和决策部署。</w:t>
      </w:r>
    </w:p>
    <w:p w14:paraId="5527FE12">
      <w:pPr>
        <w:keepNext w:val="0"/>
        <w:keepLines w:val="0"/>
        <w:pageBreakBefore w:val="0"/>
        <w:widowControl w:val="0"/>
        <w:shd w:val="clear" w:color="auto" w:fill="FFFFFF"/>
        <w:kinsoku/>
        <w:wordWrap/>
        <w:overflowPunct/>
        <w:topLinePunct w:val="0"/>
        <w:autoSpaceDE w:val="0"/>
        <w:autoSpaceDN w:val="0"/>
        <w:bidi w:val="0"/>
        <w:adjustRightInd w:val="0"/>
        <w:snapToGrid/>
        <w:ind w:firstLine="640"/>
        <w:jc w:val="left"/>
        <w:textAlignment w:val="auto"/>
        <w:rPr>
          <w:rFonts w:ascii="宋体" w:hAnsi="Times New Roman" w:eastAsia="宋体" w:cs="宋体"/>
          <w:kern w:val="0"/>
          <w:sz w:val="32"/>
          <w:szCs w:val="32"/>
        </w:rPr>
      </w:pPr>
      <w:r>
        <w:rPr>
          <w:rFonts w:hint="eastAsia" w:ascii="宋体" w:hAnsi="Times New Roman" w:eastAsia="宋体" w:cs="宋体"/>
          <w:kern w:val="0"/>
          <w:sz w:val="32"/>
          <w:szCs w:val="32"/>
        </w:rPr>
        <w:t>（二）负责全县政务服务规范化、标准化、科学化建设，</w:t>
      </w:r>
      <w:r>
        <w:rPr>
          <w:rFonts w:ascii="宋体" w:hAnsi="Times New Roman" w:eastAsia="宋体" w:cs="宋体"/>
          <w:kern w:val="0"/>
          <w:sz w:val="32"/>
          <w:szCs w:val="32"/>
        </w:rPr>
        <w:t xml:space="preserve"> </w:t>
      </w:r>
      <w:r>
        <w:rPr>
          <w:rFonts w:hint="eastAsia" w:ascii="宋体" w:hAnsi="Times New Roman" w:eastAsia="宋体" w:cs="宋体"/>
          <w:kern w:val="0"/>
          <w:sz w:val="32"/>
          <w:szCs w:val="32"/>
        </w:rPr>
        <w:t>探索政务服务方式创新；负贵对政务服务事项进行流程再造、环节优化、压缩时限，并对办理情况进行跟踪督办、指导、协调；组织、协调、承办全县重点项目帮办代办服务工作，指导园区开展重点项目帮办代办服务工作；负责对政务服务事项相关的中介服务活动的监督管理工作。</w:t>
      </w:r>
    </w:p>
    <w:p w14:paraId="3604AA34">
      <w:pPr>
        <w:keepNext w:val="0"/>
        <w:keepLines w:val="0"/>
        <w:pageBreakBefore w:val="0"/>
        <w:widowControl w:val="0"/>
        <w:shd w:val="clear" w:color="auto" w:fill="FFFFFF"/>
        <w:kinsoku/>
        <w:wordWrap/>
        <w:overflowPunct/>
        <w:topLinePunct w:val="0"/>
        <w:autoSpaceDE w:val="0"/>
        <w:autoSpaceDN w:val="0"/>
        <w:bidi w:val="0"/>
        <w:adjustRightInd w:val="0"/>
        <w:snapToGrid/>
        <w:ind w:firstLine="640"/>
        <w:jc w:val="left"/>
        <w:textAlignment w:val="auto"/>
        <w:rPr>
          <w:rFonts w:ascii="宋体" w:hAnsi="Times New Roman" w:eastAsia="宋体" w:cs="宋体"/>
          <w:kern w:val="0"/>
          <w:sz w:val="32"/>
          <w:szCs w:val="32"/>
        </w:rPr>
      </w:pPr>
      <w:r>
        <w:rPr>
          <w:rFonts w:hint="eastAsia" w:ascii="宋体" w:hAnsi="Times New Roman" w:eastAsia="宋体" w:cs="宋体"/>
          <w:kern w:val="0"/>
          <w:sz w:val="32"/>
          <w:szCs w:val="32"/>
        </w:rPr>
        <w:t>（三）负责政务服务大厅的管理，制定科学的管理制度和</w:t>
      </w:r>
    </w:p>
    <w:p w14:paraId="5FA3D8C7">
      <w:pPr>
        <w:keepNext w:val="0"/>
        <w:keepLines w:val="0"/>
        <w:pageBreakBefore w:val="0"/>
        <w:widowControl w:val="0"/>
        <w:shd w:val="clear" w:color="auto" w:fill="FFFFFF"/>
        <w:kinsoku/>
        <w:wordWrap/>
        <w:overflowPunct/>
        <w:topLinePunct w:val="0"/>
        <w:autoSpaceDE w:val="0"/>
        <w:autoSpaceDN w:val="0"/>
        <w:bidi w:val="0"/>
        <w:adjustRightInd w:val="0"/>
        <w:snapToGrid/>
        <w:jc w:val="left"/>
        <w:textAlignment w:val="auto"/>
        <w:rPr>
          <w:rFonts w:ascii="宋体" w:hAnsi="Times New Roman" w:eastAsia="宋体" w:cs="宋体"/>
          <w:kern w:val="0"/>
          <w:sz w:val="32"/>
          <w:szCs w:val="32"/>
        </w:rPr>
      </w:pPr>
      <w:r>
        <w:rPr>
          <w:rFonts w:hint="eastAsia" w:ascii="宋体" w:hAnsi="Times New Roman" w:eastAsia="宋体" w:cs="宋体"/>
          <w:kern w:val="0"/>
          <w:sz w:val="32"/>
          <w:szCs w:val="32"/>
        </w:rPr>
        <w:t>办法并组织实施，对进入政务服务大厅各部门单位的行政审批、政务服务行为进行监督检查；负责政务服务大厅工作人员</w:t>
      </w:r>
      <w:r>
        <w:rPr>
          <w:rFonts w:ascii="宋体" w:hAnsi="Times New Roman" w:eastAsia="宋体" w:cs="宋体"/>
          <w:kern w:val="0"/>
          <w:sz w:val="32"/>
          <w:szCs w:val="32"/>
        </w:rPr>
        <w:t xml:space="preserve"> </w:t>
      </w:r>
      <w:r>
        <w:rPr>
          <w:rFonts w:hint="eastAsia" w:ascii="宋体" w:hAnsi="Times New Roman" w:eastAsia="宋体" w:cs="宋体"/>
          <w:kern w:val="0"/>
          <w:sz w:val="32"/>
          <w:szCs w:val="32"/>
        </w:rPr>
        <w:t>日常管理和检查考核；拓宽社会和群众监督渠道，接受社会监</w:t>
      </w:r>
      <w:r>
        <w:rPr>
          <w:rFonts w:ascii="宋体" w:hAnsi="Times New Roman" w:eastAsia="宋体" w:cs="宋体"/>
          <w:kern w:val="0"/>
          <w:sz w:val="32"/>
          <w:szCs w:val="32"/>
        </w:rPr>
        <w:t xml:space="preserve"> </w:t>
      </w:r>
      <w:r>
        <w:rPr>
          <w:rFonts w:hint="eastAsia" w:ascii="宋体" w:hAnsi="Times New Roman" w:eastAsia="宋体" w:cs="宋体"/>
          <w:kern w:val="0"/>
          <w:sz w:val="32"/>
          <w:szCs w:val="32"/>
        </w:rPr>
        <w:t>督和评议。</w:t>
      </w:r>
    </w:p>
    <w:p w14:paraId="591FBBC4">
      <w:pPr>
        <w:keepNext w:val="0"/>
        <w:keepLines w:val="0"/>
        <w:pageBreakBefore w:val="0"/>
        <w:widowControl w:val="0"/>
        <w:shd w:val="clear" w:color="auto" w:fill="FFFFFF"/>
        <w:kinsoku/>
        <w:wordWrap/>
        <w:overflowPunct/>
        <w:topLinePunct w:val="0"/>
        <w:autoSpaceDE w:val="0"/>
        <w:autoSpaceDN w:val="0"/>
        <w:bidi w:val="0"/>
        <w:adjustRightInd w:val="0"/>
        <w:snapToGrid/>
        <w:ind w:firstLine="640" w:firstLineChars="200"/>
        <w:jc w:val="left"/>
        <w:textAlignment w:val="auto"/>
        <w:rPr>
          <w:rFonts w:ascii="宋体" w:hAnsi="Times New Roman" w:eastAsia="宋体" w:cs="宋体"/>
          <w:kern w:val="0"/>
          <w:sz w:val="32"/>
          <w:szCs w:val="32"/>
        </w:rPr>
      </w:pPr>
      <w:r>
        <w:rPr>
          <w:rFonts w:hint="eastAsia" w:ascii="宋体" w:hAnsi="Times New Roman" w:eastAsia="宋体" w:cs="宋体"/>
          <w:kern w:val="0"/>
          <w:sz w:val="32"/>
          <w:szCs w:val="32"/>
        </w:rPr>
        <w:t>（四）负责制订全县基层政务服务标准，并组织指导基</w:t>
      </w:r>
      <w:r>
        <w:rPr>
          <w:rFonts w:ascii="宋体" w:hAnsi="Times New Roman" w:eastAsia="宋体" w:cs="宋体"/>
          <w:kern w:val="0"/>
          <w:sz w:val="32"/>
          <w:szCs w:val="32"/>
        </w:rPr>
        <w:t xml:space="preserve"> </w:t>
      </w:r>
      <w:r>
        <w:rPr>
          <w:rFonts w:hint="eastAsia" w:ascii="宋体" w:hAnsi="Times New Roman" w:eastAsia="宋体" w:cs="宋体"/>
          <w:kern w:val="0"/>
          <w:sz w:val="32"/>
          <w:szCs w:val="32"/>
        </w:rPr>
        <w:t>层综合便民服务机构开展政务服务工作，落实服务下沉＂村镇办“工作，实现“县、乡、村”一体化服务；负责对全县各级政务（便民）服务大厅的政务服务工作进行指导和监督。</w:t>
      </w:r>
    </w:p>
    <w:p w14:paraId="1193E969">
      <w:pPr>
        <w:keepNext w:val="0"/>
        <w:keepLines w:val="0"/>
        <w:pageBreakBefore w:val="0"/>
        <w:widowControl w:val="0"/>
        <w:shd w:val="clear" w:color="auto" w:fill="FFFFFF"/>
        <w:kinsoku/>
        <w:wordWrap/>
        <w:overflowPunct/>
        <w:topLinePunct w:val="0"/>
        <w:autoSpaceDE w:val="0"/>
        <w:autoSpaceDN w:val="0"/>
        <w:bidi w:val="0"/>
        <w:adjustRightInd w:val="0"/>
        <w:snapToGrid/>
        <w:ind w:firstLine="640" w:firstLineChars="200"/>
        <w:jc w:val="left"/>
        <w:textAlignment w:val="auto"/>
        <w:rPr>
          <w:rFonts w:ascii="宋体" w:hAnsi="Times New Roman" w:eastAsia="宋体" w:cs="宋体"/>
          <w:kern w:val="0"/>
          <w:sz w:val="32"/>
          <w:szCs w:val="32"/>
        </w:rPr>
      </w:pPr>
      <w:r>
        <w:rPr>
          <w:rFonts w:hint="eastAsia" w:ascii="宋体" w:hAnsi="Times New Roman" w:eastAsia="宋体" w:cs="宋体"/>
          <w:kern w:val="0"/>
          <w:sz w:val="32"/>
          <w:szCs w:val="32"/>
        </w:rPr>
        <w:t>（五）负责建立全县统一的政务服务事项投诉举报和咨询平台，承担对政务服务事项投诉举报的承办、转办、督办工作；组织开展政务服务满意度调查工作。</w:t>
      </w:r>
    </w:p>
    <w:p w14:paraId="0C16962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rPr>
        <w:t>（六）完成县行政审批服务局交办的其他任务</w:t>
      </w:r>
      <w:r>
        <w:rPr>
          <w:rFonts w:hint="eastAsia" w:ascii="宋体" w:hAnsi="Times New Roman" w:eastAsia="宋体" w:cs="宋体"/>
          <w:color w:val="auto"/>
          <w:sz w:val="32"/>
          <w:szCs w:val="32"/>
          <w:highlight w:val="white"/>
        </w:rPr>
        <w:t>。</w:t>
      </w:r>
    </w:p>
    <w:p w14:paraId="5B152E2B">
      <w:pPr>
        <w:keepNext w:val="0"/>
        <w:keepLines w:val="0"/>
        <w:pageBreakBefore w:val="0"/>
        <w:widowControl w:val="0"/>
        <w:kinsoku/>
        <w:wordWrap/>
        <w:overflowPunct/>
        <w:topLinePunct w:val="0"/>
        <w:bidi w:val="0"/>
        <w:snapToGrid/>
        <w:spacing w:line="600" w:lineRule="exact"/>
        <w:textAlignment w:val="auto"/>
        <w:rPr>
          <w:rFonts w:ascii="黑体" w:hAnsi="黑体" w:eastAsia="黑体" w:cs="黑体"/>
          <w:bCs/>
          <w:kern w:val="0"/>
          <w:sz w:val="32"/>
          <w:szCs w:val="32"/>
        </w:rPr>
      </w:pPr>
    </w:p>
    <w:p w14:paraId="3353009D">
      <w:pPr>
        <w:keepNext w:val="0"/>
        <w:keepLines w:val="0"/>
        <w:pageBreakBefore w:val="0"/>
        <w:widowControl w:val="0"/>
        <w:kinsoku/>
        <w:wordWrap/>
        <w:overflowPunct/>
        <w:topLinePunct w:val="0"/>
        <w:bidi w:val="0"/>
        <w:snapToGrid/>
        <w:spacing w:line="600" w:lineRule="exact"/>
        <w:textAlignment w:val="auto"/>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4BFB8A24">
      <w:pPr>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p>
    <w:p w14:paraId="03E9494A">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sz w:val="32"/>
          <w:szCs w:val="32"/>
          <w:highlight w:val="white"/>
        </w:rPr>
      </w:pPr>
      <w:r>
        <w:rPr>
          <w:rFonts w:hint="eastAsia" w:ascii="宋体" w:hAnsi="Times New Roman" w:eastAsia="宋体" w:cs="宋体"/>
          <w:sz w:val="32"/>
          <w:szCs w:val="32"/>
          <w:highlight w:val="white"/>
        </w:rPr>
        <w:t>华容县政务服务中心单位内设机构包括：</w:t>
      </w:r>
      <w:r>
        <w:rPr>
          <w:rFonts w:hint="eastAsia" w:ascii="宋体" w:hAnsi="Times New Roman" w:eastAsia="宋体" w:cs="宋体"/>
          <w:sz w:val="32"/>
          <w:szCs w:val="32"/>
          <w:lang w:val="zh-CN"/>
        </w:rPr>
        <w:t>办公室、业务管理股、帮办代办服务股、监督管理股</w:t>
      </w:r>
      <w:r>
        <w:rPr>
          <w:rFonts w:hint="eastAsia" w:ascii="宋体" w:hAnsi="Times New Roman" w:eastAsia="宋体" w:cs="宋体"/>
          <w:sz w:val="32"/>
          <w:szCs w:val="32"/>
          <w:highlight w:val="white"/>
        </w:rPr>
        <w:t>。</w:t>
      </w:r>
    </w:p>
    <w:p w14:paraId="79F56E48">
      <w:pPr>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p>
    <w:p w14:paraId="711A6481">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sz w:val="32"/>
          <w:szCs w:val="32"/>
          <w:highlight w:val="white"/>
        </w:rPr>
      </w:pPr>
      <w:r>
        <w:rPr>
          <w:rFonts w:hint="eastAsia" w:ascii="宋体" w:hAnsi="Times New Roman" w:eastAsia="宋体" w:cs="宋体"/>
          <w:sz w:val="32"/>
          <w:szCs w:val="32"/>
          <w:highlight w:val="white"/>
        </w:rPr>
        <w:t>华容县政务服务中心单位2023年部门决算汇总公开单位构成包括：局机关本级决算（根据财政预算管理制度，所属二级机构为一级预算单位，部门决算报表分别单独公开）,不包含下属单位。</w:t>
      </w:r>
    </w:p>
    <w:p w14:paraId="73620000">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第二部分</w:t>
      </w:r>
    </w:p>
    <w:p w14:paraId="40FE7D43">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部门决算表</w:t>
      </w:r>
    </w:p>
    <w:p w14:paraId="44FFE950">
      <w:pPr>
        <w:pStyle w:val="14"/>
        <w:keepNext w:val="0"/>
        <w:keepLines w:val="0"/>
        <w:pageBreakBefore w:val="0"/>
        <w:widowControl w:val="0"/>
        <w:kinsoku/>
        <w:wordWrap/>
        <w:overflowPunct/>
        <w:topLinePunct w:val="0"/>
        <w:bidi w:val="0"/>
        <w:snapToGrid/>
        <w:jc w:val="center"/>
        <w:textAlignment w:val="auto"/>
        <w:rPr>
          <w:rFonts w:hAnsi="黑体"/>
          <w:bCs/>
          <w:color w:val="auto"/>
          <w:kern w:val="2"/>
          <w:sz w:val="32"/>
          <w:szCs w:val="32"/>
        </w:rPr>
      </w:pPr>
      <w:r>
        <w:rPr>
          <w:rFonts w:hint="eastAsia" w:hAnsi="黑体"/>
          <w:bCs/>
          <w:color w:val="auto"/>
          <w:kern w:val="2"/>
          <w:sz w:val="32"/>
          <w:szCs w:val="32"/>
        </w:rPr>
        <w:t>详见附件表格</w:t>
      </w:r>
    </w:p>
    <w:p w14:paraId="73E8CE4D">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rPr>
      </w:pPr>
    </w:p>
    <w:p w14:paraId="159001AB">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第三部分</w:t>
      </w:r>
    </w:p>
    <w:p w14:paraId="46763C1C">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2023年度部门决算情况说明</w:t>
      </w:r>
    </w:p>
    <w:p w14:paraId="3A315D4C">
      <w:pPr>
        <w:keepNext w:val="0"/>
        <w:keepLines w:val="0"/>
        <w:pageBreakBefore w:val="0"/>
        <w:widowControl w:val="0"/>
        <w:kinsoku/>
        <w:wordWrap/>
        <w:overflowPunct/>
        <w:topLinePunct w:val="0"/>
        <w:bidi w:val="0"/>
        <w:snapToGrid/>
        <w:ind w:firstLine="640" w:firstLineChars="200"/>
        <w:jc w:val="left"/>
        <w:textAlignment w:val="auto"/>
        <w:rPr>
          <w:rFonts w:ascii="黑体" w:hAnsi="黑体" w:eastAsia="黑体" w:cs="黑体"/>
          <w:bCs/>
          <w:sz w:val="32"/>
          <w:szCs w:val="32"/>
        </w:rPr>
      </w:pPr>
      <w:r>
        <w:rPr>
          <w:rFonts w:hint="eastAsia" w:ascii="黑体" w:hAnsi="黑体" w:eastAsia="黑体" w:cs="黑体"/>
          <w:bCs/>
          <w:sz w:val="32"/>
          <w:szCs w:val="32"/>
        </w:rPr>
        <w:t>一、收入支出决算总体情况说明</w:t>
      </w:r>
    </w:p>
    <w:p w14:paraId="536405BB">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sz w:val="32"/>
          <w:szCs w:val="32"/>
          <w:highlight w:val="white"/>
        </w:rPr>
      </w:pPr>
      <w:r>
        <w:rPr>
          <w:rFonts w:ascii="宋体" w:hAnsi="Times New Roman" w:eastAsia="宋体" w:cs="宋体"/>
          <w:sz w:val="32"/>
          <w:szCs w:val="32"/>
          <w:highlight w:val="white"/>
          <w:lang w:val="zh-CN"/>
        </w:rPr>
        <w:t>2023</w:t>
      </w:r>
      <w:r>
        <w:rPr>
          <w:rFonts w:hint="eastAsia" w:ascii="宋体" w:hAnsi="Times New Roman" w:eastAsia="宋体" w:cs="宋体"/>
          <w:sz w:val="32"/>
          <w:szCs w:val="32"/>
          <w:highlight w:val="white"/>
          <w:lang w:val="zh-CN"/>
        </w:rPr>
        <w:t>年度收、支总计均为</w:t>
      </w:r>
      <w:r>
        <w:rPr>
          <w:rFonts w:ascii="宋体" w:hAnsi="Times New Roman" w:eastAsia="宋体" w:cs="宋体"/>
          <w:sz w:val="32"/>
          <w:szCs w:val="32"/>
          <w:highlight w:val="white"/>
          <w:lang w:val="zh-CN"/>
        </w:rPr>
        <w:t>598.77</w:t>
      </w:r>
      <w:r>
        <w:rPr>
          <w:rFonts w:hint="eastAsia" w:ascii="宋体" w:hAnsi="Times New Roman" w:eastAsia="宋体" w:cs="宋体"/>
          <w:sz w:val="32"/>
          <w:szCs w:val="32"/>
          <w:highlight w:val="white"/>
          <w:lang w:val="zh-CN"/>
        </w:rPr>
        <w:t>万元，与</w:t>
      </w:r>
      <w:r>
        <w:rPr>
          <w:rFonts w:ascii="宋体" w:hAnsi="Times New Roman" w:eastAsia="宋体" w:cs="宋体"/>
          <w:sz w:val="32"/>
          <w:szCs w:val="32"/>
          <w:highlight w:val="white"/>
          <w:lang w:val="zh-CN"/>
        </w:rPr>
        <w:t>2022</w:t>
      </w:r>
      <w:r>
        <w:rPr>
          <w:rFonts w:hint="eastAsia" w:ascii="宋体" w:hAnsi="Times New Roman" w:eastAsia="宋体" w:cs="宋体"/>
          <w:sz w:val="32"/>
          <w:szCs w:val="32"/>
          <w:highlight w:val="white"/>
          <w:lang w:val="zh-CN"/>
        </w:rPr>
        <w:t>年相比，收、支总计各减少</w:t>
      </w:r>
      <w:r>
        <w:rPr>
          <w:rFonts w:ascii="宋体" w:hAnsi="Times New Roman" w:eastAsia="宋体" w:cs="宋体"/>
          <w:sz w:val="32"/>
          <w:szCs w:val="32"/>
          <w:highlight w:val="white"/>
          <w:lang w:val="zh-CN"/>
        </w:rPr>
        <w:t>392.44</w:t>
      </w:r>
      <w:r>
        <w:rPr>
          <w:rFonts w:hint="eastAsia" w:ascii="宋体" w:hAnsi="Times New Roman" w:eastAsia="宋体" w:cs="宋体"/>
          <w:sz w:val="32"/>
          <w:szCs w:val="32"/>
          <w:highlight w:val="white"/>
          <w:lang w:val="zh-CN"/>
        </w:rPr>
        <w:t>万元，下降</w:t>
      </w:r>
      <w:r>
        <w:rPr>
          <w:rFonts w:ascii="宋体" w:hAnsi="Times New Roman" w:eastAsia="宋体" w:cs="宋体"/>
          <w:sz w:val="32"/>
          <w:szCs w:val="32"/>
          <w:highlight w:val="white"/>
          <w:lang w:val="zh-CN"/>
        </w:rPr>
        <w:t>39.59%</w:t>
      </w:r>
      <w:r>
        <w:rPr>
          <w:rFonts w:hint="eastAsia" w:ascii="宋体" w:hAnsi="Times New Roman" w:eastAsia="宋体" w:cs="宋体"/>
          <w:sz w:val="32"/>
          <w:szCs w:val="32"/>
          <w:highlight w:val="white"/>
          <w:lang w:val="zh-CN"/>
        </w:rPr>
        <w:t>。主要原因是机构改革，业务工作任务调整，项目支出减少，财政拨款收入减少</w:t>
      </w:r>
      <w:r>
        <w:rPr>
          <w:rFonts w:hint="eastAsia" w:ascii="宋体" w:hAnsi="Times New Roman" w:eastAsia="宋体" w:cs="宋体"/>
          <w:sz w:val="32"/>
          <w:szCs w:val="32"/>
          <w:highlight w:val="white"/>
        </w:rPr>
        <w:t>。</w:t>
      </w:r>
    </w:p>
    <w:p w14:paraId="3189636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Ansi="黑体"/>
          <w:bCs/>
          <w:color w:val="auto"/>
          <w:sz w:val="32"/>
          <w:szCs w:val="32"/>
        </w:rPr>
      </w:pPr>
      <w:r>
        <w:rPr>
          <w:rFonts w:hint="eastAsia" w:hAnsi="黑体"/>
          <w:bCs/>
          <w:color w:val="auto"/>
          <w:sz w:val="32"/>
          <w:szCs w:val="32"/>
        </w:rPr>
        <w:t>二、收入决算情况说明</w:t>
      </w:r>
    </w:p>
    <w:p w14:paraId="19F6C93C">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年度收入合计</w:t>
      </w:r>
      <w:r>
        <w:rPr>
          <w:rFonts w:ascii="宋体" w:hAnsi="Times New Roman" w:eastAsia="宋体" w:cs="宋体"/>
          <w:sz w:val="32"/>
          <w:szCs w:val="32"/>
          <w:highlight w:val="white"/>
        </w:rPr>
        <w:t>598.77</w:t>
      </w:r>
      <w:r>
        <w:rPr>
          <w:rFonts w:hint="eastAsia" w:ascii="宋体" w:hAnsi="Times New Roman" w:eastAsia="宋体" w:cs="宋体"/>
          <w:sz w:val="32"/>
          <w:szCs w:val="32"/>
          <w:highlight w:val="white"/>
        </w:rPr>
        <w:t>万元，其中：财政拨款收入</w:t>
      </w:r>
      <w:r>
        <w:rPr>
          <w:rFonts w:ascii="宋体" w:hAnsi="Times New Roman" w:eastAsia="宋体" w:cs="宋体"/>
          <w:sz w:val="32"/>
          <w:szCs w:val="32"/>
          <w:highlight w:val="white"/>
        </w:rPr>
        <w:t>598.77</w:t>
      </w:r>
      <w:r>
        <w:rPr>
          <w:rFonts w:hint="eastAsia" w:ascii="宋体" w:hAnsi="Times New Roman" w:eastAsia="宋体" w:cs="宋体"/>
          <w:sz w:val="32"/>
          <w:szCs w:val="32"/>
          <w:highlight w:val="white"/>
        </w:rPr>
        <w:t>万元，占</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w:t>
      </w:r>
    </w:p>
    <w:p w14:paraId="0F049301">
      <w:pPr>
        <w:pStyle w:val="14"/>
        <w:keepNext w:val="0"/>
        <w:keepLines w:val="0"/>
        <w:pageBreakBefore w:val="0"/>
        <w:widowControl w:val="0"/>
        <w:kinsoku/>
        <w:wordWrap/>
        <w:overflowPunct/>
        <w:topLinePunct w:val="0"/>
        <w:bidi w:val="0"/>
        <w:snapToGrid/>
        <w:spacing w:line="600" w:lineRule="exact"/>
        <w:ind w:left="420" w:leftChars="200" w:firstLine="160" w:firstLineChars="50"/>
        <w:textAlignment w:val="auto"/>
        <w:rPr>
          <w:rFonts w:hAnsi="黑体"/>
          <w:bCs/>
          <w:color w:val="auto"/>
          <w:sz w:val="32"/>
          <w:szCs w:val="32"/>
        </w:rPr>
      </w:pPr>
      <w:r>
        <w:rPr>
          <w:rFonts w:hint="eastAsia" w:hAnsi="黑体"/>
          <w:bCs/>
          <w:color w:val="auto"/>
          <w:sz w:val="32"/>
          <w:szCs w:val="32"/>
        </w:rPr>
        <w:t>三、支出决算情况说明</w:t>
      </w:r>
    </w:p>
    <w:p w14:paraId="3522A4A0">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年度支出合计</w:t>
      </w:r>
      <w:r>
        <w:rPr>
          <w:rFonts w:ascii="宋体" w:hAnsi="Times New Roman" w:eastAsia="宋体" w:cs="宋体"/>
          <w:sz w:val="32"/>
          <w:szCs w:val="32"/>
          <w:highlight w:val="white"/>
        </w:rPr>
        <w:t>598.77</w:t>
      </w:r>
      <w:r>
        <w:rPr>
          <w:rFonts w:hint="eastAsia" w:ascii="宋体" w:hAnsi="Times New Roman" w:eastAsia="宋体" w:cs="宋体"/>
          <w:sz w:val="32"/>
          <w:szCs w:val="32"/>
          <w:highlight w:val="white"/>
        </w:rPr>
        <w:t>万元，其中：基本支出</w:t>
      </w:r>
      <w:r>
        <w:rPr>
          <w:rFonts w:ascii="宋体" w:hAnsi="Times New Roman" w:eastAsia="宋体" w:cs="宋体"/>
          <w:sz w:val="32"/>
          <w:szCs w:val="32"/>
          <w:highlight w:val="white"/>
          <w:lang w:val="zh-CN"/>
        </w:rPr>
        <w:t>515.67</w:t>
      </w:r>
      <w:r>
        <w:rPr>
          <w:rFonts w:hint="eastAsia" w:ascii="宋体" w:hAnsi="Times New Roman" w:eastAsia="宋体" w:cs="宋体"/>
          <w:sz w:val="32"/>
          <w:szCs w:val="32"/>
          <w:highlight w:val="white"/>
          <w:lang w:val="zh-CN"/>
        </w:rPr>
        <w:t>万元，</w:t>
      </w:r>
      <w:r>
        <w:rPr>
          <w:rFonts w:hint="eastAsia" w:ascii="宋体" w:hAnsi="Times New Roman" w:eastAsia="宋体" w:cs="宋体"/>
          <w:sz w:val="32"/>
          <w:szCs w:val="32"/>
          <w:highlight w:val="white"/>
        </w:rPr>
        <w:t>占</w:t>
      </w:r>
      <w:r>
        <w:rPr>
          <w:rFonts w:ascii="宋体" w:hAnsi="Times New Roman" w:eastAsia="宋体" w:cs="宋体"/>
          <w:sz w:val="32"/>
          <w:szCs w:val="32"/>
          <w:highlight w:val="white"/>
        </w:rPr>
        <w:t>86.12%</w:t>
      </w:r>
      <w:r>
        <w:rPr>
          <w:rFonts w:hint="eastAsia" w:ascii="宋体" w:hAnsi="Times New Roman" w:eastAsia="宋体" w:cs="宋体"/>
          <w:sz w:val="32"/>
          <w:szCs w:val="32"/>
          <w:highlight w:val="white"/>
        </w:rPr>
        <w:t>；项目支出</w:t>
      </w:r>
      <w:r>
        <w:rPr>
          <w:rFonts w:ascii="宋体" w:hAnsi="Times New Roman" w:eastAsia="宋体" w:cs="宋体"/>
          <w:sz w:val="32"/>
          <w:szCs w:val="32"/>
          <w:highlight w:val="white"/>
        </w:rPr>
        <w:t>83.1</w:t>
      </w:r>
      <w:r>
        <w:rPr>
          <w:rFonts w:hint="eastAsia" w:ascii="宋体" w:hAnsi="Times New Roman" w:eastAsia="宋体" w:cs="宋体"/>
          <w:sz w:val="32"/>
          <w:szCs w:val="32"/>
          <w:highlight w:val="white"/>
        </w:rPr>
        <w:t>万元，占</w:t>
      </w:r>
      <w:r>
        <w:rPr>
          <w:rFonts w:ascii="宋体" w:hAnsi="Times New Roman" w:eastAsia="宋体" w:cs="宋体"/>
          <w:sz w:val="32"/>
          <w:szCs w:val="32"/>
          <w:highlight w:val="white"/>
        </w:rPr>
        <w:t>13.88%</w:t>
      </w:r>
      <w:r>
        <w:rPr>
          <w:rFonts w:hint="eastAsia" w:ascii="宋体" w:hAnsi="Times New Roman" w:eastAsia="宋体" w:cs="宋体"/>
          <w:sz w:val="32"/>
          <w:szCs w:val="32"/>
          <w:highlight w:val="white"/>
        </w:rPr>
        <w:t>。</w:t>
      </w:r>
    </w:p>
    <w:p w14:paraId="7880632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Ansi="黑体"/>
          <w:bCs/>
          <w:color w:val="auto"/>
          <w:sz w:val="32"/>
          <w:szCs w:val="32"/>
        </w:rPr>
      </w:pPr>
      <w:r>
        <w:rPr>
          <w:rFonts w:hint="eastAsia" w:hAnsi="黑体"/>
          <w:bCs/>
          <w:color w:val="auto"/>
          <w:sz w:val="32"/>
          <w:szCs w:val="32"/>
        </w:rPr>
        <w:t>四、财政拨款收入支出决算总体情况说明</w:t>
      </w:r>
    </w:p>
    <w:p w14:paraId="10533EF6">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年度财政拨款收、支总计均为</w:t>
      </w:r>
      <w:r>
        <w:rPr>
          <w:rFonts w:ascii="宋体" w:hAnsi="Times New Roman" w:eastAsia="宋体" w:cs="宋体"/>
          <w:sz w:val="32"/>
          <w:szCs w:val="32"/>
          <w:highlight w:val="white"/>
        </w:rPr>
        <w:t>598.77</w:t>
      </w:r>
      <w:r>
        <w:rPr>
          <w:rFonts w:hint="eastAsia" w:ascii="宋体" w:hAnsi="Times New Roman" w:eastAsia="宋体" w:cs="宋体"/>
          <w:sz w:val="32"/>
          <w:szCs w:val="32"/>
          <w:highlight w:val="white"/>
        </w:rPr>
        <w:t>万元，</w:t>
      </w:r>
      <w:r>
        <w:rPr>
          <w:rFonts w:hint="eastAsia" w:ascii="宋体" w:hAnsi="Times New Roman" w:eastAsia="宋体" w:cs="宋体"/>
          <w:sz w:val="32"/>
          <w:szCs w:val="32"/>
          <w:highlight w:val="white"/>
          <w:lang w:val="zh-CN"/>
        </w:rPr>
        <w:t>与</w:t>
      </w:r>
      <w:r>
        <w:rPr>
          <w:rFonts w:ascii="宋体" w:hAnsi="Times New Roman" w:eastAsia="宋体" w:cs="宋体"/>
          <w:sz w:val="32"/>
          <w:szCs w:val="32"/>
          <w:highlight w:val="white"/>
          <w:lang w:val="zh-CN"/>
        </w:rPr>
        <w:t>2022</w:t>
      </w:r>
      <w:r>
        <w:rPr>
          <w:rFonts w:hint="eastAsia" w:ascii="宋体" w:hAnsi="Times New Roman" w:eastAsia="宋体" w:cs="宋体"/>
          <w:sz w:val="32"/>
          <w:szCs w:val="32"/>
          <w:highlight w:val="white"/>
          <w:lang w:val="zh-CN"/>
        </w:rPr>
        <w:t>年相比，</w:t>
      </w:r>
      <w:r>
        <w:rPr>
          <w:rFonts w:hint="eastAsia" w:ascii="宋体" w:hAnsi="Times New Roman" w:eastAsia="宋体" w:cs="宋体"/>
          <w:sz w:val="32"/>
          <w:szCs w:val="32"/>
          <w:highlight w:val="white"/>
        </w:rPr>
        <w:t>财政拨款收、支总计各减少</w:t>
      </w:r>
      <w:r>
        <w:rPr>
          <w:rFonts w:ascii="宋体" w:hAnsi="Times New Roman" w:eastAsia="宋体" w:cs="宋体"/>
          <w:sz w:val="32"/>
          <w:szCs w:val="32"/>
          <w:highlight w:val="white"/>
        </w:rPr>
        <w:t>392.44</w:t>
      </w:r>
      <w:r>
        <w:rPr>
          <w:rFonts w:hint="eastAsia" w:ascii="宋体" w:hAnsi="Times New Roman" w:eastAsia="宋体" w:cs="宋体"/>
          <w:sz w:val="32"/>
          <w:szCs w:val="32"/>
          <w:highlight w:val="white"/>
        </w:rPr>
        <w:t>万元，下降</w:t>
      </w:r>
      <w:r>
        <w:rPr>
          <w:rFonts w:ascii="宋体" w:hAnsi="Times New Roman" w:eastAsia="宋体" w:cs="宋体"/>
          <w:sz w:val="32"/>
          <w:szCs w:val="32"/>
          <w:highlight w:val="white"/>
        </w:rPr>
        <w:t>39.59%</w:t>
      </w:r>
      <w:r>
        <w:rPr>
          <w:rFonts w:hint="eastAsia" w:ascii="宋体" w:hAnsi="Times New Roman" w:eastAsia="宋体" w:cs="宋体"/>
          <w:sz w:val="32"/>
          <w:szCs w:val="32"/>
          <w:highlight w:val="white"/>
        </w:rPr>
        <w:t>。</w:t>
      </w:r>
      <w:r>
        <w:rPr>
          <w:rFonts w:hint="eastAsia" w:ascii="宋体" w:hAnsi="Times New Roman" w:eastAsia="宋体" w:cs="宋体"/>
          <w:sz w:val="32"/>
          <w:szCs w:val="32"/>
          <w:highlight w:val="white"/>
          <w:lang w:val="zh-CN"/>
        </w:rPr>
        <w:t>主要原因是机构改革，业务工作任务调整，项目支出减少，财政拨款收入减少</w:t>
      </w:r>
      <w:r>
        <w:rPr>
          <w:rFonts w:hint="eastAsia" w:ascii="宋体" w:hAnsi="Times New Roman" w:eastAsia="宋体" w:cs="宋体"/>
          <w:sz w:val="32"/>
          <w:szCs w:val="32"/>
          <w:highlight w:val="white"/>
        </w:rPr>
        <w:t>。</w:t>
      </w:r>
    </w:p>
    <w:p w14:paraId="100CE38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Ansi="黑体"/>
          <w:bCs/>
          <w:color w:val="auto"/>
          <w:sz w:val="32"/>
          <w:szCs w:val="32"/>
        </w:rPr>
      </w:pPr>
      <w:r>
        <w:rPr>
          <w:rFonts w:hint="eastAsia" w:hAnsi="黑体"/>
          <w:bCs/>
          <w:color w:val="auto"/>
          <w:sz w:val="32"/>
          <w:szCs w:val="32"/>
        </w:rPr>
        <w:t>五、一般公共预算财政拨款支出决算情况说明</w:t>
      </w:r>
    </w:p>
    <w:p w14:paraId="478D25E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楷体" w:hAnsi="楷体" w:eastAsia="楷体" w:cs="楷体"/>
          <w:bCs/>
          <w:color w:val="auto"/>
          <w:sz w:val="32"/>
          <w:szCs w:val="32"/>
        </w:rPr>
      </w:pPr>
      <w:r>
        <w:rPr>
          <w:rFonts w:hint="eastAsia" w:ascii="楷体" w:hAnsi="楷体" w:eastAsia="楷体" w:cs="楷体"/>
          <w:bCs/>
          <w:color w:val="auto"/>
          <w:sz w:val="32"/>
          <w:szCs w:val="32"/>
        </w:rPr>
        <w:t>（一）一般公共预算财政拨款支出决算总体情况</w:t>
      </w:r>
    </w:p>
    <w:p w14:paraId="7DB9FEF0">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年度财政拨款支出</w:t>
      </w:r>
      <w:r>
        <w:rPr>
          <w:rFonts w:ascii="宋体" w:hAnsi="Times New Roman" w:eastAsia="宋体" w:cs="宋体"/>
          <w:sz w:val="32"/>
          <w:szCs w:val="32"/>
          <w:highlight w:val="white"/>
        </w:rPr>
        <w:t>598.77</w:t>
      </w:r>
      <w:r>
        <w:rPr>
          <w:rFonts w:hint="eastAsia" w:ascii="宋体" w:hAnsi="Times New Roman" w:eastAsia="宋体" w:cs="宋体"/>
          <w:sz w:val="32"/>
          <w:szCs w:val="32"/>
          <w:highlight w:val="white"/>
        </w:rPr>
        <w:t>万元，占本年支出合计的</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。与</w:t>
      </w:r>
      <w:r>
        <w:rPr>
          <w:rFonts w:ascii="宋体" w:hAnsi="Times New Roman" w:eastAsia="宋体" w:cs="宋体"/>
          <w:sz w:val="32"/>
          <w:szCs w:val="32"/>
          <w:highlight w:val="white"/>
        </w:rPr>
        <w:t>2022</w:t>
      </w:r>
      <w:r>
        <w:rPr>
          <w:rFonts w:hint="eastAsia" w:ascii="宋体" w:hAnsi="Times New Roman" w:eastAsia="宋体" w:cs="宋体"/>
          <w:sz w:val="32"/>
          <w:szCs w:val="32"/>
          <w:highlight w:val="white"/>
        </w:rPr>
        <w:t>年度相比，财政拨款支出减少</w:t>
      </w:r>
      <w:r>
        <w:rPr>
          <w:rFonts w:ascii="宋体" w:hAnsi="Times New Roman" w:eastAsia="宋体" w:cs="宋体"/>
          <w:sz w:val="32"/>
          <w:szCs w:val="32"/>
          <w:highlight w:val="white"/>
        </w:rPr>
        <w:t>392.44</w:t>
      </w:r>
      <w:r>
        <w:rPr>
          <w:rFonts w:hint="eastAsia" w:ascii="宋体" w:hAnsi="Times New Roman" w:eastAsia="宋体" w:cs="宋体"/>
          <w:sz w:val="32"/>
          <w:szCs w:val="32"/>
          <w:highlight w:val="white"/>
        </w:rPr>
        <w:t>万元，下降</w:t>
      </w:r>
      <w:r>
        <w:rPr>
          <w:rFonts w:ascii="宋体" w:hAnsi="Times New Roman" w:eastAsia="宋体" w:cs="宋体"/>
          <w:sz w:val="32"/>
          <w:szCs w:val="32"/>
          <w:highlight w:val="white"/>
        </w:rPr>
        <w:t>39.59%,</w:t>
      </w:r>
      <w:r>
        <w:rPr>
          <w:rFonts w:hint="eastAsia" w:ascii="宋体" w:hAnsi="Times New Roman" w:eastAsia="宋体" w:cs="宋体"/>
          <w:sz w:val="32"/>
          <w:szCs w:val="32"/>
          <w:highlight w:val="white"/>
        </w:rPr>
        <w:t>主要原因是</w:t>
      </w:r>
      <w:r>
        <w:rPr>
          <w:rFonts w:hint="eastAsia" w:ascii="宋体" w:hAnsi="Times New Roman" w:eastAsia="宋体" w:cs="宋体"/>
          <w:sz w:val="32"/>
          <w:szCs w:val="32"/>
          <w:highlight w:val="white"/>
          <w:lang w:val="zh-CN"/>
        </w:rPr>
        <w:t>机构改革，业务工作任务调整，项目支出减少，财政拨款收入减少。</w:t>
      </w:r>
    </w:p>
    <w:p w14:paraId="4052F4F5">
      <w:pPr>
        <w:pStyle w:val="14"/>
        <w:keepNext w:val="0"/>
        <w:keepLines w:val="0"/>
        <w:pageBreakBefore w:val="0"/>
        <w:widowControl w:val="0"/>
        <w:kinsoku/>
        <w:wordWrap/>
        <w:overflowPunct/>
        <w:topLinePunct w:val="0"/>
        <w:bidi w:val="0"/>
        <w:snapToGrid/>
        <w:spacing w:line="600" w:lineRule="exact"/>
        <w:ind w:firstLine="480" w:firstLineChars="150"/>
        <w:textAlignment w:val="auto"/>
        <w:rPr>
          <w:rFonts w:ascii="楷体" w:hAnsi="楷体" w:eastAsia="楷体" w:cs="楷体"/>
          <w:bCs/>
          <w:color w:val="auto"/>
          <w:sz w:val="32"/>
          <w:szCs w:val="32"/>
        </w:rPr>
      </w:pPr>
      <w:r>
        <w:rPr>
          <w:rFonts w:hint="eastAsia" w:ascii="楷体" w:hAnsi="楷体" w:eastAsia="楷体" w:cs="楷体"/>
          <w:bCs/>
          <w:color w:val="auto"/>
          <w:sz w:val="32"/>
          <w:szCs w:val="32"/>
        </w:rPr>
        <w:t>（二）一般公共预算财政拨款支出决算结构情况</w:t>
      </w:r>
    </w:p>
    <w:p w14:paraId="7B6B81B8">
      <w:pPr>
        <w:keepNext w:val="0"/>
        <w:keepLines w:val="0"/>
        <w:pageBreakBefore w:val="0"/>
        <w:widowControl w:val="0"/>
        <w:kinsoku/>
        <w:wordWrap/>
        <w:overflowPunct/>
        <w:topLinePunct w:val="0"/>
        <w:autoSpaceDE w:val="0"/>
        <w:autoSpaceDN w:val="0"/>
        <w:bidi w:val="0"/>
        <w:adjustRightInd w:val="0"/>
        <w:snapToGrid/>
        <w:ind w:firstLine="641"/>
        <w:textAlignment w:val="auto"/>
        <w:rPr>
          <w:rFonts w:ascii="Calibri" w:hAnsi="Calibri" w:eastAsia="宋体" w:cs="Calibri"/>
          <w:szCs w:val="21"/>
          <w:highlight w:val="white"/>
          <w:lang w:val="zh-CN"/>
        </w:rPr>
      </w:pPr>
      <w:r>
        <w:rPr>
          <w:rFonts w:ascii="宋体" w:hAnsi="Times New Roman" w:eastAsia="宋体" w:cs="宋体"/>
          <w:kern w:val="0"/>
          <w:sz w:val="32"/>
          <w:szCs w:val="32"/>
          <w:highlight w:val="white"/>
        </w:rPr>
        <w:t>2023</w:t>
      </w:r>
      <w:r>
        <w:rPr>
          <w:rFonts w:hint="eastAsia" w:ascii="宋体" w:hAnsi="Times New Roman" w:eastAsia="宋体" w:cs="宋体"/>
          <w:kern w:val="0"/>
          <w:sz w:val="32"/>
          <w:szCs w:val="32"/>
          <w:highlight w:val="white"/>
        </w:rPr>
        <w:t>年度财政拨款支出</w:t>
      </w:r>
      <w:r>
        <w:rPr>
          <w:rFonts w:ascii="宋体" w:hAnsi="Times New Roman" w:eastAsia="宋体" w:cs="宋体"/>
          <w:kern w:val="0"/>
          <w:sz w:val="32"/>
          <w:szCs w:val="32"/>
          <w:highlight w:val="white"/>
        </w:rPr>
        <w:t>598.77</w:t>
      </w:r>
      <w:r>
        <w:rPr>
          <w:rFonts w:hint="eastAsia" w:ascii="宋体" w:hAnsi="Times New Roman" w:eastAsia="宋体" w:cs="宋体"/>
          <w:kern w:val="0"/>
          <w:sz w:val="32"/>
          <w:szCs w:val="32"/>
          <w:highlight w:val="white"/>
        </w:rPr>
        <w:t>万元，主要用于以下方面：一般公共服务（类）支出</w:t>
      </w:r>
      <w:r>
        <w:rPr>
          <w:rFonts w:ascii="宋体" w:hAnsi="Times New Roman" w:eastAsia="宋体" w:cs="宋体"/>
          <w:kern w:val="0"/>
          <w:sz w:val="32"/>
          <w:szCs w:val="32"/>
          <w:highlight w:val="white"/>
        </w:rPr>
        <w:t>596.39</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99.6%</w:t>
      </w:r>
      <w:r>
        <w:rPr>
          <w:rFonts w:hint="eastAsia" w:ascii="宋体" w:hAnsi="Times New Roman" w:eastAsia="宋体" w:cs="宋体"/>
          <w:kern w:val="0"/>
          <w:sz w:val="32"/>
          <w:szCs w:val="32"/>
          <w:highlight w:val="white"/>
        </w:rPr>
        <w:t>；社会保障和就业（类）支出</w:t>
      </w:r>
      <w:r>
        <w:rPr>
          <w:rFonts w:ascii="宋体" w:hAnsi="Times New Roman" w:eastAsia="宋体" w:cs="宋体"/>
          <w:kern w:val="0"/>
          <w:sz w:val="32"/>
          <w:szCs w:val="32"/>
          <w:highlight w:val="white"/>
        </w:rPr>
        <w:t>2.38</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0.4%</w:t>
      </w:r>
      <w:r>
        <w:rPr>
          <w:rFonts w:hint="eastAsia" w:ascii="宋体" w:hAnsi="Times New Roman" w:eastAsia="宋体" w:cs="宋体"/>
          <w:kern w:val="0"/>
          <w:sz w:val="32"/>
          <w:szCs w:val="32"/>
          <w:highlight w:val="white"/>
        </w:rPr>
        <w:t>。</w:t>
      </w:r>
    </w:p>
    <w:p w14:paraId="57DAE7A2">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楷体" w:hAnsi="楷体" w:eastAsia="楷体" w:cs="楷体"/>
          <w:bCs/>
          <w:color w:val="auto"/>
          <w:sz w:val="32"/>
          <w:szCs w:val="32"/>
        </w:rPr>
      </w:pPr>
      <w:r>
        <w:rPr>
          <w:rFonts w:hint="eastAsia" w:ascii="楷体" w:hAnsi="楷体" w:eastAsia="楷体" w:cs="楷体"/>
          <w:bCs/>
          <w:color w:val="auto"/>
          <w:sz w:val="32"/>
          <w:szCs w:val="32"/>
        </w:rPr>
        <w:t>（三）一般公共预算财政拨款支出决算具体情况</w:t>
      </w:r>
    </w:p>
    <w:p w14:paraId="649206D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年度财政拨款支出年初预算为</w:t>
      </w:r>
      <w:r>
        <w:rPr>
          <w:rFonts w:ascii="宋体" w:hAnsi="Times New Roman" w:eastAsia="宋体" w:cs="宋体"/>
          <w:color w:val="auto"/>
          <w:sz w:val="32"/>
          <w:szCs w:val="32"/>
          <w:highlight w:val="white"/>
        </w:rPr>
        <w:t>136.12</w:t>
      </w:r>
      <w:r>
        <w:rPr>
          <w:rFonts w:hint="eastAsia" w:ascii="宋体" w:hAnsi="Times New Roman" w:eastAsia="宋体" w:cs="宋体"/>
          <w:color w:val="auto"/>
          <w:sz w:val="32"/>
          <w:szCs w:val="32"/>
          <w:highlight w:val="white"/>
        </w:rPr>
        <w:t>万元，支出决算为</w:t>
      </w:r>
      <w:r>
        <w:rPr>
          <w:rFonts w:ascii="宋体" w:hAnsi="Times New Roman" w:eastAsia="宋体" w:cs="宋体"/>
          <w:color w:val="auto"/>
          <w:sz w:val="32"/>
          <w:szCs w:val="32"/>
          <w:highlight w:val="white"/>
        </w:rPr>
        <w:t>598.77</w:t>
      </w:r>
      <w:r>
        <w:rPr>
          <w:rFonts w:hint="eastAsia" w:ascii="宋体" w:hAnsi="Times New Roman" w:eastAsia="宋体" w:cs="宋体"/>
          <w:color w:val="auto"/>
          <w:sz w:val="32"/>
          <w:szCs w:val="32"/>
          <w:highlight w:val="white"/>
        </w:rPr>
        <w:t>万元，完成年初预算的</w:t>
      </w:r>
      <w:r>
        <w:rPr>
          <w:rFonts w:ascii="宋体" w:hAnsi="Times New Roman" w:eastAsia="宋体" w:cs="宋体"/>
          <w:color w:val="auto"/>
          <w:sz w:val="32"/>
          <w:szCs w:val="32"/>
          <w:highlight w:val="white"/>
        </w:rPr>
        <w:t>439.88%</w:t>
      </w:r>
      <w:r>
        <w:rPr>
          <w:rFonts w:hint="eastAsia" w:ascii="宋体" w:hAnsi="Times New Roman" w:eastAsia="宋体" w:cs="宋体"/>
          <w:color w:val="auto"/>
          <w:sz w:val="32"/>
          <w:szCs w:val="32"/>
          <w:highlight w:val="white"/>
        </w:rPr>
        <w:t>。其中：</w:t>
      </w:r>
    </w:p>
    <w:p w14:paraId="0E51106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一般公共服务支出（类）政府办公厅（室）及相关机构事务（款）政务公开审批（项）。年初预算为</w:t>
      </w:r>
      <w:r>
        <w:rPr>
          <w:rFonts w:ascii="宋体" w:hAnsi="Times New Roman" w:eastAsia="宋体" w:cs="宋体"/>
          <w:color w:val="auto"/>
          <w:sz w:val="32"/>
          <w:szCs w:val="32"/>
          <w:highlight w:val="white"/>
        </w:rPr>
        <w:t>136.12</w:t>
      </w:r>
      <w:r>
        <w:rPr>
          <w:rFonts w:hint="eastAsia" w:ascii="宋体" w:hAnsi="Times New Roman" w:eastAsia="宋体" w:cs="宋体"/>
          <w:color w:val="auto"/>
          <w:sz w:val="32"/>
          <w:szCs w:val="32"/>
          <w:highlight w:val="white"/>
        </w:rPr>
        <w:t>万元，支出决算为</w:t>
      </w:r>
      <w:r>
        <w:rPr>
          <w:rFonts w:ascii="宋体" w:hAnsi="Times New Roman" w:eastAsia="宋体" w:cs="宋体"/>
          <w:color w:val="auto"/>
          <w:sz w:val="32"/>
          <w:szCs w:val="32"/>
          <w:highlight w:val="white"/>
        </w:rPr>
        <w:t>513.29</w:t>
      </w:r>
      <w:r>
        <w:rPr>
          <w:rFonts w:hint="eastAsia" w:ascii="宋体" w:hAnsi="Times New Roman" w:eastAsia="宋体" w:cs="宋体"/>
          <w:color w:val="auto"/>
          <w:sz w:val="32"/>
          <w:szCs w:val="32"/>
          <w:highlight w:val="white"/>
        </w:rPr>
        <w:t>万元，完成年初预算的</w:t>
      </w:r>
      <w:r>
        <w:rPr>
          <w:rFonts w:ascii="宋体" w:hAnsi="Times New Roman" w:eastAsia="宋体" w:cs="宋体"/>
          <w:color w:val="auto"/>
          <w:sz w:val="32"/>
          <w:szCs w:val="32"/>
          <w:highlight w:val="white"/>
        </w:rPr>
        <w:t>377.09%</w:t>
      </w:r>
      <w:r>
        <w:rPr>
          <w:rFonts w:hint="eastAsia" w:ascii="宋体" w:hAnsi="Times New Roman" w:eastAsia="宋体" w:cs="宋体"/>
          <w:color w:val="auto"/>
          <w:sz w:val="32"/>
          <w:szCs w:val="32"/>
          <w:highlight w:val="white"/>
        </w:rPr>
        <w:t>。决算数大于预算数的主要原因是业务工作任务增加，财政追拨政务公开审批经费。</w:t>
      </w:r>
      <w:r>
        <w:rPr>
          <w:rFonts w:ascii="宋体" w:hAnsi="Times New Roman" w:eastAsia="宋体" w:cs="宋体"/>
          <w:color w:val="auto"/>
          <w:sz w:val="32"/>
          <w:szCs w:val="32"/>
          <w:highlight w:val="white"/>
        </w:rPr>
        <w:t xml:space="preserve">  </w:t>
      </w:r>
    </w:p>
    <w:p w14:paraId="7932D79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一般公共服务支出（类）其他一般公共服务支出（款）其他一般公共服务支出（项）。年初预算为</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万元，支出决算为</w:t>
      </w:r>
      <w:r>
        <w:rPr>
          <w:rFonts w:ascii="宋体" w:hAnsi="Times New Roman" w:eastAsia="宋体" w:cs="宋体"/>
          <w:color w:val="auto"/>
          <w:sz w:val="32"/>
          <w:szCs w:val="32"/>
          <w:highlight w:val="white"/>
        </w:rPr>
        <w:t>83.1</w:t>
      </w:r>
      <w:r>
        <w:rPr>
          <w:rFonts w:hint="eastAsia" w:ascii="宋体" w:hAnsi="Times New Roman" w:eastAsia="宋体" w:cs="宋体"/>
          <w:color w:val="auto"/>
          <w:sz w:val="32"/>
          <w:szCs w:val="32"/>
          <w:highlight w:val="white"/>
        </w:rPr>
        <w:t>万元，由于年初预算为</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，无法计算百分比。决算数大于预算数的主要原因是业务工作任务增加，财政追拨其他一般公共服务支出经费。</w:t>
      </w:r>
      <w:r>
        <w:rPr>
          <w:rFonts w:ascii="宋体" w:hAnsi="Times New Roman" w:eastAsia="宋体" w:cs="宋体"/>
          <w:color w:val="auto"/>
          <w:sz w:val="32"/>
          <w:szCs w:val="32"/>
          <w:highlight w:val="white"/>
        </w:rPr>
        <w:t xml:space="preserve">  </w:t>
      </w:r>
    </w:p>
    <w:p w14:paraId="520A171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Calibri" w:eastAsia="宋体" w:cs="宋体"/>
          <w:color w:val="auto"/>
          <w:sz w:val="32"/>
          <w:szCs w:val="32"/>
        </w:rPr>
      </w:pPr>
      <w:r>
        <w:rPr>
          <w:rFonts w:hint="eastAsia" w:ascii="宋体" w:hAnsi="Times New Roman" w:eastAsia="宋体" w:cs="宋体"/>
          <w:color w:val="auto"/>
          <w:sz w:val="32"/>
          <w:szCs w:val="32"/>
          <w:highlight w:val="white"/>
        </w:rPr>
        <w:t>社会保障和就业支出（类）就业补助（款）公益性岗位补贴（项）。年初预算为</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万元，支出决算为</w:t>
      </w:r>
      <w:r>
        <w:rPr>
          <w:rFonts w:ascii="宋体" w:hAnsi="Times New Roman" w:eastAsia="宋体" w:cs="宋体"/>
          <w:color w:val="auto"/>
          <w:sz w:val="32"/>
          <w:szCs w:val="32"/>
          <w:highlight w:val="white"/>
        </w:rPr>
        <w:t>2.38</w:t>
      </w:r>
      <w:r>
        <w:rPr>
          <w:rFonts w:hint="eastAsia" w:ascii="宋体" w:hAnsi="Times New Roman" w:eastAsia="宋体" w:cs="宋体"/>
          <w:color w:val="auto"/>
          <w:sz w:val="32"/>
          <w:szCs w:val="32"/>
          <w:highlight w:val="white"/>
        </w:rPr>
        <w:t>万元，由于年初预算为</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，无法计算百分比。决算数大于预算数的主要原因是业务工作任务增加，财政追拨公益性岗位补贴经费。</w:t>
      </w:r>
      <w:r>
        <w:rPr>
          <w:rFonts w:ascii="宋体" w:hAnsi="Calibri" w:eastAsia="宋体" w:cs="宋体"/>
          <w:color w:val="auto"/>
          <w:sz w:val="32"/>
          <w:szCs w:val="32"/>
        </w:rPr>
        <w:t xml:space="preserve">  </w:t>
      </w:r>
    </w:p>
    <w:p w14:paraId="091DAD5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Ansi="黑体"/>
          <w:bCs/>
          <w:color w:val="auto"/>
          <w:sz w:val="32"/>
          <w:szCs w:val="32"/>
        </w:rPr>
      </w:pPr>
      <w:r>
        <w:rPr>
          <w:rFonts w:hint="eastAsia" w:hAnsi="黑体"/>
          <w:bCs/>
          <w:color w:val="auto"/>
          <w:sz w:val="32"/>
          <w:szCs w:val="32"/>
        </w:rPr>
        <w:t>六、一般公共预算财政拨款基本支出决算情况说明</w:t>
      </w:r>
    </w:p>
    <w:p w14:paraId="182853C9">
      <w:pPr>
        <w:keepNext w:val="0"/>
        <w:keepLines w:val="0"/>
        <w:pageBreakBefore w:val="0"/>
        <w:widowControl w:val="0"/>
        <w:kinsoku/>
        <w:wordWrap/>
        <w:overflowPunct/>
        <w:topLinePunct w:val="0"/>
        <w:autoSpaceDE w:val="0"/>
        <w:autoSpaceDN w:val="0"/>
        <w:bidi w:val="0"/>
        <w:adjustRightInd w:val="0"/>
        <w:snapToGrid/>
        <w:ind w:firstLine="640"/>
        <w:jc w:val="left"/>
        <w:textAlignment w:val="auto"/>
        <w:rPr>
          <w:rFonts w:ascii="宋体" w:hAnsi="Times New Roman" w:eastAsia="宋体" w:cs="宋体"/>
          <w:kern w:val="0"/>
          <w:sz w:val="32"/>
          <w:szCs w:val="32"/>
          <w:highlight w:val="white"/>
        </w:rPr>
      </w:pPr>
      <w:r>
        <w:rPr>
          <w:rFonts w:ascii="宋体" w:hAnsi="Times New Roman" w:eastAsia="宋体" w:cs="宋体"/>
          <w:sz w:val="32"/>
          <w:szCs w:val="32"/>
          <w:highlight w:val="white"/>
          <w:lang w:val="zh-CN"/>
        </w:rPr>
        <w:t>2023</w:t>
      </w:r>
      <w:r>
        <w:rPr>
          <w:rFonts w:hint="eastAsia" w:ascii="宋体" w:hAnsi="Times New Roman" w:eastAsia="宋体" w:cs="宋体"/>
          <w:sz w:val="32"/>
          <w:szCs w:val="32"/>
          <w:highlight w:val="white"/>
          <w:lang w:val="zh-CN"/>
        </w:rPr>
        <w:t>年度</w:t>
      </w:r>
      <w:r>
        <w:rPr>
          <w:rFonts w:hint="eastAsia" w:ascii="宋体" w:hAnsi="Times New Roman" w:eastAsia="宋体" w:cs="宋体"/>
          <w:kern w:val="0"/>
          <w:sz w:val="32"/>
          <w:szCs w:val="32"/>
          <w:highlight w:val="white"/>
        </w:rPr>
        <w:t>财政拨款基本支出</w:t>
      </w:r>
      <w:r>
        <w:rPr>
          <w:rFonts w:ascii="宋体" w:hAnsi="Times New Roman" w:eastAsia="宋体" w:cs="宋体"/>
          <w:kern w:val="0"/>
          <w:sz w:val="32"/>
          <w:szCs w:val="32"/>
          <w:highlight w:val="white"/>
        </w:rPr>
        <w:t>515.67</w:t>
      </w:r>
      <w:r>
        <w:rPr>
          <w:rFonts w:hint="eastAsia" w:ascii="宋体" w:hAnsi="Times New Roman" w:eastAsia="宋体" w:cs="宋体"/>
          <w:kern w:val="0"/>
          <w:sz w:val="32"/>
          <w:szCs w:val="32"/>
          <w:highlight w:val="white"/>
        </w:rPr>
        <w:t>万元，其中</w:t>
      </w:r>
      <w:r>
        <w:rPr>
          <w:rFonts w:ascii="宋体" w:hAnsi="Times New Roman" w:eastAsia="宋体" w:cs="宋体"/>
          <w:kern w:val="0"/>
          <w:sz w:val="32"/>
          <w:szCs w:val="32"/>
          <w:highlight w:val="white"/>
        </w:rPr>
        <w:t>:</w:t>
      </w:r>
    </w:p>
    <w:p w14:paraId="5CCD5408">
      <w:pPr>
        <w:keepNext w:val="0"/>
        <w:keepLines w:val="0"/>
        <w:pageBreakBefore w:val="0"/>
        <w:widowControl w:val="0"/>
        <w:kinsoku/>
        <w:wordWrap/>
        <w:overflowPunct/>
        <w:topLinePunct w:val="0"/>
        <w:autoSpaceDE w:val="0"/>
        <w:autoSpaceDN w:val="0"/>
        <w:bidi w:val="0"/>
        <w:adjustRightInd w:val="0"/>
        <w:snapToGrid/>
        <w:ind w:firstLine="643"/>
        <w:jc w:val="left"/>
        <w:textAlignment w:val="auto"/>
        <w:rPr>
          <w:rFonts w:ascii="宋体" w:hAnsi="Times New Roman" w:eastAsia="宋体" w:cs="宋体"/>
          <w:kern w:val="0"/>
          <w:sz w:val="32"/>
          <w:szCs w:val="32"/>
          <w:highlight w:val="white"/>
          <w:lang w:val="zh-CN"/>
        </w:rPr>
      </w:pPr>
      <w:r>
        <w:rPr>
          <w:rFonts w:hint="eastAsia" w:ascii="宋体" w:hAnsi="Times New Roman" w:eastAsia="宋体" w:cs="宋体"/>
          <w:b/>
          <w:bCs/>
          <w:kern w:val="0"/>
          <w:sz w:val="32"/>
          <w:szCs w:val="32"/>
          <w:highlight w:val="white"/>
        </w:rPr>
        <w:t>人员经费</w:t>
      </w:r>
      <w:r>
        <w:rPr>
          <w:rFonts w:ascii="宋体" w:hAnsi="Times New Roman" w:eastAsia="宋体" w:cs="宋体"/>
          <w:kern w:val="0"/>
          <w:sz w:val="32"/>
          <w:szCs w:val="32"/>
          <w:highlight w:val="white"/>
        </w:rPr>
        <w:t>121</w:t>
      </w:r>
      <w:r>
        <w:rPr>
          <w:rFonts w:hint="eastAsia" w:ascii="宋体" w:hAnsi="Times New Roman" w:eastAsia="宋体" w:cs="宋体"/>
          <w:kern w:val="0"/>
          <w:sz w:val="32"/>
          <w:szCs w:val="32"/>
          <w:highlight w:val="white"/>
        </w:rPr>
        <w:t>万元，</w:t>
      </w:r>
      <w:r>
        <w:rPr>
          <w:rFonts w:hint="eastAsia" w:ascii="宋体" w:hAnsi="Times New Roman" w:eastAsia="宋体" w:cs="宋体"/>
          <w:sz w:val="32"/>
          <w:szCs w:val="32"/>
          <w:highlight w:val="white"/>
          <w:lang w:val="zh-CN"/>
        </w:rPr>
        <w:t>占基本支出的</w:t>
      </w:r>
      <w:r>
        <w:rPr>
          <w:rFonts w:ascii="宋体" w:hAnsi="Times New Roman" w:eastAsia="宋体" w:cs="宋体"/>
          <w:kern w:val="0"/>
          <w:sz w:val="32"/>
          <w:szCs w:val="32"/>
          <w:highlight w:val="white"/>
        </w:rPr>
        <w:t>23.46%</w:t>
      </w:r>
      <w:r>
        <w:rPr>
          <w:rFonts w:hint="eastAsia" w:ascii="宋体" w:hAnsi="Times New Roman" w:eastAsia="宋体" w:cs="宋体"/>
          <w:kern w:val="0"/>
          <w:sz w:val="32"/>
          <w:szCs w:val="32"/>
          <w:highlight w:val="white"/>
        </w:rPr>
        <w:t>，主要包括基本工资、津贴补贴、</w:t>
      </w:r>
      <w:r>
        <w:rPr>
          <w:rFonts w:hint="eastAsia" w:ascii="宋体" w:hAnsi="Times New Roman" w:eastAsia="宋体" w:cs="宋体"/>
          <w:kern w:val="0"/>
          <w:sz w:val="32"/>
          <w:szCs w:val="32"/>
          <w:highlight w:val="white"/>
          <w:lang w:val="zh-CN"/>
        </w:rPr>
        <w:t>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14:paraId="722A7C7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宋体" w:hAnsi="Times New Roman" w:eastAsia="宋体" w:cs="宋体"/>
          <w:b/>
          <w:bCs/>
          <w:color w:val="auto"/>
          <w:sz w:val="32"/>
          <w:szCs w:val="32"/>
          <w:highlight w:val="white"/>
        </w:rPr>
        <w:t>公用经费</w:t>
      </w:r>
      <w:r>
        <w:rPr>
          <w:rFonts w:ascii="宋体" w:hAnsi="Times New Roman" w:eastAsia="宋体" w:cs="宋体"/>
          <w:color w:val="auto"/>
          <w:sz w:val="32"/>
          <w:szCs w:val="32"/>
          <w:highlight w:val="white"/>
        </w:rPr>
        <w:t>394.67</w:t>
      </w:r>
      <w:r>
        <w:rPr>
          <w:rFonts w:hint="eastAsia" w:ascii="宋体" w:hAnsi="Times New Roman" w:eastAsia="宋体" w:cs="宋体"/>
          <w:color w:val="auto"/>
          <w:sz w:val="32"/>
          <w:szCs w:val="32"/>
          <w:highlight w:val="white"/>
        </w:rPr>
        <w:t>万元，</w:t>
      </w:r>
      <w:r>
        <w:rPr>
          <w:rFonts w:hint="eastAsia" w:ascii="宋体" w:hAnsi="Times New Roman" w:eastAsia="宋体" w:cs="宋体"/>
          <w:color w:val="auto"/>
          <w:sz w:val="32"/>
          <w:szCs w:val="32"/>
          <w:highlight w:val="white"/>
          <w:lang w:val="zh-CN"/>
        </w:rPr>
        <w:t>占基本支出的</w:t>
      </w:r>
      <w:r>
        <w:rPr>
          <w:rFonts w:ascii="宋体" w:hAnsi="Times New Roman" w:eastAsia="宋体" w:cs="宋体"/>
          <w:color w:val="auto"/>
          <w:sz w:val="32"/>
          <w:szCs w:val="32"/>
          <w:highlight w:val="white"/>
        </w:rPr>
        <w:t>76.54%</w:t>
      </w:r>
      <w:r>
        <w:rPr>
          <w:rFonts w:hint="eastAsia" w:ascii="宋体" w:hAnsi="Times New Roman" w:eastAsia="宋体" w:cs="宋体"/>
          <w:color w:val="auto"/>
          <w:sz w:val="32"/>
          <w:szCs w:val="32"/>
          <w:highlight w:val="white"/>
        </w:rPr>
        <w:t>，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2810D2A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hAnsi="黑体"/>
          <w:bCs/>
          <w:color w:val="auto"/>
          <w:sz w:val="32"/>
          <w:szCs w:val="32"/>
        </w:rPr>
        <w:t>七、财政拨款三公经费支出决算情况说明</w:t>
      </w:r>
    </w:p>
    <w:p w14:paraId="213CE8A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楷体" w:hAnsi="楷体" w:eastAsia="楷体" w:cs="楷体"/>
          <w:b/>
          <w:color w:val="auto"/>
          <w:sz w:val="32"/>
          <w:szCs w:val="32"/>
        </w:rPr>
      </w:pPr>
      <w:r>
        <w:rPr>
          <w:rFonts w:hint="eastAsia" w:ascii="楷体" w:hAnsi="楷体" w:eastAsia="楷体" w:cs="楷体"/>
          <w:b/>
          <w:color w:val="auto"/>
          <w:sz w:val="32"/>
          <w:szCs w:val="32"/>
        </w:rPr>
        <w:t>（一）“三公”经费财政拨款支出决算总体情况说明</w:t>
      </w:r>
    </w:p>
    <w:p w14:paraId="27FD8F0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宋体" w:hAnsi="Times New Roman" w:eastAsia="宋体" w:cs="宋体"/>
          <w:color w:val="auto"/>
          <w:sz w:val="32"/>
          <w:szCs w:val="32"/>
        </w:rPr>
      </w:pPr>
      <w:r>
        <w:rPr>
          <w:rFonts w:hint="eastAsia" w:ascii="宋体" w:hAnsi="Times New Roman" w:eastAsia="宋体" w:cs="宋体"/>
          <w:color w:val="auto"/>
          <w:sz w:val="32"/>
          <w:szCs w:val="32"/>
        </w:rPr>
        <w:t>2023年度“三公”经费财政拨款支出预算为0.6万元，支出决算为0.57万元,完成预算的95%，决算数小于预算数的主要原因是认真贯彻落实</w:t>
      </w:r>
      <w:r>
        <w:rPr>
          <w:rFonts w:hint="eastAsia" w:ascii="宋体" w:hAnsi="Times New Roman" w:eastAsia="宋体" w:cs="宋体"/>
          <w:color w:val="auto"/>
          <w:sz w:val="32"/>
          <w:szCs w:val="32"/>
          <w:lang w:eastAsia="zh-CN"/>
        </w:rPr>
        <w:t>中央八项规定</w:t>
      </w:r>
      <w:r>
        <w:rPr>
          <w:rFonts w:hint="eastAsia" w:ascii="宋体" w:hAnsi="Times New Roman" w:eastAsia="宋体" w:cs="宋体"/>
          <w:color w:val="auto"/>
          <w:sz w:val="32"/>
          <w:szCs w:val="32"/>
        </w:rPr>
        <w:t>精神和厉行节约要求，从严控制“三公”经费开支，全年实际支出比预算有所节约。与上年相比减少0.13万元，下降18.91%,减少主要原因是认真贯彻落实</w:t>
      </w:r>
      <w:r>
        <w:rPr>
          <w:rFonts w:hint="eastAsia" w:ascii="宋体" w:hAnsi="Times New Roman" w:eastAsia="宋体" w:cs="宋体"/>
          <w:color w:val="auto"/>
          <w:sz w:val="32"/>
          <w:szCs w:val="32"/>
          <w:lang w:eastAsia="zh-CN"/>
        </w:rPr>
        <w:t>中央八项规定</w:t>
      </w:r>
      <w:r>
        <w:rPr>
          <w:rFonts w:hint="eastAsia" w:ascii="宋体" w:hAnsi="Times New Roman" w:eastAsia="宋体" w:cs="宋体"/>
          <w:color w:val="auto"/>
          <w:sz w:val="32"/>
          <w:szCs w:val="32"/>
        </w:rPr>
        <w:t>精神和厉行节约要求，从严控制“三公”经费开支，全年实际支出比预算有所节约。其中：</w:t>
      </w:r>
    </w:p>
    <w:p w14:paraId="7920E76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因公出国（境）费支出预算为0万元，支出决算为0万元，由于预算为0，无法计算百分比，与上年相比减少0万元，减少0%。   </w:t>
      </w:r>
    </w:p>
    <w:p w14:paraId="44F4B63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宋体" w:hAnsi="Times New Roman" w:eastAsia="宋体" w:cs="宋体"/>
          <w:color w:val="auto"/>
          <w:sz w:val="32"/>
          <w:szCs w:val="32"/>
        </w:rPr>
      </w:pPr>
      <w:r>
        <w:rPr>
          <w:rFonts w:hint="eastAsia" w:ascii="宋体" w:hAnsi="Times New Roman" w:eastAsia="宋体" w:cs="宋体"/>
          <w:color w:val="auto"/>
          <w:sz w:val="32"/>
          <w:szCs w:val="32"/>
        </w:rPr>
        <w:t>公务接待费支出预算为0.6万元，支出决算为0.57万元,完成预算的95%,决算数小于预算数的主要原因是认真贯彻落实</w:t>
      </w:r>
      <w:r>
        <w:rPr>
          <w:rFonts w:hint="eastAsia" w:ascii="宋体" w:hAnsi="Times New Roman" w:eastAsia="宋体" w:cs="宋体"/>
          <w:color w:val="auto"/>
          <w:sz w:val="32"/>
          <w:szCs w:val="32"/>
          <w:lang w:eastAsia="zh-CN"/>
        </w:rPr>
        <w:t>中央八项规定</w:t>
      </w:r>
      <w:r>
        <w:rPr>
          <w:rFonts w:hint="eastAsia" w:ascii="宋体" w:hAnsi="Times New Roman" w:eastAsia="宋体" w:cs="宋体"/>
          <w:color w:val="auto"/>
          <w:sz w:val="32"/>
          <w:szCs w:val="32"/>
        </w:rPr>
        <w:t>精神和厉行节约要求，从严控制“三公”经费开支，全年实际支出比预算有所节约。与上年相比减少0.13万元，下降18.91%,减少主要原因是认真贯彻落实</w:t>
      </w:r>
      <w:r>
        <w:rPr>
          <w:rFonts w:hint="eastAsia" w:ascii="宋体" w:hAnsi="Times New Roman" w:eastAsia="宋体" w:cs="宋体"/>
          <w:color w:val="auto"/>
          <w:sz w:val="32"/>
          <w:szCs w:val="32"/>
          <w:lang w:eastAsia="zh-CN"/>
        </w:rPr>
        <w:t>中央八项规定</w:t>
      </w:r>
      <w:r>
        <w:rPr>
          <w:rFonts w:hint="eastAsia" w:ascii="宋体" w:hAnsi="Times New Roman" w:eastAsia="宋体" w:cs="宋体"/>
          <w:color w:val="auto"/>
          <w:sz w:val="32"/>
          <w:szCs w:val="32"/>
        </w:rPr>
        <w:t>精神和厉行节约要求，从严控制“三公”经费开支，全年实际支出比预算有所节约。</w:t>
      </w:r>
    </w:p>
    <w:p w14:paraId="6C9E8D5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公务用车购置费支出预算为0万元，支出决算为0万元，由于预算为0，无法计算百分比，与上年相比减少0万元，减少0%。   </w:t>
      </w:r>
    </w:p>
    <w:p w14:paraId="2C2DD97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rPr>
        <w:t>公务用车购置费及运行维护费支出预算为0万元，支出决算为0万元，由于预算为0，无法计算百分比，与上年相比减少0万元，减少0%</w:t>
      </w:r>
      <w:r>
        <w:rPr>
          <w:rFonts w:hint="eastAsia" w:ascii="宋体" w:hAnsi="Times New Roman" w:eastAsia="宋体" w:cs="宋体"/>
          <w:color w:val="auto"/>
          <w:sz w:val="32"/>
          <w:szCs w:val="32"/>
          <w:highlight w:val="white"/>
        </w:rPr>
        <w:t>。</w:t>
      </w:r>
    </w:p>
    <w:p w14:paraId="6D7AA44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楷体" w:hAnsi="楷体" w:eastAsia="楷体" w:cs="楷体"/>
          <w:b/>
          <w:color w:val="auto"/>
          <w:sz w:val="32"/>
          <w:szCs w:val="32"/>
        </w:rPr>
      </w:pPr>
      <w:r>
        <w:rPr>
          <w:rFonts w:hint="eastAsia" w:ascii="楷体" w:hAnsi="楷体" w:eastAsia="楷体" w:cs="楷体"/>
          <w:b/>
          <w:color w:val="auto"/>
          <w:sz w:val="32"/>
          <w:szCs w:val="32"/>
        </w:rPr>
        <w:t>（二）“三公”经费财政拨款支出决算具体情况说明</w:t>
      </w:r>
    </w:p>
    <w:p w14:paraId="14BE4755">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lang w:val="zh-CN"/>
        </w:rPr>
      </w:pPr>
      <w:r>
        <w:rPr>
          <w:rFonts w:ascii="宋体" w:hAnsi="Times New Roman" w:eastAsia="宋体" w:cs="宋体"/>
          <w:kern w:val="0"/>
          <w:sz w:val="32"/>
          <w:szCs w:val="32"/>
          <w:lang w:val="zh-CN"/>
        </w:rPr>
        <w:t>2023</w:t>
      </w:r>
      <w:r>
        <w:rPr>
          <w:rFonts w:hint="eastAsia" w:ascii="宋体" w:hAnsi="Times New Roman" w:eastAsia="宋体" w:cs="宋体"/>
          <w:kern w:val="0"/>
          <w:sz w:val="32"/>
          <w:szCs w:val="32"/>
          <w:lang w:val="zh-CN"/>
        </w:rPr>
        <w:t>年度</w:t>
      </w:r>
      <w:r>
        <w:rPr>
          <w:rFonts w:ascii="宋体" w:hAnsi="Times New Roman" w:eastAsia="宋体" w:cs="宋体"/>
          <w:kern w:val="0"/>
          <w:sz w:val="32"/>
          <w:szCs w:val="32"/>
          <w:lang w:val="zh-CN"/>
        </w:rPr>
        <w:t>“</w:t>
      </w:r>
      <w:r>
        <w:rPr>
          <w:rFonts w:hint="eastAsia" w:ascii="宋体" w:hAnsi="Times New Roman" w:eastAsia="宋体" w:cs="宋体"/>
          <w:kern w:val="0"/>
          <w:sz w:val="32"/>
          <w:szCs w:val="32"/>
          <w:lang w:val="zh-CN"/>
        </w:rPr>
        <w:t>三公</w:t>
      </w:r>
      <w:r>
        <w:rPr>
          <w:rFonts w:ascii="宋体" w:hAnsi="Times New Roman" w:eastAsia="宋体" w:cs="宋体"/>
          <w:kern w:val="0"/>
          <w:sz w:val="32"/>
          <w:szCs w:val="32"/>
          <w:lang w:val="zh-CN"/>
        </w:rPr>
        <w:t>”</w:t>
      </w:r>
      <w:r>
        <w:rPr>
          <w:rFonts w:hint="eastAsia" w:ascii="宋体" w:hAnsi="Times New Roman" w:eastAsia="宋体" w:cs="宋体"/>
          <w:kern w:val="0"/>
          <w:sz w:val="32"/>
          <w:szCs w:val="32"/>
          <w:lang w:val="zh-CN"/>
        </w:rPr>
        <w:t>经费财政拨款支出决算中，因公出国（境）费支出决算</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万元，占</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；公务接待费支出决算</w:t>
      </w:r>
      <w:r>
        <w:rPr>
          <w:rFonts w:ascii="宋体" w:hAnsi="Times New Roman" w:eastAsia="宋体" w:cs="宋体"/>
          <w:kern w:val="0"/>
          <w:sz w:val="32"/>
          <w:szCs w:val="32"/>
          <w:lang w:val="zh-CN"/>
        </w:rPr>
        <w:t>0.57</w:t>
      </w:r>
      <w:r>
        <w:rPr>
          <w:rFonts w:hint="eastAsia" w:ascii="宋体" w:hAnsi="Times New Roman" w:eastAsia="宋体" w:cs="宋体"/>
          <w:kern w:val="0"/>
          <w:sz w:val="32"/>
          <w:szCs w:val="32"/>
          <w:lang w:val="zh-CN"/>
        </w:rPr>
        <w:t>万元，占</w:t>
      </w:r>
      <w:r>
        <w:rPr>
          <w:rFonts w:ascii="宋体" w:hAnsi="Times New Roman" w:eastAsia="宋体" w:cs="宋体"/>
          <w:kern w:val="0"/>
          <w:sz w:val="32"/>
          <w:szCs w:val="32"/>
          <w:lang w:val="zh-CN"/>
        </w:rPr>
        <w:t>100%</w:t>
      </w:r>
      <w:r>
        <w:rPr>
          <w:rFonts w:hint="eastAsia" w:ascii="宋体" w:hAnsi="Times New Roman" w:eastAsia="宋体" w:cs="宋体"/>
          <w:kern w:val="0"/>
          <w:sz w:val="32"/>
          <w:szCs w:val="32"/>
          <w:lang w:val="zh-CN"/>
        </w:rPr>
        <w:t>。公务用车购置费及运行维护费支出决算</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万元，占</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w:t>
      </w:r>
    </w:p>
    <w:p w14:paraId="2368FE2B">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lang w:val="zh-CN"/>
        </w:rPr>
      </w:pPr>
      <w:r>
        <w:rPr>
          <w:rFonts w:ascii="宋体" w:hAnsi="Times New Roman" w:eastAsia="宋体" w:cs="宋体"/>
          <w:kern w:val="0"/>
          <w:sz w:val="32"/>
          <w:szCs w:val="32"/>
          <w:lang w:val="zh-CN"/>
        </w:rPr>
        <w:t>1</w:t>
      </w:r>
      <w:r>
        <w:rPr>
          <w:rFonts w:hint="eastAsia" w:ascii="宋体" w:hAnsi="Times New Roman" w:eastAsia="宋体" w:cs="宋体"/>
          <w:kern w:val="0"/>
          <w:sz w:val="32"/>
          <w:szCs w:val="32"/>
          <w:lang w:val="zh-CN"/>
        </w:rPr>
        <w:t>、因公出国（境）费支出决算</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万元，全年安排因公出国（境）团组</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个，累计</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人次。</w:t>
      </w:r>
    </w:p>
    <w:p w14:paraId="0B832FD8">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lang w:val="zh-CN"/>
        </w:rPr>
      </w:pPr>
      <w:r>
        <w:rPr>
          <w:rFonts w:ascii="宋体" w:hAnsi="Times New Roman" w:eastAsia="宋体" w:cs="宋体"/>
          <w:kern w:val="0"/>
          <w:sz w:val="32"/>
          <w:szCs w:val="32"/>
          <w:lang w:val="zh-CN"/>
        </w:rPr>
        <w:t>2</w:t>
      </w:r>
      <w:r>
        <w:rPr>
          <w:rFonts w:hint="eastAsia" w:ascii="宋体" w:hAnsi="Times New Roman" w:eastAsia="宋体" w:cs="宋体"/>
          <w:kern w:val="0"/>
          <w:sz w:val="32"/>
          <w:szCs w:val="32"/>
          <w:lang w:val="zh-CN"/>
        </w:rPr>
        <w:t>、公务接待费支出决算为</w:t>
      </w:r>
      <w:r>
        <w:rPr>
          <w:rFonts w:ascii="宋体" w:hAnsi="Times New Roman" w:eastAsia="宋体" w:cs="宋体"/>
          <w:kern w:val="0"/>
          <w:sz w:val="32"/>
          <w:szCs w:val="32"/>
          <w:lang w:val="zh-CN"/>
        </w:rPr>
        <w:t>0.57</w:t>
      </w:r>
      <w:r>
        <w:rPr>
          <w:rFonts w:hint="eastAsia" w:ascii="宋体" w:hAnsi="Times New Roman" w:eastAsia="宋体" w:cs="宋体"/>
          <w:kern w:val="0"/>
          <w:sz w:val="32"/>
          <w:szCs w:val="32"/>
          <w:lang w:val="zh-CN"/>
        </w:rPr>
        <w:t>万元，其中：其他国内公务接待支出</w:t>
      </w:r>
      <w:r>
        <w:rPr>
          <w:rFonts w:ascii="宋体" w:hAnsi="Times New Roman" w:eastAsia="宋体" w:cs="宋体"/>
          <w:kern w:val="0"/>
          <w:sz w:val="32"/>
          <w:szCs w:val="32"/>
          <w:lang w:val="zh-CN"/>
        </w:rPr>
        <w:t>0.57</w:t>
      </w:r>
      <w:r>
        <w:rPr>
          <w:rFonts w:hint="eastAsia" w:ascii="宋体" w:hAnsi="Times New Roman" w:eastAsia="宋体" w:cs="宋体"/>
          <w:kern w:val="0"/>
          <w:sz w:val="32"/>
          <w:szCs w:val="32"/>
          <w:lang w:val="zh-CN"/>
        </w:rPr>
        <w:t>万元</w:t>
      </w:r>
      <w:r>
        <w:rPr>
          <w:rFonts w:ascii="宋体" w:hAnsi="Times New Roman" w:eastAsia="宋体" w:cs="宋体"/>
          <w:kern w:val="0"/>
          <w:sz w:val="32"/>
          <w:szCs w:val="32"/>
          <w:lang w:val="zh-CN"/>
        </w:rPr>
        <w:t>,</w:t>
      </w:r>
      <w:r>
        <w:rPr>
          <w:rFonts w:hint="eastAsia" w:ascii="宋体" w:hAnsi="Times New Roman" w:eastAsia="宋体" w:cs="宋体"/>
          <w:kern w:val="0"/>
          <w:sz w:val="32"/>
          <w:szCs w:val="32"/>
          <w:lang w:val="zh-CN"/>
        </w:rPr>
        <w:t>全年共接待来访团组</w:t>
      </w:r>
      <w:r>
        <w:rPr>
          <w:rFonts w:ascii="宋体" w:hAnsi="Times New Roman" w:eastAsia="宋体" w:cs="宋体"/>
          <w:kern w:val="0"/>
          <w:sz w:val="32"/>
          <w:szCs w:val="32"/>
          <w:lang w:val="zh-CN"/>
        </w:rPr>
        <w:t>6</w:t>
      </w:r>
      <w:r>
        <w:rPr>
          <w:rFonts w:hint="eastAsia" w:ascii="宋体" w:hAnsi="Times New Roman" w:eastAsia="宋体" w:cs="宋体"/>
          <w:kern w:val="0"/>
          <w:sz w:val="32"/>
          <w:szCs w:val="32"/>
          <w:lang w:val="zh-CN"/>
        </w:rPr>
        <w:t>个、来宾</w:t>
      </w:r>
      <w:r>
        <w:rPr>
          <w:rFonts w:ascii="宋体" w:hAnsi="Times New Roman" w:eastAsia="宋体" w:cs="宋体"/>
          <w:kern w:val="0"/>
          <w:sz w:val="32"/>
          <w:szCs w:val="32"/>
          <w:lang w:val="zh-CN"/>
        </w:rPr>
        <w:t>43</w:t>
      </w:r>
      <w:r>
        <w:rPr>
          <w:rFonts w:hint="eastAsia" w:ascii="宋体" w:hAnsi="Times New Roman" w:eastAsia="宋体" w:cs="宋体"/>
          <w:kern w:val="0"/>
          <w:sz w:val="32"/>
          <w:szCs w:val="32"/>
          <w:lang w:val="zh-CN"/>
        </w:rPr>
        <w:t>人次（不包括陪同人员）。主要用于与有关单位交流工作情况及接受相关部门检查指导工作发生的接待支出。</w:t>
      </w:r>
    </w:p>
    <w:p w14:paraId="445C4C6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ascii="宋体" w:hAnsi="Times New Roman" w:eastAsia="宋体" w:cs="宋体"/>
          <w:color w:val="auto"/>
          <w:sz w:val="32"/>
          <w:szCs w:val="32"/>
          <w:lang w:val="zh-CN"/>
        </w:rPr>
        <w:t xml:space="preserve"> 3</w:t>
      </w:r>
      <w:r>
        <w:rPr>
          <w:rFonts w:hint="eastAsia" w:ascii="宋体" w:hAnsi="Times New Roman" w:eastAsia="宋体" w:cs="宋体"/>
          <w:color w:val="auto"/>
          <w:sz w:val="32"/>
          <w:szCs w:val="32"/>
          <w:lang w:val="zh-CN"/>
        </w:rPr>
        <w:t>、公务用车购置费及运行维护费支出决算</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万元，其中：公务用车购置费</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万元，更新公务用车</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辆。公务用车运行维护费</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元，截止</w:t>
      </w:r>
      <w:r>
        <w:rPr>
          <w:rFonts w:ascii="宋体" w:hAnsi="Times New Roman" w:eastAsia="宋体" w:cs="宋体"/>
          <w:color w:val="auto"/>
          <w:sz w:val="32"/>
          <w:szCs w:val="32"/>
          <w:lang w:val="zh-CN"/>
        </w:rPr>
        <w:t>2023</w:t>
      </w:r>
      <w:r>
        <w:rPr>
          <w:rFonts w:hint="eastAsia" w:ascii="宋体" w:hAnsi="Times New Roman" w:eastAsia="宋体" w:cs="宋体"/>
          <w:color w:val="auto"/>
          <w:sz w:val="32"/>
          <w:szCs w:val="32"/>
          <w:lang w:val="zh-CN"/>
        </w:rPr>
        <w:t>年</w:t>
      </w:r>
      <w:r>
        <w:rPr>
          <w:rFonts w:ascii="宋体" w:hAnsi="Times New Roman" w:eastAsia="宋体" w:cs="宋体"/>
          <w:color w:val="auto"/>
          <w:sz w:val="32"/>
          <w:szCs w:val="32"/>
          <w:lang w:val="zh-CN"/>
        </w:rPr>
        <w:t>12</w:t>
      </w:r>
      <w:r>
        <w:rPr>
          <w:rFonts w:hint="eastAsia" w:ascii="宋体" w:hAnsi="Times New Roman" w:eastAsia="宋体" w:cs="宋体"/>
          <w:color w:val="auto"/>
          <w:sz w:val="32"/>
          <w:szCs w:val="32"/>
          <w:lang w:val="zh-CN"/>
        </w:rPr>
        <w:t>月</w:t>
      </w:r>
      <w:r>
        <w:rPr>
          <w:rFonts w:ascii="宋体" w:hAnsi="Times New Roman" w:eastAsia="宋体" w:cs="宋体"/>
          <w:color w:val="auto"/>
          <w:sz w:val="32"/>
          <w:szCs w:val="32"/>
          <w:lang w:val="zh-CN"/>
        </w:rPr>
        <w:t>31</w:t>
      </w:r>
      <w:r>
        <w:rPr>
          <w:rFonts w:hint="eastAsia" w:ascii="宋体" w:hAnsi="Times New Roman" w:eastAsia="宋体" w:cs="宋体"/>
          <w:color w:val="auto"/>
          <w:sz w:val="32"/>
          <w:szCs w:val="32"/>
          <w:lang w:val="zh-CN"/>
        </w:rPr>
        <w:t>日，我单位开支财政拨款的公务用车保有量为</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辆</w:t>
      </w:r>
      <w:r>
        <w:rPr>
          <w:rFonts w:hint="eastAsia" w:ascii="宋体" w:hAnsi="Times New Roman" w:eastAsia="宋体" w:cs="宋体"/>
          <w:color w:val="auto"/>
          <w:sz w:val="32"/>
          <w:szCs w:val="32"/>
          <w:highlight w:val="white"/>
        </w:rPr>
        <w:t>。</w:t>
      </w:r>
    </w:p>
    <w:p w14:paraId="667DD4A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Ansi="黑体"/>
          <w:bCs/>
          <w:color w:val="auto"/>
          <w:sz w:val="32"/>
          <w:szCs w:val="32"/>
        </w:rPr>
      </w:pPr>
      <w:r>
        <w:rPr>
          <w:rFonts w:hint="eastAsia" w:hAnsi="黑体"/>
          <w:bCs/>
          <w:color w:val="auto"/>
          <w:sz w:val="32"/>
          <w:szCs w:val="32"/>
        </w:rPr>
        <w:t>八、政府性基金预算收入支出决算情况</w:t>
      </w:r>
    </w:p>
    <w:p w14:paraId="644C027A">
      <w:pPr>
        <w:pStyle w:val="14"/>
        <w:keepNext w:val="0"/>
        <w:keepLines w:val="0"/>
        <w:pageBreakBefore w:val="0"/>
        <w:widowControl w:val="0"/>
        <w:kinsoku/>
        <w:wordWrap/>
        <w:overflowPunct/>
        <w:topLinePunct w:val="0"/>
        <w:bidi w:val="0"/>
        <w:snapToGrid/>
        <w:spacing w:line="600" w:lineRule="exact"/>
        <w:ind w:firstLine="630"/>
        <w:textAlignment w:val="auto"/>
        <w:rPr>
          <w:rFonts w:ascii="宋体" w:hAnsi="Times New Roman" w:eastAsia="宋体" w:cs="宋体"/>
          <w:color w:val="auto"/>
          <w:sz w:val="32"/>
          <w:szCs w:val="32"/>
          <w:lang w:val="zh-CN"/>
        </w:rPr>
      </w:pPr>
      <w:r>
        <w:rPr>
          <w:rFonts w:ascii="宋体" w:hAnsi="Times New Roman" w:eastAsia="宋体" w:cs="宋体"/>
          <w:color w:val="auto"/>
          <w:sz w:val="32"/>
          <w:szCs w:val="32"/>
          <w:highlight w:val="white"/>
          <w:lang w:val="zh-CN"/>
        </w:rPr>
        <w:t>2023</w:t>
      </w:r>
      <w:r>
        <w:rPr>
          <w:rFonts w:hint="eastAsia" w:ascii="宋体" w:hAnsi="Times New Roman" w:eastAsia="宋体" w:cs="宋体"/>
          <w:color w:val="auto"/>
          <w:sz w:val="32"/>
          <w:szCs w:val="32"/>
          <w:highlight w:val="white"/>
          <w:lang w:val="zh-CN"/>
        </w:rPr>
        <w:t>年本单位没有使用政府性基金预算财政拨款安排的收支。</w:t>
      </w:r>
    </w:p>
    <w:p w14:paraId="580B88A6">
      <w:pPr>
        <w:pStyle w:val="14"/>
        <w:keepNext w:val="0"/>
        <w:keepLines w:val="0"/>
        <w:pageBreakBefore w:val="0"/>
        <w:widowControl w:val="0"/>
        <w:kinsoku/>
        <w:wordWrap/>
        <w:overflowPunct/>
        <w:topLinePunct w:val="0"/>
        <w:bidi w:val="0"/>
        <w:snapToGrid/>
        <w:spacing w:line="600" w:lineRule="exact"/>
        <w:ind w:firstLine="63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rPr>
        <w:t>九、关于机关运行经费支出说明</w:t>
      </w:r>
    </w:p>
    <w:p w14:paraId="1B23508A">
      <w:pPr>
        <w:keepNext w:val="0"/>
        <w:keepLines w:val="0"/>
        <w:pageBreakBefore w:val="0"/>
        <w:widowControl w:val="0"/>
        <w:kinsoku/>
        <w:wordWrap/>
        <w:overflowPunct/>
        <w:topLinePunct w:val="0"/>
        <w:autoSpaceDE w:val="0"/>
        <w:autoSpaceDN w:val="0"/>
        <w:bidi w:val="0"/>
        <w:adjustRightInd w:val="0"/>
        <w:snapToGrid/>
        <w:ind w:firstLine="640"/>
        <w:textAlignment w:val="auto"/>
        <w:rPr>
          <w:rFonts w:hint="eastAsia" w:ascii="宋体" w:hAnsi="Times New Roman" w:eastAsia="宋体" w:cs="宋体"/>
          <w:kern w:val="0"/>
          <w:sz w:val="32"/>
          <w:szCs w:val="32"/>
          <w:lang w:val="zh-CN"/>
        </w:rPr>
      </w:pPr>
      <w:r>
        <w:rPr>
          <w:rFonts w:hint="eastAsia" w:ascii="宋体" w:hAnsi="Times New Roman" w:eastAsia="宋体" w:cs="宋体"/>
          <w:sz w:val="32"/>
          <w:szCs w:val="32"/>
          <w:highlight w:val="white"/>
        </w:rPr>
        <w:t>本单位不属于行政单位和参照公务员法管理事业单位，无机关运行经费支出</w:t>
      </w:r>
      <w:r>
        <w:rPr>
          <w:rFonts w:hint="eastAsia" w:ascii="宋体" w:hAnsi="Times New Roman" w:eastAsia="宋体" w:cs="宋体"/>
          <w:kern w:val="0"/>
          <w:sz w:val="32"/>
          <w:szCs w:val="32"/>
          <w:lang w:val="zh-CN"/>
        </w:rPr>
        <w:t>。</w:t>
      </w:r>
    </w:p>
    <w:p w14:paraId="545044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ascii="Calibri" w:hAnsi="Calibri" w:eastAsia="宋体" w:cs="Times New Roman"/>
          <w:kern w:val="0"/>
          <w:sz w:val="24"/>
          <w:szCs w:val="24"/>
          <w:lang w:val="en-US" w:eastAsia="zh-CN" w:bidi="ar"/>
        </w:rPr>
      </w:pPr>
      <w:r>
        <w:rPr>
          <w:rFonts w:hint="eastAsia" w:ascii="黑体" w:hAnsi="黑体" w:eastAsia="黑体" w:cs="黑体"/>
          <w:b w:val="0"/>
          <w:bCs/>
          <w:color w:val="000000"/>
          <w:kern w:val="0"/>
          <w:sz w:val="32"/>
          <w:szCs w:val="32"/>
          <w:lang w:val="en-US" w:eastAsia="zh-CN" w:bidi="ar-SA"/>
        </w:rPr>
        <w:t>十、国有资本经营预算财政拨款支出决算情况</w:t>
      </w:r>
    </w:p>
    <w:p w14:paraId="75B34697">
      <w:pPr>
        <w:pStyle w:val="2"/>
        <w:rPr>
          <w:lang w:val="zh-CN"/>
        </w:rPr>
      </w:pPr>
      <w:r>
        <w:rPr>
          <w:rFonts w:hint="eastAsia" w:ascii="仿宋" w:hAnsi="仿宋" w:eastAsia="仿宋" w:cs="仿宋"/>
          <w:color w:val="000000"/>
          <w:kern w:val="0"/>
          <w:sz w:val="32"/>
          <w:szCs w:val="32"/>
          <w:lang w:val="en-US" w:eastAsia="zh-CN" w:bidi="ar-SA"/>
        </w:rPr>
        <w:t>2023年本单位没有使用国有资本经营预算安排的支出。</w:t>
      </w:r>
    </w:p>
    <w:p w14:paraId="75FB334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一</w:t>
      </w:r>
      <w:r>
        <w:rPr>
          <w:rFonts w:hint="eastAsia" w:hAnsi="黑体"/>
          <w:bCs/>
          <w:color w:val="auto"/>
          <w:sz w:val="32"/>
          <w:szCs w:val="32"/>
        </w:rPr>
        <w:t>、一般性支出情况说明</w:t>
      </w:r>
    </w:p>
    <w:p w14:paraId="066E8A7E">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white"/>
        </w:rPr>
      </w:pPr>
      <w:r>
        <w:rPr>
          <w:rFonts w:ascii="宋体" w:hAnsi="Times New Roman" w:eastAsia="宋体" w:cs="宋体"/>
          <w:kern w:val="0"/>
          <w:sz w:val="32"/>
          <w:szCs w:val="32"/>
          <w:highlight w:val="white"/>
        </w:rPr>
        <w:t>2023</w:t>
      </w:r>
      <w:r>
        <w:rPr>
          <w:rFonts w:hint="eastAsia" w:ascii="宋体" w:hAnsi="Times New Roman" w:eastAsia="宋体" w:cs="宋体"/>
          <w:kern w:val="0"/>
          <w:sz w:val="32"/>
          <w:szCs w:val="32"/>
          <w:highlight w:val="white"/>
        </w:rPr>
        <w:t>年本部门开支会议费</w:t>
      </w:r>
      <w:r>
        <w:rPr>
          <w:rFonts w:ascii="宋体" w:hAnsi="Times New Roman" w:eastAsia="宋体" w:cs="宋体"/>
          <w:kern w:val="0"/>
          <w:sz w:val="32"/>
          <w:szCs w:val="32"/>
          <w:highlight w:val="white"/>
        </w:rPr>
        <w:t>0</w:t>
      </w:r>
      <w:r>
        <w:rPr>
          <w:rFonts w:hint="eastAsia" w:ascii="宋体" w:hAnsi="Times New Roman" w:eastAsia="宋体" w:cs="宋体"/>
          <w:kern w:val="0"/>
          <w:sz w:val="32"/>
          <w:szCs w:val="32"/>
          <w:highlight w:val="white"/>
        </w:rPr>
        <w:t>万元；开支培训费</w:t>
      </w:r>
      <w:r>
        <w:rPr>
          <w:rFonts w:ascii="宋体" w:hAnsi="Times New Roman" w:eastAsia="宋体" w:cs="宋体"/>
          <w:kern w:val="0"/>
          <w:sz w:val="32"/>
          <w:szCs w:val="32"/>
          <w:highlight w:val="white"/>
        </w:rPr>
        <w:t>0.4</w:t>
      </w:r>
      <w:r>
        <w:rPr>
          <w:rFonts w:hint="eastAsia" w:ascii="宋体" w:hAnsi="Times New Roman" w:eastAsia="宋体" w:cs="宋体"/>
          <w:kern w:val="0"/>
          <w:sz w:val="32"/>
          <w:szCs w:val="32"/>
          <w:highlight w:val="white"/>
        </w:rPr>
        <w:t>万元，用于开展知识技能培训，人数</w:t>
      </w:r>
      <w:r>
        <w:rPr>
          <w:rFonts w:ascii="宋体" w:hAnsi="Times New Roman" w:eastAsia="宋体" w:cs="宋体"/>
          <w:kern w:val="0"/>
          <w:sz w:val="32"/>
          <w:szCs w:val="32"/>
          <w:highlight w:val="white"/>
        </w:rPr>
        <w:t>20</w:t>
      </w:r>
      <w:r>
        <w:rPr>
          <w:rFonts w:hint="eastAsia" w:ascii="宋体" w:hAnsi="Times New Roman" w:eastAsia="宋体" w:cs="宋体"/>
          <w:kern w:val="0"/>
          <w:sz w:val="32"/>
          <w:szCs w:val="32"/>
          <w:highlight w:val="white"/>
        </w:rPr>
        <w:t>人，内容为继续教育、行政审批等知识技能培训；</w:t>
      </w:r>
      <w:r>
        <w:rPr>
          <w:rFonts w:ascii="宋体" w:hAnsi="Times New Roman" w:eastAsia="宋体" w:cs="宋体"/>
          <w:kern w:val="0"/>
          <w:sz w:val="32"/>
          <w:szCs w:val="32"/>
          <w:highlight w:val="white"/>
        </w:rPr>
        <w:t xml:space="preserve"> 2023</w:t>
      </w:r>
      <w:r>
        <w:rPr>
          <w:rFonts w:hint="eastAsia" w:ascii="宋体" w:hAnsi="Times New Roman" w:eastAsia="宋体" w:cs="宋体"/>
          <w:kern w:val="0"/>
          <w:sz w:val="32"/>
          <w:szCs w:val="32"/>
          <w:highlight w:val="white"/>
        </w:rPr>
        <w:t>年本部门未举办节庆、晚会、论坛、赛事活动，开支</w:t>
      </w:r>
      <w:r>
        <w:rPr>
          <w:rFonts w:ascii="宋体" w:hAnsi="Times New Roman" w:eastAsia="宋体" w:cs="宋体"/>
          <w:kern w:val="0"/>
          <w:sz w:val="32"/>
          <w:szCs w:val="32"/>
          <w:highlight w:val="white"/>
        </w:rPr>
        <w:t>0</w:t>
      </w:r>
      <w:r>
        <w:rPr>
          <w:rFonts w:hint="eastAsia" w:ascii="宋体" w:hAnsi="Times New Roman" w:eastAsia="宋体" w:cs="宋体"/>
          <w:kern w:val="0"/>
          <w:sz w:val="32"/>
          <w:szCs w:val="32"/>
          <w:highlight w:val="white"/>
        </w:rPr>
        <w:t>万元。</w:t>
      </w:r>
    </w:p>
    <w:p w14:paraId="6A7FABC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二</w:t>
      </w:r>
      <w:r>
        <w:rPr>
          <w:rFonts w:hint="eastAsia" w:hAnsi="黑体"/>
          <w:bCs/>
          <w:color w:val="auto"/>
          <w:sz w:val="32"/>
          <w:szCs w:val="32"/>
        </w:rPr>
        <w:t>、关于政府采购支出说明</w:t>
      </w:r>
    </w:p>
    <w:p w14:paraId="0C6710DE">
      <w:pPr>
        <w:pStyle w:val="14"/>
        <w:keepNext w:val="0"/>
        <w:keepLines w:val="0"/>
        <w:pageBreakBefore w:val="0"/>
        <w:widowControl w:val="0"/>
        <w:kinsoku/>
        <w:wordWrap/>
        <w:overflowPunct/>
        <w:topLinePunct w:val="0"/>
        <w:bidi w:val="0"/>
        <w:snapToGrid/>
        <w:spacing w:line="580" w:lineRule="exact"/>
        <w:ind w:firstLine="640" w:firstLineChars="200"/>
        <w:textAlignment w:val="auto"/>
        <w:rPr>
          <w:rFonts w:ascii="宋体" w:hAnsi="Times New Roman" w:eastAsia="宋体" w:cs="宋体"/>
          <w:color w:val="auto"/>
          <w:sz w:val="32"/>
          <w:szCs w:val="32"/>
        </w:rPr>
      </w:pP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年度政府采购支出总额</w:t>
      </w:r>
      <w:r>
        <w:rPr>
          <w:rFonts w:ascii="宋体" w:hAnsi="Times New Roman" w:eastAsia="宋体" w:cs="宋体"/>
          <w:color w:val="auto"/>
          <w:sz w:val="32"/>
          <w:szCs w:val="32"/>
          <w:highlight w:val="white"/>
        </w:rPr>
        <w:t>124.9</w:t>
      </w:r>
      <w:r>
        <w:rPr>
          <w:rFonts w:hint="eastAsia" w:ascii="宋体" w:hAnsi="Times New Roman" w:eastAsia="宋体" w:cs="宋体"/>
          <w:color w:val="auto"/>
          <w:sz w:val="32"/>
          <w:szCs w:val="32"/>
          <w:highlight w:val="white"/>
        </w:rPr>
        <w:t>万元，其中：政府采购货物支出</w:t>
      </w:r>
      <w:r>
        <w:rPr>
          <w:rFonts w:ascii="宋体" w:hAnsi="Times New Roman" w:eastAsia="宋体" w:cs="宋体"/>
          <w:color w:val="auto"/>
          <w:sz w:val="32"/>
          <w:szCs w:val="32"/>
          <w:highlight w:val="white"/>
        </w:rPr>
        <w:t>35.34</w:t>
      </w:r>
      <w:r>
        <w:rPr>
          <w:rFonts w:hint="eastAsia" w:ascii="宋体" w:hAnsi="Times New Roman" w:eastAsia="宋体" w:cs="宋体"/>
          <w:color w:val="auto"/>
          <w:sz w:val="32"/>
          <w:szCs w:val="32"/>
          <w:highlight w:val="white"/>
        </w:rPr>
        <w:t>万元；政府采购工程支出</w:t>
      </w:r>
      <w:r>
        <w:rPr>
          <w:rFonts w:ascii="宋体" w:hAnsi="Times New Roman" w:eastAsia="宋体" w:cs="宋体"/>
          <w:color w:val="auto"/>
          <w:sz w:val="32"/>
          <w:szCs w:val="32"/>
          <w:highlight w:val="white"/>
        </w:rPr>
        <w:t>11.26</w:t>
      </w:r>
      <w:r>
        <w:rPr>
          <w:rFonts w:hint="eastAsia" w:ascii="宋体" w:hAnsi="Times New Roman" w:eastAsia="宋体" w:cs="宋体"/>
          <w:color w:val="auto"/>
          <w:sz w:val="32"/>
          <w:szCs w:val="32"/>
          <w:highlight w:val="white"/>
        </w:rPr>
        <w:t>万元；政府采购服务支出</w:t>
      </w:r>
      <w:r>
        <w:rPr>
          <w:rFonts w:ascii="宋体" w:hAnsi="Times New Roman" w:eastAsia="宋体" w:cs="宋体"/>
          <w:color w:val="auto"/>
          <w:sz w:val="32"/>
          <w:szCs w:val="32"/>
          <w:highlight w:val="white"/>
        </w:rPr>
        <w:t>78.3</w:t>
      </w:r>
      <w:r>
        <w:rPr>
          <w:rFonts w:hint="eastAsia" w:ascii="宋体" w:hAnsi="Times New Roman" w:eastAsia="宋体" w:cs="宋体"/>
          <w:color w:val="auto"/>
          <w:sz w:val="32"/>
          <w:szCs w:val="32"/>
          <w:highlight w:val="white"/>
        </w:rPr>
        <w:t>万元。授予中小企业合同金额</w:t>
      </w:r>
      <w:r>
        <w:rPr>
          <w:rFonts w:ascii="宋体" w:hAnsi="Times New Roman" w:eastAsia="宋体" w:cs="宋体"/>
          <w:color w:val="auto"/>
          <w:sz w:val="32"/>
          <w:szCs w:val="32"/>
          <w:highlight w:val="white"/>
        </w:rPr>
        <w:t>108.2</w:t>
      </w:r>
      <w:r>
        <w:rPr>
          <w:rFonts w:hint="eastAsia" w:ascii="宋体" w:hAnsi="Times New Roman" w:eastAsia="宋体" w:cs="宋体"/>
          <w:color w:val="auto"/>
          <w:sz w:val="32"/>
          <w:szCs w:val="32"/>
          <w:highlight w:val="white"/>
        </w:rPr>
        <w:t>万元，占政府采购支出总额的</w:t>
      </w:r>
      <w:r>
        <w:rPr>
          <w:rFonts w:ascii="宋体" w:hAnsi="Times New Roman" w:eastAsia="宋体" w:cs="宋体"/>
          <w:color w:val="auto"/>
          <w:sz w:val="32"/>
          <w:szCs w:val="32"/>
          <w:highlight w:val="white"/>
        </w:rPr>
        <w:t>86.63%</w:t>
      </w:r>
      <w:r>
        <w:rPr>
          <w:rFonts w:hint="eastAsia" w:ascii="宋体" w:hAnsi="Times New Roman" w:eastAsia="宋体" w:cs="宋体"/>
          <w:color w:val="auto"/>
          <w:sz w:val="32"/>
          <w:szCs w:val="32"/>
          <w:highlight w:val="white"/>
        </w:rPr>
        <w:t>。其中：授予小微企业合同金额</w:t>
      </w:r>
      <w:r>
        <w:rPr>
          <w:rFonts w:ascii="宋体" w:hAnsi="Times New Roman" w:eastAsia="宋体" w:cs="宋体"/>
          <w:color w:val="auto"/>
          <w:sz w:val="32"/>
          <w:szCs w:val="32"/>
          <w:highlight w:val="white"/>
        </w:rPr>
        <w:t>105.25</w:t>
      </w:r>
      <w:r>
        <w:rPr>
          <w:rFonts w:hint="eastAsia" w:ascii="宋体" w:hAnsi="Times New Roman" w:eastAsia="宋体" w:cs="宋体"/>
          <w:color w:val="auto"/>
          <w:sz w:val="32"/>
          <w:szCs w:val="32"/>
          <w:highlight w:val="white"/>
        </w:rPr>
        <w:t>万元，占授予中小企业合同金额的</w:t>
      </w:r>
      <w:r>
        <w:rPr>
          <w:rFonts w:ascii="宋体" w:hAnsi="Times New Roman" w:eastAsia="宋体" w:cs="宋体"/>
          <w:color w:val="auto"/>
          <w:sz w:val="32"/>
          <w:szCs w:val="32"/>
          <w:highlight w:val="white"/>
        </w:rPr>
        <w:t>97.27%</w:t>
      </w:r>
      <w:r>
        <w:rPr>
          <w:rFonts w:hint="eastAsia" w:ascii="宋体" w:hAnsi="Times New Roman" w:eastAsia="宋体" w:cs="宋体"/>
          <w:color w:val="auto"/>
          <w:sz w:val="32"/>
          <w:szCs w:val="32"/>
          <w:highlight w:val="white"/>
        </w:rPr>
        <w:t>。货物采购授予中小企业合同金额占货物支出金额的</w:t>
      </w:r>
      <w:r>
        <w:rPr>
          <w:rFonts w:ascii="宋体" w:hAnsi="Times New Roman" w:eastAsia="宋体" w:cs="宋体"/>
          <w:color w:val="auto"/>
          <w:sz w:val="32"/>
          <w:szCs w:val="32"/>
          <w:highlight w:val="white"/>
        </w:rPr>
        <w:t>100%</w:t>
      </w:r>
      <w:r>
        <w:rPr>
          <w:rFonts w:hint="eastAsia" w:ascii="宋体" w:hAnsi="Times New Roman" w:eastAsia="宋体" w:cs="宋体"/>
          <w:color w:val="auto"/>
          <w:sz w:val="32"/>
          <w:szCs w:val="32"/>
          <w:highlight w:val="white"/>
        </w:rPr>
        <w:t>。工程采购授予中小企业合同金额占工程支出金额的</w:t>
      </w:r>
      <w:r>
        <w:rPr>
          <w:rFonts w:ascii="宋体" w:hAnsi="Times New Roman" w:eastAsia="宋体" w:cs="宋体"/>
          <w:color w:val="auto"/>
          <w:sz w:val="32"/>
          <w:szCs w:val="32"/>
          <w:highlight w:val="white"/>
        </w:rPr>
        <w:t>100%</w:t>
      </w:r>
      <w:r>
        <w:rPr>
          <w:rFonts w:hint="eastAsia" w:ascii="宋体" w:hAnsi="Times New Roman" w:eastAsia="宋体" w:cs="宋体"/>
          <w:color w:val="auto"/>
          <w:sz w:val="32"/>
          <w:szCs w:val="32"/>
          <w:highlight w:val="white"/>
        </w:rPr>
        <w:t>。服务采购授予中小企业合同金额占服务支出金额的</w:t>
      </w:r>
      <w:r>
        <w:rPr>
          <w:rFonts w:ascii="宋体" w:hAnsi="Times New Roman" w:eastAsia="宋体" w:cs="宋体"/>
          <w:color w:val="auto"/>
          <w:sz w:val="32"/>
          <w:szCs w:val="32"/>
          <w:highlight w:val="white"/>
        </w:rPr>
        <w:t>78.67%</w:t>
      </w:r>
      <w:r>
        <w:rPr>
          <w:rFonts w:hint="eastAsia" w:ascii="宋体" w:hAnsi="Times New Roman" w:eastAsia="宋体" w:cs="宋体"/>
          <w:color w:val="auto"/>
          <w:sz w:val="32"/>
          <w:szCs w:val="32"/>
          <w:highlight w:val="white"/>
        </w:rPr>
        <w:t>。</w:t>
      </w:r>
    </w:p>
    <w:p w14:paraId="5EA2A536">
      <w:pPr>
        <w:pStyle w:val="14"/>
        <w:keepNext w:val="0"/>
        <w:keepLines w:val="0"/>
        <w:pageBreakBefore w:val="0"/>
        <w:widowControl w:val="0"/>
        <w:kinsoku/>
        <w:wordWrap/>
        <w:overflowPunct/>
        <w:topLinePunct w:val="0"/>
        <w:bidi w:val="0"/>
        <w:snapToGrid/>
        <w:spacing w:line="580" w:lineRule="exact"/>
        <w:ind w:firstLine="640" w:firstLineChars="200"/>
        <w:textAlignment w:val="auto"/>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三</w:t>
      </w:r>
      <w:r>
        <w:rPr>
          <w:rFonts w:hint="eastAsia" w:hAnsi="黑体"/>
          <w:bCs/>
          <w:color w:val="auto"/>
          <w:sz w:val="32"/>
          <w:szCs w:val="32"/>
        </w:rPr>
        <w:t>、关于国有资产占用情况说明</w:t>
      </w:r>
    </w:p>
    <w:p w14:paraId="1E4C36AB">
      <w:pPr>
        <w:keepNext w:val="0"/>
        <w:keepLines w:val="0"/>
        <w:pageBreakBefore w:val="0"/>
        <w:widowControl w:val="0"/>
        <w:kinsoku/>
        <w:wordWrap/>
        <w:overflowPunct/>
        <w:topLinePunct w:val="0"/>
        <w:autoSpaceDE w:val="0"/>
        <w:autoSpaceDN w:val="0"/>
        <w:bidi w:val="0"/>
        <w:adjustRightInd w:val="0"/>
        <w:snapToGrid/>
        <w:ind w:firstLine="641"/>
        <w:textAlignment w:val="auto"/>
        <w:rPr>
          <w:rFonts w:ascii="Calibri" w:hAnsi="Calibri" w:eastAsia="宋体" w:cs="Calibri"/>
          <w:szCs w:val="21"/>
          <w:highlight w:val="white"/>
          <w:lang w:val="zh-CN"/>
        </w:rPr>
      </w:pPr>
      <w:r>
        <w:rPr>
          <w:rFonts w:hint="eastAsia" w:ascii="宋体" w:hAnsi="Times New Roman" w:eastAsia="宋体" w:cs="宋体"/>
          <w:sz w:val="32"/>
          <w:szCs w:val="32"/>
          <w:highlight w:val="white"/>
        </w:rPr>
        <w:t>截至</w:t>
      </w: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w:t>
      </w:r>
      <w:r>
        <w:rPr>
          <w:rFonts w:ascii="宋体" w:hAnsi="Times New Roman" w:eastAsia="宋体" w:cs="宋体"/>
          <w:sz w:val="32"/>
          <w:szCs w:val="32"/>
          <w:highlight w:val="white"/>
        </w:rPr>
        <w:t>12</w:t>
      </w:r>
      <w:r>
        <w:rPr>
          <w:rFonts w:hint="eastAsia" w:ascii="宋体" w:hAnsi="Times New Roman" w:eastAsia="宋体" w:cs="宋体"/>
          <w:sz w:val="32"/>
          <w:szCs w:val="32"/>
          <w:highlight w:val="white"/>
        </w:rPr>
        <w:t>月</w:t>
      </w:r>
      <w:r>
        <w:rPr>
          <w:rFonts w:ascii="宋体" w:hAnsi="Times New Roman" w:eastAsia="宋体" w:cs="宋体"/>
          <w:sz w:val="32"/>
          <w:szCs w:val="32"/>
          <w:highlight w:val="white"/>
        </w:rPr>
        <w:t>31</w:t>
      </w:r>
      <w:r>
        <w:rPr>
          <w:rFonts w:hint="eastAsia" w:ascii="宋体" w:hAnsi="Times New Roman" w:eastAsia="宋体" w:cs="宋体"/>
          <w:sz w:val="32"/>
          <w:szCs w:val="32"/>
          <w:highlight w:val="white"/>
        </w:rPr>
        <w:t>日，部门（单位）共有车辆</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辆。</w:t>
      </w:r>
      <w:r>
        <w:rPr>
          <w:rFonts w:hint="eastAsia" w:ascii="宋体" w:hAnsi="Times New Roman" w:eastAsia="宋体" w:cs="宋体"/>
          <w:sz w:val="32"/>
          <w:szCs w:val="32"/>
        </w:rPr>
        <w:t>单位价值</w:t>
      </w:r>
      <w:r>
        <w:rPr>
          <w:rFonts w:ascii="宋体" w:hAnsi="Times New Roman" w:eastAsia="宋体" w:cs="宋体"/>
          <w:sz w:val="32"/>
          <w:szCs w:val="32"/>
        </w:rPr>
        <w:t>50</w:t>
      </w:r>
      <w:r>
        <w:rPr>
          <w:rFonts w:hint="eastAsia" w:ascii="宋体" w:hAnsi="Times New Roman" w:eastAsia="宋体" w:cs="宋体"/>
          <w:sz w:val="32"/>
          <w:szCs w:val="32"/>
        </w:rPr>
        <w:t>万元（含）以上设备</w:t>
      </w:r>
      <w:r>
        <w:rPr>
          <w:rFonts w:ascii="宋体" w:hAnsi="Times New Roman" w:eastAsia="宋体" w:cs="宋体"/>
          <w:sz w:val="32"/>
          <w:szCs w:val="32"/>
        </w:rPr>
        <w:t>0</w:t>
      </w:r>
      <w:r>
        <w:rPr>
          <w:rFonts w:hint="eastAsia" w:ascii="宋体" w:hAnsi="Times New Roman" w:eastAsia="宋体" w:cs="宋体"/>
          <w:sz w:val="32"/>
          <w:szCs w:val="32"/>
        </w:rPr>
        <w:t>台（套），</w:t>
      </w:r>
      <w:r>
        <w:rPr>
          <w:rFonts w:hint="eastAsia" w:ascii="宋体" w:hAnsi="Times New Roman" w:eastAsia="宋体" w:cs="宋体"/>
          <w:sz w:val="32"/>
          <w:szCs w:val="32"/>
          <w:highlight w:val="white"/>
        </w:rPr>
        <w:t>单位价值</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万元（含）以上设备</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台（套）。</w:t>
      </w:r>
    </w:p>
    <w:p w14:paraId="0C19D1D8">
      <w:pPr>
        <w:pStyle w:val="14"/>
        <w:keepNext w:val="0"/>
        <w:keepLines w:val="0"/>
        <w:pageBreakBefore w:val="0"/>
        <w:widowControl w:val="0"/>
        <w:kinsoku/>
        <w:wordWrap/>
        <w:overflowPunct/>
        <w:topLinePunct w:val="0"/>
        <w:bidi w:val="0"/>
        <w:snapToGrid/>
        <w:spacing w:line="580" w:lineRule="exact"/>
        <w:ind w:firstLine="640" w:firstLineChars="200"/>
        <w:textAlignment w:val="auto"/>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四</w:t>
      </w:r>
      <w:bookmarkStart w:id="0" w:name="_GoBack"/>
      <w:bookmarkEnd w:id="0"/>
      <w:r>
        <w:rPr>
          <w:rFonts w:hint="eastAsia" w:hAnsi="黑体"/>
          <w:bCs/>
          <w:color w:val="auto"/>
          <w:sz w:val="32"/>
          <w:szCs w:val="32"/>
        </w:rPr>
        <w:t>、关于</w:t>
      </w:r>
      <w:r>
        <w:rPr>
          <w:rFonts w:hint="eastAsia" w:ascii="Times New Roman" w:hAnsi="Times New Roman" w:eastAsia="仿宋_GB2312"/>
          <w:color w:val="auto"/>
          <w:sz w:val="32"/>
          <w:szCs w:val="32"/>
        </w:rPr>
        <w:t>2023</w:t>
      </w:r>
      <w:r>
        <w:rPr>
          <w:rFonts w:hint="eastAsia" w:hAnsi="黑体"/>
          <w:bCs/>
          <w:color w:val="auto"/>
          <w:sz w:val="32"/>
          <w:szCs w:val="32"/>
        </w:rPr>
        <w:t>年度预算绩效情况的说明</w:t>
      </w:r>
    </w:p>
    <w:p w14:paraId="09CADB86">
      <w:pPr>
        <w:pStyle w:val="14"/>
        <w:keepNext w:val="0"/>
        <w:keepLines w:val="0"/>
        <w:pageBreakBefore w:val="0"/>
        <w:widowControl w:val="0"/>
        <w:kinsoku/>
        <w:wordWrap/>
        <w:overflowPunct/>
        <w:topLinePunct w:val="0"/>
        <w:bidi w:val="0"/>
        <w:snapToGrid/>
        <w:spacing w:line="580" w:lineRule="exact"/>
        <w:ind w:firstLine="640" w:firstLineChars="200"/>
        <w:textAlignment w:val="auto"/>
        <w:rPr>
          <w:rFonts w:ascii="楷体" w:hAnsi="楷体" w:eastAsia="楷体" w:cs="楷体"/>
          <w:b/>
          <w:bCs/>
          <w:color w:val="auto"/>
          <w:sz w:val="32"/>
          <w:szCs w:val="32"/>
        </w:rPr>
      </w:pPr>
      <w:r>
        <w:rPr>
          <w:rFonts w:hint="eastAsia" w:ascii="楷体" w:hAnsi="楷体" w:eastAsia="楷体" w:cs="楷体"/>
          <w:b/>
          <w:bCs/>
          <w:color w:val="auto"/>
          <w:sz w:val="32"/>
          <w:szCs w:val="32"/>
        </w:rPr>
        <w:t>（一）绩效管理工作开展情况</w:t>
      </w:r>
    </w:p>
    <w:p w14:paraId="21F9CEA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为贯彻落实《中共中央国务院关于全面实施预算绩效管理的意见》的精神，落实《关于开展</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年度财政预算支出绩效自评工作的通知》的要求，我部门积极组织开展</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年度整体支出绩效自评工作，强化财政支出绩效理念和责任意识，以切实提高财政资金使用效益。</w:t>
      </w:r>
    </w:p>
    <w:p w14:paraId="1F7C63E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rPr>
        <w:t>部门开展整体支出绩效评价，涉及一般公共预算支出598.77万元，政府性基金预算支出0万元，国有资本经营预算支出0万元, 合计598.77万元，其中：基本支出515.67万元，占86.12%；项目支出83.1万元，占13.88%。通过成立评价小组，依据相关政策规定、部门职能职责、年度工作计划、专项资金绩效目标及专项资金管理办法，对2023年度预算配置、预算执行、预算管理、资产管理、职责履行等指标完成情况、效益情况进行自评</w:t>
      </w:r>
      <w:r>
        <w:rPr>
          <w:rFonts w:hint="eastAsia" w:ascii="宋体" w:hAnsi="Times New Roman" w:eastAsia="宋体" w:cs="宋体"/>
          <w:color w:val="auto"/>
          <w:sz w:val="32"/>
          <w:szCs w:val="32"/>
          <w:highlight w:val="white"/>
        </w:rPr>
        <w:t>。</w:t>
      </w:r>
    </w:p>
    <w:p w14:paraId="761EBFB8">
      <w:pPr>
        <w:pStyle w:val="14"/>
        <w:keepNext w:val="0"/>
        <w:keepLines w:val="0"/>
        <w:pageBreakBefore w:val="0"/>
        <w:widowControl w:val="0"/>
        <w:kinsoku/>
        <w:wordWrap/>
        <w:overflowPunct/>
        <w:topLinePunct w:val="0"/>
        <w:bidi w:val="0"/>
        <w:snapToGrid/>
        <w:spacing w:line="580" w:lineRule="exact"/>
        <w:ind w:firstLine="640" w:firstLineChars="200"/>
        <w:textAlignment w:val="auto"/>
        <w:rPr>
          <w:rFonts w:ascii="楷体" w:hAnsi="楷体" w:eastAsia="楷体" w:cs="楷体"/>
          <w:b/>
          <w:bCs/>
          <w:color w:val="auto"/>
          <w:sz w:val="32"/>
          <w:szCs w:val="32"/>
        </w:rPr>
      </w:pPr>
      <w:r>
        <w:rPr>
          <w:rFonts w:hint="eastAsia" w:ascii="楷体" w:hAnsi="楷体" w:eastAsia="楷体" w:cs="楷体"/>
          <w:b/>
          <w:bCs/>
          <w:color w:val="auto"/>
          <w:sz w:val="32"/>
          <w:szCs w:val="32"/>
        </w:rPr>
        <w:t>（二）部门（单位）整体支出绩效情况</w:t>
      </w:r>
    </w:p>
    <w:p w14:paraId="4915359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从评价情况来看，单位根据年初工作规划和重点工作，围绕县委、县政府的工作部署，积极履行职责，强化管理，较好地完成了年度工作目标，同时加强预算收支的管理，建立健全内部管理制度，严格内部管理流程，严控三公经费，厉行节约压减一般性支出，部门整体支出管理得到了提升。通过整体绩效评价结果显示，</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年度整体绩效目标完成情况较好。</w:t>
      </w:r>
    </w:p>
    <w:p w14:paraId="775B989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部门整体支出绩效评价报告详见附件，同本部门的部门决算一同公开。</w:t>
      </w:r>
    </w:p>
    <w:p w14:paraId="5ECF6F60">
      <w:pPr>
        <w:pStyle w:val="14"/>
        <w:keepNext w:val="0"/>
        <w:keepLines w:val="0"/>
        <w:pageBreakBefore w:val="0"/>
        <w:widowControl w:val="0"/>
        <w:kinsoku/>
        <w:wordWrap/>
        <w:overflowPunct/>
        <w:topLinePunct w:val="0"/>
        <w:bidi w:val="0"/>
        <w:snapToGrid/>
        <w:spacing w:line="580" w:lineRule="exact"/>
        <w:ind w:firstLine="640" w:firstLineChars="200"/>
        <w:textAlignment w:val="auto"/>
        <w:rPr>
          <w:rFonts w:ascii="楷体" w:hAnsi="楷体" w:eastAsia="楷体" w:cs="楷体"/>
          <w:b/>
          <w:bCs/>
          <w:color w:val="auto"/>
          <w:sz w:val="32"/>
          <w:szCs w:val="32"/>
        </w:rPr>
      </w:pPr>
      <w:r>
        <w:rPr>
          <w:rFonts w:hint="eastAsia" w:ascii="楷体" w:hAnsi="楷体" w:eastAsia="楷体" w:cs="楷体"/>
          <w:b/>
          <w:bCs/>
          <w:color w:val="auto"/>
          <w:sz w:val="32"/>
          <w:szCs w:val="32"/>
        </w:rPr>
        <w:t>（三）存在的问题及原因分析</w:t>
      </w:r>
    </w:p>
    <w:p w14:paraId="42DEF70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一是进一步加强厉行节约机制，提高单位三保支出的保障能力。</w:t>
      </w:r>
    </w:p>
    <w:p w14:paraId="2581993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二是预算编制与实际支出项目有的存在差异，有待进一步优化预算，提高预算编制的准确性。</w:t>
      </w:r>
    </w:p>
    <w:p w14:paraId="0298BCBB">
      <w:pPr>
        <w:pStyle w:val="14"/>
        <w:keepNext w:val="0"/>
        <w:keepLines w:val="0"/>
        <w:pageBreakBefore w:val="0"/>
        <w:widowControl w:val="0"/>
        <w:kinsoku/>
        <w:wordWrap/>
        <w:overflowPunct/>
        <w:topLinePunct w:val="0"/>
        <w:bidi w:val="0"/>
        <w:snapToGrid/>
        <w:jc w:val="both"/>
        <w:textAlignment w:val="auto"/>
        <w:rPr>
          <w:color w:val="auto"/>
          <w:sz w:val="72"/>
          <w:szCs w:val="72"/>
        </w:rPr>
      </w:pPr>
    </w:p>
    <w:p w14:paraId="5B834AC3">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第四部分</w:t>
      </w:r>
    </w:p>
    <w:p w14:paraId="294217DC">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名词解释</w:t>
      </w:r>
    </w:p>
    <w:p w14:paraId="34FB38F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财政拨款收入：指本级财政当年拨付的资金。</w:t>
      </w:r>
    </w:p>
    <w:p w14:paraId="59EE685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4F445FC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基本支出：指保障机构正常运转、完成支日常工作任务而发生的人员支出和公用支出。</w:t>
      </w:r>
    </w:p>
    <w:p w14:paraId="118E6FC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工资福利支出：反映单位开支的在职职工和编制外长期聘用人员的各类劳动报酬，以及为上述人员缴纳的各项社会保险费等。</w:t>
      </w:r>
    </w:p>
    <w:p w14:paraId="1915190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基本工资：反映按规定发放的基本工资，包括公务员的职务工资、级别工资；机关工人的岗位工资、技术等级工资；事业单位工作人员的岗位工资、薪级工资；各类学校毕业生试用期</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见习期</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工资、新参加工作工人学徒期、熟练期工资；军队（武警）军官、文职干部的职务（专业技术等级）工资、军衔（级别）工资、基础工资和军龄工资；军队士官的军衔等级工资、基础工资和军龄工资等。</w:t>
      </w:r>
    </w:p>
    <w:p w14:paraId="326C880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津贴补贴：反映经国家批准建立的机关事业单位艰苦边远地区津贴、机关工作人员地区附加津贴、机关工作人员岗位津贴、事业单位工作人员特殊岗位津贴补贴等。</w:t>
      </w:r>
    </w:p>
    <w:p w14:paraId="0A7DC8A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奖金：反映机关工作人员年终一次性奖金。</w:t>
      </w:r>
    </w:p>
    <w:p w14:paraId="6C0E8E3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机关事业单位基本养老保险缴费：反映机关事业单位缴纳的基本养老保险费。由单位代扣的工作人员基本养老保险缴费，不在此科目反映。</w:t>
      </w:r>
    </w:p>
    <w:p w14:paraId="104A25E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职工基本医疗保险缴费：反映单位为职工缴纳的基本医疗保险费。</w:t>
      </w:r>
    </w:p>
    <w:p w14:paraId="347ABCE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其他社会保障缴费：反映单位为职工缴纳的基本医疗、失业、工伤、生育等社会保险费，残疾人就业保障金，军队（含武警）为军人缴纳的伤亡、退役医疗等社会保险费。</w:t>
      </w:r>
    </w:p>
    <w:p w14:paraId="744416B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住房公积金：反映行政事业单位按人力资源和社会保障部、财政部规定的基本工资和津贴补贴以及规定比例为职工缴纳的住房公积金。</w:t>
      </w:r>
    </w:p>
    <w:p w14:paraId="446036B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商品和服务支出：反映单位购买商品和服务的支出（不包括用于购置固定资产的支出、战略性和应急储备支出）。</w:t>
      </w:r>
    </w:p>
    <w:p w14:paraId="5DE7F12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办公费：反映单位购买按财务会计制度规定不符合固定资产确认标准的日常办公用品、书报杂志等支出。</w:t>
      </w:r>
    </w:p>
    <w:p w14:paraId="6E6F1C0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印刷费：反映单位的印刷费支出。</w:t>
      </w:r>
    </w:p>
    <w:p w14:paraId="66E9CCD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水费：反映单位支付的水费、污水处理费等支出。</w:t>
      </w:r>
    </w:p>
    <w:p w14:paraId="565E1C1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电费：反映单位的电费支出。</w:t>
      </w:r>
    </w:p>
    <w:p w14:paraId="0D8B4E8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邮电费：反映单位开支的信函、包裹、货物等物品的邮寄费及电话费、电报费、传真费、网络通讯费等。</w:t>
      </w:r>
    </w:p>
    <w:p w14:paraId="5956F79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差旅费：反映单位工作人员出差发生的城市间交通费、住宿费、伙食补贴费和市内交通费。</w:t>
      </w:r>
    </w:p>
    <w:p w14:paraId="264223A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维修</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护</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费：反映单位日常开支的固定资产（不包括车船等交通工具）修理和维护费用，网络信息系统运行与维护费用，以及按规定提取的修购基金。</w:t>
      </w:r>
    </w:p>
    <w:p w14:paraId="2EADFEA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培训费：反映除因公出国（境）培训费以外的各类培训支出。</w:t>
      </w:r>
    </w:p>
    <w:p w14:paraId="503AA29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劳务费：反映支付给单位和个人的劳务费用，如临时聘用人员、钟点工工资，稿费、翻译费，评审费等。</w:t>
      </w:r>
    </w:p>
    <w:p w14:paraId="5EA74B4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委托业务费：反映因委托外单位办理业务而支付的委托业务费。</w:t>
      </w:r>
    </w:p>
    <w:p w14:paraId="2892271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工会经费：反映单位按规定提取的工会经费。</w:t>
      </w:r>
    </w:p>
    <w:p w14:paraId="564E3C1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福利费：反映单位按规定提取的福利费。</w:t>
      </w:r>
    </w:p>
    <w:p w14:paraId="55C4770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其他交通费用：反映单位除公务用车运行维护费以外的其他交通费用。如公务交通补贴，租车费用、出租车费用，飞机、船舶等的燃料费、维修费、保险费等。</w:t>
      </w:r>
    </w:p>
    <w:p w14:paraId="45B17FF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其他商品和服务支出：反映上述科目未包括的日常公用支出。如行政赔偿费和诉讼费、国内组织的会员费、来访费、广告宣传、其他劳务费及离休人员特需费、公用经费等。</w:t>
      </w:r>
    </w:p>
    <w:p w14:paraId="77C2413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对个人和家庭的补助：反映政府用于对个人和家庭的补助支出。</w:t>
      </w:r>
    </w:p>
    <w:p w14:paraId="446C437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奖励金：反映政府各部门的奖励支出，如对个体私营经济的奖励、计划生育目标责任奖励、独生子女父母奖励等。</w:t>
      </w:r>
    </w:p>
    <w:p w14:paraId="32B7F78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办公设备购置：反映用于购置并按财务会计制度规定纳入固定资产核算范围的办公家具和办公设备的支出，以及按规定提取的修购基金。</w:t>
      </w:r>
    </w:p>
    <w:p w14:paraId="5A7C8FE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w:t>
      </w:r>
      <w:r>
        <w:rPr>
          <w:rFonts w:ascii="宋体" w:hAnsi="Times New Roman" w:eastAsia="宋体" w:cs="宋体"/>
          <w:color w:val="auto"/>
          <w:sz w:val="32"/>
          <w:szCs w:val="32"/>
          <w:highlight w:val="white"/>
        </w:rPr>
        <w:t xml:space="preserve"> </w:t>
      </w:r>
      <w:r>
        <w:rPr>
          <w:rFonts w:hint="eastAsia" w:ascii="宋体" w:hAnsi="Times New Roman" w:eastAsia="宋体" w:cs="宋体"/>
          <w:color w:val="auto"/>
          <w:sz w:val="32"/>
          <w:szCs w:val="32"/>
          <w:highlight w:val="white"/>
        </w:rPr>
        <w:t>办公用房物业管理费、</w:t>
      </w:r>
      <w:r>
        <w:rPr>
          <w:rFonts w:ascii="宋体" w:hAnsi="Times New Roman" w:eastAsia="宋体" w:cs="宋体"/>
          <w:color w:val="auto"/>
          <w:sz w:val="32"/>
          <w:szCs w:val="32"/>
          <w:highlight w:val="white"/>
        </w:rPr>
        <w:t xml:space="preserve"> </w:t>
      </w:r>
      <w:r>
        <w:rPr>
          <w:rFonts w:hint="eastAsia" w:ascii="宋体" w:hAnsi="Times New Roman" w:eastAsia="宋体" w:cs="宋体"/>
          <w:color w:val="auto"/>
          <w:sz w:val="32"/>
          <w:szCs w:val="32"/>
          <w:highlight w:val="white"/>
        </w:rPr>
        <w:t>公务用车运行维护费以及其他费用。</w:t>
      </w:r>
    </w:p>
    <w:p w14:paraId="506B5EE4">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rPr>
      </w:pPr>
    </w:p>
    <w:p w14:paraId="5BDC9632">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第五部分</w:t>
      </w:r>
    </w:p>
    <w:p w14:paraId="1FF8F5E8">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附 件</w:t>
      </w:r>
    </w:p>
    <w:p w14:paraId="09D6212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一、</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年度华容县政务服务中心部门决算公开表格</w:t>
      </w:r>
    </w:p>
    <w:p w14:paraId="1AFD243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二、</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年度华容县政务服务中心整体支出绩效自评报告</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I5N2I2YTM4MzJlNjhmNGU5ZGMyMTAxNTcyNGFlMDIifQ=="/>
    <w:docVar w:name="KSO_WPS_MARK_KEY" w:val="7a81dccc-1fea-492e-b29a-3017a7ac785e"/>
  </w:docVars>
  <w:rsids>
    <w:rsidRoot w:val="004506F9"/>
    <w:rsid w:val="0002229B"/>
    <w:rsid w:val="000273BD"/>
    <w:rsid w:val="00040CBC"/>
    <w:rsid w:val="000415B7"/>
    <w:rsid w:val="00041E3F"/>
    <w:rsid w:val="00055DAA"/>
    <w:rsid w:val="00061F7B"/>
    <w:rsid w:val="000658A3"/>
    <w:rsid w:val="00074155"/>
    <w:rsid w:val="000A3F69"/>
    <w:rsid w:val="000E3B6C"/>
    <w:rsid w:val="00103957"/>
    <w:rsid w:val="0012028E"/>
    <w:rsid w:val="00152C6D"/>
    <w:rsid w:val="00155778"/>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2E3273"/>
    <w:rsid w:val="003130C4"/>
    <w:rsid w:val="00316C4B"/>
    <w:rsid w:val="0032192B"/>
    <w:rsid w:val="003479BD"/>
    <w:rsid w:val="0037197D"/>
    <w:rsid w:val="003768D5"/>
    <w:rsid w:val="003926B9"/>
    <w:rsid w:val="003A49C5"/>
    <w:rsid w:val="003C47E6"/>
    <w:rsid w:val="003C4FC2"/>
    <w:rsid w:val="003C658E"/>
    <w:rsid w:val="004123DA"/>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5F7E2A"/>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A48AD"/>
    <w:rsid w:val="007C4539"/>
    <w:rsid w:val="007F3657"/>
    <w:rsid w:val="00812ED5"/>
    <w:rsid w:val="008277D9"/>
    <w:rsid w:val="0084478C"/>
    <w:rsid w:val="0086638C"/>
    <w:rsid w:val="008A3E8D"/>
    <w:rsid w:val="008D1FB3"/>
    <w:rsid w:val="00904967"/>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1240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A728A"/>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D97DEFF"/>
    <w:rsid w:val="1DFF72E5"/>
    <w:rsid w:val="1EFC6F07"/>
    <w:rsid w:val="2FDF85B8"/>
    <w:rsid w:val="2FFFEE04"/>
    <w:rsid w:val="34DF85B0"/>
    <w:rsid w:val="3B8F36BC"/>
    <w:rsid w:val="491FF225"/>
    <w:rsid w:val="4E395582"/>
    <w:rsid w:val="4FFD214C"/>
    <w:rsid w:val="5777D4F5"/>
    <w:rsid w:val="59DD8326"/>
    <w:rsid w:val="5DEF592A"/>
    <w:rsid w:val="5FC6BB1E"/>
    <w:rsid w:val="5FF720F1"/>
    <w:rsid w:val="67AF5D43"/>
    <w:rsid w:val="67FF5C0B"/>
    <w:rsid w:val="6D281506"/>
    <w:rsid w:val="6EFC0924"/>
    <w:rsid w:val="6FB74722"/>
    <w:rsid w:val="6FEF8B7E"/>
    <w:rsid w:val="71A6591B"/>
    <w:rsid w:val="7309432E"/>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annotation text"/>
    <w:basedOn w:val="1"/>
    <w:semiHidden/>
    <w:unhideWhenUsed/>
    <w:qFormat/>
    <w:uiPriority w:val="99"/>
    <w:pPr>
      <w:jc w:val="left"/>
    </w:pPr>
  </w:style>
  <w:style w:type="paragraph" w:styleId="6">
    <w:name w:val="Balloon Text"/>
    <w:basedOn w:val="1"/>
    <w:link w:val="16"/>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11">
    <w:name w:val="annotation reference"/>
    <w:basedOn w:val="10"/>
    <w:semiHidden/>
    <w:unhideWhenUsed/>
    <w:qFormat/>
    <w:uiPriority w:val="99"/>
    <w:rPr>
      <w:sz w:val="21"/>
      <w:szCs w:val="21"/>
    </w:rPr>
  </w:style>
  <w:style w:type="character" w:customStyle="1" w:styleId="12">
    <w:name w:val="页眉 Char"/>
    <w:basedOn w:val="10"/>
    <w:link w:val="8"/>
    <w:qFormat/>
    <w:uiPriority w:val="99"/>
    <w:rPr>
      <w:sz w:val="18"/>
      <w:szCs w:val="18"/>
    </w:rPr>
  </w:style>
  <w:style w:type="character" w:customStyle="1" w:styleId="13">
    <w:name w:val="页脚 Char"/>
    <w:basedOn w:val="10"/>
    <w:link w:val="7"/>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0"/>
    <w:link w:val="6"/>
    <w:semiHidden/>
    <w:qFormat/>
    <w:uiPriority w:val="99"/>
    <w:rPr>
      <w:sz w:val="18"/>
      <w:szCs w:val="18"/>
    </w:rPr>
  </w:style>
  <w:style w:type="character" w:customStyle="1" w:styleId="17">
    <w:name w:val="font01"/>
    <w:basedOn w:val="10"/>
    <w:qFormat/>
    <w:uiPriority w:val="0"/>
    <w:rPr>
      <w:rFonts w:hint="eastAsia" w:ascii="宋体" w:hAnsi="宋体" w:eastAsia="宋体" w:cs="宋体"/>
      <w:color w:val="000000"/>
      <w:sz w:val="22"/>
      <w:szCs w:val="22"/>
      <w:u w:val="none"/>
    </w:rPr>
  </w:style>
  <w:style w:type="character" w:customStyle="1" w:styleId="18">
    <w:name w:val="font21"/>
    <w:basedOn w:val="10"/>
    <w:qFormat/>
    <w:uiPriority w:val="0"/>
    <w:rPr>
      <w:rFonts w:hint="eastAsia" w:ascii="宋体" w:hAnsi="宋体" w:eastAsia="宋体" w:cs="宋体"/>
      <w:color w:val="000000"/>
      <w:sz w:val="24"/>
      <w:szCs w:val="24"/>
      <w:u w:val="none"/>
    </w:rPr>
  </w:style>
  <w:style w:type="character" w:customStyle="1" w:styleId="19">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13</Pages>
  <Words>6078</Words>
  <Characters>6467</Characters>
  <Lines>47</Lines>
  <Paragraphs>13</Paragraphs>
  <TotalTime>0</TotalTime>
  <ScaleCrop>false</ScaleCrop>
  <LinksUpToDate>false</LinksUpToDate>
  <CharactersWithSpaces>6494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2024-08-08T10:20:00Z</cp:lastPrinted>
  <dcterms:modified xsi:type="dcterms:W3CDTF">2025-11-11T12:53:49Z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EA488EF09E024D2A972FD637B1694D73</vt:lpwstr>
  </property>
  <property fmtid="{D5CDD505-2E9C-101B-9397-08002B2CF9AE}" pid="4" name="KSOTemplateDocerSaveRecord">
    <vt:lpwstr>eyJoZGlkIjoiYWNjNTk2OTRjYzEzNTI3Yzk4MDU3ZTg2ZjlhODM2NDAiLCJ1c2VySWQiOiIxNDkyNDM0OTU4In0=</vt:lpwstr>
  </property>
</Properties>
</file>