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15E57">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5CE0BE45">
      <w:pPr>
        <w:pStyle w:val="14"/>
        <w:jc w:val="center"/>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华容县行政审批服务局</w:t>
      </w:r>
      <w:r>
        <w:rPr>
          <w:rFonts w:hint="eastAsia" w:ascii="方正小标宋_GBK" w:hAnsi="方正小标宋_GBK" w:eastAsia="方正小标宋_GBK" w:cs="方正小标宋_GBK"/>
          <w:color w:val="auto"/>
          <w:sz w:val="84"/>
          <w:szCs w:val="84"/>
        </w:rPr>
        <w:t>部门决算</w:t>
      </w:r>
    </w:p>
    <w:p w14:paraId="2A60B107">
      <w:pPr>
        <w:pStyle w:val="14"/>
        <w:spacing w:line="500" w:lineRule="exact"/>
        <w:jc w:val="both"/>
        <w:rPr>
          <w:b/>
          <w:color w:val="auto"/>
          <w:sz w:val="36"/>
          <w:szCs w:val="28"/>
        </w:rPr>
      </w:pPr>
    </w:p>
    <w:p w14:paraId="64C3606F">
      <w:pPr>
        <w:pStyle w:val="14"/>
        <w:spacing w:line="500" w:lineRule="exact"/>
        <w:jc w:val="center"/>
        <w:rPr>
          <w:b/>
          <w:color w:val="auto"/>
          <w:sz w:val="36"/>
          <w:szCs w:val="28"/>
        </w:rPr>
      </w:pPr>
      <w:r>
        <w:rPr>
          <w:rFonts w:hint="eastAsia"/>
          <w:b/>
          <w:color w:val="auto"/>
          <w:sz w:val="36"/>
          <w:szCs w:val="28"/>
        </w:rPr>
        <w:t>目录</w:t>
      </w:r>
    </w:p>
    <w:p w14:paraId="7B5C1075">
      <w:pPr>
        <w:pStyle w:val="14"/>
        <w:spacing w:line="500" w:lineRule="exact"/>
        <w:rPr>
          <w:rFonts w:hAnsi="黑体"/>
          <w:bCs/>
          <w:color w:val="auto"/>
          <w:sz w:val="28"/>
          <w:szCs w:val="28"/>
        </w:rPr>
      </w:pPr>
      <w:r>
        <w:rPr>
          <w:rFonts w:hint="eastAsia" w:hAnsi="黑体"/>
          <w:bCs/>
          <w:color w:val="auto"/>
          <w:sz w:val="28"/>
          <w:szCs w:val="28"/>
        </w:rPr>
        <w:t>第一部分华容县行政审批服务局概况</w:t>
      </w:r>
    </w:p>
    <w:p w14:paraId="4844F267">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478DB076">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6BB1D21B">
      <w:pPr>
        <w:pStyle w:val="14"/>
        <w:spacing w:line="500" w:lineRule="exact"/>
        <w:rPr>
          <w:rFonts w:hAnsi="黑体"/>
          <w:bCs/>
          <w:color w:val="auto"/>
          <w:sz w:val="28"/>
          <w:szCs w:val="28"/>
        </w:rPr>
      </w:pPr>
      <w:r>
        <w:rPr>
          <w:rFonts w:hint="eastAsia" w:hAnsi="黑体"/>
          <w:bCs/>
          <w:color w:val="auto"/>
          <w:sz w:val="28"/>
          <w:szCs w:val="28"/>
        </w:rPr>
        <w:t>第二部分 部门决算表</w:t>
      </w:r>
    </w:p>
    <w:p w14:paraId="11336C0B">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0884981B">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0DAD186D">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233034AD">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3753C137">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4BA6162C">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4AA3EA31">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736DBC0A">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6E870843">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0F57C737">
      <w:pPr>
        <w:pStyle w:val="14"/>
        <w:spacing w:line="500" w:lineRule="exact"/>
        <w:rPr>
          <w:rFonts w:hAnsi="黑体"/>
          <w:bCs/>
          <w:color w:val="auto"/>
          <w:sz w:val="28"/>
          <w:szCs w:val="28"/>
        </w:rPr>
      </w:pPr>
      <w:bookmarkStart w:id="0" w:name="_GoBack"/>
      <w:bookmarkEnd w:id="0"/>
      <w:r>
        <w:rPr>
          <w:rFonts w:hint="eastAsia" w:hAnsi="黑体"/>
          <w:bCs/>
          <w:color w:val="auto"/>
          <w:sz w:val="28"/>
          <w:szCs w:val="28"/>
        </w:rPr>
        <w:t>第四部分 名词解释</w:t>
      </w:r>
    </w:p>
    <w:p w14:paraId="315AC2B7">
      <w:pPr>
        <w:pStyle w:val="14"/>
        <w:spacing w:line="500" w:lineRule="exact"/>
        <w:rPr>
          <w:rFonts w:hAnsi="黑体"/>
          <w:bCs/>
          <w:color w:val="auto"/>
          <w:sz w:val="28"/>
          <w:szCs w:val="28"/>
        </w:rPr>
      </w:pPr>
      <w:r>
        <w:rPr>
          <w:rFonts w:hint="eastAsia" w:hAnsi="黑体"/>
          <w:bCs/>
          <w:color w:val="auto"/>
          <w:sz w:val="28"/>
          <w:szCs w:val="28"/>
        </w:rPr>
        <w:t>第五部分 附件</w:t>
      </w:r>
    </w:p>
    <w:p w14:paraId="6C130EE4">
      <w:pPr>
        <w:pStyle w:val="14"/>
        <w:spacing w:line="500" w:lineRule="exact"/>
        <w:rPr>
          <w:rFonts w:hAnsi="黑体"/>
          <w:bCs/>
          <w:color w:val="auto"/>
          <w:sz w:val="28"/>
          <w:szCs w:val="28"/>
        </w:rPr>
      </w:pPr>
    </w:p>
    <w:p w14:paraId="505B6A5F">
      <w:pPr>
        <w:pStyle w:val="14"/>
        <w:jc w:val="center"/>
        <w:rPr>
          <w:rFonts w:ascii="方正小标宋_GBK" w:hAnsi="方正小标宋_GBK" w:eastAsia="方正小标宋_GBK" w:cs="方正小标宋_GBK"/>
          <w:color w:val="auto"/>
          <w:sz w:val="48"/>
          <w:szCs w:val="48"/>
        </w:rPr>
      </w:pPr>
    </w:p>
    <w:p w14:paraId="53247953">
      <w:pPr>
        <w:pStyle w:val="14"/>
        <w:jc w:val="center"/>
        <w:rPr>
          <w:rFonts w:ascii="方正小标宋_GBK" w:hAnsi="方正小标宋_GBK" w:eastAsia="方正小标宋_GBK" w:cs="方正小标宋_GBK"/>
          <w:color w:val="auto"/>
          <w:sz w:val="48"/>
          <w:szCs w:val="48"/>
        </w:rPr>
      </w:pPr>
    </w:p>
    <w:p w14:paraId="1B3B7B84">
      <w:pPr>
        <w:pStyle w:val="14"/>
        <w:jc w:val="center"/>
        <w:rPr>
          <w:rFonts w:ascii="方正小标宋_GBK" w:hAnsi="方正小标宋_GBK" w:eastAsia="方正小标宋_GBK" w:cs="方正小标宋_GBK"/>
          <w:color w:val="auto"/>
          <w:sz w:val="48"/>
          <w:szCs w:val="48"/>
        </w:rPr>
      </w:pPr>
    </w:p>
    <w:p w14:paraId="5A9F39DF">
      <w:pPr>
        <w:pStyle w:val="14"/>
        <w:jc w:val="center"/>
        <w:rPr>
          <w:rFonts w:ascii="方正小标宋_GBK" w:hAnsi="方正小标宋_GBK" w:eastAsia="方正小标宋_GBK" w:cs="方正小标宋_GBK"/>
          <w:color w:val="auto"/>
          <w:sz w:val="48"/>
          <w:szCs w:val="48"/>
        </w:rPr>
      </w:pPr>
    </w:p>
    <w:p w14:paraId="3C6386FF">
      <w:pPr>
        <w:pStyle w:val="14"/>
        <w:jc w:val="center"/>
        <w:rPr>
          <w:rFonts w:ascii="方正小标宋_GBK" w:hAnsi="方正小标宋_GBK" w:eastAsia="方正小标宋_GBK" w:cs="方正小标宋_GBK"/>
          <w:color w:val="auto"/>
          <w:sz w:val="48"/>
          <w:szCs w:val="48"/>
        </w:rPr>
      </w:pPr>
    </w:p>
    <w:p w14:paraId="6EC24517">
      <w:pPr>
        <w:pStyle w:val="14"/>
        <w:jc w:val="center"/>
        <w:rPr>
          <w:rFonts w:ascii="方正小标宋_GBK" w:hAnsi="方正小标宋_GBK" w:eastAsia="方正小标宋_GBK" w:cs="方正小标宋_GBK"/>
          <w:color w:val="auto"/>
          <w:sz w:val="48"/>
          <w:szCs w:val="48"/>
        </w:rPr>
      </w:pPr>
    </w:p>
    <w:p w14:paraId="4A716D5B">
      <w:pPr>
        <w:pStyle w:val="14"/>
        <w:jc w:val="center"/>
        <w:rPr>
          <w:rFonts w:ascii="方正小标宋_GBK" w:hAnsi="方正小标宋_GBK" w:eastAsia="方正小标宋_GBK" w:cs="方正小标宋_GBK"/>
          <w:color w:val="auto"/>
          <w:sz w:val="48"/>
          <w:szCs w:val="48"/>
        </w:rPr>
      </w:pPr>
    </w:p>
    <w:p w14:paraId="63C22A8A">
      <w:pPr>
        <w:pStyle w:val="14"/>
        <w:jc w:val="center"/>
        <w:rPr>
          <w:rFonts w:ascii="方正小标宋_GBK" w:hAnsi="方正小标宋_GBK" w:eastAsia="方正小标宋_GBK" w:cs="方正小标宋_GBK"/>
          <w:color w:val="auto"/>
          <w:sz w:val="48"/>
          <w:szCs w:val="48"/>
        </w:rPr>
      </w:pPr>
    </w:p>
    <w:p w14:paraId="08AC4E80">
      <w:pPr>
        <w:pStyle w:val="14"/>
        <w:jc w:val="center"/>
        <w:rPr>
          <w:rFonts w:ascii="方正小标宋_GBK" w:hAnsi="方正小标宋_GBK" w:eastAsia="方正小标宋_GBK" w:cs="方正小标宋_GBK"/>
          <w:color w:val="auto"/>
          <w:sz w:val="48"/>
          <w:szCs w:val="48"/>
        </w:rPr>
      </w:pPr>
    </w:p>
    <w:p w14:paraId="35053DFD">
      <w:pPr>
        <w:pStyle w:val="14"/>
        <w:jc w:val="center"/>
        <w:rPr>
          <w:rFonts w:ascii="方正小标宋_GBK" w:hAnsi="方正小标宋_GBK" w:eastAsia="方正小标宋_GBK" w:cs="方正小标宋_GBK"/>
          <w:color w:val="auto"/>
          <w:sz w:val="48"/>
          <w:szCs w:val="48"/>
        </w:rPr>
      </w:pPr>
    </w:p>
    <w:p w14:paraId="0E6529FD">
      <w:pPr>
        <w:pStyle w:val="14"/>
        <w:jc w:val="center"/>
        <w:rPr>
          <w:rFonts w:ascii="方正小标宋_GBK" w:hAnsi="方正小标宋_GBK" w:eastAsia="方正小标宋_GBK" w:cs="方正小标宋_GBK"/>
          <w:color w:val="auto"/>
          <w:sz w:val="48"/>
          <w:szCs w:val="48"/>
        </w:rPr>
      </w:pPr>
    </w:p>
    <w:p w14:paraId="441AC32A">
      <w:pPr>
        <w:pStyle w:val="14"/>
        <w:jc w:val="center"/>
        <w:rPr>
          <w:rFonts w:ascii="方正小标宋_GBK" w:hAnsi="方正小标宋_GBK" w:eastAsia="方正小标宋_GBK" w:cs="方正小标宋_GBK"/>
          <w:color w:val="auto"/>
          <w:sz w:val="48"/>
          <w:szCs w:val="48"/>
        </w:rPr>
      </w:pPr>
    </w:p>
    <w:p w14:paraId="35F0E93D">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234EA55C">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华容县行政审批服务局概况</w:t>
      </w:r>
    </w:p>
    <w:p w14:paraId="62631EEF">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一、部门职责</w:t>
      </w:r>
    </w:p>
    <w:p w14:paraId="5F985E6E">
      <w:pPr>
        <w:keepNext/>
        <w:keepLines/>
        <w:shd w:val="clear" w:color="auto" w:fill="FFFFFF"/>
        <w:autoSpaceDE w:val="0"/>
        <w:autoSpaceDN w:val="0"/>
        <w:adjustRightInd w:val="0"/>
        <w:ind w:firstLine="640"/>
        <w:jc w:val="left"/>
        <w:rPr>
          <w:rFonts w:ascii="宋体" w:hAnsi="Times New Roman" w:eastAsia="宋体" w:cs="宋体"/>
          <w:kern w:val="0"/>
          <w:sz w:val="32"/>
          <w:szCs w:val="32"/>
        </w:rPr>
      </w:pPr>
      <w:r>
        <w:rPr>
          <w:rFonts w:hint="eastAsia" w:ascii="宋体" w:hAnsi="Times New Roman" w:eastAsia="宋体" w:cs="宋体"/>
          <w:kern w:val="0"/>
          <w:sz w:val="32"/>
          <w:szCs w:val="32"/>
        </w:rPr>
        <w:t>对全县具有行政许可及行政审批职能的部门进行分类管理；</w:t>
      </w:r>
    </w:p>
    <w:p w14:paraId="37861EEF">
      <w:pPr>
        <w:keepNext/>
        <w:keepLines/>
        <w:shd w:val="clear" w:color="auto" w:fill="FFFFFF"/>
        <w:autoSpaceDE w:val="0"/>
        <w:autoSpaceDN w:val="0"/>
        <w:adjustRightInd w:val="0"/>
        <w:ind w:firstLine="640"/>
        <w:jc w:val="left"/>
        <w:rPr>
          <w:rFonts w:ascii="宋体" w:hAnsi="Times New Roman" w:eastAsia="宋体" w:cs="宋体"/>
          <w:kern w:val="0"/>
          <w:sz w:val="32"/>
          <w:szCs w:val="32"/>
        </w:rPr>
      </w:pPr>
      <w:r>
        <w:rPr>
          <w:rFonts w:hint="eastAsia" w:ascii="宋体" w:hAnsi="Times New Roman" w:eastAsia="宋体" w:cs="宋体"/>
          <w:kern w:val="0"/>
          <w:sz w:val="32"/>
          <w:szCs w:val="32"/>
        </w:rPr>
        <w:t>主要负责对窗口办理的行政许可和行政审批事项全过程进行监督协调，并进行日常考勤考核管理；</w:t>
      </w:r>
    </w:p>
    <w:p w14:paraId="3B79AFA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负责对乡镇和县直单位的政务公开和政务服务工作进行检查督促</w:t>
      </w:r>
      <w:r>
        <w:rPr>
          <w:rFonts w:hint="eastAsia" w:ascii="宋体" w:hAnsi="Times New Roman" w:eastAsia="宋体" w:cs="宋体"/>
          <w:color w:val="auto"/>
          <w:sz w:val="32"/>
          <w:szCs w:val="32"/>
          <w:highlight w:val="white"/>
        </w:rPr>
        <w:t>。</w:t>
      </w:r>
    </w:p>
    <w:p w14:paraId="4D7C0BC0">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21A02C9B">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2BCDF207">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华容县行政审批服务局单位内设机构包括：</w:t>
      </w:r>
      <w:r>
        <w:rPr>
          <w:rFonts w:hint="eastAsia" w:ascii="宋体" w:hAnsi="Times New Roman" w:eastAsia="宋体" w:cs="宋体"/>
          <w:sz w:val="32"/>
          <w:szCs w:val="32"/>
          <w:lang w:val="zh-CN"/>
        </w:rPr>
        <w:t>综合办、数据资源股、数字经济和基础设施建设股、应用建设股、行政审批与政务服务股、行政效能与政务公开股</w:t>
      </w:r>
      <w:r>
        <w:rPr>
          <w:rFonts w:hint="eastAsia" w:ascii="宋体" w:hAnsi="Times New Roman" w:eastAsia="宋体" w:cs="宋体"/>
          <w:sz w:val="32"/>
          <w:szCs w:val="32"/>
          <w:highlight w:val="white"/>
        </w:rPr>
        <w:t>。</w:t>
      </w:r>
    </w:p>
    <w:p w14:paraId="1311DF5A">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4EFA1CA6">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华容县行政审批服务局单位2023年部门决算汇总公开单位构成包括：局机关本级决算（根据财政预算管理制度，所属二级机构为一级预算单位，部门决算报表分别单独公开）,不包含下属单位。</w:t>
      </w:r>
    </w:p>
    <w:p w14:paraId="117B6BCB">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0E029ABA">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3D3FB906">
      <w:pPr>
        <w:pStyle w:val="14"/>
        <w:jc w:val="center"/>
        <w:rPr>
          <w:rFonts w:hAnsi="黑体"/>
          <w:bCs/>
          <w:color w:val="auto"/>
          <w:kern w:val="2"/>
          <w:sz w:val="32"/>
          <w:szCs w:val="32"/>
        </w:rPr>
      </w:pPr>
      <w:r>
        <w:rPr>
          <w:rFonts w:hint="eastAsia" w:hAnsi="黑体"/>
          <w:bCs/>
          <w:color w:val="auto"/>
          <w:kern w:val="2"/>
          <w:sz w:val="32"/>
          <w:szCs w:val="32"/>
        </w:rPr>
        <w:t>详见附件表格</w:t>
      </w:r>
    </w:p>
    <w:p w14:paraId="7735AB4A">
      <w:pPr>
        <w:pStyle w:val="14"/>
        <w:jc w:val="center"/>
        <w:rPr>
          <w:rFonts w:ascii="方正小标宋_GBK" w:hAnsi="方正小标宋_GBK" w:eastAsia="方正小标宋_GBK" w:cs="方正小标宋_GBK"/>
          <w:color w:val="auto"/>
          <w:sz w:val="48"/>
          <w:szCs w:val="48"/>
        </w:rPr>
      </w:pPr>
    </w:p>
    <w:p w14:paraId="45B825E0">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77BEBC5C">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7AE45EAB">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3DAB090E">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年度收、支总计均为</w:t>
      </w:r>
      <w:r>
        <w:rPr>
          <w:rFonts w:ascii="宋体" w:hAnsi="Times New Roman" w:eastAsia="宋体" w:cs="宋体"/>
          <w:sz w:val="32"/>
          <w:szCs w:val="32"/>
          <w:highlight w:val="white"/>
          <w:lang w:val="zh-CN"/>
        </w:rPr>
        <w:t>1555.68</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年相比，收、支总计各增加</w:t>
      </w:r>
      <w:r>
        <w:rPr>
          <w:rFonts w:ascii="宋体" w:hAnsi="Times New Roman" w:eastAsia="宋体" w:cs="宋体"/>
          <w:sz w:val="32"/>
          <w:szCs w:val="32"/>
          <w:highlight w:val="white"/>
          <w:lang w:val="zh-CN"/>
        </w:rPr>
        <w:t>1031.66</w:t>
      </w:r>
      <w:r>
        <w:rPr>
          <w:rFonts w:hint="eastAsia" w:ascii="宋体" w:hAnsi="Times New Roman" w:eastAsia="宋体" w:cs="宋体"/>
          <w:sz w:val="32"/>
          <w:szCs w:val="32"/>
          <w:highlight w:val="white"/>
          <w:lang w:val="zh-CN"/>
        </w:rPr>
        <w:t>万元，增长</w:t>
      </w:r>
      <w:r>
        <w:rPr>
          <w:rFonts w:ascii="宋体" w:hAnsi="Times New Roman" w:eastAsia="宋体" w:cs="宋体"/>
          <w:sz w:val="32"/>
          <w:szCs w:val="32"/>
          <w:highlight w:val="white"/>
          <w:lang w:val="zh-CN"/>
        </w:rPr>
        <w:t>196.88%</w:t>
      </w:r>
      <w:r>
        <w:rPr>
          <w:rFonts w:hint="eastAsia" w:ascii="宋体" w:hAnsi="Times New Roman" w:eastAsia="宋体" w:cs="宋体"/>
          <w:sz w:val="32"/>
          <w:szCs w:val="32"/>
          <w:highlight w:val="white"/>
          <w:lang w:val="zh-CN"/>
        </w:rPr>
        <w:t>。主要原因是业务任务增加，基本支出增加</w:t>
      </w:r>
      <w:r>
        <w:rPr>
          <w:rFonts w:ascii="宋体" w:hAnsi="Times New Roman" w:eastAsia="宋体" w:cs="宋体"/>
          <w:sz w:val="32"/>
          <w:szCs w:val="32"/>
          <w:highlight w:val="white"/>
          <w:lang w:val="zh-CN"/>
        </w:rPr>
        <w:t>90.72</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940.94</w:t>
      </w:r>
      <w:r>
        <w:rPr>
          <w:rFonts w:hint="eastAsia" w:ascii="宋体" w:hAnsi="Times New Roman" w:eastAsia="宋体" w:cs="宋体"/>
          <w:sz w:val="32"/>
          <w:szCs w:val="32"/>
          <w:highlight w:val="white"/>
          <w:lang w:val="zh-CN"/>
        </w:rPr>
        <w:t>万元，财政拨款收入增加</w:t>
      </w:r>
      <w:r>
        <w:rPr>
          <w:rFonts w:ascii="宋体" w:hAnsi="Times New Roman" w:eastAsia="宋体" w:cs="宋体"/>
          <w:sz w:val="32"/>
          <w:szCs w:val="32"/>
          <w:highlight w:val="white"/>
          <w:lang w:val="zh-CN"/>
        </w:rPr>
        <w:t>1031.66</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3ECA6E88">
      <w:pPr>
        <w:pStyle w:val="14"/>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2C152488">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年度收入合计</w:t>
      </w:r>
      <w:r>
        <w:rPr>
          <w:rFonts w:ascii="宋体" w:hAnsi="Times New Roman" w:eastAsia="宋体" w:cs="宋体"/>
          <w:sz w:val="32"/>
          <w:szCs w:val="32"/>
          <w:highlight w:val="white"/>
        </w:rPr>
        <w:t>1555.68</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1555.68</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2FB8AFC0">
      <w:pPr>
        <w:pStyle w:val="14"/>
        <w:spacing w:line="600" w:lineRule="exact"/>
        <w:ind w:left="420" w:leftChars="200" w:firstLine="160" w:firstLineChars="50"/>
        <w:rPr>
          <w:rFonts w:hAnsi="黑体"/>
          <w:bCs/>
          <w:color w:val="auto"/>
          <w:sz w:val="32"/>
          <w:szCs w:val="32"/>
        </w:rPr>
      </w:pPr>
      <w:r>
        <w:rPr>
          <w:rFonts w:hint="eastAsia" w:hAnsi="黑体"/>
          <w:bCs/>
          <w:color w:val="auto"/>
          <w:sz w:val="32"/>
          <w:szCs w:val="32"/>
        </w:rPr>
        <w:t>三、支出决算情况说明</w:t>
      </w:r>
    </w:p>
    <w:p w14:paraId="7BAB8FEC">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年度支出合计</w:t>
      </w:r>
      <w:r>
        <w:rPr>
          <w:rFonts w:ascii="宋体" w:hAnsi="Times New Roman" w:eastAsia="宋体" w:cs="宋体"/>
          <w:sz w:val="32"/>
          <w:szCs w:val="32"/>
          <w:highlight w:val="white"/>
        </w:rPr>
        <w:t>1555.68</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250.57</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16.11%</w:t>
      </w:r>
      <w:r>
        <w:rPr>
          <w:rFonts w:hint="eastAsia" w:ascii="宋体" w:hAnsi="Times New Roman" w:eastAsia="宋体" w:cs="宋体"/>
          <w:sz w:val="32"/>
          <w:szCs w:val="32"/>
          <w:highlight w:val="white"/>
        </w:rPr>
        <w:t>；项目支出</w:t>
      </w:r>
      <w:r>
        <w:rPr>
          <w:rFonts w:ascii="宋体" w:hAnsi="Times New Roman" w:eastAsia="宋体" w:cs="宋体"/>
          <w:sz w:val="32"/>
          <w:szCs w:val="32"/>
          <w:highlight w:val="white"/>
        </w:rPr>
        <w:t>1305.11</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83.89%</w:t>
      </w:r>
      <w:r>
        <w:rPr>
          <w:rFonts w:hint="eastAsia" w:ascii="宋体" w:hAnsi="Times New Roman" w:eastAsia="宋体" w:cs="宋体"/>
          <w:sz w:val="32"/>
          <w:szCs w:val="32"/>
          <w:highlight w:val="white"/>
        </w:rPr>
        <w:t>。</w:t>
      </w:r>
    </w:p>
    <w:p w14:paraId="1B2DA21D">
      <w:pPr>
        <w:pStyle w:val="14"/>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494E84C3">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年度财政拨款收、支总计均为</w:t>
      </w:r>
      <w:r>
        <w:rPr>
          <w:rFonts w:ascii="宋体" w:hAnsi="Times New Roman" w:eastAsia="宋体" w:cs="宋体"/>
          <w:sz w:val="32"/>
          <w:szCs w:val="32"/>
          <w:highlight w:val="white"/>
        </w:rPr>
        <w:t>1555.68</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w:t>
      </w:r>
      <w:r>
        <w:rPr>
          <w:rFonts w:hint="eastAsia" w:ascii="宋体" w:hAnsi="Times New Roman" w:eastAsia="宋体" w:cs="宋体"/>
          <w:sz w:val="32"/>
          <w:szCs w:val="32"/>
          <w:highlight w:val="white"/>
        </w:rPr>
        <w:t>财政拨款收、支总计各增加</w:t>
      </w:r>
      <w:r>
        <w:rPr>
          <w:rFonts w:ascii="宋体" w:hAnsi="Times New Roman" w:eastAsia="宋体" w:cs="宋体"/>
          <w:sz w:val="32"/>
          <w:szCs w:val="32"/>
          <w:highlight w:val="white"/>
        </w:rPr>
        <w:t>1031.66</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196.88%</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主要原因是业务任务增加，基本支出增加</w:t>
      </w:r>
      <w:r>
        <w:rPr>
          <w:rFonts w:ascii="宋体" w:hAnsi="Times New Roman" w:eastAsia="宋体" w:cs="宋体"/>
          <w:sz w:val="32"/>
          <w:szCs w:val="32"/>
          <w:highlight w:val="white"/>
          <w:lang w:val="zh-CN"/>
        </w:rPr>
        <w:t>90.72</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940.94</w:t>
      </w:r>
      <w:r>
        <w:rPr>
          <w:rFonts w:hint="eastAsia" w:ascii="宋体" w:hAnsi="Times New Roman" w:eastAsia="宋体" w:cs="宋体"/>
          <w:sz w:val="32"/>
          <w:szCs w:val="32"/>
          <w:highlight w:val="white"/>
          <w:lang w:val="zh-CN"/>
        </w:rPr>
        <w:t>万元，财政拨款收入增加</w:t>
      </w:r>
      <w:r>
        <w:rPr>
          <w:rFonts w:ascii="宋体" w:hAnsi="Times New Roman" w:eastAsia="宋体" w:cs="宋体"/>
          <w:sz w:val="32"/>
          <w:szCs w:val="32"/>
          <w:highlight w:val="white"/>
          <w:lang w:val="zh-CN"/>
        </w:rPr>
        <w:t>1031.66</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52371C71">
      <w:pPr>
        <w:pStyle w:val="14"/>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5EA3FAD6">
      <w:pPr>
        <w:pStyle w:val="14"/>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04751376">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年度财政拨款支出</w:t>
      </w:r>
      <w:r>
        <w:rPr>
          <w:rFonts w:ascii="宋体" w:hAnsi="Times New Roman" w:eastAsia="宋体" w:cs="宋体"/>
          <w:sz w:val="32"/>
          <w:szCs w:val="32"/>
          <w:highlight w:val="white"/>
        </w:rPr>
        <w:t>1555.68</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年度相比，财政拨款支出增加</w:t>
      </w:r>
      <w:r>
        <w:rPr>
          <w:rFonts w:ascii="宋体" w:hAnsi="Times New Roman" w:eastAsia="宋体" w:cs="宋体"/>
          <w:sz w:val="32"/>
          <w:szCs w:val="32"/>
          <w:highlight w:val="white"/>
        </w:rPr>
        <w:t>1031.66</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196.88%,</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highlight w:val="white"/>
          <w:lang w:val="zh-CN"/>
        </w:rPr>
        <w:t>业务任务增加，基本支出增加</w:t>
      </w:r>
      <w:r>
        <w:rPr>
          <w:rFonts w:ascii="宋体" w:hAnsi="Times New Roman" w:eastAsia="宋体" w:cs="宋体"/>
          <w:sz w:val="32"/>
          <w:szCs w:val="32"/>
          <w:highlight w:val="white"/>
          <w:lang w:val="zh-CN"/>
        </w:rPr>
        <w:t>90.72</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940.94</w:t>
      </w:r>
      <w:r>
        <w:rPr>
          <w:rFonts w:hint="eastAsia" w:ascii="宋体" w:hAnsi="Times New Roman" w:eastAsia="宋体" w:cs="宋体"/>
          <w:sz w:val="32"/>
          <w:szCs w:val="32"/>
          <w:highlight w:val="white"/>
          <w:lang w:val="zh-CN"/>
        </w:rPr>
        <w:t>万元，财政拨款收入增加</w:t>
      </w:r>
      <w:r>
        <w:rPr>
          <w:rFonts w:ascii="宋体" w:hAnsi="Times New Roman" w:eastAsia="宋体" w:cs="宋体"/>
          <w:sz w:val="32"/>
          <w:szCs w:val="32"/>
          <w:highlight w:val="white"/>
          <w:lang w:val="zh-CN"/>
        </w:rPr>
        <w:t>1031.66</w:t>
      </w:r>
      <w:r>
        <w:rPr>
          <w:rFonts w:hint="eastAsia" w:ascii="宋体" w:hAnsi="Times New Roman" w:eastAsia="宋体" w:cs="宋体"/>
          <w:sz w:val="32"/>
          <w:szCs w:val="32"/>
          <w:highlight w:val="white"/>
          <w:lang w:val="zh-CN"/>
        </w:rPr>
        <w:t>万元。</w:t>
      </w:r>
    </w:p>
    <w:p w14:paraId="3B5684BC">
      <w:pPr>
        <w:pStyle w:val="14"/>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53592020">
      <w:pPr>
        <w:keepNext/>
        <w:keepLines/>
        <w:autoSpaceDE w:val="0"/>
        <w:autoSpaceDN w:val="0"/>
        <w:adjustRightInd w:val="0"/>
        <w:ind w:firstLine="641"/>
        <w:rPr>
          <w:rFonts w:ascii="Calibri" w:hAnsi="Calibri" w:eastAsia="宋体" w:cs="Calibri"/>
          <w:szCs w:val="21"/>
          <w:highlight w:val="white"/>
          <w:lang w:val="zh-CN"/>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年度财政拨款支出</w:t>
      </w:r>
      <w:r>
        <w:rPr>
          <w:rFonts w:ascii="宋体" w:hAnsi="Times New Roman" w:eastAsia="宋体" w:cs="宋体"/>
          <w:kern w:val="0"/>
          <w:sz w:val="32"/>
          <w:szCs w:val="32"/>
          <w:highlight w:val="white"/>
        </w:rPr>
        <w:t>1555.68</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1555.68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100%</w:t>
      </w:r>
      <w:r>
        <w:rPr>
          <w:rFonts w:hint="eastAsia" w:ascii="宋体" w:hAnsi="Times New Roman" w:eastAsia="宋体" w:cs="宋体"/>
          <w:kern w:val="0"/>
          <w:sz w:val="32"/>
          <w:szCs w:val="32"/>
          <w:highlight w:val="white"/>
        </w:rPr>
        <w:t>。</w:t>
      </w:r>
    </w:p>
    <w:p w14:paraId="0A94AC3F">
      <w:pPr>
        <w:pStyle w:val="14"/>
        <w:spacing w:line="600" w:lineRule="exact"/>
        <w:ind w:firstLine="800" w:firstLineChars="250"/>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39A8C0B7">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2023年度财政拨款支出年初预算为186.5万元，支出决算为1555.68万元，完成年初预算的834.14%。其中：</w:t>
      </w:r>
    </w:p>
    <w:p w14:paraId="0DF3C3FC">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 xml:space="preserve">一般公共服务支出（类）政府办公厅（室）及相关机构事务（款）一般行政管理事务（项）。年初预算为0万元，支出决算为15万元，由于年初预算为0，无法计算百分比。决算数大于预算数的主要原因是业务工作任务增加，财政追拨一般行政管理事务经费。  </w:t>
      </w:r>
    </w:p>
    <w:p w14:paraId="5E8947AF">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 xml:space="preserve">一般公共服务支出（类）政府办公厅（室）及相关机构事务（款）政务公开审批（项）。年初预算为186.5万元，支出决算为1307.11万元，完成年初预算的700.86%。决算数大于预算数的主要原因是业务工作任务增加，财政追拨政务公开审批经费。  </w:t>
      </w:r>
    </w:p>
    <w:p w14:paraId="5C627F95">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 xml:space="preserve">一般公共服务支出（类）政府办公厅（室）及相关机构事务（款）其他政府办公厅（室）及相关机构事务支出（项）。年初预算为1万元，支出决算为45万元，由于年初预算为0，无法计算百分比。决算数大于预算数的主要原因是业务工作任务增加，财政追拨其他政府办公厅（室）及相关机构事务支出经费。  </w:t>
      </w:r>
    </w:p>
    <w:p w14:paraId="4DACB251">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 xml:space="preserve">一般公共服务支出（类）发展与改革事务（款）其他发展与改革事务支出（项）。年初预算为0万元，支出决算为5万元，由于年初预算为0，无法计算百分比。决算数大于预算数的主要原因是业务工作任务增加，财政追拨其他发展与改革事务支出经费。  </w:t>
      </w:r>
    </w:p>
    <w:p w14:paraId="601A7DEF">
      <w:pPr>
        <w:pStyle w:val="14"/>
        <w:spacing w:line="600" w:lineRule="exact"/>
        <w:ind w:firstLine="640" w:firstLineChars="200"/>
        <w:rPr>
          <w:rFonts w:ascii="宋体" w:hAnsi="Calibri" w:eastAsia="宋体" w:cs="宋体"/>
          <w:color w:val="auto"/>
          <w:sz w:val="32"/>
          <w:szCs w:val="32"/>
        </w:rPr>
      </w:pPr>
      <w:r>
        <w:rPr>
          <w:rFonts w:hint="eastAsia" w:ascii="宋体" w:hAnsi="Times New Roman" w:eastAsia="宋体" w:cs="宋体"/>
          <w:color w:val="auto"/>
          <w:sz w:val="32"/>
          <w:szCs w:val="32"/>
          <w:highlight w:val="white"/>
        </w:rPr>
        <w:t>一般公共服务支出（类）其他一般公共服务支出（款）其他一般公共服务支出（项）。年初预算为0万元，支出决算为183.57万元，由于年初预算为0，无法计算百分比。决算数大于预算数的主要原因是业务工作任务增加，财政追拨其他一般公共服务支出经费。</w:t>
      </w:r>
      <w:r>
        <w:rPr>
          <w:rFonts w:ascii="宋体" w:hAnsi="Calibri" w:eastAsia="宋体" w:cs="宋体"/>
          <w:color w:val="auto"/>
          <w:sz w:val="32"/>
          <w:szCs w:val="32"/>
        </w:rPr>
        <w:t xml:space="preserve">  </w:t>
      </w:r>
    </w:p>
    <w:p w14:paraId="75A86F35">
      <w:pPr>
        <w:pStyle w:val="14"/>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423FE947">
      <w:pPr>
        <w:keepNext/>
        <w:keepLines/>
        <w:autoSpaceDE w:val="0"/>
        <w:autoSpaceDN w:val="0"/>
        <w:adjustRightInd w:val="0"/>
        <w:ind w:firstLine="640"/>
        <w:jc w:val="left"/>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250.57</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0DB87233">
      <w:pPr>
        <w:keepNext/>
        <w:keepLines/>
        <w:autoSpaceDE w:val="0"/>
        <w:autoSpaceDN w:val="0"/>
        <w:adjustRightInd w:val="0"/>
        <w:ind w:firstLine="643"/>
        <w:jc w:val="left"/>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155.3</w:t>
      </w:r>
      <w:r>
        <w:rPr>
          <w:rFonts w:hint="eastAsia" w:ascii="宋体" w:hAnsi="Times New Roman" w:eastAsia="宋体" w:cs="宋体"/>
          <w:kern w:val="0"/>
          <w:sz w:val="32"/>
          <w:szCs w:val="32"/>
          <w:highlight w:val="white"/>
        </w:rPr>
        <w:t>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61.98%</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3704034A">
      <w:pPr>
        <w:pStyle w:val="14"/>
        <w:spacing w:line="600" w:lineRule="exact"/>
        <w:ind w:firstLine="640" w:firstLineChars="200"/>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95.27</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38.02%</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3AA1BB81">
      <w:pPr>
        <w:pStyle w:val="14"/>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5CD82F59">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2202526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2023年度“三公”经费财政拨款支出预算为0.5万元，支出决算为0.48万元,完成预算的96%，决算数小于预算数的主要原因是认真贯彻落实</w:t>
      </w:r>
      <w:r>
        <w:rPr>
          <w:rFonts w:hint="eastAsia" w:ascii="宋体" w:hAnsi="Times New Roman" w:eastAsia="宋体" w:cs="宋体"/>
          <w:color w:val="auto"/>
          <w:sz w:val="32"/>
          <w:szCs w:val="32"/>
          <w:lang w:eastAsia="zh-CN"/>
        </w:rPr>
        <w:t>中央八项规定</w:t>
      </w:r>
      <w:r>
        <w:rPr>
          <w:rFonts w:hint="eastAsia" w:ascii="宋体" w:hAnsi="Times New Roman" w:eastAsia="宋体" w:cs="宋体"/>
          <w:color w:val="auto"/>
          <w:sz w:val="32"/>
          <w:szCs w:val="32"/>
        </w:rPr>
        <w:t>精神和厉行节约要求，从严控制“三公”经费开支，全年实际支出比预算有所节约。与上年相比减少0.13万元，下降21.31%,减少主要原因是认真贯彻落实</w:t>
      </w:r>
      <w:r>
        <w:rPr>
          <w:rFonts w:hint="eastAsia" w:ascii="宋体" w:hAnsi="Times New Roman" w:eastAsia="宋体" w:cs="宋体"/>
          <w:color w:val="auto"/>
          <w:sz w:val="32"/>
          <w:szCs w:val="32"/>
          <w:lang w:eastAsia="zh-CN"/>
        </w:rPr>
        <w:t>中央八项规定</w:t>
      </w:r>
      <w:r>
        <w:rPr>
          <w:rFonts w:hint="eastAsia" w:ascii="宋体" w:hAnsi="Times New Roman" w:eastAsia="宋体" w:cs="宋体"/>
          <w:color w:val="auto"/>
          <w:sz w:val="32"/>
          <w:szCs w:val="32"/>
        </w:rPr>
        <w:t>精神和厉行节约要求，从严控制“三公”经费开支，全年实际支出比预算有所节约。其中：</w:t>
      </w:r>
    </w:p>
    <w:p w14:paraId="5811B07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因公出国（境）费支出预算为0万元，支出决算为0万元，由于预算为0，无法计算百分比，与上年相比减少0万元，减少0%。   </w:t>
      </w:r>
    </w:p>
    <w:p w14:paraId="11EDB29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公务接待费支出预算为0.5万元，支出决算为0.48万元,完成预算的96%,决算数小于预算数的主要原因是认真贯彻落实</w:t>
      </w:r>
      <w:r>
        <w:rPr>
          <w:rFonts w:hint="eastAsia" w:ascii="宋体" w:hAnsi="Times New Roman" w:eastAsia="宋体" w:cs="宋体"/>
          <w:color w:val="auto"/>
          <w:sz w:val="32"/>
          <w:szCs w:val="32"/>
          <w:lang w:eastAsia="zh-CN"/>
        </w:rPr>
        <w:t>中央八项规定</w:t>
      </w:r>
      <w:r>
        <w:rPr>
          <w:rFonts w:hint="eastAsia" w:ascii="宋体" w:hAnsi="Times New Roman" w:eastAsia="宋体" w:cs="宋体"/>
          <w:color w:val="auto"/>
          <w:sz w:val="32"/>
          <w:szCs w:val="32"/>
        </w:rPr>
        <w:t>精神和厉行节约要求，从严控制“三公”经费开支，全年实际支出比预算有所节约。与上年相比减少0.13万元，下降21.31%,减少主要原因是认真贯彻落实</w:t>
      </w:r>
      <w:r>
        <w:rPr>
          <w:rFonts w:hint="eastAsia" w:ascii="宋体" w:hAnsi="Times New Roman" w:eastAsia="宋体" w:cs="宋体"/>
          <w:color w:val="auto"/>
          <w:sz w:val="32"/>
          <w:szCs w:val="32"/>
          <w:lang w:eastAsia="zh-CN"/>
        </w:rPr>
        <w:t>中央八项规定</w:t>
      </w:r>
      <w:r>
        <w:rPr>
          <w:rFonts w:hint="eastAsia" w:ascii="宋体" w:hAnsi="Times New Roman" w:eastAsia="宋体" w:cs="宋体"/>
          <w:color w:val="auto"/>
          <w:sz w:val="32"/>
          <w:szCs w:val="32"/>
        </w:rPr>
        <w:t>精神和厉行节约要求，从严控制“三公”经费开支，全年实际支出比预算有所节约。</w:t>
      </w:r>
    </w:p>
    <w:p w14:paraId="332D91A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公务用车购置费支出预算为0万元，支出决算为0万元，由于预算为0，无法计算百分比，与上年相比减少0万元，减少0%。   </w:t>
      </w:r>
    </w:p>
    <w:p w14:paraId="2838C93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公务用车购置费及运行维护费支出预算为0万元，支出决算为0万元，由于预算为0，无法计算百分比，与上年相比减少0万元，减少0%</w:t>
      </w:r>
      <w:r>
        <w:rPr>
          <w:rFonts w:hint="eastAsia" w:ascii="宋体" w:hAnsi="Times New Roman" w:eastAsia="宋体" w:cs="宋体"/>
          <w:color w:val="auto"/>
          <w:sz w:val="32"/>
          <w:szCs w:val="32"/>
          <w:highlight w:val="white"/>
        </w:rPr>
        <w:t>。</w:t>
      </w:r>
    </w:p>
    <w:p w14:paraId="162F6EDA">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79D6014B">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2023</w:t>
      </w:r>
      <w:r>
        <w:rPr>
          <w:rFonts w:hint="eastAsia" w:ascii="宋体" w:hAnsi="Times New Roman" w:eastAsia="宋体" w:cs="宋体"/>
          <w:kern w:val="0"/>
          <w:sz w:val="32"/>
          <w:szCs w:val="32"/>
          <w:lang w:val="zh-CN"/>
        </w:rPr>
        <w:t>年度</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三公</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经费财政拨款支出决算中，因公出国（境）费支出决算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；公务接待费支出决算</w:t>
      </w:r>
      <w:r>
        <w:rPr>
          <w:rFonts w:ascii="宋体" w:hAnsi="Times New Roman" w:eastAsia="宋体" w:cs="宋体"/>
          <w:kern w:val="0"/>
          <w:sz w:val="32"/>
          <w:szCs w:val="32"/>
          <w:lang w:val="zh-CN"/>
        </w:rPr>
        <w:t>0.48</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100%</w:t>
      </w:r>
      <w:r>
        <w:rPr>
          <w:rFonts w:hint="eastAsia" w:ascii="宋体" w:hAnsi="Times New Roman" w:eastAsia="宋体" w:cs="宋体"/>
          <w:kern w:val="0"/>
          <w:sz w:val="32"/>
          <w:szCs w:val="32"/>
          <w:lang w:val="zh-CN"/>
        </w:rPr>
        <w:t>。公务用车购置费及运行维护费支出决算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w:t>
      </w:r>
    </w:p>
    <w:p w14:paraId="2621BAAE">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1</w:t>
      </w:r>
      <w:r>
        <w:rPr>
          <w:rFonts w:hint="eastAsia" w:ascii="宋体" w:hAnsi="Times New Roman" w:eastAsia="宋体" w:cs="宋体"/>
          <w:kern w:val="0"/>
          <w:sz w:val="32"/>
          <w:szCs w:val="32"/>
          <w:lang w:val="zh-CN"/>
        </w:rPr>
        <w:t>、因公出国（境）费支出决算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万元，全年安排因公出国（境）团组</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个，累计</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人次。</w:t>
      </w:r>
    </w:p>
    <w:p w14:paraId="69B84685">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w:t>
      </w:r>
      <w:r>
        <w:rPr>
          <w:rFonts w:hint="eastAsia" w:ascii="宋体" w:hAnsi="Times New Roman" w:eastAsia="宋体" w:cs="宋体"/>
          <w:kern w:val="0"/>
          <w:sz w:val="32"/>
          <w:szCs w:val="32"/>
          <w:lang w:val="zh-CN"/>
        </w:rPr>
        <w:t>、公务接待费支出决算为</w:t>
      </w:r>
      <w:r>
        <w:rPr>
          <w:rFonts w:ascii="宋体" w:hAnsi="Times New Roman" w:eastAsia="宋体" w:cs="宋体"/>
          <w:kern w:val="0"/>
          <w:sz w:val="32"/>
          <w:szCs w:val="32"/>
          <w:lang w:val="zh-CN"/>
        </w:rPr>
        <w:t>0.48</w:t>
      </w:r>
      <w:r>
        <w:rPr>
          <w:rFonts w:hint="eastAsia" w:ascii="宋体" w:hAnsi="Times New Roman" w:eastAsia="宋体" w:cs="宋体"/>
          <w:kern w:val="0"/>
          <w:sz w:val="32"/>
          <w:szCs w:val="32"/>
          <w:lang w:val="zh-CN"/>
        </w:rPr>
        <w:t>万元，其中：其他国内公务接待支出</w:t>
      </w:r>
      <w:r>
        <w:rPr>
          <w:rFonts w:ascii="宋体" w:hAnsi="Times New Roman" w:eastAsia="宋体" w:cs="宋体"/>
          <w:kern w:val="0"/>
          <w:sz w:val="32"/>
          <w:szCs w:val="32"/>
          <w:lang w:val="zh-CN"/>
        </w:rPr>
        <w:t>0.48</w:t>
      </w:r>
      <w:r>
        <w:rPr>
          <w:rFonts w:hint="eastAsia" w:ascii="宋体" w:hAnsi="Times New Roman" w:eastAsia="宋体" w:cs="宋体"/>
          <w:kern w:val="0"/>
          <w:sz w:val="32"/>
          <w:szCs w:val="32"/>
          <w:lang w:val="zh-CN"/>
        </w:rPr>
        <w:t>万元</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全年共接待来访团组</w:t>
      </w:r>
      <w:r>
        <w:rPr>
          <w:rFonts w:ascii="宋体" w:hAnsi="Times New Roman" w:eastAsia="宋体" w:cs="宋体"/>
          <w:kern w:val="0"/>
          <w:sz w:val="32"/>
          <w:szCs w:val="32"/>
          <w:lang w:val="zh-CN"/>
        </w:rPr>
        <w:t>6</w:t>
      </w:r>
      <w:r>
        <w:rPr>
          <w:rFonts w:hint="eastAsia" w:ascii="宋体" w:hAnsi="Times New Roman" w:eastAsia="宋体" w:cs="宋体"/>
          <w:kern w:val="0"/>
          <w:sz w:val="32"/>
          <w:szCs w:val="32"/>
          <w:lang w:val="zh-CN"/>
        </w:rPr>
        <w:t>个、来宾</w:t>
      </w:r>
      <w:r>
        <w:rPr>
          <w:rFonts w:ascii="宋体" w:hAnsi="Times New Roman" w:eastAsia="宋体" w:cs="宋体"/>
          <w:kern w:val="0"/>
          <w:sz w:val="32"/>
          <w:szCs w:val="32"/>
          <w:lang w:val="zh-CN"/>
        </w:rPr>
        <w:t>36</w:t>
      </w:r>
      <w:r>
        <w:rPr>
          <w:rFonts w:hint="eastAsia" w:ascii="宋体" w:hAnsi="Times New Roman" w:eastAsia="宋体" w:cs="宋体"/>
          <w:kern w:val="0"/>
          <w:sz w:val="32"/>
          <w:szCs w:val="32"/>
          <w:lang w:val="zh-CN"/>
        </w:rPr>
        <w:t>人次（不包括陪同人员）。主要用于与有关单位交流工作情况及接受相关部门检查指导工作发生的接待支出。</w:t>
      </w:r>
    </w:p>
    <w:p w14:paraId="717C2857">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lang w:val="zh-CN"/>
        </w:rPr>
        <w:t xml:space="preserve"> 3</w:t>
      </w:r>
      <w:r>
        <w:rPr>
          <w:rFonts w:hint="eastAsia" w:ascii="宋体" w:hAnsi="Times New Roman" w:eastAsia="宋体" w:cs="宋体"/>
          <w:color w:val="auto"/>
          <w:sz w:val="32"/>
          <w:szCs w:val="32"/>
          <w:lang w:val="zh-CN"/>
        </w:rPr>
        <w:t>、公务用车购置费及运行维护费支出决算</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万元，其中：公务用车购置费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万元，更新公务用车</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辆。公务用车运行维护费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元，截止</w:t>
      </w:r>
      <w:r>
        <w:rPr>
          <w:rFonts w:ascii="宋体" w:hAnsi="Times New Roman" w:eastAsia="宋体" w:cs="宋体"/>
          <w:color w:val="auto"/>
          <w:sz w:val="32"/>
          <w:szCs w:val="32"/>
          <w:lang w:val="zh-CN"/>
        </w:rPr>
        <w:t>2023</w:t>
      </w:r>
      <w:r>
        <w:rPr>
          <w:rFonts w:hint="eastAsia" w:ascii="宋体" w:hAnsi="Times New Roman" w:eastAsia="宋体" w:cs="宋体"/>
          <w:color w:val="auto"/>
          <w:sz w:val="32"/>
          <w:szCs w:val="32"/>
          <w:lang w:val="zh-CN"/>
        </w:rPr>
        <w:t>年</w:t>
      </w:r>
      <w:r>
        <w:rPr>
          <w:rFonts w:ascii="宋体" w:hAnsi="Times New Roman" w:eastAsia="宋体" w:cs="宋体"/>
          <w:color w:val="auto"/>
          <w:sz w:val="32"/>
          <w:szCs w:val="32"/>
          <w:lang w:val="zh-CN"/>
        </w:rPr>
        <w:t>12</w:t>
      </w:r>
      <w:r>
        <w:rPr>
          <w:rFonts w:hint="eastAsia" w:ascii="宋体" w:hAnsi="Times New Roman" w:eastAsia="宋体" w:cs="宋体"/>
          <w:color w:val="auto"/>
          <w:sz w:val="32"/>
          <w:szCs w:val="32"/>
          <w:lang w:val="zh-CN"/>
        </w:rPr>
        <w:t>月</w:t>
      </w:r>
      <w:r>
        <w:rPr>
          <w:rFonts w:ascii="宋体" w:hAnsi="Times New Roman" w:eastAsia="宋体" w:cs="宋体"/>
          <w:color w:val="auto"/>
          <w:sz w:val="32"/>
          <w:szCs w:val="32"/>
          <w:lang w:val="zh-CN"/>
        </w:rPr>
        <w:t>31</w:t>
      </w:r>
      <w:r>
        <w:rPr>
          <w:rFonts w:hint="eastAsia" w:ascii="宋体" w:hAnsi="Times New Roman" w:eastAsia="宋体" w:cs="宋体"/>
          <w:color w:val="auto"/>
          <w:sz w:val="32"/>
          <w:szCs w:val="32"/>
          <w:lang w:val="zh-CN"/>
        </w:rPr>
        <w:t>日，我单位开支财政拨款的公务用车保有量为</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w:t>
      </w:r>
      <w:r>
        <w:rPr>
          <w:rFonts w:hint="eastAsia" w:ascii="宋体" w:hAnsi="Times New Roman" w:eastAsia="宋体" w:cs="宋体"/>
          <w:color w:val="auto"/>
          <w:sz w:val="32"/>
          <w:szCs w:val="32"/>
          <w:highlight w:val="white"/>
        </w:rPr>
        <w:t>。</w:t>
      </w:r>
    </w:p>
    <w:p w14:paraId="37EDB87C">
      <w:pPr>
        <w:pStyle w:val="14"/>
        <w:spacing w:line="600" w:lineRule="exact"/>
        <w:ind w:firstLine="640" w:firstLineChars="200"/>
        <w:rPr>
          <w:rFonts w:hAnsi="黑体"/>
          <w:bCs/>
          <w:color w:val="auto"/>
          <w:sz w:val="32"/>
          <w:szCs w:val="32"/>
        </w:rPr>
      </w:pPr>
      <w:r>
        <w:rPr>
          <w:rFonts w:hint="eastAsia" w:hAnsi="黑体"/>
          <w:bCs/>
          <w:color w:val="auto"/>
          <w:sz w:val="32"/>
          <w:szCs w:val="32"/>
        </w:rPr>
        <w:t>八、政府性基金预算收入支出决算情况</w:t>
      </w:r>
    </w:p>
    <w:p w14:paraId="0827A3AA">
      <w:pPr>
        <w:pStyle w:val="14"/>
        <w:spacing w:line="600" w:lineRule="exact"/>
        <w:ind w:firstLine="630"/>
        <w:rPr>
          <w:rFonts w:hint="eastAsia" w:ascii="宋体" w:hAnsi="Times New Roman" w:eastAsia="宋体" w:cs="宋体"/>
          <w:color w:val="auto"/>
          <w:sz w:val="32"/>
          <w:szCs w:val="32"/>
          <w:highlight w:val="white"/>
          <w:lang w:val="zh-CN"/>
        </w:rPr>
      </w:pPr>
      <w:r>
        <w:rPr>
          <w:rFonts w:ascii="宋体" w:hAnsi="Times New Roman" w:eastAsia="宋体" w:cs="宋体"/>
          <w:color w:val="auto"/>
          <w:sz w:val="32"/>
          <w:szCs w:val="32"/>
          <w:highlight w:val="white"/>
          <w:lang w:val="zh-CN"/>
        </w:rPr>
        <w:t>2023</w:t>
      </w:r>
      <w:r>
        <w:rPr>
          <w:rFonts w:hint="eastAsia" w:ascii="宋体" w:hAnsi="Times New Roman" w:eastAsia="宋体" w:cs="宋体"/>
          <w:color w:val="auto"/>
          <w:sz w:val="32"/>
          <w:szCs w:val="32"/>
          <w:highlight w:val="white"/>
          <w:lang w:val="zh-CN"/>
        </w:rPr>
        <w:t>年本单位没有使用政府性基金预算财政拨款安排的收支。</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11D53734">
      <w:pPr>
        <w:pStyle w:val="14"/>
        <w:spacing w:line="600" w:lineRule="exact"/>
        <w:ind w:firstLine="630"/>
        <w:rPr>
          <w:rFonts w:hint="eastAsia" w:ascii="宋体" w:hAnsi="Times New Roman" w:eastAsia="宋体" w:cs="宋体"/>
          <w:color w:val="auto"/>
          <w:sz w:val="32"/>
          <w:szCs w:val="32"/>
          <w:highlight w:val="white"/>
          <w:lang w:val="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168E3BA1">
      <w:pPr>
        <w:pStyle w:val="14"/>
        <w:spacing w:line="600" w:lineRule="exact"/>
        <w:ind w:firstLine="63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7E8D6DA4">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年度机关运行经费支出</w:t>
      </w:r>
      <w:r>
        <w:rPr>
          <w:rFonts w:ascii="宋体" w:hAnsi="Times New Roman" w:eastAsia="宋体" w:cs="宋体"/>
          <w:sz w:val="32"/>
          <w:szCs w:val="32"/>
          <w:highlight w:val="white"/>
        </w:rPr>
        <w:t>95.27</w:t>
      </w:r>
      <w:r>
        <w:rPr>
          <w:rFonts w:hint="eastAsia" w:ascii="宋体" w:hAnsi="Times New Roman" w:eastAsia="宋体" w:cs="宋体"/>
          <w:sz w:val="32"/>
          <w:szCs w:val="32"/>
          <w:highlight w:val="white"/>
        </w:rPr>
        <w:t>万元。比年初预算数增加</w:t>
      </w:r>
      <w:r>
        <w:rPr>
          <w:rFonts w:ascii="宋体" w:hAnsi="Times New Roman" w:eastAsia="宋体" w:cs="宋体"/>
          <w:sz w:val="32"/>
          <w:szCs w:val="32"/>
          <w:highlight w:val="white"/>
        </w:rPr>
        <w:t>69.27</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266.42%</w:t>
      </w:r>
      <w:r>
        <w:rPr>
          <w:rFonts w:hint="eastAsia" w:ascii="宋体" w:hAnsi="Times New Roman" w:eastAsia="宋体" w:cs="宋体"/>
          <w:sz w:val="32"/>
          <w:szCs w:val="32"/>
          <w:highlight w:val="white"/>
        </w:rPr>
        <w:t>，主要原因是：</w:t>
      </w:r>
      <w:r>
        <w:rPr>
          <w:rFonts w:hint="eastAsia" w:ascii="宋体" w:hAnsi="Times New Roman" w:cs="宋体"/>
          <w:sz w:val="32"/>
          <w:szCs w:val="32"/>
        </w:rPr>
        <w:t>业务工作任务增加，为保障机构正常运转，完成年度目标任务，财政追拨机关运行经费</w:t>
      </w:r>
      <w:r>
        <w:rPr>
          <w:rFonts w:hint="eastAsia" w:ascii="宋体" w:hAnsi="Times New Roman" w:eastAsia="宋体" w:cs="宋体"/>
          <w:kern w:val="0"/>
          <w:sz w:val="32"/>
          <w:szCs w:val="32"/>
          <w:lang w:val="zh-CN"/>
        </w:rPr>
        <w:t>。</w:t>
      </w:r>
    </w:p>
    <w:p w14:paraId="5C98BE3E">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70420ACD">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年本部门开支会议费</w:t>
      </w:r>
      <w:r>
        <w:rPr>
          <w:rFonts w:ascii="宋体" w:hAnsi="Times New Roman" w:eastAsia="宋体" w:cs="宋体"/>
          <w:kern w:val="0"/>
          <w:sz w:val="32"/>
          <w:szCs w:val="32"/>
          <w:highlight w:val="white"/>
        </w:rPr>
        <w:t>1.68</w:t>
      </w:r>
      <w:r>
        <w:rPr>
          <w:rFonts w:hint="eastAsia" w:ascii="宋体" w:hAnsi="Times New Roman" w:eastAsia="宋体" w:cs="宋体"/>
          <w:kern w:val="0"/>
          <w:sz w:val="32"/>
          <w:szCs w:val="32"/>
          <w:highlight w:val="white"/>
        </w:rPr>
        <w:t>万元；用于开展业务工作会议，人数</w:t>
      </w:r>
      <w:r>
        <w:rPr>
          <w:rFonts w:ascii="宋体" w:hAnsi="Times New Roman" w:eastAsia="宋体" w:cs="宋体"/>
          <w:kern w:val="0"/>
          <w:sz w:val="32"/>
          <w:szCs w:val="32"/>
          <w:highlight w:val="white"/>
        </w:rPr>
        <w:t>95</w:t>
      </w:r>
      <w:r>
        <w:rPr>
          <w:rFonts w:hint="eastAsia" w:ascii="宋体" w:hAnsi="Times New Roman" w:eastAsia="宋体" w:cs="宋体"/>
          <w:kern w:val="0"/>
          <w:sz w:val="32"/>
          <w:szCs w:val="32"/>
          <w:highlight w:val="white"/>
        </w:rPr>
        <w:t>人，内容为任务布置、调研等工作会议；开支培训费</w:t>
      </w:r>
      <w:r>
        <w:rPr>
          <w:rFonts w:ascii="宋体" w:hAnsi="Times New Roman" w:eastAsia="宋体" w:cs="宋体"/>
          <w:kern w:val="0"/>
          <w:sz w:val="32"/>
          <w:szCs w:val="32"/>
          <w:highlight w:val="white"/>
        </w:rPr>
        <w:t>2.56</w:t>
      </w:r>
      <w:r>
        <w:rPr>
          <w:rFonts w:hint="eastAsia" w:ascii="宋体" w:hAnsi="Times New Roman" w:eastAsia="宋体" w:cs="宋体"/>
          <w:kern w:val="0"/>
          <w:sz w:val="32"/>
          <w:szCs w:val="32"/>
          <w:highlight w:val="white"/>
        </w:rPr>
        <w:t>万元，用于开展</w:t>
      </w:r>
      <w:r>
        <w:rPr>
          <w:rFonts w:hint="eastAsia" w:ascii="宋体" w:hAnsi="Times New Roman" w:eastAsia="宋体" w:cs="宋体"/>
          <w:kern w:val="0"/>
          <w:sz w:val="32"/>
          <w:szCs w:val="32"/>
        </w:rPr>
        <w:t>知识技能培训</w:t>
      </w:r>
      <w:r>
        <w:rPr>
          <w:rFonts w:hint="eastAsia" w:ascii="宋体" w:hAnsi="Times New Roman" w:eastAsia="宋体" w:cs="宋体"/>
          <w:kern w:val="0"/>
          <w:sz w:val="32"/>
          <w:szCs w:val="32"/>
          <w:highlight w:val="white"/>
        </w:rPr>
        <w:t>，人数</w:t>
      </w:r>
      <w:r>
        <w:rPr>
          <w:rFonts w:ascii="宋体" w:hAnsi="Times New Roman" w:eastAsia="宋体" w:cs="宋体"/>
          <w:kern w:val="0"/>
          <w:sz w:val="32"/>
          <w:szCs w:val="32"/>
          <w:highlight w:val="white"/>
        </w:rPr>
        <w:t>160</w:t>
      </w:r>
      <w:r>
        <w:rPr>
          <w:rFonts w:hint="eastAsia" w:ascii="宋体" w:hAnsi="Times New Roman" w:eastAsia="宋体" w:cs="宋体"/>
          <w:kern w:val="0"/>
          <w:sz w:val="32"/>
          <w:szCs w:val="32"/>
          <w:highlight w:val="white"/>
        </w:rPr>
        <w:t>人，内容为</w:t>
      </w:r>
      <w:r>
        <w:rPr>
          <w:rFonts w:hint="eastAsia" w:ascii="宋体" w:hAnsi="Times New Roman" w:eastAsia="宋体" w:cs="宋体"/>
          <w:kern w:val="0"/>
          <w:sz w:val="32"/>
          <w:szCs w:val="32"/>
        </w:rPr>
        <w:t>大厅运转工作、业务等知识培训</w:t>
      </w:r>
      <w:r>
        <w:rPr>
          <w:rFonts w:hint="eastAsia" w:ascii="宋体" w:hAnsi="Times New Roman" w:eastAsia="宋体" w:cs="宋体"/>
          <w:kern w:val="0"/>
          <w:sz w:val="32"/>
          <w:szCs w:val="32"/>
          <w:highlight w:val="white"/>
        </w:rPr>
        <w:t>；</w:t>
      </w: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632E7681">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6D3C0310">
      <w:pPr>
        <w:pStyle w:val="14"/>
        <w:spacing w:line="580" w:lineRule="exact"/>
        <w:ind w:firstLine="640" w:firstLineChars="200"/>
        <w:rPr>
          <w:rFonts w:ascii="宋体" w:hAnsi="Times New Roman" w:eastAsia="宋体" w:cs="宋体"/>
          <w:color w:val="auto"/>
          <w:sz w:val="32"/>
          <w:szCs w:val="32"/>
        </w:rPr>
      </w:pP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年度政府采购支出总额</w:t>
      </w:r>
      <w:r>
        <w:rPr>
          <w:rFonts w:ascii="宋体" w:hAnsi="Times New Roman" w:eastAsia="宋体" w:cs="宋体"/>
          <w:color w:val="auto"/>
          <w:sz w:val="32"/>
          <w:szCs w:val="32"/>
          <w:highlight w:val="white"/>
        </w:rPr>
        <w:t>446.32</w:t>
      </w:r>
      <w:r>
        <w:rPr>
          <w:rFonts w:hint="eastAsia" w:ascii="宋体" w:hAnsi="Times New Roman" w:eastAsia="宋体" w:cs="宋体"/>
          <w:color w:val="auto"/>
          <w:sz w:val="32"/>
          <w:szCs w:val="32"/>
          <w:highlight w:val="white"/>
        </w:rPr>
        <w:t>万元，其中：政府采购货物支出</w:t>
      </w:r>
      <w:r>
        <w:rPr>
          <w:rFonts w:ascii="宋体" w:hAnsi="Times New Roman" w:eastAsia="宋体" w:cs="宋体"/>
          <w:color w:val="auto"/>
          <w:sz w:val="32"/>
          <w:szCs w:val="32"/>
          <w:highlight w:val="white"/>
        </w:rPr>
        <w:t>4.87</w:t>
      </w:r>
      <w:r>
        <w:rPr>
          <w:rFonts w:hint="eastAsia" w:ascii="宋体" w:hAnsi="Times New Roman" w:eastAsia="宋体" w:cs="宋体"/>
          <w:color w:val="auto"/>
          <w:sz w:val="32"/>
          <w:szCs w:val="32"/>
          <w:highlight w:val="white"/>
        </w:rPr>
        <w:t>万元；政府采购工程支出</w:t>
      </w:r>
      <w:r>
        <w:rPr>
          <w:rFonts w:ascii="宋体" w:hAnsi="Times New Roman" w:eastAsia="宋体" w:cs="宋体"/>
          <w:color w:val="auto"/>
          <w:sz w:val="32"/>
          <w:szCs w:val="32"/>
          <w:highlight w:val="white"/>
        </w:rPr>
        <w:t>0.42</w:t>
      </w:r>
      <w:r>
        <w:rPr>
          <w:rFonts w:hint="eastAsia" w:ascii="宋体" w:hAnsi="Times New Roman" w:eastAsia="宋体" w:cs="宋体"/>
          <w:color w:val="auto"/>
          <w:sz w:val="32"/>
          <w:szCs w:val="32"/>
          <w:highlight w:val="white"/>
        </w:rPr>
        <w:t>万元；政府采购服务支出</w:t>
      </w:r>
      <w:r>
        <w:rPr>
          <w:rFonts w:ascii="宋体" w:hAnsi="Times New Roman" w:eastAsia="宋体" w:cs="宋体"/>
          <w:color w:val="auto"/>
          <w:sz w:val="32"/>
          <w:szCs w:val="32"/>
          <w:highlight w:val="white"/>
        </w:rPr>
        <w:t>441.03</w:t>
      </w:r>
      <w:r>
        <w:rPr>
          <w:rFonts w:hint="eastAsia" w:ascii="宋体" w:hAnsi="Times New Roman" w:eastAsia="宋体" w:cs="宋体"/>
          <w:color w:val="auto"/>
          <w:sz w:val="32"/>
          <w:szCs w:val="32"/>
          <w:highlight w:val="white"/>
        </w:rPr>
        <w:t>万元。授予中小企业合同金额</w:t>
      </w:r>
      <w:r>
        <w:rPr>
          <w:rFonts w:ascii="宋体" w:hAnsi="Times New Roman" w:eastAsia="宋体" w:cs="宋体"/>
          <w:color w:val="auto"/>
          <w:sz w:val="32"/>
          <w:szCs w:val="32"/>
          <w:highlight w:val="white"/>
        </w:rPr>
        <w:t>360.6</w:t>
      </w:r>
      <w:r>
        <w:rPr>
          <w:rFonts w:hint="eastAsia" w:ascii="宋体" w:hAnsi="Times New Roman" w:eastAsia="宋体" w:cs="宋体"/>
          <w:color w:val="auto"/>
          <w:sz w:val="32"/>
          <w:szCs w:val="32"/>
          <w:highlight w:val="white"/>
        </w:rPr>
        <w:t>万元，占政府采购支出总额的</w:t>
      </w:r>
      <w:r>
        <w:rPr>
          <w:rFonts w:ascii="宋体" w:hAnsi="Times New Roman" w:eastAsia="宋体" w:cs="宋体"/>
          <w:color w:val="auto"/>
          <w:sz w:val="32"/>
          <w:szCs w:val="32"/>
          <w:highlight w:val="white"/>
        </w:rPr>
        <w:t>80.79%</w:t>
      </w:r>
      <w:r>
        <w:rPr>
          <w:rFonts w:hint="eastAsia" w:ascii="宋体" w:hAnsi="Times New Roman" w:eastAsia="宋体" w:cs="宋体"/>
          <w:color w:val="auto"/>
          <w:sz w:val="32"/>
          <w:szCs w:val="32"/>
          <w:highlight w:val="white"/>
        </w:rPr>
        <w:t>。其中：授予小微企业合同金额</w:t>
      </w:r>
      <w:r>
        <w:rPr>
          <w:rFonts w:ascii="宋体" w:hAnsi="Times New Roman" w:eastAsia="宋体" w:cs="宋体"/>
          <w:color w:val="auto"/>
          <w:sz w:val="32"/>
          <w:szCs w:val="32"/>
          <w:highlight w:val="white"/>
        </w:rPr>
        <w:t>239.79</w:t>
      </w:r>
      <w:r>
        <w:rPr>
          <w:rFonts w:hint="eastAsia" w:ascii="宋体" w:hAnsi="Times New Roman" w:eastAsia="宋体" w:cs="宋体"/>
          <w:color w:val="auto"/>
          <w:sz w:val="32"/>
          <w:szCs w:val="32"/>
          <w:highlight w:val="white"/>
        </w:rPr>
        <w:t>万元，占授予中小企业合同金额的</w:t>
      </w:r>
      <w:r>
        <w:rPr>
          <w:rFonts w:ascii="宋体" w:hAnsi="Times New Roman" w:eastAsia="宋体" w:cs="宋体"/>
          <w:color w:val="auto"/>
          <w:sz w:val="32"/>
          <w:szCs w:val="32"/>
          <w:highlight w:val="white"/>
        </w:rPr>
        <w:t>66.5%</w:t>
      </w:r>
      <w:r>
        <w:rPr>
          <w:rFonts w:hint="eastAsia" w:ascii="宋体" w:hAnsi="Times New Roman" w:eastAsia="宋体" w:cs="宋体"/>
          <w:color w:val="auto"/>
          <w:sz w:val="32"/>
          <w:szCs w:val="32"/>
          <w:highlight w:val="white"/>
        </w:rPr>
        <w:t>。货物采购授予中小企业合同金额占货物支出金额的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。工程采购授予中小企业合同金额占工程支出金额的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。服务采购授予中小企业合同金额占服务支出金额的</w:t>
      </w:r>
      <w:r>
        <w:rPr>
          <w:rFonts w:ascii="宋体" w:hAnsi="Times New Roman" w:eastAsia="宋体" w:cs="宋体"/>
          <w:color w:val="auto"/>
          <w:sz w:val="32"/>
          <w:szCs w:val="32"/>
          <w:highlight w:val="white"/>
        </w:rPr>
        <w:t>80.8%</w:t>
      </w:r>
      <w:r>
        <w:rPr>
          <w:rFonts w:hint="eastAsia" w:ascii="宋体" w:hAnsi="Times New Roman" w:eastAsia="宋体" w:cs="宋体"/>
          <w:color w:val="auto"/>
          <w:sz w:val="32"/>
          <w:szCs w:val="32"/>
          <w:highlight w:val="white"/>
        </w:rPr>
        <w:t>。</w:t>
      </w:r>
    </w:p>
    <w:p w14:paraId="5C374ADA">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033BC219">
      <w:pPr>
        <w:keepNext/>
        <w:keepLines/>
        <w:autoSpaceDE w:val="0"/>
        <w:autoSpaceDN w:val="0"/>
        <w:adjustRightInd w:val="0"/>
        <w:ind w:firstLine="641"/>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7672DA6D">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1AFCE7B4">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4DB586B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082337C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部门开展整体支出绩效评价，涉及一般公共预算支出1555.68万元，政府性基金预算支出0万元，国有资本经营预算支出0万元, 合计1555.68万元，其中：基本支出250.57万元，占16.11%；项目支出1305.11万元，占83.89%。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0C98CB26">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5B3FD98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2DAE4E9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41D3046F">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388564C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一是进一步加强厉行节约机制，提高单位三保支出的保障能力。</w:t>
      </w:r>
    </w:p>
    <w:p w14:paraId="47C3F30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二是预算编制与实际支出项目有的存在差异，有待进一步优化预算，提高预算编制的准确性。</w:t>
      </w:r>
    </w:p>
    <w:p w14:paraId="4964022D">
      <w:pPr>
        <w:pStyle w:val="14"/>
        <w:jc w:val="both"/>
        <w:rPr>
          <w:color w:val="auto"/>
          <w:sz w:val="72"/>
          <w:szCs w:val="72"/>
        </w:rPr>
      </w:pPr>
    </w:p>
    <w:p w14:paraId="42933D35">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352E9F24">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660F369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财政拨款收入：指本级财政当年拨付的资金。</w:t>
      </w:r>
    </w:p>
    <w:p w14:paraId="0753EEB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2901CF4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基本支出：指保障机构正常运转、完成支日常工作任务而发生的人员支出和公用支出。</w:t>
      </w:r>
    </w:p>
    <w:p w14:paraId="14AF120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工资福利支出：反映单位开支的在职职工和编制外长期聘用人员的各类劳动报酬，以及为上述人员缴纳的各项社会保险费等。</w:t>
      </w:r>
    </w:p>
    <w:p w14:paraId="5B45251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见习期</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718F7A7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津贴补贴：反映经国家批准建立的机关事业单位艰苦边远地区津贴、机关工作人员地区附加津贴、机关工作人员岗位津贴、事业单位工作人员特殊岗位津贴补贴等。</w:t>
      </w:r>
    </w:p>
    <w:p w14:paraId="3CBA4A3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奖金：反映机关工作人员年终一次性奖金。</w:t>
      </w:r>
    </w:p>
    <w:p w14:paraId="21F22F5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机关事业单位基本养老保险缴费：反映机关事业单位缴纳的基本养老保险费。由单位代扣的工作人员基本养老保险缴费，不在此科目反映。</w:t>
      </w:r>
    </w:p>
    <w:p w14:paraId="18C0B06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职工基本医疗保险缴费：反映单位为职工缴纳的基本医疗保险费。</w:t>
      </w:r>
    </w:p>
    <w:p w14:paraId="161888C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其他社会保障缴费：反映单位为职工缴纳的基本医疗、失业、工伤、生育等社会保险费，残疾人就业保障金，军队（含武警）为军人缴纳的伤亡、退役医疗等社会保险费。</w:t>
      </w:r>
    </w:p>
    <w:p w14:paraId="40F9BB5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住房公积金：反映行政事业单位按人力资源和社会保障部、财政部规定的基本工资和津贴补贴以及规定比例为职工缴纳的住房公积金。</w:t>
      </w:r>
    </w:p>
    <w:p w14:paraId="657E2C8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商品和服务支出：反映单位购买商品和服务的支出（不包括用于购置固定资产的支出、战略性和应急储备支出）。</w:t>
      </w:r>
    </w:p>
    <w:p w14:paraId="0F99225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办公费：反映单位购买按财务会计制度规定不符合固定资产确认标准的日常办公用品、书报杂志等支出。</w:t>
      </w:r>
    </w:p>
    <w:p w14:paraId="1769125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印刷费：反映单位的印刷费支出。</w:t>
      </w:r>
    </w:p>
    <w:p w14:paraId="7CFB4A7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水费：反映单位支付的水费、污水处理费等支出。</w:t>
      </w:r>
    </w:p>
    <w:p w14:paraId="4373D57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电费：反映单位的电费支出。</w:t>
      </w:r>
    </w:p>
    <w:p w14:paraId="7B1C149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邮电费：反映单位开支的信函、包裹、货物等物品的邮寄费及电话费、电报费、传真费、网络通讯费等。</w:t>
      </w:r>
    </w:p>
    <w:p w14:paraId="16F9EE4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差旅费：反映单位工作人员出差发生的城市间交通费、住宿费、伙食补贴费和市内交通费。</w:t>
      </w:r>
    </w:p>
    <w:p w14:paraId="35EE179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维修</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护</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费：反映单位日常开支的固定资产（不包括车船等交通工具）修理和维护费用，网络信息系统运行与维护费用，以及按规定提取的修购基金。</w:t>
      </w:r>
    </w:p>
    <w:p w14:paraId="0291F92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培训费：反映除因公出国（境）培训费以外的各类培训支出。</w:t>
      </w:r>
    </w:p>
    <w:p w14:paraId="08AB5C9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劳务费：反映支付给单位和个人的劳务费用，如临时聘用人员、钟点工工资，稿费、翻译费，评审费等。</w:t>
      </w:r>
    </w:p>
    <w:p w14:paraId="7031E1F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委托业务费：反映因委托外单位办理业务而支付的委托业务费。</w:t>
      </w:r>
    </w:p>
    <w:p w14:paraId="112B01D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工会经费：反映单位按规定提取的工会经费。</w:t>
      </w:r>
    </w:p>
    <w:p w14:paraId="4460127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福利费：反映单位按规定提取的福利费。</w:t>
      </w:r>
    </w:p>
    <w:p w14:paraId="62F9D71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其他交通费用：反映单位除公务用车运行维护费以外的其他交通费用。如公务交通补贴，租车费用、出租车费用，飞机、船舶等的燃料费、维修费、保险费等。</w:t>
      </w:r>
    </w:p>
    <w:p w14:paraId="5CC7563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其他商品和服务支出：反映上述科目未包括的日常公用支出。如行政赔偿费和诉讼费、国内组织的会员费、来访费、广告宣传、其他劳务费及离休人员特需费、公用经费等。</w:t>
      </w:r>
    </w:p>
    <w:p w14:paraId="5034CBC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对个人和家庭的补助：反映政府用于对个人和家庭的补助支出。</w:t>
      </w:r>
    </w:p>
    <w:p w14:paraId="14B03B2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奖励金：反映政府各部门的奖励支出，如对个体私营经济的奖励、计划生育目标责任奖励、独生子女父母奖励等。</w:t>
      </w:r>
    </w:p>
    <w:p w14:paraId="4247233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办公设备购置：反映用于购置并按财务会计制度规定纳入固定资产核算范围的办公家具和办公设备的支出，以及按规定提取的修购基金。</w:t>
      </w:r>
    </w:p>
    <w:p w14:paraId="46B0F06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36F2F93A">
      <w:pPr>
        <w:pStyle w:val="14"/>
        <w:jc w:val="center"/>
        <w:rPr>
          <w:rFonts w:ascii="方正小标宋_GBK" w:hAnsi="方正小标宋_GBK" w:eastAsia="方正小标宋_GBK" w:cs="方正小标宋_GBK"/>
          <w:color w:val="auto"/>
          <w:sz w:val="48"/>
          <w:szCs w:val="48"/>
        </w:rPr>
      </w:pPr>
    </w:p>
    <w:p w14:paraId="3AA5DAD2">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7EBD2EC1">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2B8D23F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年度华容县行政审批服务局部门决算公开表格</w:t>
      </w:r>
    </w:p>
    <w:p w14:paraId="2601E50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年度华容县行政审批服务局整体支出绩效自评报告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2E3273"/>
    <w:rsid w:val="003130C4"/>
    <w:rsid w:val="00316C4B"/>
    <w:rsid w:val="0032192B"/>
    <w:rsid w:val="003479BD"/>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54684"/>
    <w:rsid w:val="0086638C"/>
    <w:rsid w:val="008A3E8D"/>
    <w:rsid w:val="008D1FB3"/>
    <w:rsid w:val="00904967"/>
    <w:rsid w:val="009237C4"/>
    <w:rsid w:val="00944C48"/>
    <w:rsid w:val="00950252"/>
    <w:rsid w:val="00967F5D"/>
    <w:rsid w:val="009A0F95"/>
    <w:rsid w:val="009B3ADF"/>
    <w:rsid w:val="009C3B52"/>
    <w:rsid w:val="009D66F1"/>
    <w:rsid w:val="009E6817"/>
    <w:rsid w:val="009E6E9A"/>
    <w:rsid w:val="00A01D2B"/>
    <w:rsid w:val="00A42218"/>
    <w:rsid w:val="00A70249"/>
    <w:rsid w:val="00A70B02"/>
    <w:rsid w:val="00A71D9F"/>
    <w:rsid w:val="00A92E9F"/>
    <w:rsid w:val="00AB18FF"/>
    <w:rsid w:val="00B1240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4DF85B0"/>
    <w:rsid w:val="375E73DA"/>
    <w:rsid w:val="3B8F36BC"/>
    <w:rsid w:val="491FF225"/>
    <w:rsid w:val="4E395582"/>
    <w:rsid w:val="4FFD214C"/>
    <w:rsid w:val="5777D4F5"/>
    <w:rsid w:val="59DD8326"/>
    <w:rsid w:val="5DEF592A"/>
    <w:rsid w:val="5FC6BB1E"/>
    <w:rsid w:val="5FF720F1"/>
    <w:rsid w:val="67AF5D43"/>
    <w:rsid w:val="67FF5C0B"/>
    <w:rsid w:val="6A2D5680"/>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6083</Words>
  <Characters>6559</Characters>
  <Lines>47</Lines>
  <Paragraphs>13</Paragraphs>
  <TotalTime>0</TotalTime>
  <ScaleCrop>false</ScaleCrop>
  <LinksUpToDate>false</LinksUpToDate>
  <CharactersWithSpaces>6585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2025-11-11T12:52:26Z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