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A8390">
      <w:pPr>
        <w:rPr>
          <w:rFonts w:hint="default" w:ascii="Times New Roman" w:hAnsi="Times New Roman" w:eastAsia="宋体" w:cs="Times New Roman"/>
          <w:color w:val="auto"/>
          <w:sz w:val="36"/>
          <w:szCs w:val="36"/>
          <w:u w:val="none" w:color="auto"/>
          <w:lang w:eastAsia="zh-CN"/>
        </w:rPr>
      </w:pPr>
    </w:p>
    <w:p w14:paraId="538E0A44">
      <w:pPr>
        <w:pStyle w:val="17"/>
        <w:ind w:left="0" w:leftChars="0" w:firstLine="0" w:firstLineChars="0"/>
        <w:rPr>
          <w:rFonts w:hint="default" w:ascii="Times New Roman" w:hAnsi="Times New Roman" w:eastAsia="宋体" w:cs="Times New Roman"/>
          <w:color w:val="auto"/>
          <w:u w:val="none" w:color="auto"/>
        </w:rPr>
      </w:pPr>
    </w:p>
    <w:p w14:paraId="4FBB9037">
      <w:pPr>
        <w:adjustRightInd w:val="0"/>
        <w:snapToGrid w:val="0"/>
        <w:jc w:val="center"/>
        <w:outlineLvl w:val="0"/>
        <w:rPr>
          <w:rFonts w:hint="default" w:ascii="Times New Roman" w:hAnsi="Times New Roman" w:eastAsia="宋体" w:cs="Times New Roman"/>
          <w:bCs/>
          <w:color w:val="auto"/>
          <w:sz w:val="72"/>
          <w:szCs w:val="72"/>
          <w:u w:val="none" w:color="auto"/>
        </w:rPr>
      </w:pPr>
      <w:bookmarkStart w:id="0" w:name="_Toc908"/>
      <w:r>
        <w:rPr>
          <w:rFonts w:hint="default" w:ascii="Times New Roman" w:hAnsi="Times New Roman" w:eastAsia="宋体" w:cs="Times New Roman"/>
          <w:bCs/>
          <w:color w:val="auto"/>
          <w:sz w:val="72"/>
          <w:szCs w:val="72"/>
          <w:u w:val="none" w:color="auto"/>
        </w:rPr>
        <w:t>建设项目环境影响报告表</w:t>
      </w:r>
      <w:bookmarkEnd w:id="0"/>
    </w:p>
    <w:p w14:paraId="44CF9393">
      <w:pPr>
        <w:adjustRightInd w:val="0"/>
        <w:snapToGrid w:val="0"/>
        <w:spacing w:before="192" w:beforeLines="80"/>
        <w:jc w:val="center"/>
        <w:rPr>
          <w:rFonts w:hint="default" w:ascii="Times New Roman" w:hAnsi="Times New Roman" w:eastAsia="宋体" w:cs="Times New Roman"/>
          <w:bCs/>
          <w:color w:val="auto"/>
          <w:sz w:val="48"/>
          <w:szCs w:val="48"/>
          <w:u w:val="none" w:color="auto"/>
        </w:rPr>
      </w:pPr>
      <w:r>
        <w:rPr>
          <w:rFonts w:hint="default" w:ascii="Times New Roman" w:hAnsi="Times New Roman" w:eastAsia="宋体" w:cs="Times New Roman"/>
          <w:bCs/>
          <w:color w:val="auto"/>
          <w:sz w:val="48"/>
          <w:szCs w:val="48"/>
          <w:u w:val="none" w:color="auto"/>
        </w:rPr>
        <w:t>（污染影响类）</w:t>
      </w:r>
    </w:p>
    <w:p w14:paraId="7059C530">
      <w:pPr>
        <w:adjustRightInd w:val="0"/>
        <w:snapToGrid w:val="0"/>
        <w:spacing w:line="288" w:lineRule="auto"/>
        <w:jc w:val="center"/>
        <w:rPr>
          <w:rFonts w:hint="default" w:ascii="Times New Roman" w:hAnsi="Times New Roman" w:eastAsia="宋体" w:cs="Times New Roman"/>
          <w:color w:val="auto"/>
          <w:kern w:val="44"/>
          <w:sz w:val="44"/>
          <w:szCs w:val="44"/>
          <w:u w:val="none" w:color="auto"/>
        </w:rPr>
      </w:pPr>
    </w:p>
    <w:p w14:paraId="436B154A">
      <w:pPr>
        <w:jc w:val="center"/>
        <w:rPr>
          <w:rFonts w:hint="default" w:ascii="Times New Roman" w:hAnsi="Times New Roman" w:eastAsia="宋体" w:cs="Times New Roman"/>
          <w:color w:val="auto"/>
          <w:sz w:val="52"/>
          <w:szCs w:val="52"/>
          <w:u w:val="none" w:color="auto"/>
        </w:rPr>
      </w:pPr>
    </w:p>
    <w:p w14:paraId="5509CC68">
      <w:pPr>
        <w:ind w:firstLine="1040"/>
        <w:rPr>
          <w:rFonts w:hint="default" w:ascii="Times New Roman" w:hAnsi="Times New Roman" w:eastAsia="宋体" w:cs="Times New Roman"/>
          <w:color w:val="auto"/>
          <w:sz w:val="44"/>
          <w:szCs w:val="44"/>
          <w:u w:val="none" w:color="auto"/>
        </w:rPr>
      </w:pPr>
    </w:p>
    <w:p w14:paraId="3F06001F">
      <w:pPr>
        <w:pStyle w:val="17"/>
        <w:rPr>
          <w:rFonts w:hint="default" w:ascii="Times New Roman" w:hAnsi="Times New Roman" w:eastAsia="宋体" w:cs="Times New Roman"/>
          <w:color w:val="auto"/>
          <w:sz w:val="44"/>
          <w:szCs w:val="44"/>
          <w:u w:val="none" w:color="auto"/>
        </w:rPr>
      </w:pPr>
    </w:p>
    <w:p w14:paraId="66DC7443">
      <w:pPr>
        <w:pStyle w:val="25"/>
        <w:rPr>
          <w:rFonts w:hint="default" w:ascii="Times New Roman" w:hAnsi="Times New Roman" w:eastAsia="宋体" w:cs="Times New Roman"/>
          <w:color w:val="auto"/>
          <w:sz w:val="44"/>
          <w:szCs w:val="44"/>
          <w:u w:val="none" w:color="auto"/>
        </w:rPr>
      </w:pPr>
    </w:p>
    <w:p w14:paraId="528FF381">
      <w:pPr>
        <w:rPr>
          <w:rFonts w:hint="default" w:ascii="Times New Roman" w:hAnsi="Times New Roman" w:eastAsia="宋体" w:cs="Times New Roman"/>
          <w:color w:val="auto"/>
          <w:sz w:val="44"/>
          <w:szCs w:val="44"/>
          <w:u w:val="none" w:color="auto"/>
        </w:rPr>
      </w:pPr>
    </w:p>
    <w:p w14:paraId="748EF126">
      <w:pPr>
        <w:pStyle w:val="17"/>
        <w:rPr>
          <w:rFonts w:hint="default" w:ascii="Times New Roman" w:hAnsi="Times New Roman" w:eastAsia="宋体" w:cs="Times New Roman"/>
          <w:color w:val="auto"/>
          <w:u w:val="none" w:color="auto"/>
        </w:rPr>
      </w:pPr>
    </w:p>
    <w:p w14:paraId="6A3CE14E">
      <w:pPr>
        <w:pStyle w:val="25"/>
        <w:rPr>
          <w:rFonts w:hint="default" w:ascii="Times New Roman" w:hAnsi="Times New Roman" w:eastAsia="宋体" w:cs="Times New Roman"/>
          <w:color w:val="auto"/>
          <w:u w:val="none" w:color="auto"/>
        </w:rPr>
      </w:pPr>
    </w:p>
    <w:p w14:paraId="49BFFD3C">
      <w:pPr>
        <w:ind w:firstLine="1040"/>
        <w:rPr>
          <w:rFonts w:hint="default" w:ascii="Times New Roman" w:hAnsi="Times New Roman" w:eastAsia="宋体" w:cs="Times New Roman"/>
          <w:color w:val="auto"/>
          <w:sz w:val="44"/>
          <w:szCs w:val="44"/>
          <w:u w:val="none" w:color="auto"/>
        </w:rPr>
      </w:pPr>
    </w:p>
    <w:p w14:paraId="296D4552">
      <w:pPr>
        <w:ind w:firstLine="1040"/>
        <w:rPr>
          <w:rFonts w:hint="default" w:ascii="Times New Roman" w:hAnsi="Times New Roman" w:eastAsia="宋体" w:cs="Times New Roman"/>
          <w:color w:val="auto"/>
          <w:sz w:val="44"/>
          <w:szCs w:val="44"/>
          <w:u w:val="none" w:color="auto"/>
          <w:lang w:val="en-US" w:eastAsia="zh-CN"/>
        </w:rPr>
      </w:pPr>
      <w:r>
        <w:rPr>
          <w:rFonts w:hint="default" w:ascii="Times New Roman" w:hAnsi="Times New Roman" w:eastAsia="宋体" w:cs="Times New Roman"/>
          <w:color w:val="auto"/>
          <w:sz w:val="44"/>
          <w:szCs w:val="44"/>
          <w:u w:val="none" w:color="auto"/>
          <w:lang w:val="en-US" w:eastAsia="zh-CN"/>
        </w:rPr>
        <w:t xml:space="preserve"> </w:t>
      </w:r>
    </w:p>
    <w:p w14:paraId="651E4E61">
      <w:pPr>
        <w:ind w:firstLine="1040"/>
        <w:rPr>
          <w:rFonts w:hint="default" w:ascii="Times New Roman" w:hAnsi="Times New Roman" w:eastAsia="宋体" w:cs="Times New Roman"/>
          <w:color w:val="auto"/>
          <w:sz w:val="44"/>
          <w:szCs w:val="44"/>
          <w:u w:val="none" w:color="auto"/>
        </w:rPr>
      </w:pPr>
    </w:p>
    <w:p w14:paraId="2FE594A3">
      <w:pPr>
        <w:adjustRightInd w:val="0"/>
        <w:snapToGrid w:val="0"/>
        <w:spacing w:line="288" w:lineRule="auto"/>
        <w:jc w:val="both"/>
        <w:rPr>
          <w:rFonts w:hint="default" w:ascii="Times New Roman" w:hAnsi="Times New Roman" w:eastAsia="宋体" w:cs="Times New Roman"/>
          <w:color w:val="auto"/>
          <w:sz w:val="36"/>
          <w:szCs w:val="36"/>
          <w:u w:val="none" w:color="auto"/>
          <w:lang w:val="en-US" w:eastAsia="zh-CN"/>
        </w:rPr>
      </w:pPr>
      <w:r>
        <w:rPr>
          <w:rFonts w:hint="default" w:ascii="Times New Roman" w:hAnsi="Times New Roman" w:eastAsia="宋体" w:cs="Times New Roman"/>
          <w:color w:val="auto"/>
          <w:sz w:val="36"/>
          <w:szCs w:val="36"/>
          <w:u w:val="none" w:color="auto"/>
        </w:rPr>
        <w:t>项目名称：</w:t>
      </w:r>
      <w:r>
        <w:rPr>
          <w:rFonts w:hint="default" w:ascii="Times New Roman" w:hAnsi="Times New Roman" w:eastAsia="宋体" w:cs="Times New Roman"/>
          <w:color w:val="auto"/>
          <w:sz w:val="36"/>
          <w:szCs w:val="36"/>
          <w:u w:val="single" w:color="auto"/>
          <w:lang w:val="en-US" w:eastAsia="zh-CN"/>
        </w:rPr>
        <w:t>岳阳宝丽纺织品有限公司新增一台15t/h生物质锅炉和1台4t/h导热油炉建设项目</w:t>
      </w:r>
    </w:p>
    <w:p w14:paraId="3CB4891F">
      <w:pPr>
        <w:adjustRightInd w:val="0"/>
        <w:snapToGrid w:val="0"/>
        <w:spacing w:line="288" w:lineRule="auto"/>
        <w:ind w:firstLine="720" w:firstLineChars="200"/>
        <w:jc w:val="both"/>
        <w:rPr>
          <w:rFonts w:hint="default" w:ascii="Times New Roman" w:hAnsi="Times New Roman" w:eastAsia="宋体" w:cs="Times New Roman"/>
          <w:color w:val="auto"/>
          <w:sz w:val="36"/>
          <w:szCs w:val="36"/>
          <w:u w:val="none" w:color="auto"/>
          <w:lang w:val="en-US" w:eastAsia="zh-CN"/>
        </w:rPr>
      </w:pPr>
      <w:r>
        <w:rPr>
          <w:rFonts w:hint="default" w:ascii="Times New Roman" w:hAnsi="Times New Roman" w:eastAsia="宋体" w:cs="Times New Roman"/>
          <w:color w:val="auto"/>
          <w:sz w:val="36"/>
          <w:szCs w:val="36"/>
          <w:u w:val="none" w:color="auto"/>
        </w:rPr>
        <w:t>建设单位（盖章）</w:t>
      </w:r>
      <w:r>
        <w:rPr>
          <w:rFonts w:hint="default" w:ascii="Times New Roman" w:hAnsi="Times New Roman" w:eastAsia="宋体" w:cs="Times New Roman"/>
          <w:color w:val="auto"/>
          <w:sz w:val="36"/>
          <w:szCs w:val="36"/>
          <w:u w:val="single" w:color="auto"/>
        </w:rPr>
        <w:t>：</w:t>
      </w:r>
      <w:r>
        <w:rPr>
          <w:rFonts w:hint="default" w:ascii="Times New Roman" w:hAnsi="Times New Roman" w:eastAsia="宋体" w:cs="Times New Roman"/>
          <w:color w:val="auto"/>
          <w:sz w:val="36"/>
          <w:szCs w:val="36"/>
          <w:u w:val="single" w:color="auto"/>
          <w:lang w:val="en-US" w:eastAsia="zh-CN"/>
        </w:rPr>
        <w:t xml:space="preserve">岳阳宝丽纺织品有限公司       </w:t>
      </w:r>
      <w:r>
        <w:rPr>
          <w:rFonts w:hint="default" w:ascii="Times New Roman" w:hAnsi="Times New Roman" w:eastAsia="宋体" w:cs="Times New Roman"/>
          <w:color w:val="auto"/>
          <w:sz w:val="36"/>
          <w:szCs w:val="36"/>
          <w:u w:val="none" w:color="auto"/>
          <w:lang w:val="en-US" w:eastAsia="zh-CN"/>
        </w:rPr>
        <w:t xml:space="preserve">  </w:t>
      </w:r>
    </w:p>
    <w:p w14:paraId="57A8FF3F">
      <w:pPr>
        <w:adjustRightInd w:val="0"/>
        <w:snapToGrid w:val="0"/>
        <w:spacing w:line="288" w:lineRule="auto"/>
        <w:ind w:firstLine="720" w:firstLineChars="200"/>
        <w:jc w:val="both"/>
        <w:rPr>
          <w:rFonts w:hint="default" w:ascii="Times New Roman" w:hAnsi="Times New Roman" w:eastAsia="宋体" w:cs="Times New Roman"/>
          <w:color w:val="auto"/>
          <w:sz w:val="36"/>
          <w:szCs w:val="36"/>
          <w:u w:val="none" w:color="auto"/>
          <w:lang w:val="en-US" w:eastAsia="zh-CN"/>
        </w:rPr>
      </w:pPr>
      <w:r>
        <w:rPr>
          <w:rFonts w:hint="default" w:ascii="Times New Roman" w:hAnsi="Times New Roman" w:eastAsia="宋体" w:cs="Times New Roman"/>
          <w:color w:val="auto"/>
          <w:sz w:val="36"/>
          <w:szCs w:val="36"/>
          <w:u w:val="none" w:color="auto"/>
        </w:rPr>
        <w:t>编制日期：</w:t>
      </w:r>
      <w:r>
        <w:rPr>
          <w:rFonts w:hint="default" w:ascii="Times New Roman" w:hAnsi="Times New Roman" w:eastAsia="宋体" w:cs="Times New Roman"/>
          <w:color w:val="auto"/>
          <w:sz w:val="36"/>
          <w:szCs w:val="36"/>
          <w:u w:val="single" w:color="auto"/>
        </w:rPr>
        <w:t xml:space="preserve"> </w:t>
      </w:r>
      <w:r>
        <w:rPr>
          <w:rFonts w:hint="default" w:ascii="Times New Roman" w:hAnsi="Times New Roman" w:eastAsia="宋体" w:cs="Times New Roman"/>
          <w:color w:val="auto"/>
          <w:sz w:val="36"/>
          <w:szCs w:val="36"/>
          <w:u w:val="single" w:color="auto"/>
          <w:lang w:val="en-US" w:eastAsia="zh-CN"/>
        </w:rPr>
        <w:t xml:space="preserve">         </w:t>
      </w:r>
      <w:r>
        <w:rPr>
          <w:rFonts w:hint="default" w:ascii="Times New Roman" w:hAnsi="Times New Roman" w:eastAsia="宋体" w:cs="Times New Roman"/>
          <w:color w:val="auto"/>
          <w:sz w:val="36"/>
          <w:szCs w:val="36"/>
          <w:u w:val="single" w:color="auto"/>
        </w:rPr>
        <w:t>202</w:t>
      </w:r>
      <w:r>
        <w:rPr>
          <w:rFonts w:hint="default" w:ascii="Times New Roman" w:hAnsi="Times New Roman" w:eastAsia="宋体" w:cs="Times New Roman"/>
          <w:color w:val="auto"/>
          <w:sz w:val="36"/>
          <w:szCs w:val="36"/>
          <w:u w:val="single" w:color="auto"/>
          <w:lang w:val="en-US" w:eastAsia="zh-CN"/>
        </w:rPr>
        <w:t>5</w:t>
      </w:r>
      <w:r>
        <w:rPr>
          <w:rFonts w:hint="default" w:ascii="Times New Roman" w:hAnsi="Times New Roman" w:eastAsia="宋体" w:cs="Times New Roman"/>
          <w:color w:val="auto"/>
          <w:sz w:val="36"/>
          <w:szCs w:val="36"/>
          <w:u w:val="single" w:color="auto"/>
        </w:rPr>
        <w:t>年</w:t>
      </w:r>
      <w:r>
        <w:rPr>
          <w:rFonts w:hint="eastAsia" w:cs="Times New Roman"/>
          <w:color w:val="auto"/>
          <w:sz w:val="36"/>
          <w:szCs w:val="36"/>
          <w:u w:val="single" w:color="auto"/>
          <w:lang w:val="en-US" w:eastAsia="zh-CN"/>
        </w:rPr>
        <w:t>8</w:t>
      </w:r>
      <w:r>
        <w:rPr>
          <w:rFonts w:hint="default" w:ascii="Times New Roman" w:hAnsi="Times New Roman" w:eastAsia="宋体" w:cs="Times New Roman"/>
          <w:color w:val="auto"/>
          <w:sz w:val="36"/>
          <w:szCs w:val="36"/>
          <w:u w:val="single" w:color="auto"/>
        </w:rPr>
        <w:t>月</w:t>
      </w:r>
      <w:r>
        <w:rPr>
          <w:rFonts w:hint="default" w:ascii="Times New Roman" w:hAnsi="Times New Roman" w:eastAsia="宋体" w:cs="Times New Roman"/>
          <w:color w:val="auto"/>
          <w:sz w:val="36"/>
          <w:szCs w:val="36"/>
          <w:u w:val="single" w:color="auto"/>
          <w:lang w:val="en-US" w:eastAsia="zh-CN"/>
        </w:rPr>
        <w:t xml:space="preserve">               </w:t>
      </w:r>
      <w:r>
        <w:rPr>
          <w:rFonts w:hint="default" w:ascii="Times New Roman" w:hAnsi="Times New Roman" w:eastAsia="宋体" w:cs="Times New Roman"/>
          <w:color w:val="auto"/>
          <w:sz w:val="36"/>
          <w:szCs w:val="36"/>
          <w:u w:val="none" w:color="auto"/>
          <w:lang w:val="en-US" w:eastAsia="zh-CN"/>
        </w:rPr>
        <w:t xml:space="preserve">        </w:t>
      </w:r>
    </w:p>
    <w:p w14:paraId="30B94100">
      <w:pPr>
        <w:adjustRightInd w:val="0"/>
        <w:snapToGrid w:val="0"/>
        <w:spacing w:line="288" w:lineRule="auto"/>
        <w:ind w:firstLine="1040"/>
        <w:rPr>
          <w:rFonts w:hint="default" w:ascii="Times New Roman" w:hAnsi="Times New Roman" w:eastAsia="宋体" w:cs="Times New Roman"/>
          <w:color w:val="auto"/>
          <w:sz w:val="36"/>
          <w:szCs w:val="36"/>
          <w:u w:val="none" w:color="auto"/>
        </w:rPr>
      </w:pPr>
      <w:bookmarkStart w:id="1" w:name="_Hlk57884087"/>
    </w:p>
    <w:p w14:paraId="06EEFD9A">
      <w:pPr>
        <w:adjustRightInd w:val="0"/>
        <w:snapToGrid w:val="0"/>
        <w:spacing w:line="288" w:lineRule="auto"/>
        <w:ind w:firstLine="1040"/>
        <w:rPr>
          <w:rFonts w:hint="default" w:ascii="Times New Roman" w:hAnsi="Times New Roman" w:eastAsia="宋体" w:cs="Times New Roman"/>
          <w:color w:val="auto"/>
          <w:sz w:val="36"/>
          <w:szCs w:val="36"/>
          <w:u w:val="none" w:color="auto"/>
        </w:rPr>
      </w:pPr>
    </w:p>
    <w:bookmarkEnd w:id="1"/>
    <w:p w14:paraId="09E67B7A">
      <w:pPr>
        <w:adjustRightInd w:val="0"/>
        <w:snapToGrid w:val="0"/>
        <w:spacing w:line="288" w:lineRule="auto"/>
        <w:jc w:val="center"/>
        <w:rPr>
          <w:rFonts w:hint="default" w:ascii="Times New Roman" w:hAnsi="Times New Roman" w:eastAsia="宋体" w:cs="Times New Roman"/>
          <w:color w:val="auto"/>
          <w:sz w:val="36"/>
          <w:szCs w:val="36"/>
          <w:u w:val="none" w:color="auto"/>
          <w:lang w:eastAsia="zh-CN"/>
        </w:rPr>
      </w:pPr>
      <w:r>
        <w:rPr>
          <w:rFonts w:hint="default" w:ascii="Times New Roman" w:hAnsi="Times New Roman" w:eastAsia="宋体" w:cs="Times New Roman"/>
          <w:color w:val="auto"/>
          <w:sz w:val="36"/>
          <w:szCs w:val="36"/>
          <w:u w:val="none" w:color="auto"/>
        </w:rPr>
        <w:t>中华人民共和国生态环境部制</w:t>
      </w:r>
    </w:p>
    <w:p w14:paraId="3608DE7A">
      <w:pPr>
        <w:adjustRightInd w:val="0"/>
        <w:snapToGrid w:val="0"/>
        <w:spacing w:line="288" w:lineRule="auto"/>
        <w:jc w:val="center"/>
        <w:rPr>
          <w:rFonts w:hint="default" w:ascii="Times New Roman" w:hAnsi="Times New Roman" w:eastAsia="宋体" w:cs="Times New Roman"/>
          <w:color w:val="auto"/>
          <w:sz w:val="36"/>
          <w:szCs w:val="36"/>
          <w:u w:val="none" w:color="auto"/>
        </w:rPr>
      </w:pPr>
    </w:p>
    <w:p w14:paraId="2D65646D">
      <w:pPr>
        <w:adjustRightInd w:val="0"/>
        <w:snapToGrid w:val="0"/>
        <w:spacing w:line="288" w:lineRule="auto"/>
        <w:jc w:val="center"/>
        <w:rPr>
          <w:rFonts w:hint="default" w:ascii="Times New Roman" w:hAnsi="Times New Roman" w:eastAsia="宋体" w:cs="Times New Roman"/>
          <w:b/>
          <w:bCs/>
          <w:color w:val="auto"/>
          <w:sz w:val="30"/>
          <w:szCs w:val="30"/>
          <w:u w:val="none" w:color="auto"/>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宋体" w:cs="Times New Roman"/>
          <w:b/>
          <w:bCs/>
          <w:color w:val="auto"/>
          <w:sz w:val="30"/>
          <w:szCs w:val="30"/>
          <w:u w:val="none" w:color="auto"/>
          <w:lang w:eastAsia="zh-CN"/>
        </w:rPr>
        <w:drawing>
          <wp:inline distT="0" distB="0" distL="114300" distR="114300">
            <wp:extent cx="5604510" cy="7844155"/>
            <wp:effectExtent l="0" t="0" r="15240" b="4445"/>
            <wp:docPr id="225" name="图片 225" descr="77a655725e97d87f09d72c8ccac7a7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77a655725e97d87f09d72c8ccac7a7ac"/>
                    <pic:cNvPicPr>
                      <a:picLocks noChangeAspect="1"/>
                    </pic:cNvPicPr>
                  </pic:nvPicPr>
                  <pic:blipFill>
                    <a:blip r:embed="rId9"/>
                    <a:stretch>
                      <a:fillRect/>
                    </a:stretch>
                  </pic:blipFill>
                  <pic:spPr>
                    <a:xfrm>
                      <a:off x="0" y="0"/>
                      <a:ext cx="5604510" cy="7844155"/>
                    </a:xfrm>
                    <a:prstGeom prst="rect">
                      <a:avLst/>
                    </a:prstGeom>
                  </pic:spPr>
                </pic:pic>
              </a:graphicData>
            </a:graphic>
          </wp:inline>
        </w:drawing>
      </w:r>
      <w:r>
        <w:drawing>
          <wp:inline distT="0" distB="0" distL="114300" distR="114300">
            <wp:extent cx="7863205" cy="4592320"/>
            <wp:effectExtent l="0" t="0" r="17780" b="4445"/>
            <wp:docPr id="22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36"/>
                    <pic:cNvPicPr>
                      <a:picLocks noChangeAspect="1"/>
                    </pic:cNvPicPr>
                  </pic:nvPicPr>
                  <pic:blipFill>
                    <a:blip r:embed="rId10"/>
                    <a:stretch>
                      <a:fillRect/>
                    </a:stretch>
                  </pic:blipFill>
                  <pic:spPr>
                    <a:xfrm rot="16200000">
                      <a:off x="0" y="0"/>
                      <a:ext cx="7863205" cy="4592320"/>
                    </a:xfrm>
                    <a:prstGeom prst="rect">
                      <a:avLst/>
                    </a:prstGeom>
                    <a:noFill/>
                    <a:ln>
                      <a:noFill/>
                    </a:ln>
                  </pic:spPr>
                </pic:pic>
              </a:graphicData>
            </a:graphic>
          </wp:inline>
        </w:drawing>
      </w:r>
      <w:r>
        <w:drawing>
          <wp:inline distT="0" distB="0" distL="114300" distR="114300">
            <wp:extent cx="7623810" cy="4763135"/>
            <wp:effectExtent l="0" t="0" r="18415" b="15240"/>
            <wp:docPr id="22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7"/>
                    <pic:cNvPicPr>
                      <a:picLocks noChangeAspect="1"/>
                    </pic:cNvPicPr>
                  </pic:nvPicPr>
                  <pic:blipFill>
                    <a:blip r:embed="rId11"/>
                    <a:stretch>
                      <a:fillRect/>
                    </a:stretch>
                  </pic:blipFill>
                  <pic:spPr>
                    <a:xfrm rot="16200000">
                      <a:off x="0" y="0"/>
                      <a:ext cx="7623810" cy="4763135"/>
                    </a:xfrm>
                    <a:prstGeom prst="rect">
                      <a:avLst/>
                    </a:prstGeom>
                    <a:noFill/>
                    <a:ln>
                      <a:noFill/>
                    </a:ln>
                  </pic:spPr>
                </pic:pic>
              </a:graphicData>
            </a:graphic>
          </wp:inline>
        </w:drawing>
      </w:r>
      <w:r>
        <w:drawing>
          <wp:inline distT="0" distB="0" distL="114300" distR="114300">
            <wp:extent cx="7988300" cy="5186680"/>
            <wp:effectExtent l="0" t="0" r="13970" b="12700"/>
            <wp:docPr id="22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8"/>
                    <pic:cNvPicPr>
                      <a:picLocks noChangeAspect="1"/>
                    </pic:cNvPicPr>
                  </pic:nvPicPr>
                  <pic:blipFill>
                    <a:blip r:embed="rId12"/>
                    <a:stretch>
                      <a:fillRect/>
                    </a:stretch>
                  </pic:blipFill>
                  <pic:spPr>
                    <a:xfrm rot="16200000">
                      <a:off x="0" y="0"/>
                      <a:ext cx="7988300" cy="5186680"/>
                    </a:xfrm>
                    <a:prstGeom prst="rect">
                      <a:avLst/>
                    </a:prstGeom>
                    <a:noFill/>
                    <a:ln>
                      <a:noFill/>
                    </a:ln>
                  </pic:spPr>
                </pic:pic>
              </a:graphicData>
            </a:graphic>
          </wp:inline>
        </w:drawing>
      </w:r>
      <w:r>
        <w:drawing>
          <wp:inline distT="0" distB="0" distL="114300" distR="114300">
            <wp:extent cx="5610860" cy="7688580"/>
            <wp:effectExtent l="0" t="0" r="8890" b="7620"/>
            <wp:docPr id="22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9"/>
                    <pic:cNvPicPr>
                      <a:picLocks noChangeAspect="1"/>
                    </pic:cNvPicPr>
                  </pic:nvPicPr>
                  <pic:blipFill>
                    <a:blip r:embed="rId13"/>
                    <a:stretch>
                      <a:fillRect/>
                    </a:stretch>
                  </pic:blipFill>
                  <pic:spPr>
                    <a:xfrm>
                      <a:off x="0" y="0"/>
                      <a:ext cx="5610860" cy="7688580"/>
                    </a:xfrm>
                    <a:prstGeom prst="rect">
                      <a:avLst/>
                    </a:prstGeom>
                    <a:noFill/>
                    <a:ln>
                      <a:noFill/>
                    </a:ln>
                  </pic:spPr>
                </pic:pic>
              </a:graphicData>
            </a:graphic>
          </wp:inline>
        </w:drawing>
      </w:r>
      <w:r>
        <w:drawing>
          <wp:inline distT="0" distB="0" distL="114300" distR="114300">
            <wp:extent cx="5612130" cy="7802880"/>
            <wp:effectExtent l="0" t="0" r="7620" b="7620"/>
            <wp:docPr id="23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40"/>
                    <pic:cNvPicPr>
                      <a:picLocks noChangeAspect="1"/>
                    </pic:cNvPicPr>
                  </pic:nvPicPr>
                  <pic:blipFill>
                    <a:blip r:embed="rId14"/>
                    <a:stretch>
                      <a:fillRect/>
                    </a:stretch>
                  </pic:blipFill>
                  <pic:spPr>
                    <a:xfrm>
                      <a:off x="0" y="0"/>
                      <a:ext cx="5612130" cy="7802880"/>
                    </a:xfrm>
                    <a:prstGeom prst="rect">
                      <a:avLst/>
                    </a:prstGeom>
                    <a:noFill/>
                    <a:ln>
                      <a:noFill/>
                    </a:ln>
                  </pic:spPr>
                </pic:pic>
              </a:graphicData>
            </a:graphic>
          </wp:inline>
        </w:drawing>
      </w:r>
      <w:r>
        <w:drawing>
          <wp:inline distT="0" distB="0" distL="114300" distR="114300">
            <wp:extent cx="5614035" cy="7411085"/>
            <wp:effectExtent l="0" t="0" r="5715" b="18415"/>
            <wp:docPr id="23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41"/>
                    <pic:cNvPicPr>
                      <a:picLocks noChangeAspect="1"/>
                    </pic:cNvPicPr>
                  </pic:nvPicPr>
                  <pic:blipFill>
                    <a:blip r:embed="rId15"/>
                    <a:stretch>
                      <a:fillRect/>
                    </a:stretch>
                  </pic:blipFill>
                  <pic:spPr>
                    <a:xfrm>
                      <a:off x="0" y="0"/>
                      <a:ext cx="5614035" cy="7411085"/>
                    </a:xfrm>
                    <a:prstGeom prst="rect">
                      <a:avLst/>
                    </a:prstGeom>
                    <a:noFill/>
                    <a:ln>
                      <a:noFill/>
                    </a:ln>
                  </pic:spPr>
                </pic:pic>
              </a:graphicData>
            </a:graphic>
          </wp:inline>
        </w:drawing>
      </w:r>
      <w:r>
        <w:drawing>
          <wp:inline distT="0" distB="0" distL="114300" distR="114300">
            <wp:extent cx="5610860" cy="7056755"/>
            <wp:effectExtent l="0" t="0" r="8890" b="10795"/>
            <wp:docPr id="11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36"/>
                    <pic:cNvPicPr>
                      <a:picLocks noChangeAspect="1"/>
                    </pic:cNvPicPr>
                  </pic:nvPicPr>
                  <pic:blipFill>
                    <a:blip r:embed="rId16"/>
                    <a:stretch>
                      <a:fillRect/>
                    </a:stretch>
                  </pic:blipFill>
                  <pic:spPr>
                    <a:xfrm>
                      <a:off x="0" y="0"/>
                      <a:ext cx="5610860" cy="7056755"/>
                    </a:xfrm>
                    <a:prstGeom prst="rect">
                      <a:avLst/>
                    </a:prstGeom>
                    <a:noFill/>
                    <a:ln>
                      <a:noFill/>
                    </a:ln>
                  </pic:spPr>
                </pic:pic>
              </a:graphicData>
            </a:graphic>
          </wp:inline>
        </w:drawing>
      </w:r>
      <w:r>
        <w:drawing>
          <wp:inline distT="0" distB="0" distL="114300" distR="114300">
            <wp:extent cx="5615940" cy="7443470"/>
            <wp:effectExtent l="0" t="0" r="3810" b="5080"/>
            <wp:docPr id="23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42"/>
                    <pic:cNvPicPr>
                      <a:picLocks noChangeAspect="1"/>
                    </pic:cNvPicPr>
                  </pic:nvPicPr>
                  <pic:blipFill>
                    <a:blip r:embed="rId17"/>
                    <a:stretch>
                      <a:fillRect/>
                    </a:stretch>
                  </pic:blipFill>
                  <pic:spPr>
                    <a:xfrm>
                      <a:off x="0" y="0"/>
                      <a:ext cx="5615940" cy="7443470"/>
                    </a:xfrm>
                    <a:prstGeom prst="rect">
                      <a:avLst/>
                    </a:prstGeom>
                    <a:noFill/>
                    <a:ln>
                      <a:noFill/>
                    </a:ln>
                  </pic:spPr>
                </pic:pic>
              </a:graphicData>
            </a:graphic>
          </wp:inline>
        </w:drawing>
      </w:r>
    </w:p>
    <w:p w14:paraId="0A2292EB">
      <w:pPr>
        <w:adjustRightInd w:val="0"/>
        <w:snapToGrid w:val="0"/>
        <w:spacing w:line="288" w:lineRule="auto"/>
        <w:jc w:val="center"/>
        <w:rPr>
          <w:rFonts w:hint="default" w:ascii="Times New Roman" w:hAnsi="Times New Roman" w:eastAsia="宋体" w:cs="Times New Roman"/>
          <w:b/>
          <w:bCs/>
          <w:color w:val="auto"/>
          <w:sz w:val="36"/>
          <w:szCs w:val="36"/>
          <w:u w:val="none" w:color="auto"/>
        </w:rPr>
      </w:pPr>
      <w:r>
        <w:rPr>
          <w:rFonts w:hint="default" w:ascii="Times New Roman" w:hAnsi="Times New Roman" w:eastAsia="宋体" w:cs="Times New Roman"/>
          <w:b/>
          <w:bCs/>
          <w:color w:val="auto"/>
          <w:sz w:val="30"/>
          <w:szCs w:val="30"/>
          <w:u w:val="none" w:color="auto"/>
        </w:rPr>
        <w:t>目 录</w:t>
      </w:r>
    </w:p>
    <w:p w14:paraId="3C966B25">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TOC \o "1-1" \h \u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_Toc13842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一、建设项目基本情况</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_Toc13842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2</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7E3FA9D2">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_Toc30754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二、建设项目工程分析</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_Toc30754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24</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4D7176D8">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_Toc22906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三、区域环境质量现状、环境保护目标及评价标准</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_Toc22906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39</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014925E6">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_Toc24969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四、主要环境影响和保护措施</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_Toc24969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45</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0787D5EA">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_Toc7434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五、环境保护措施监督检查清单</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_Toc7434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68</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5663EF7D">
      <w:pPr>
        <w:pStyle w:val="21"/>
        <w:tabs>
          <w:tab w:val="right" w:leader="dot" w:pos="8844"/>
        </w:tabs>
        <w:spacing w:line="360" w:lineRule="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HYPERLINK \l _Toc10150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snapToGrid w:val="0"/>
          <w:color w:val="auto"/>
          <w:szCs w:val="21"/>
          <w:u w:val="none" w:color="auto"/>
        </w:rPr>
        <w:t>六、结论</w:t>
      </w:r>
      <w:r>
        <w:rPr>
          <w:rFonts w:hint="default" w:ascii="Times New Roman" w:hAnsi="Times New Roman" w:eastAsia="宋体" w:cs="Times New Roman"/>
          <w:color w:val="auto"/>
          <w:szCs w:val="21"/>
          <w:u w:val="none" w:color="auto"/>
        </w:rPr>
        <w:tab/>
      </w:r>
      <w:r>
        <w:rPr>
          <w:rFonts w:hint="default" w:ascii="Times New Roman" w:hAnsi="Times New Roman" w:eastAsia="宋体" w:cs="Times New Roman"/>
          <w:color w:val="auto"/>
          <w:szCs w:val="21"/>
          <w:u w:val="none" w:color="auto"/>
        </w:rPr>
        <w:fldChar w:fldCharType="begin"/>
      </w:r>
      <w:r>
        <w:rPr>
          <w:rFonts w:hint="default" w:ascii="Times New Roman" w:hAnsi="Times New Roman" w:eastAsia="宋体" w:cs="Times New Roman"/>
          <w:color w:val="auto"/>
          <w:szCs w:val="21"/>
          <w:u w:val="none" w:color="auto"/>
        </w:rPr>
        <w:instrText xml:space="preserve"> PAGEREF _Toc10150 \h </w:instrText>
      </w:r>
      <w:r>
        <w:rPr>
          <w:rFonts w:hint="default" w:ascii="Times New Roman" w:hAnsi="Times New Roman" w:eastAsia="宋体" w:cs="Times New Roman"/>
          <w:color w:val="auto"/>
          <w:szCs w:val="21"/>
          <w:u w:val="none" w:color="auto"/>
        </w:rPr>
        <w:fldChar w:fldCharType="separate"/>
      </w:r>
      <w:r>
        <w:rPr>
          <w:rFonts w:hint="default" w:ascii="Times New Roman" w:hAnsi="Times New Roman" w:eastAsia="宋体" w:cs="Times New Roman"/>
          <w:color w:val="auto"/>
          <w:szCs w:val="21"/>
          <w:u w:val="none" w:color="auto"/>
        </w:rPr>
        <w:t>71</w:t>
      </w: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color w:val="auto"/>
          <w:szCs w:val="21"/>
          <w:u w:val="none" w:color="auto"/>
        </w:rPr>
        <w:fldChar w:fldCharType="end"/>
      </w:r>
    </w:p>
    <w:p w14:paraId="63D80936">
      <w:pPr>
        <w:spacing w:line="360" w:lineRule="auto"/>
        <w:jc w:val="left"/>
        <w:rPr>
          <w:rFonts w:hint="default" w:ascii="Times New Roman" w:hAnsi="Times New Roman" w:eastAsia="宋体" w:cs="Times New Roman"/>
          <w:b/>
          <w:bCs/>
          <w:color w:val="auto"/>
          <w:spacing w:val="6"/>
          <w:szCs w:val="21"/>
          <w:highlight w:val="none"/>
          <w:u w:val="none" w:color="auto"/>
        </w:rPr>
      </w:pPr>
      <w:r>
        <w:rPr>
          <w:rFonts w:hint="default" w:ascii="Times New Roman" w:hAnsi="Times New Roman" w:eastAsia="宋体" w:cs="Times New Roman"/>
          <w:color w:val="auto"/>
          <w:szCs w:val="21"/>
          <w:u w:val="none" w:color="auto"/>
        </w:rPr>
        <w:fldChar w:fldCharType="end"/>
      </w:r>
      <w:r>
        <w:rPr>
          <w:rFonts w:hint="default" w:ascii="Times New Roman" w:hAnsi="Times New Roman" w:eastAsia="宋体" w:cs="Times New Roman"/>
          <w:b/>
          <w:bCs/>
          <w:color w:val="auto"/>
          <w:spacing w:val="6"/>
          <w:szCs w:val="21"/>
          <w:highlight w:val="none"/>
          <w:u w:val="none" w:color="auto"/>
        </w:rPr>
        <w:t>附件：</w:t>
      </w:r>
    </w:p>
    <w:p w14:paraId="7FF2DB90">
      <w:pPr>
        <w:spacing w:line="360" w:lineRule="auto"/>
        <w:ind w:left="615"/>
        <w:rPr>
          <w:rFonts w:hint="default" w:ascii="Times New Roman" w:hAnsi="Times New Roman" w:eastAsia="宋体" w:cs="Times New Roman"/>
          <w:color w:val="auto"/>
          <w:spacing w:val="6"/>
          <w:szCs w:val="21"/>
          <w:highlight w:val="none"/>
          <w:u w:val="none" w:color="auto"/>
        </w:rPr>
      </w:pPr>
      <w:r>
        <w:rPr>
          <w:rFonts w:hint="default" w:ascii="Times New Roman" w:hAnsi="Times New Roman" w:eastAsia="宋体" w:cs="Times New Roman"/>
          <w:color w:val="auto"/>
          <w:spacing w:val="6"/>
          <w:szCs w:val="21"/>
          <w:highlight w:val="none"/>
          <w:u w:val="none" w:color="auto"/>
        </w:rPr>
        <w:t>附件1 委托函</w:t>
      </w:r>
    </w:p>
    <w:p w14:paraId="225721D1">
      <w:pPr>
        <w:spacing w:line="360" w:lineRule="auto"/>
        <w:ind w:left="615"/>
        <w:rPr>
          <w:rFonts w:hint="default" w:ascii="Times New Roman" w:hAnsi="Times New Roman" w:eastAsia="宋体" w:cs="Times New Roman"/>
          <w:color w:val="auto"/>
          <w:spacing w:val="6"/>
          <w:szCs w:val="21"/>
          <w:highlight w:val="none"/>
          <w:u w:val="none" w:color="auto"/>
          <w:lang w:eastAsia="zh-CN"/>
        </w:rPr>
      </w:pPr>
      <w:r>
        <w:rPr>
          <w:rFonts w:hint="default" w:ascii="Times New Roman" w:hAnsi="Times New Roman" w:eastAsia="宋体" w:cs="Times New Roman"/>
          <w:color w:val="auto"/>
          <w:spacing w:val="6"/>
          <w:szCs w:val="21"/>
          <w:highlight w:val="none"/>
          <w:u w:val="none" w:color="auto"/>
        </w:rPr>
        <w:t>附件2 营业执照</w:t>
      </w:r>
    </w:p>
    <w:p w14:paraId="6278B30E">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附件3 土地证</w:t>
      </w:r>
    </w:p>
    <w:p w14:paraId="64F59CDE">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附件4　现有工程环评批复</w:t>
      </w:r>
    </w:p>
    <w:p w14:paraId="3D0401BA">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附件5　现有工程验收批复</w:t>
      </w:r>
    </w:p>
    <w:p w14:paraId="04FBCED2">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附件6 排污许可证</w:t>
      </w:r>
    </w:p>
    <w:p w14:paraId="4BF5A35F">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附件7 突发环境事件应急预案备案表</w:t>
      </w:r>
    </w:p>
    <w:p w14:paraId="0C5DB7EB">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附件8 自行监测报告</w:t>
      </w:r>
    </w:p>
    <w:p w14:paraId="1C079858">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w:t>
      </w:r>
      <w:r>
        <w:rPr>
          <w:rFonts w:hint="eastAsia" w:cs="Times New Roman"/>
          <w:color w:val="auto"/>
          <w:spacing w:val="6"/>
          <w:szCs w:val="21"/>
          <w:highlight w:val="none"/>
          <w:u w:val="none" w:color="auto"/>
          <w:lang w:val="en-US" w:eastAsia="zh-CN"/>
        </w:rPr>
        <w:t>9</w:t>
      </w:r>
      <w:r>
        <w:rPr>
          <w:rFonts w:hint="default" w:ascii="Times New Roman" w:hAnsi="Times New Roman" w:eastAsia="宋体" w:cs="Times New Roman"/>
          <w:color w:val="auto"/>
          <w:spacing w:val="6"/>
          <w:szCs w:val="21"/>
          <w:highlight w:val="none"/>
          <w:u w:val="none" w:color="auto"/>
          <w:lang w:val="en-US" w:eastAsia="zh-CN"/>
        </w:rPr>
        <w:t xml:space="preserve"> 危废协议</w:t>
      </w:r>
    </w:p>
    <w:p w14:paraId="1BCDD881">
      <w:pPr>
        <w:spacing w:line="360" w:lineRule="auto"/>
        <w:ind w:left="615"/>
        <w:rPr>
          <w:rFonts w:hint="default" w:ascii="Times New Roman" w:hAnsi="Times New Roman" w:eastAsia="宋体" w:cs="Times New Roman"/>
          <w:color w:val="auto"/>
          <w:spacing w:val="6"/>
          <w:szCs w:val="21"/>
          <w:highlight w:val="none"/>
          <w:u w:val="none" w:color="auto"/>
          <w:lang w:val="en-US" w:eastAsia="zh-CN"/>
        </w:rPr>
      </w:pPr>
      <w:r>
        <w:rPr>
          <w:rFonts w:hint="eastAsia" w:cs="Times New Roman"/>
          <w:color w:val="auto"/>
          <w:spacing w:val="6"/>
          <w:szCs w:val="21"/>
          <w:highlight w:val="none"/>
          <w:u w:val="none" w:color="auto"/>
          <w:lang w:val="en-US" w:eastAsia="zh-CN"/>
        </w:rPr>
        <w:t>附件10</w:t>
      </w:r>
      <w:bookmarkStart w:id="14" w:name="_GoBack"/>
      <w:bookmarkEnd w:id="14"/>
      <w:r>
        <w:rPr>
          <w:rFonts w:hint="eastAsia" w:cs="Times New Roman"/>
          <w:color w:val="auto"/>
          <w:spacing w:val="6"/>
          <w:szCs w:val="21"/>
          <w:highlight w:val="none"/>
          <w:u w:val="none" w:color="auto"/>
          <w:lang w:val="en-US" w:eastAsia="zh-CN"/>
        </w:rPr>
        <w:t xml:space="preserve"> 本环评环境质量现状监测报告</w:t>
      </w:r>
    </w:p>
    <w:p w14:paraId="2324F36F">
      <w:pPr>
        <w:pStyle w:val="12"/>
        <w:rPr>
          <w:rFonts w:hint="default" w:ascii="Times New Roman" w:hAnsi="Times New Roman" w:eastAsia="宋体" w:cs="Times New Roman"/>
          <w:u w:val="none" w:color="auto"/>
          <w:lang w:val="en-US" w:eastAsia="zh-CN"/>
        </w:rPr>
      </w:pPr>
    </w:p>
    <w:p w14:paraId="268B4CBF">
      <w:pPr>
        <w:spacing w:line="360" w:lineRule="auto"/>
        <w:ind w:left="615"/>
        <w:rPr>
          <w:rFonts w:hint="default" w:ascii="Times New Roman" w:hAnsi="Times New Roman" w:eastAsia="宋体" w:cs="Times New Roman"/>
          <w:color w:val="auto"/>
          <w:spacing w:val="6"/>
          <w:szCs w:val="21"/>
          <w:highlight w:val="yellow"/>
          <w:u w:val="none" w:color="auto"/>
          <w:lang w:val="en-US" w:eastAsia="zh-CN"/>
        </w:rPr>
      </w:pPr>
    </w:p>
    <w:p w14:paraId="711D3635">
      <w:pPr>
        <w:spacing w:line="360" w:lineRule="auto"/>
        <w:rPr>
          <w:rFonts w:hint="default" w:ascii="Times New Roman" w:hAnsi="Times New Roman" w:eastAsia="宋体" w:cs="Times New Roman"/>
          <w:b/>
          <w:bCs/>
          <w:color w:val="auto"/>
          <w:spacing w:val="6"/>
          <w:szCs w:val="21"/>
          <w:highlight w:val="none"/>
          <w:u w:val="none" w:color="auto"/>
        </w:rPr>
      </w:pPr>
      <w:r>
        <w:rPr>
          <w:rFonts w:hint="default" w:ascii="Times New Roman" w:hAnsi="Times New Roman" w:eastAsia="宋体" w:cs="Times New Roman"/>
          <w:b/>
          <w:bCs/>
          <w:color w:val="auto"/>
          <w:spacing w:val="6"/>
          <w:szCs w:val="21"/>
          <w:highlight w:val="none"/>
          <w:u w:val="none" w:color="auto"/>
        </w:rPr>
        <w:t>附图：</w:t>
      </w:r>
    </w:p>
    <w:p w14:paraId="77F434B2">
      <w:pPr>
        <w:spacing w:line="360" w:lineRule="auto"/>
        <w:ind w:left="615"/>
        <w:rPr>
          <w:rFonts w:hint="default" w:ascii="Times New Roman" w:hAnsi="Times New Roman" w:eastAsia="宋体" w:cs="Times New Roman"/>
          <w:color w:val="auto"/>
          <w:spacing w:val="6"/>
          <w:szCs w:val="21"/>
          <w:highlight w:val="none"/>
          <w:u w:val="none" w:color="auto"/>
        </w:rPr>
      </w:pPr>
      <w:r>
        <w:rPr>
          <w:rFonts w:hint="default" w:ascii="Times New Roman" w:hAnsi="Times New Roman" w:eastAsia="宋体" w:cs="Times New Roman"/>
          <w:color w:val="auto"/>
          <w:spacing w:val="6"/>
          <w:szCs w:val="21"/>
          <w:highlight w:val="none"/>
          <w:u w:val="none" w:color="auto"/>
        </w:rPr>
        <w:t>附图1 地理位置图</w:t>
      </w:r>
    </w:p>
    <w:p w14:paraId="41D0CCF8">
      <w:pPr>
        <w:spacing w:line="360" w:lineRule="auto"/>
        <w:ind w:left="615"/>
        <w:rPr>
          <w:rFonts w:hint="default" w:ascii="Times New Roman" w:hAnsi="Times New Roman" w:eastAsia="宋体" w:cs="Times New Roman"/>
          <w:color w:val="auto"/>
          <w:spacing w:val="6"/>
          <w:szCs w:val="21"/>
          <w:highlight w:val="none"/>
          <w:u w:val="none" w:color="auto"/>
          <w:lang w:eastAsia="zh-CN"/>
        </w:rPr>
      </w:pPr>
      <w:r>
        <w:rPr>
          <w:rFonts w:hint="default" w:ascii="Times New Roman" w:hAnsi="Times New Roman" w:eastAsia="宋体" w:cs="Times New Roman"/>
          <w:color w:val="auto"/>
          <w:spacing w:val="6"/>
          <w:szCs w:val="21"/>
          <w:highlight w:val="none"/>
          <w:u w:val="none" w:color="auto"/>
        </w:rPr>
        <w:t>附图</w:t>
      </w:r>
      <w:r>
        <w:rPr>
          <w:rFonts w:hint="default" w:ascii="Times New Roman" w:hAnsi="Times New Roman" w:eastAsia="宋体" w:cs="Times New Roman"/>
          <w:color w:val="auto"/>
          <w:spacing w:val="6"/>
          <w:szCs w:val="21"/>
          <w:highlight w:val="none"/>
          <w:u w:val="none" w:color="auto"/>
          <w:lang w:val="en-US" w:eastAsia="zh-CN"/>
        </w:rPr>
        <w:t>2</w:t>
      </w:r>
      <w:r>
        <w:rPr>
          <w:rFonts w:hint="default" w:ascii="Times New Roman" w:hAnsi="Times New Roman" w:eastAsia="宋体" w:cs="Times New Roman"/>
          <w:color w:val="auto"/>
          <w:spacing w:val="6"/>
          <w:szCs w:val="21"/>
          <w:highlight w:val="none"/>
          <w:u w:val="none" w:color="auto"/>
        </w:rPr>
        <w:t xml:space="preserve"> </w:t>
      </w:r>
      <w:r>
        <w:rPr>
          <w:rFonts w:hint="default" w:ascii="Times New Roman" w:hAnsi="Times New Roman" w:eastAsia="宋体" w:cs="Times New Roman"/>
          <w:color w:val="auto"/>
          <w:spacing w:val="6"/>
          <w:szCs w:val="21"/>
          <w:highlight w:val="none"/>
          <w:u w:val="none" w:color="auto"/>
          <w:lang w:eastAsia="zh-CN"/>
        </w:rPr>
        <w:t>平面布置图</w:t>
      </w:r>
    </w:p>
    <w:p w14:paraId="2AEB67C3">
      <w:pPr>
        <w:spacing w:line="360" w:lineRule="auto"/>
        <w:ind w:left="615"/>
        <w:rPr>
          <w:rFonts w:hint="default" w:ascii="Times New Roman" w:hAnsi="Times New Roman" w:eastAsia="宋体" w:cs="Times New Roman"/>
          <w:color w:val="auto"/>
          <w:spacing w:val="6"/>
          <w:szCs w:val="21"/>
          <w:highlight w:val="none"/>
          <w:u w:val="none" w:color="auto"/>
          <w:lang w:eastAsia="zh-CN"/>
        </w:rPr>
      </w:pPr>
      <w:r>
        <w:rPr>
          <w:rFonts w:hint="default" w:ascii="Times New Roman" w:hAnsi="Times New Roman" w:eastAsia="宋体" w:cs="Times New Roman"/>
          <w:color w:val="auto"/>
          <w:spacing w:val="6"/>
          <w:szCs w:val="21"/>
          <w:highlight w:val="none"/>
          <w:u w:val="none" w:color="auto"/>
        </w:rPr>
        <w:t>附图</w:t>
      </w:r>
      <w:r>
        <w:rPr>
          <w:rFonts w:hint="default" w:ascii="Times New Roman" w:hAnsi="Times New Roman" w:eastAsia="宋体" w:cs="Times New Roman"/>
          <w:color w:val="auto"/>
          <w:spacing w:val="6"/>
          <w:szCs w:val="21"/>
          <w:highlight w:val="none"/>
          <w:u w:val="none" w:color="auto"/>
          <w:lang w:val="en-US" w:eastAsia="zh-CN"/>
        </w:rPr>
        <w:t>3</w:t>
      </w:r>
      <w:r>
        <w:rPr>
          <w:rFonts w:hint="default" w:ascii="Times New Roman" w:hAnsi="Times New Roman" w:eastAsia="宋体" w:cs="Times New Roman"/>
          <w:color w:val="auto"/>
          <w:spacing w:val="6"/>
          <w:szCs w:val="21"/>
          <w:highlight w:val="none"/>
          <w:u w:val="none" w:color="auto"/>
        </w:rPr>
        <w:t xml:space="preserve"> </w:t>
      </w:r>
      <w:r>
        <w:rPr>
          <w:rFonts w:hint="default" w:ascii="Times New Roman" w:hAnsi="Times New Roman" w:eastAsia="宋体" w:cs="Times New Roman"/>
          <w:color w:val="auto"/>
          <w:spacing w:val="6"/>
          <w:szCs w:val="21"/>
          <w:highlight w:val="none"/>
          <w:u w:val="none" w:color="auto"/>
          <w:lang w:eastAsia="zh-CN"/>
        </w:rPr>
        <w:t>敏感目标图</w:t>
      </w:r>
    </w:p>
    <w:p w14:paraId="7E620595">
      <w:pPr>
        <w:spacing w:line="360" w:lineRule="auto"/>
        <w:ind w:left="615"/>
        <w:rPr>
          <w:rFonts w:hint="default" w:ascii="Times New Roman" w:hAnsi="Times New Roman" w:eastAsia="宋体" w:cs="Times New Roman"/>
          <w:color w:val="auto"/>
          <w:spacing w:val="6"/>
          <w:szCs w:val="21"/>
          <w:highlight w:val="none"/>
          <w:u w:val="none" w:color="auto"/>
          <w:lang w:eastAsia="zh-CN"/>
        </w:rPr>
      </w:pPr>
      <w:r>
        <w:rPr>
          <w:rFonts w:hint="default" w:ascii="Times New Roman" w:hAnsi="Times New Roman" w:eastAsia="宋体" w:cs="Times New Roman"/>
          <w:color w:val="auto"/>
          <w:spacing w:val="6"/>
          <w:szCs w:val="21"/>
          <w:highlight w:val="none"/>
          <w:u w:val="none" w:color="auto"/>
        </w:rPr>
        <w:t>附图</w:t>
      </w:r>
      <w:r>
        <w:rPr>
          <w:rFonts w:hint="default" w:ascii="Times New Roman" w:hAnsi="Times New Roman" w:eastAsia="宋体" w:cs="Times New Roman"/>
          <w:color w:val="auto"/>
          <w:spacing w:val="6"/>
          <w:szCs w:val="21"/>
          <w:highlight w:val="none"/>
          <w:u w:val="none" w:color="auto"/>
          <w:lang w:val="en-US" w:eastAsia="zh-CN"/>
        </w:rPr>
        <w:t>4</w:t>
      </w:r>
      <w:r>
        <w:rPr>
          <w:rFonts w:hint="default" w:ascii="Times New Roman" w:hAnsi="Times New Roman" w:eastAsia="宋体" w:cs="Times New Roman"/>
          <w:color w:val="auto"/>
          <w:spacing w:val="6"/>
          <w:szCs w:val="21"/>
          <w:highlight w:val="none"/>
          <w:u w:val="none" w:color="auto"/>
        </w:rPr>
        <w:t xml:space="preserve"> </w:t>
      </w:r>
      <w:r>
        <w:rPr>
          <w:rFonts w:hint="default" w:ascii="Times New Roman" w:hAnsi="Times New Roman" w:eastAsia="宋体" w:cs="Times New Roman"/>
          <w:color w:val="auto"/>
          <w:spacing w:val="6"/>
          <w:szCs w:val="21"/>
          <w:highlight w:val="none"/>
          <w:u w:val="none" w:color="auto"/>
          <w:lang w:eastAsia="zh-CN"/>
        </w:rPr>
        <w:t>监测点位图</w:t>
      </w:r>
    </w:p>
    <w:p w14:paraId="0D650DB8">
      <w:pPr>
        <w:pStyle w:val="12"/>
        <w:rPr>
          <w:rFonts w:hint="default" w:ascii="Times New Roman" w:hAnsi="Times New Roman" w:eastAsia="宋体" w:cs="Times New Roman"/>
          <w:color w:val="auto"/>
          <w:u w:val="none" w:color="auto"/>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1991F65">
      <w:pPr>
        <w:pStyle w:val="22"/>
        <w:jc w:val="center"/>
        <w:outlineLvl w:val="0"/>
        <w:rPr>
          <w:rFonts w:hint="default" w:ascii="Times New Roman" w:hAnsi="Times New Roman" w:eastAsia="宋体" w:cs="Times New Roman"/>
          <w:snapToGrid w:val="0"/>
          <w:color w:val="auto"/>
          <w:sz w:val="30"/>
          <w:szCs w:val="30"/>
          <w:u w:val="none" w:color="auto"/>
        </w:rPr>
      </w:pPr>
      <w:bookmarkStart w:id="2" w:name="_Toc13842"/>
      <w:r>
        <w:rPr>
          <w:rFonts w:hint="default" w:ascii="Times New Roman" w:hAnsi="Times New Roman" w:eastAsia="宋体" w:cs="Times New Roman"/>
          <w:snapToGrid w:val="0"/>
          <w:color w:val="auto"/>
          <w:sz w:val="30"/>
          <w:szCs w:val="30"/>
          <w:u w:val="none" w:color="auto"/>
        </w:rPr>
        <w:t>一、建设项目基本情况</w:t>
      </w:r>
      <w:bookmarkEnd w:id="2"/>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19"/>
        <w:gridCol w:w="1975"/>
        <w:gridCol w:w="125"/>
        <w:gridCol w:w="2141"/>
        <w:gridCol w:w="71"/>
        <w:gridCol w:w="2639"/>
      </w:tblGrid>
      <w:tr w14:paraId="154B5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48F4033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建设项目名称</w:t>
            </w:r>
          </w:p>
        </w:tc>
        <w:tc>
          <w:tcPr>
            <w:tcW w:w="6951" w:type="dxa"/>
            <w:gridSpan w:val="5"/>
            <w:noWrap w:val="0"/>
            <w:vAlign w:val="center"/>
          </w:tcPr>
          <w:p w14:paraId="16959A5C">
            <w:pPr>
              <w:adjustRightInd w:val="0"/>
              <w:snapToGrid w:val="0"/>
              <w:jc w:val="center"/>
              <w:rPr>
                <w:rFonts w:hint="default" w:ascii="Times New Roman" w:hAnsi="Times New Roman" w:eastAsia="宋体" w:cs="Times New Roman"/>
                <w:color w:val="auto"/>
                <w:sz w:val="24"/>
                <w:u w:val="none" w:color="auto"/>
                <w:lang w:eastAsia="zh-CN"/>
              </w:rPr>
            </w:pPr>
            <w:r>
              <w:rPr>
                <w:rFonts w:hint="default" w:ascii="Times New Roman" w:hAnsi="Times New Roman" w:eastAsia="宋体" w:cs="Times New Roman"/>
                <w:color w:val="auto"/>
                <w:sz w:val="24"/>
                <w:u w:val="none" w:color="auto"/>
                <w:lang w:val="en-US" w:eastAsia="zh-CN"/>
              </w:rPr>
              <w:t>岳阳宝丽纺织品有限公司新增一台15t/h生物质锅炉和1台4t/h导热油炉建设项目</w:t>
            </w:r>
          </w:p>
        </w:tc>
      </w:tr>
      <w:tr w14:paraId="51367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35AFBA3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项目代码</w:t>
            </w:r>
          </w:p>
        </w:tc>
        <w:tc>
          <w:tcPr>
            <w:tcW w:w="6951" w:type="dxa"/>
            <w:gridSpan w:val="5"/>
            <w:noWrap w:val="0"/>
            <w:vAlign w:val="center"/>
          </w:tcPr>
          <w:p w14:paraId="1BCE1FF5">
            <w:pPr>
              <w:adjustRightInd w:val="0"/>
              <w:snapToGrid w:val="0"/>
              <w:jc w:val="center"/>
              <w:rPr>
                <w:rFonts w:hint="default" w:ascii="Times New Roman" w:hAnsi="Times New Roman" w:eastAsia="宋体" w:cs="Times New Roman"/>
                <w:color w:val="auto"/>
                <w:sz w:val="24"/>
                <w:u w:val="none" w:color="auto"/>
                <w:lang w:eastAsia="zh-CN"/>
              </w:rPr>
            </w:pPr>
            <w:r>
              <w:rPr>
                <w:rFonts w:hint="default" w:ascii="Times New Roman" w:hAnsi="Times New Roman" w:eastAsia="宋体" w:cs="Times New Roman"/>
                <w:color w:val="auto"/>
                <w:sz w:val="24"/>
                <w:u w:val="none" w:color="auto"/>
                <w:lang w:eastAsia="zh-CN"/>
              </w:rPr>
              <w:t>/</w:t>
            </w:r>
          </w:p>
        </w:tc>
      </w:tr>
      <w:tr w14:paraId="5A361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0DDC88CD">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建设单位联系人</w:t>
            </w:r>
          </w:p>
        </w:tc>
        <w:tc>
          <w:tcPr>
            <w:tcW w:w="1975" w:type="dxa"/>
            <w:noWrap w:val="0"/>
            <w:vAlign w:val="center"/>
          </w:tcPr>
          <w:p w14:paraId="5088EAA3">
            <w:pPr>
              <w:adjustRightInd w:val="0"/>
              <w:snapToGrid w:val="0"/>
              <w:jc w:val="center"/>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文总</w:t>
            </w:r>
          </w:p>
        </w:tc>
        <w:tc>
          <w:tcPr>
            <w:tcW w:w="2266" w:type="dxa"/>
            <w:gridSpan w:val="2"/>
            <w:noWrap w:val="0"/>
            <w:vAlign w:val="center"/>
          </w:tcPr>
          <w:p w14:paraId="0F71DA7F">
            <w:pPr>
              <w:adjustRightInd w:val="0"/>
              <w:snapToGrid w:val="0"/>
              <w:jc w:val="center"/>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u w:val="none" w:color="auto"/>
              </w:rPr>
              <w:t>联系方式</w:t>
            </w:r>
          </w:p>
        </w:tc>
        <w:tc>
          <w:tcPr>
            <w:tcW w:w="2710" w:type="dxa"/>
            <w:gridSpan w:val="2"/>
            <w:noWrap w:val="0"/>
            <w:vAlign w:val="center"/>
          </w:tcPr>
          <w:p w14:paraId="6120B0DE">
            <w:pPr>
              <w:adjustRightInd w:val="0"/>
              <w:snapToGrid w:val="0"/>
              <w:jc w:val="center"/>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sz w:val="24"/>
                <w:u w:val="none" w:color="auto"/>
              </w:rPr>
              <w:t>13469261182</w:t>
            </w:r>
          </w:p>
        </w:tc>
      </w:tr>
      <w:tr w14:paraId="1144E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685F29F2">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建设地点</w:t>
            </w:r>
          </w:p>
        </w:tc>
        <w:tc>
          <w:tcPr>
            <w:tcW w:w="6951" w:type="dxa"/>
            <w:gridSpan w:val="5"/>
            <w:noWrap w:val="0"/>
            <w:vAlign w:val="center"/>
          </w:tcPr>
          <w:p w14:paraId="5898EEB2">
            <w:pPr>
              <w:adjustRightInd w:val="0"/>
              <w:snapToGrid w:val="0"/>
              <w:jc w:val="center"/>
              <w:rPr>
                <w:rFonts w:hint="default" w:ascii="Times New Roman" w:hAnsi="Times New Roman" w:eastAsia="宋体" w:cs="Times New Roman"/>
                <w:color w:val="auto"/>
                <w:sz w:val="24"/>
                <w:szCs w:val="24"/>
                <w:u w:val="none" w:color="auto"/>
              </w:rPr>
            </w:pPr>
            <w:r>
              <w:rPr>
                <w:rFonts w:hint="eastAsia" w:ascii="Times New Roman" w:hAnsi="Times New Roman" w:eastAsia="宋体" w:cs="Times New Roman"/>
                <w:bCs/>
                <w:sz w:val="24"/>
                <w:u w:val="none" w:color="auto"/>
              </w:rPr>
              <w:t>华容县章华镇（华容高新区石伏工业园）</w:t>
            </w:r>
            <w:r>
              <w:rPr>
                <w:rFonts w:hint="default" w:ascii="Times New Roman" w:hAnsi="Times New Roman" w:eastAsia="宋体" w:cs="Times New Roman"/>
                <w:bCs/>
                <w:sz w:val="24"/>
                <w:u w:val="none" w:color="auto"/>
              </w:rPr>
              <w:t>岳阳宝丽纺织品有限公司现有厂区内</w:t>
            </w:r>
          </w:p>
        </w:tc>
      </w:tr>
      <w:tr w14:paraId="3B6FB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342B76A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地理坐标</w:t>
            </w:r>
          </w:p>
        </w:tc>
        <w:tc>
          <w:tcPr>
            <w:tcW w:w="6951" w:type="dxa"/>
            <w:gridSpan w:val="5"/>
            <w:noWrap w:val="0"/>
            <w:vAlign w:val="center"/>
          </w:tcPr>
          <w:p w14:paraId="7A1397B1">
            <w:pPr>
              <w:jc w:val="center"/>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u w:val="none" w:color="auto"/>
              </w:rPr>
              <w:t>（北纬：</w:t>
            </w:r>
            <w:r>
              <w:rPr>
                <w:rFonts w:hint="default" w:ascii="Times New Roman" w:hAnsi="Times New Roman" w:eastAsia="宋体" w:cs="Times New Roman"/>
                <w:color w:val="auto"/>
                <w:sz w:val="24"/>
                <w:u w:val="none" w:color="auto"/>
                <w:lang w:val="en-US" w:eastAsia="zh-CN"/>
              </w:rPr>
              <w:t>29</w:t>
            </w:r>
            <w:r>
              <w:rPr>
                <w:rFonts w:hint="default" w:ascii="Times New Roman" w:hAnsi="Times New Roman" w:eastAsia="宋体" w:cs="Times New Roman"/>
                <w:color w:val="auto"/>
                <w:sz w:val="24"/>
                <w:u w:val="none" w:color="auto"/>
              </w:rPr>
              <w:t>度</w:t>
            </w:r>
            <w:r>
              <w:rPr>
                <w:rFonts w:hint="default" w:ascii="Times New Roman" w:hAnsi="Times New Roman" w:eastAsia="宋体" w:cs="Times New Roman"/>
                <w:color w:val="auto"/>
                <w:sz w:val="24"/>
                <w:u w:val="none" w:color="auto"/>
                <w:lang w:val="en-US" w:eastAsia="zh-CN"/>
              </w:rPr>
              <w:t>32</w:t>
            </w:r>
            <w:r>
              <w:rPr>
                <w:rFonts w:hint="default" w:ascii="Times New Roman" w:hAnsi="Times New Roman" w:eastAsia="宋体" w:cs="Times New Roman"/>
                <w:color w:val="auto"/>
                <w:sz w:val="24"/>
                <w:u w:val="none" w:color="auto"/>
              </w:rPr>
              <w:t>分</w:t>
            </w:r>
            <w:r>
              <w:rPr>
                <w:rFonts w:hint="default" w:ascii="Times New Roman" w:hAnsi="Times New Roman" w:eastAsia="宋体" w:cs="Times New Roman"/>
                <w:color w:val="auto"/>
                <w:sz w:val="24"/>
                <w:u w:val="none" w:color="auto"/>
                <w:lang w:val="en-US" w:eastAsia="zh-CN"/>
              </w:rPr>
              <w:t>08.8810</w:t>
            </w:r>
            <w:r>
              <w:rPr>
                <w:rFonts w:hint="default" w:ascii="Times New Roman" w:hAnsi="Times New Roman" w:eastAsia="宋体" w:cs="Times New Roman"/>
                <w:color w:val="auto"/>
                <w:sz w:val="24"/>
                <w:u w:val="none" w:color="auto"/>
              </w:rPr>
              <w:t>秒，东经11</w:t>
            </w:r>
            <w:r>
              <w:rPr>
                <w:rFonts w:hint="default" w:ascii="Times New Roman" w:hAnsi="Times New Roman" w:eastAsia="宋体" w:cs="Times New Roman"/>
                <w:color w:val="auto"/>
                <w:sz w:val="24"/>
                <w:u w:val="none" w:color="auto"/>
                <w:lang w:val="en-US" w:eastAsia="zh-CN"/>
              </w:rPr>
              <w:t>2</w:t>
            </w:r>
            <w:r>
              <w:rPr>
                <w:rFonts w:hint="default" w:ascii="Times New Roman" w:hAnsi="Times New Roman" w:eastAsia="宋体" w:cs="Times New Roman"/>
                <w:color w:val="auto"/>
                <w:sz w:val="24"/>
                <w:u w:val="none" w:color="auto"/>
              </w:rPr>
              <w:t>度</w:t>
            </w:r>
            <w:r>
              <w:rPr>
                <w:rFonts w:hint="default" w:ascii="Times New Roman" w:hAnsi="Times New Roman" w:eastAsia="宋体" w:cs="Times New Roman"/>
                <w:color w:val="auto"/>
                <w:sz w:val="24"/>
                <w:u w:val="none" w:color="auto"/>
                <w:lang w:val="en-US" w:eastAsia="zh-CN"/>
              </w:rPr>
              <w:t>37</w:t>
            </w:r>
            <w:r>
              <w:rPr>
                <w:rFonts w:hint="default" w:ascii="Times New Roman" w:hAnsi="Times New Roman" w:eastAsia="宋体" w:cs="Times New Roman"/>
                <w:color w:val="auto"/>
                <w:sz w:val="24"/>
                <w:u w:val="none" w:color="auto"/>
              </w:rPr>
              <w:t>分</w:t>
            </w:r>
            <w:r>
              <w:rPr>
                <w:rFonts w:hint="default" w:ascii="Times New Roman" w:hAnsi="Times New Roman" w:eastAsia="宋体" w:cs="Times New Roman"/>
                <w:color w:val="auto"/>
                <w:sz w:val="24"/>
                <w:u w:val="none" w:color="auto"/>
                <w:lang w:val="en-US" w:eastAsia="zh-CN"/>
              </w:rPr>
              <w:t>08.3648</w:t>
            </w:r>
            <w:r>
              <w:rPr>
                <w:rFonts w:hint="default" w:ascii="Times New Roman" w:hAnsi="Times New Roman" w:eastAsia="宋体" w:cs="Times New Roman"/>
                <w:color w:val="auto"/>
                <w:sz w:val="24"/>
                <w:u w:val="none" w:color="auto"/>
              </w:rPr>
              <w:t>秒）</w:t>
            </w:r>
          </w:p>
        </w:tc>
      </w:tr>
      <w:tr w14:paraId="06B52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19" w:type="dxa"/>
            <w:noWrap w:val="0"/>
            <w:tcMar>
              <w:top w:w="16" w:type="dxa"/>
              <w:left w:w="16" w:type="dxa"/>
              <w:right w:w="16" w:type="dxa"/>
            </w:tcMar>
            <w:vAlign w:val="center"/>
          </w:tcPr>
          <w:p w14:paraId="6D9FB8CC">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国民经济</w:t>
            </w:r>
          </w:p>
          <w:p w14:paraId="0AC2666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行业类别</w:t>
            </w:r>
          </w:p>
        </w:tc>
        <w:tc>
          <w:tcPr>
            <w:tcW w:w="2100" w:type="dxa"/>
            <w:gridSpan w:val="2"/>
            <w:noWrap w:val="0"/>
            <w:vAlign w:val="center"/>
          </w:tcPr>
          <w:p w14:paraId="5F2E976A">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snapToGrid w:val="0"/>
                <w:kern w:val="0"/>
                <w:sz w:val="24"/>
                <w:szCs w:val="24"/>
                <w:u w:val="none" w:color="auto"/>
              </w:rPr>
              <w:t>热力生产和供应D4430</w:t>
            </w:r>
          </w:p>
        </w:tc>
        <w:tc>
          <w:tcPr>
            <w:tcW w:w="2212" w:type="dxa"/>
            <w:gridSpan w:val="2"/>
            <w:noWrap w:val="0"/>
            <w:vAlign w:val="center"/>
          </w:tcPr>
          <w:p w14:paraId="3F8E13A3">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bookmarkStart w:id="3" w:name="_Hlk49843745"/>
            <w:r>
              <w:rPr>
                <w:rFonts w:hint="default" w:ascii="Times New Roman" w:hAnsi="Times New Roman" w:eastAsia="宋体" w:cs="Times New Roman"/>
                <w:color w:val="auto"/>
                <w:sz w:val="24"/>
                <w:szCs w:val="24"/>
                <w:u w:val="none" w:color="auto"/>
              </w:rPr>
              <w:t>建设项目</w:t>
            </w:r>
          </w:p>
          <w:p w14:paraId="171A1B1D">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行业类别</w:t>
            </w:r>
            <w:bookmarkEnd w:id="3"/>
          </w:p>
        </w:tc>
        <w:tc>
          <w:tcPr>
            <w:tcW w:w="2639" w:type="dxa"/>
            <w:noWrap w:val="0"/>
            <w:vAlign w:val="center"/>
          </w:tcPr>
          <w:p w14:paraId="4F22591B">
            <w:pPr>
              <w:adjustRightInd w:val="0"/>
              <w:snapToGrid w:val="0"/>
              <w:jc w:val="center"/>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bCs/>
                <w:color w:val="auto"/>
                <w:sz w:val="24"/>
                <w:u w:val="none" w:color="auto"/>
                <w:lang w:val="en-US" w:eastAsia="zh-CN"/>
              </w:rPr>
              <w:t>四十一</w:t>
            </w:r>
            <w:r>
              <w:rPr>
                <w:rFonts w:hint="default" w:ascii="Times New Roman" w:hAnsi="Times New Roman" w:eastAsia="宋体" w:cs="Times New Roman"/>
                <w:bCs/>
                <w:color w:val="auto"/>
                <w:sz w:val="24"/>
                <w:u w:val="none" w:color="auto"/>
              </w:rPr>
              <w:t>、</w:t>
            </w:r>
            <w:r>
              <w:rPr>
                <w:rFonts w:hint="default" w:ascii="Times New Roman" w:hAnsi="Times New Roman" w:eastAsia="宋体" w:cs="Times New Roman"/>
                <w:bCs/>
                <w:color w:val="auto"/>
                <w:sz w:val="24"/>
                <w:u w:val="none" w:color="auto"/>
                <w:lang w:val="en-US" w:eastAsia="zh-CN"/>
              </w:rPr>
              <w:t>电力、热力生产和供应业</w:t>
            </w:r>
            <w:r>
              <w:rPr>
                <w:rFonts w:hint="default" w:ascii="Times New Roman" w:hAnsi="Times New Roman" w:eastAsia="宋体" w:cs="Times New Roman"/>
                <w:bCs/>
                <w:color w:val="auto"/>
                <w:sz w:val="24"/>
                <w:u w:val="none" w:color="auto"/>
              </w:rPr>
              <w:t xml:space="preserve"> </w:t>
            </w:r>
            <w:r>
              <w:rPr>
                <w:rFonts w:hint="default" w:ascii="Times New Roman" w:hAnsi="Times New Roman" w:eastAsia="宋体" w:cs="Times New Roman"/>
                <w:bCs/>
                <w:color w:val="auto"/>
                <w:sz w:val="24"/>
                <w:u w:val="none" w:color="auto"/>
                <w:lang w:val="en-US" w:eastAsia="zh-CN"/>
              </w:rPr>
              <w:t>91.热力生产和供应工程（包括建设单位自建自用的供热工程）</w:t>
            </w:r>
          </w:p>
        </w:tc>
      </w:tr>
      <w:tr w14:paraId="75743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19" w:type="dxa"/>
            <w:noWrap w:val="0"/>
            <w:tcMar>
              <w:top w:w="16" w:type="dxa"/>
              <w:left w:w="16" w:type="dxa"/>
              <w:right w:w="16" w:type="dxa"/>
            </w:tcMar>
            <w:vAlign w:val="center"/>
          </w:tcPr>
          <w:p w14:paraId="17D7EAD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建设性质</w:t>
            </w:r>
          </w:p>
        </w:tc>
        <w:tc>
          <w:tcPr>
            <w:tcW w:w="2100" w:type="dxa"/>
            <w:gridSpan w:val="2"/>
            <w:noWrap w:val="0"/>
            <w:vAlign w:val="center"/>
          </w:tcPr>
          <w:p w14:paraId="167A0313">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sym w:font="Wingdings 2" w:char="00A3"/>
            </w:r>
            <w:r>
              <w:rPr>
                <w:rFonts w:hint="default" w:ascii="Times New Roman" w:hAnsi="Times New Roman" w:eastAsia="宋体" w:cs="Times New Roman"/>
                <w:color w:val="auto"/>
                <w:sz w:val="24"/>
                <w:szCs w:val="24"/>
                <w:u w:val="none" w:color="auto"/>
              </w:rPr>
              <w:t>新建（迁建）</w:t>
            </w:r>
          </w:p>
          <w:p w14:paraId="5D4077A1">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rPr>
              <w:t>改建</w:t>
            </w:r>
          </w:p>
          <w:p w14:paraId="77C60003">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扩</w:t>
            </w:r>
            <w:r>
              <w:rPr>
                <w:rFonts w:hint="default" w:ascii="Times New Roman" w:hAnsi="Times New Roman" w:eastAsia="宋体" w:cs="Times New Roman"/>
                <w:color w:val="auto"/>
                <w:sz w:val="24"/>
                <w:szCs w:val="24"/>
                <w:u w:val="none" w:color="auto"/>
                <w:lang w:eastAsia="zh-CN"/>
              </w:rPr>
              <w:t>建</w:t>
            </w:r>
          </w:p>
          <w:p w14:paraId="623447CA">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□技术改造</w:t>
            </w:r>
          </w:p>
        </w:tc>
        <w:tc>
          <w:tcPr>
            <w:tcW w:w="2212" w:type="dxa"/>
            <w:gridSpan w:val="2"/>
            <w:noWrap w:val="0"/>
            <w:vAlign w:val="center"/>
          </w:tcPr>
          <w:p w14:paraId="4EDBD361">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建设项目</w:t>
            </w:r>
          </w:p>
          <w:p w14:paraId="74F8ECAD">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申报情形</w:t>
            </w:r>
          </w:p>
        </w:tc>
        <w:tc>
          <w:tcPr>
            <w:tcW w:w="2639" w:type="dxa"/>
            <w:noWrap w:val="0"/>
            <w:vAlign w:val="center"/>
          </w:tcPr>
          <w:p w14:paraId="363665E6">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sym w:font="Wingdings 2" w:char="0052"/>
            </w:r>
            <w:r>
              <w:rPr>
                <w:rFonts w:hint="default" w:ascii="Times New Roman" w:hAnsi="Times New Roman" w:eastAsia="宋体" w:cs="Times New Roman"/>
                <w:color w:val="auto"/>
                <w:sz w:val="24"/>
                <w:szCs w:val="24"/>
                <w:u w:val="none" w:color="auto"/>
              </w:rPr>
              <w:t xml:space="preserve">首次申报项目             </w:t>
            </w:r>
          </w:p>
          <w:p w14:paraId="5D3E7141">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sym w:font="Wingdings 2" w:char="00A3"/>
            </w:r>
            <w:r>
              <w:rPr>
                <w:rFonts w:hint="default" w:ascii="Times New Roman" w:hAnsi="Times New Roman" w:eastAsia="宋体" w:cs="Times New Roman"/>
                <w:color w:val="auto"/>
                <w:sz w:val="24"/>
                <w:szCs w:val="24"/>
                <w:u w:val="none" w:color="auto"/>
              </w:rPr>
              <w:t>不予批准后再次申报项目</w:t>
            </w:r>
          </w:p>
          <w:p w14:paraId="7D85DCD5">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 xml:space="preserve">□超五年重新审核项目     </w:t>
            </w:r>
          </w:p>
          <w:p w14:paraId="50B6FA52">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□重大变动重新报批项目</w:t>
            </w:r>
          </w:p>
        </w:tc>
      </w:tr>
      <w:tr w14:paraId="67659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19" w:type="dxa"/>
            <w:noWrap w:val="0"/>
            <w:tcMar>
              <w:top w:w="16" w:type="dxa"/>
              <w:left w:w="16" w:type="dxa"/>
              <w:right w:w="16" w:type="dxa"/>
            </w:tcMar>
            <w:vAlign w:val="center"/>
          </w:tcPr>
          <w:p w14:paraId="05BF6C27">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rPr>
              <w:t>项目审批（核准/</w:t>
            </w:r>
          </w:p>
          <w:p w14:paraId="449F924B">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备案）部门（选填）</w:t>
            </w:r>
          </w:p>
        </w:tc>
        <w:tc>
          <w:tcPr>
            <w:tcW w:w="2100" w:type="dxa"/>
            <w:gridSpan w:val="2"/>
            <w:noWrap w:val="0"/>
            <w:vAlign w:val="center"/>
          </w:tcPr>
          <w:p w14:paraId="15123E59">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p>
        </w:tc>
        <w:tc>
          <w:tcPr>
            <w:tcW w:w="2212" w:type="dxa"/>
            <w:gridSpan w:val="2"/>
            <w:noWrap w:val="0"/>
            <w:vAlign w:val="center"/>
          </w:tcPr>
          <w:p w14:paraId="30E619A3">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项目审批（核准/</w:t>
            </w:r>
          </w:p>
          <w:p w14:paraId="703832F2">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备案）文号（选填）</w:t>
            </w:r>
          </w:p>
        </w:tc>
        <w:tc>
          <w:tcPr>
            <w:tcW w:w="2639" w:type="dxa"/>
            <w:noWrap w:val="0"/>
            <w:vAlign w:val="center"/>
          </w:tcPr>
          <w:p w14:paraId="6EAD5ACC">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w:t>
            </w:r>
          </w:p>
        </w:tc>
      </w:tr>
      <w:tr w14:paraId="049AD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1919" w:type="dxa"/>
            <w:noWrap w:val="0"/>
            <w:tcMar>
              <w:top w:w="16" w:type="dxa"/>
              <w:left w:w="16" w:type="dxa"/>
              <w:right w:w="16" w:type="dxa"/>
            </w:tcMar>
            <w:vAlign w:val="center"/>
          </w:tcPr>
          <w:p w14:paraId="4DC8662C">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总投资（万元）</w:t>
            </w:r>
          </w:p>
        </w:tc>
        <w:tc>
          <w:tcPr>
            <w:tcW w:w="2100" w:type="dxa"/>
            <w:gridSpan w:val="2"/>
            <w:noWrap w:val="0"/>
            <w:vAlign w:val="center"/>
          </w:tcPr>
          <w:p w14:paraId="335624F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500</w:t>
            </w:r>
          </w:p>
        </w:tc>
        <w:tc>
          <w:tcPr>
            <w:tcW w:w="2212" w:type="dxa"/>
            <w:gridSpan w:val="2"/>
            <w:noWrap w:val="0"/>
            <w:tcMar>
              <w:top w:w="16" w:type="dxa"/>
              <w:left w:w="16" w:type="dxa"/>
              <w:right w:w="16" w:type="dxa"/>
            </w:tcMar>
            <w:vAlign w:val="center"/>
          </w:tcPr>
          <w:p w14:paraId="6300961C">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环保投资（万元）</w:t>
            </w:r>
          </w:p>
        </w:tc>
        <w:tc>
          <w:tcPr>
            <w:tcW w:w="2639" w:type="dxa"/>
            <w:noWrap w:val="0"/>
            <w:vAlign w:val="center"/>
          </w:tcPr>
          <w:p w14:paraId="21F398CA">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lang w:val="en-US" w:eastAsia="zh-CN"/>
              </w:rPr>
            </w:pPr>
            <w:r>
              <w:rPr>
                <w:rFonts w:hint="eastAsia" w:cs="Times New Roman"/>
                <w:color w:val="auto"/>
                <w:sz w:val="24"/>
                <w:szCs w:val="24"/>
                <w:highlight w:val="none"/>
                <w:u w:val="none" w:color="auto"/>
                <w:lang w:val="en-US" w:eastAsia="zh-CN"/>
              </w:rPr>
              <w:t>102</w:t>
            </w:r>
          </w:p>
        </w:tc>
      </w:tr>
      <w:tr w14:paraId="3BB4CA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3F5F0188">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环保投资占比（%）</w:t>
            </w:r>
          </w:p>
        </w:tc>
        <w:tc>
          <w:tcPr>
            <w:tcW w:w="2100" w:type="dxa"/>
            <w:gridSpan w:val="2"/>
            <w:noWrap w:val="0"/>
            <w:vAlign w:val="center"/>
          </w:tcPr>
          <w:p w14:paraId="6A055EC8">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lang w:val="en-US" w:eastAsia="zh-CN"/>
              </w:rPr>
            </w:pPr>
            <w:r>
              <w:rPr>
                <w:rFonts w:hint="eastAsia" w:cs="Times New Roman"/>
                <w:color w:val="auto"/>
                <w:sz w:val="24"/>
                <w:szCs w:val="24"/>
                <w:highlight w:val="none"/>
                <w:u w:val="none" w:color="auto"/>
                <w:lang w:val="en-US" w:eastAsia="zh-CN"/>
              </w:rPr>
              <w:t>20.4</w:t>
            </w:r>
          </w:p>
        </w:tc>
        <w:tc>
          <w:tcPr>
            <w:tcW w:w="2212" w:type="dxa"/>
            <w:gridSpan w:val="2"/>
            <w:noWrap w:val="0"/>
            <w:tcMar>
              <w:top w:w="16" w:type="dxa"/>
              <w:left w:w="16" w:type="dxa"/>
              <w:right w:w="16" w:type="dxa"/>
            </w:tcMar>
            <w:vAlign w:val="center"/>
          </w:tcPr>
          <w:p w14:paraId="690980B1">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施工工期</w:t>
            </w:r>
          </w:p>
        </w:tc>
        <w:tc>
          <w:tcPr>
            <w:tcW w:w="2639" w:type="dxa"/>
            <w:noWrap w:val="0"/>
            <w:vAlign w:val="center"/>
          </w:tcPr>
          <w:p w14:paraId="507F4C88">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lang w:val="en-US" w:eastAsia="zh-CN"/>
              </w:rPr>
              <w:t>1</w:t>
            </w:r>
            <w:r>
              <w:rPr>
                <w:rFonts w:hint="default" w:ascii="Times New Roman" w:hAnsi="Times New Roman" w:eastAsia="宋体" w:cs="Times New Roman"/>
                <w:color w:val="auto"/>
                <w:sz w:val="24"/>
                <w:szCs w:val="24"/>
                <w:highlight w:val="none"/>
                <w:u w:val="none" w:color="auto"/>
              </w:rPr>
              <w:t>个月</w:t>
            </w:r>
          </w:p>
        </w:tc>
      </w:tr>
      <w:tr w14:paraId="685BFF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noWrap w:val="0"/>
            <w:tcMar>
              <w:top w:w="16" w:type="dxa"/>
              <w:left w:w="16" w:type="dxa"/>
              <w:right w:w="16" w:type="dxa"/>
            </w:tcMar>
            <w:vAlign w:val="center"/>
          </w:tcPr>
          <w:p w14:paraId="61FE5D4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是否开工建设</w:t>
            </w:r>
          </w:p>
        </w:tc>
        <w:tc>
          <w:tcPr>
            <w:tcW w:w="2100" w:type="dxa"/>
            <w:gridSpan w:val="2"/>
            <w:noWrap w:val="0"/>
            <w:vAlign w:val="center"/>
          </w:tcPr>
          <w:p w14:paraId="34FEFE7B">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lang w:eastAsia="zh-CN"/>
              </w:rPr>
              <w:sym w:font="Wingdings 2" w:char="0052"/>
            </w:r>
            <w:r>
              <w:rPr>
                <w:rFonts w:hint="default" w:ascii="Times New Roman" w:hAnsi="Times New Roman" w:eastAsia="宋体" w:cs="Times New Roman"/>
                <w:color w:val="auto"/>
                <w:sz w:val="24"/>
                <w:szCs w:val="24"/>
                <w:u w:val="none" w:color="auto"/>
              </w:rPr>
              <w:t>否</w:t>
            </w:r>
          </w:p>
          <w:p w14:paraId="0BD8AEB2">
            <w:pPr>
              <w:keepNext w:val="0"/>
              <w:keepLines w:val="0"/>
              <w:pageBreakBefore w:val="0"/>
              <w:widowControl w:val="0"/>
              <w:kinsoku/>
              <w:wordWrap/>
              <w:overflowPunct/>
              <w:topLinePunct w:val="0"/>
              <w:bidi w:val="0"/>
              <w:adjustRightInd/>
              <w:snapToGrid/>
              <w:spacing w:beforeAutospacing="0" w:afterAutospacing="0"/>
              <w:jc w:val="both"/>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sym w:font="Wingdings 2" w:char="00A3"/>
            </w:r>
            <w:r>
              <w:rPr>
                <w:rFonts w:hint="default" w:ascii="Times New Roman" w:hAnsi="Times New Roman" w:eastAsia="宋体" w:cs="Times New Roman"/>
                <w:color w:val="auto"/>
                <w:sz w:val="24"/>
                <w:szCs w:val="24"/>
                <w:u w:val="none" w:color="auto"/>
              </w:rPr>
              <w:t xml:space="preserve">是：                           </w:t>
            </w:r>
          </w:p>
        </w:tc>
        <w:tc>
          <w:tcPr>
            <w:tcW w:w="2212" w:type="dxa"/>
            <w:gridSpan w:val="2"/>
            <w:noWrap w:val="0"/>
            <w:tcMar>
              <w:top w:w="16" w:type="dxa"/>
              <w:left w:w="16" w:type="dxa"/>
              <w:right w:w="16" w:type="dxa"/>
            </w:tcMar>
            <w:vAlign w:val="center"/>
          </w:tcPr>
          <w:p w14:paraId="4064A457">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用地（用海）</w:t>
            </w:r>
          </w:p>
          <w:p w14:paraId="69DC2621">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面积（m</w:t>
            </w:r>
            <w:r>
              <w:rPr>
                <w:rFonts w:hint="default" w:ascii="Times New Roman" w:hAnsi="Times New Roman" w:eastAsia="宋体" w:cs="Times New Roman"/>
                <w:color w:val="auto"/>
                <w:sz w:val="24"/>
                <w:szCs w:val="24"/>
                <w:u w:val="none" w:color="auto"/>
                <w:vertAlign w:val="superscript"/>
              </w:rPr>
              <w:t>2</w:t>
            </w:r>
            <w:r>
              <w:rPr>
                <w:rFonts w:hint="default" w:ascii="Times New Roman" w:hAnsi="Times New Roman" w:eastAsia="宋体" w:cs="Times New Roman"/>
                <w:color w:val="auto"/>
                <w:sz w:val="24"/>
                <w:szCs w:val="24"/>
                <w:u w:val="none" w:color="auto"/>
              </w:rPr>
              <w:t>）</w:t>
            </w:r>
          </w:p>
        </w:tc>
        <w:tc>
          <w:tcPr>
            <w:tcW w:w="2639" w:type="dxa"/>
            <w:noWrap w:val="0"/>
            <w:vAlign w:val="center"/>
          </w:tcPr>
          <w:p w14:paraId="65C720B0">
            <w:pPr>
              <w:keepNext w:val="0"/>
              <w:keepLines w:val="0"/>
              <w:pageBreakBefore w:val="0"/>
              <w:widowControl w:val="0"/>
              <w:kinsoku/>
              <w:wordWrap/>
              <w:overflowPunct/>
              <w:topLinePunct w:val="0"/>
              <w:bidi w:val="0"/>
              <w:adjustRightInd/>
              <w:snapToGrid/>
              <w:spacing w:beforeAutospacing="0" w:afterAutospacing="0"/>
              <w:jc w:val="center"/>
              <w:textAlignment w:val="auto"/>
              <w:rPr>
                <w:rFonts w:hint="default" w:ascii="Times New Roman" w:hAnsi="Times New Roman" w:eastAsia="宋体" w:cs="Times New Roman"/>
                <w:color w:val="auto"/>
                <w:sz w:val="24"/>
                <w:szCs w:val="24"/>
                <w:u w:val="none" w:color="auto"/>
                <w:lang w:val="en-US" w:eastAsia="zh-CN"/>
              </w:rPr>
            </w:pPr>
            <w:r>
              <w:rPr>
                <w:rFonts w:hint="eastAsia" w:cs="Times New Roman"/>
                <w:color w:val="auto"/>
                <w:sz w:val="24"/>
                <w:szCs w:val="24"/>
                <w:highlight w:val="none"/>
                <w:u w:val="none" w:color="auto"/>
                <w:lang w:val="en-US" w:eastAsia="zh-CN"/>
              </w:rPr>
              <w:t>1200</w:t>
            </w:r>
          </w:p>
        </w:tc>
      </w:tr>
      <w:tr w14:paraId="6D5E8A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19" w:type="dxa"/>
            <w:noWrap w:val="0"/>
            <w:vAlign w:val="center"/>
          </w:tcPr>
          <w:p w14:paraId="0F4FB9DD">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专项评价设置情况</w:t>
            </w:r>
          </w:p>
        </w:tc>
        <w:tc>
          <w:tcPr>
            <w:tcW w:w="6951" w:type="dxa"/>
            <w:gridSpan w:val="5"/>
            <w:noWrap w:val="0"/>
            <w:vAlign w:val="center"/>
          </w:tcPr>
          <w:p w14:paraId="10347BEE">
            <w:pPr>
              <w:adjustRightInd/>
              <w:snapToGrid w:val="0"/>
              <w:spacing w:line="360" w:lineRule="auto"/>
              <w:ind w:firstLine="480" w:firstLineChars="200"/>
              <w:jc w:val="left"/>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根据《建设项目环境影响报告表编制技术指南（污染影响类）（试行）》表1-1专项评价设置原则表，本项目无须设置专项评价。</w:t>
            </w:r>
          </w:p>
          <w:p w14:paraId="7E9FC675">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rPr>
              <w:t>表1-1 专项评价设置情况表</w:t>
            </w:r>
          </w:p>
          <w:tbl>
            <w:tblPr>
              <w:tblStyle w:val="27"/>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6"/>
              <w:gridCol w:w="3651"/>
              <w:gridCol w:w="2231"/>
            </w:tblGrid>
            <w:tr w14:paraId="7D7F0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16" w:type="dxa"/>
                  <w:tcBorders>
                    <w:tl2br w:val="nil"/>
                    <w:tr2bl w:val="nil"/>
                  </w:tcBorders>
                  <w:noWrap w:val="0"/>
                  <w:vAlign w:val="center"/>
                </w:tcPr>
                <w:p w14:paraId="733C24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专项类别</w:t>
                  </w:r>
                </w:p>
              </w:tc>
              <w:tc>
                <w:tcPr>
                  <w:tcW w:w="3651" w:type="dxa"/>
                  <w:tcBorders>
                    <w:tl2br w:val="nil"/>
                    <w:tr2bl w:val="nil"/>
                  </w:tcBorders>
                  <w:noWrap w:val="0"/>
                  <w:vAlign w:val="center"/>
                </w:tcPr>
                <w:p w14:paraId="757B4F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设置原则</w:t>
                  </w:r>
                </w:p>
              </w:tc>
              <w:tc>
                <w:tcPr>
                  <w:tcW w:w="2231" w:type="dxa"/>
                  <w:tcBorders>
                    <w:tl2br w:val="nil"/>
                    <w:tr2bl w:val="nil"/>
                  </w:tcBorders>
                  <w:noWrap w:val="0"/>
                  <w:vAlign w:val="center"/>
                </w:tcPr>
                <w:p w14:paraId="2AF70FD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本项目设置说明</w:t>
                  </w:r>
                </w:p>
              </w:tc>
            </w:tr>
            <w:tr w14:paraId="37101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16" w:type="dxa"/>
                  <w:tcBorders>
                    <w:tl2br w:val="nil"/>
                    <w:tr2bl w:val="nil"/>
                  </w:tcBorders>
                  <w:noWrap w:val="0"/>
                  <w:vAlign w:val="center"/>
                </w:tcPr>
                <w:p w14:paraId="6F740E4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大气</w:t>
                  </w:r>
                </w:p>
              </w:tc>
              <w:tc>
                <w:tcPr>
                  <w:tcW w:w="3651" w:type="dxa"/>
                  <w:tcBorders>
                    <w:tl2br w:val="nil"/>
                    <w:tr2bl w:val="nil"/>
                  </w:tcBorders>
                  <w:noWrap w:val="0"/>
                  <w:vAlign w:val="center"/>
                </w:tcPr>
                <w:p w14:paraId="7AF01CB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排放废气含有毒有害污染物</w:t>
                  </w:r>
                  <w:r>
                    <w:rPr>
                      <w:rFonts w:hint="default" w:ascii="Times New Roman" w:hAnsi="Times New Roman" w:eastAsia="宋体" w:cs="Times New Roman"/>
                      <w:color w:val="auto"/>
                      <w:u w:val="none" w:color="auto"/>
                      <w:vertAlign w:val="superscript"/>
                    </w:rPr>
                    <w:t>1</w:t>
                  </w:r>
                  <w:r>
                    <w:rPr>
                      <w:rFonts w:hint="default" w:ascii="Times New Roman" w:hAnsi="Times New Roman" w:eastAsia="宋体" w:cs="Times New Roman"/>
                      <w:color w:val="auto"/>
                      <w:u w:val="none" w:color="auto"/>
                    </w:rPr>
                    <w:t>、二噁英、苯并[a]芘、氰化物、氯气且厂界外500米范围内有环境空气保护目标</w:t>
                  </w:r>
                  <w:r>
                    <w:rPr>
                      <w:rFonts w:hint="default" w:ascii="Times New Roman" w:hAnsi="Times New Roman" w:eastAsia="宋体" w:cs="Times New Roman"/>
                      <w:color w:val="auto"/>
                      <w:u w:val="none" w:color="auto"/>
                      <w:vertAlign w:val="superscript"/>
                    </w:rPr>
                    <w:t>2</w:t>
                  </w:r>
                  <w:r>
                    <w:rPr>
                      <w:rFonts w:hint="default" w:ascii="Times New Roman" w:hAnsi="Times New Roman" w:eastAsia="宋体" w:cs="Times New Roman"/>
                      <w:color w:val="auto"/>
                      <w:u w:val="none" w:color="auto"/>
                    </w:rPr>
                    <w:t>的建设项目</w:t>
                  </w:r>
                </w:p>
              </w:tc>
              <w:tc>
                <w:tcPr>
                  <w:tcW w:w="2231" w:type="dxa"/>
                  <w:tcBorders>
                    <w:tl2br w:val="nil"/>
                    <w:tr2bl w:val="nil"/>
                  </w:tcBorders>
                  <w:noWrap w:val="0"/>
                  <w:vAlign w:val="center"/>
                </w:tcPr>
                <w:p w14:paraId="383EDEC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rPr>
                    <w:t>无，本项目排放废气</w:t>
                  </w:r>
                  <w:r>
                    <w:rPr>
                      <w:rFonts w:hint="default" w:ascii="Times New Roman" w:hAnsi="Times New Roman" w:eastAsia="宋体" w:cs="Times New Roman"/>
                      <w:color w:val="auto"/>
                      <w:u w:val="none" w:color="auto"/>
                      <w:lang w:val="en-US" w:eastAsia="zh-CN"/>
                    </w:rPr>
                    <w:t>不</w:t>
                  </w:r>
                  <w:r>
                    <w:rPr>
                      <w:rFonts w:hint="default" w:ascii="Times New Roman" w:hAnsi="Times New Roman" w:eastAsia="宋体" w:cs="Times New Roman"/>
                      <w:color w:val="auto"/>
                      <w:u w:val="none" w:color="auto"/>
                    </w:rPr>
                    <w:t>含有毒有害污染物</w:t>
                  </w:r>
                  <w:r>
                    <w:rPr>
                      <w:rFonts w:hint="default" w:ascii="Times New Roman" w:hAnsi="Times New Roman" w:eastAsia="宋体" w:cs="Times New Roman"/>
                      <w:color w:val="auto"/>
                      <w:u w:val="none" w:color="auto"/>
                      <w:lang w:eastAsia="zh-CN"/>
                    </w:rPr>
                    <w:t>、</w:t>
                  </w:r>
                  <w:r>
                    <w:rPr>
                      <w:rFonts w:hint="default" w:ascii="Times New Roman" w:hAnsi="Times New Roman" w:eastAsia="宋体" w:cs="Times New Roman"/>
                      <w:color w:val="auto"/>
                      <w:u w:val="none" w:color="auto"/>
                    </w:rPr>
                    <w:t>毒有害污染物</w:t>
                  </w:r>
                  <w:r>
                    <w:rPr>
                      <w:rFonts w:hint="default" w:ascii="Times New Roman" w:hAnsi="Times New Roman" w:eastAsia="宋体" w:cs="Times New Roman"/>
                      <w:color w:val="auto"/>
                      <w:u w:val="none" w:color="auto"/>
                      <w:vertAlign w:val="superscript"/>
                    </w:rPr>
                    <w:t>1</w:t>
                  </w:r>
                  <w:r>
                    <w:rPr>
                      <w:rFonts w:hint="default" w:ascii="Times New Roman" w:hAnsi="Times New Roman" w:eastAsia="宋体" w:cs="Times New Roman"/>
                      <w:color w:val="auto"/>
                      <w:u w:val="none" w:color="auto"/>
                    </w:rPr>
                    <w:t>、二噁英、苯并[a]芘、氰化物、氯气</w:t>
                  </w:r>
                </w:p>
              </w:tc>
            </w:tr>
            <w:tr w14:paraId="774ADA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16" w:type="dxa"/>
                  <w:tcBorders>
                    <w:tl2br w:val="nil"/>
                    <w:tr2bl w:val="nil"/>
                  </w:tcBorders>
                  <w:noWrap w:val="0"/>
                  <w:vAlign w:val="center"/>
                </w:tcPr>
                <w:p w14:paraId="008A6E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地表水</w:t>
                  </w:r>
                </w:p>
              </w:tc>
              <w:tc>
                <w:tcPr>
                  <w:tcW w:w="3651" w:type="dxa"/>
                  <w:tcBorders>
                    <w:tl2br w:val="nil"/>
                    <w:tr2bl w:val="nil"/>
                  </w:tcBorders>
                  <w:noWrap w:val="0"/>
                  <w:vAlign w:val="center"/>
                </w:tcPr>
                <w:p w14:paraId="71FF75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新增工业废水直排建设项目（槽罐车外送污水处理厂的除外）；新增废水直排的污水集中处理厂</w:t>
                  </w:r>
                </w:p>
              </w:tc>
              <w:tc>
                <w:tcPr>
                  <w:tcW w:w="2231" w:type="dxa"/>
                  <w:tcBorders>
                    <w:tl2br w:val="nil"/>
                    <w:tr2bl w:val="nil"/>
                  </w:tcBorders>
                  <w:noWrap w:val="0"/>
                  <w:vAlign w:val="center"/>
                </w:tcPr>
                <w:p w14:paraId="3D0C2B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无，本项目无生产废水外排。</w:t>
                  </w:r>
                </w:p>
              </w:tc>
            </w:tr>
            <w:tr w14:paraId="6EC9D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16" w:type="dxa"/>
                  <w:tcBorders>
                    <w:tl2br w:val="nil"/>
                    <w:tr2bl w:val="nil"/>
                  </w:tcBorders>
                  <w:noWrap w:val="0"/>
                  <w:vAlign w:val="center"/>
                </w:tcPr>
                <w:p w14:paraId="0B7F3A6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环境风险</w:t>
                  </w:r>
                </w:p>
              </w:tc>
              <w:tc>
                <w:tcPr>
                  <w:tcW w:w="3651" w:type="dxa"/>
                  <w:tcBorders>
                    <w:tl2br w:val="nil"/>
                    <w:tr2bl w:val="nil"/>
                  </w:tcBorders>
                  <w:noWrap w:val="0"/>
                  <w:vAlign w:val="center"/>
                </w:tcPr>
                <w:p w14:paraId="10A832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有毒有害和易燃易爆危险物质存储量超过临界量</w:t>
                  </w:r>
                  <w:r>
                    <w:rPr>
                      <w:rFonts w:hint="default" w:ascii="Times New Roman" w:hAnsi="Times New Roman" w:eastAsia="宋体" w:cs="Times New Roman"/>
                      <w:color w:val="auto"/>
                      <w:u w:val="none" w:color="auto"/>
                      <w:vertAlign w:val="superscript"/>
                      <w:lang w:val="en-US" w:eastAsia="zh-CN"/>
                    </w:rPr>
                    <w:t>3</w:t>
                  </w:r>
                  <w:r>
                    <w:rPr>
                      <w:rFonts w:hint="default" w:ascii="Times New Roman" w:hAnsi="Times New Roman" w:eastAsia="宋体" w:cs="Times New Roman"/>
                      <w:color w:val="auto"/>
                      <w:u w:val="none" w:color="auto"/>
                    </w:rPr>
                    <w:t>的建设项目</w:t>
                  </w:r>
                </w:p>
              </w:tc>
              <w:tc>
                <w:tcPr>
                  <w:tcW w:w="2231" w:type="dxa"/>
                  <w:tcBorders>
                    <w:tl2br w:val="nil"/>
                    <w:tr2bl w:val="nil"/>
                  </w:tcBorders>
                  <w:noWrap w:val="0"/>
                  <w:vAlign w:val="center"/>
                </w:tcPr>
                <w:p w14:paraId="5B84B7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无，本项目风险物质存储量未超过临界量。</w:t>
                  </w:r>
                </w:p>
              </w:tc>
            </w:tr>
            <w:tr w14:paraId="5A8EC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16" w:type="dxa"/>
                  <w:tcBorders>
                    <w:tl2br w:val="nil"/>
                    <w:tr2bl w:val="nil"/>
                  </w:tcBorders>
                  <w:noWrap w:val="0"/>
                  <w:vAlign w:val="center"/>
                </w:tcPr>
                <w:p w14:paraId="62B870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生态</w:t>
                  </w:r>
                </w:p>
              </w:tc>
              <w:tc>
                <w:tcPr>
                  <w:tcW w:w="3651" w:type="dxa"/>
                  <w:tcBorders>
                    <w:tl2br w:val="nil"/>
                    <w:tr2bl w:val="nil"/>
                  </w:tcBorders>
                  <w:noWrap w:val="0"/>
                  <w:vAlign w:val="center"/>
                </w:tcPr>
                <w:p w14:paraId="4831FD7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取水口下游500米范围内有重要水生生物 的自然产卵场、索饵场、越冬场和洄游通道的新增河道取水的污染类建设项目</w:t>
                  </w:r>
                </w:p>
              </w:tc>
              <w:tc>
                <w:tcPr>
                  <w:tcW w:w="2231" w:type="dxa"/>
                  <w:tcBorders>
                    <w:tl2br w:val="nil"/>
                    <w:tr2bl w:val="nil"/>
                  </w:tcBorders>
                  <w:noWrap w:val="0"/>
                  <w:vAlign w:val="center"/>
                </w:tcPr>
                <w:p w14:paraId="169101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无，本项目不属于新增河道取水的项目。</w:t>
                  </w:r>
                </w:p>
              </w:tc>
            </w:tr>
            <w:tr w14:paraId="4115B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16" w:type="dxa"/>
                  <w:tcBorders>
                    <w:tl2br w:val="nil"/>
                    <w:tr2bl w:val="nil"/>
                  </w:tcBorders>
                  <w:noWrap w:val="0"/>
                  <w:vAlign w:val="center"/>
                </w:tcPr>
                <w:p w14:paraId="396729B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海洋</w:t>
                  </w:r>
                </w:p>
              </w:tc>
              <w:tc>
                <w:tcPr>
                  <w:tcW w:w="3651" w:type="dxa"/>
                  <w:tcBorders>
                    <w:tl2br w:val="nil"/>
                    <w:tr2bl w:val="nil"/>
                  </w:tcBorders>
                  <w:noWrap w:val="0"/>
                  <w:vAlign w:val="center"/>
                </w:tcPr>
                <w:p w14:paraId="0BDA02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直接向海排放污染物的海洋工程建设项目</w:t>
                  </w:r>
                </w:p>
              </w:tc>
              <w:tc>
                <w:tcPr>
                  <w:tcW w:w="2231" w:type="dxa"/>
                  <w:tcBorders>
                    <w:tl2br w:val="nil"/>
                    <w:tr2bl w:val="nil"/>
                  </w:tcBorders>
                  <w:noWrap w:val="0"/>
                  <w:vAlign w:val="center"/>
                </w:tcPr>
                <w:p w14:paraId="3A13D1F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无，本项目不属于海洋工程建设项目。</w:t>
                  </w:r>
                </w:p>
              </w:tc>
            </w:tr>
          </w:tbl>
          <w:p w14:paraId="78603DD8">
            <w:pPr>
              <w:spacing w:line="240" w:lineRule="auto"/>
              <w:jc w:val="left"/>
              <w:rPr>
                <w:rFonts w:hint="default" w:ascii="Times New Roman" w:hAnsi="Times New Roman" w:eastAsia="宋体" w:cs="Times New Roman"/>
                <w:b/>
                <w:bCs/>
                <w:sz w:val="18"/>
                <w:szCs w:val="18"/>
                <w:u w:val="none" w:color="auto"/>
              </w:rPr>
            </w:pPr>
            <w:r>
              <w:rPr>
                <w:rFonts w:hint="default" w:ascii="Times New Roman" w:hAnsi="Times New Roman" w:eastAsia="宋体" w:cs="Times New Roman"/>
                <w:b/>
                <w:bCs/>
                <w:sz w:val="18"/>
                <w:szCs w:val="18"/>
                <w:u w:val="none" w:color="auto"/>
              </w:rPr>
              <w:t>注：1.废气中有毒有害污染物指纳入《有毒有害大气污染物名录》的污染物（不包括无排放标准的污染物）。</w:t>
            </w:r>
          </w:p>
          <w:p w14:paraId="5F4D3D9A">
            <w:pPr>
              <w:numPr>
                <w:ilvl w:val="0"/>
                <w:numId w:val="0"/>
              </w:numPr>
              <w:spacing w:line="240" w:lineRule="auto"/>
              <w:ind w:firstLine="361" w:firstLineChars="200"/>
              <w:jc w:val="left"/>
              <w:rPr>
                <w:rFonts w:hint="default" w:ascii="Times New Roman" w:hAnsi="Times New Roman" w:eastAsia="宋体" w:cs="Times New Roman"/>
                <w:b/>
                <w:bCs/>
                <w:sz w:val="18"/>
                <w:szCs w:val="18"/>
                <w:u w:val="none" w:color="auto"/>
              </w:rPr>
            </w:pPr>
            <w:r>
              <w:rPr>
                <w:rFonts w:hint="default" w:ascii="Times New Roman" w:hAnsi="Times New Roman" w:eastAsia="宋体" w:cs="Times New Roman"/>
                <w:b/>
                <w:bCs/>
                <w:sz w:val="18"/>
                <w:szCs w:val="18"/>
                <w:u w:val="none" w:color="auto"/>
                <w:lang w:val="en-US" w:eastAsia="zh-CN"/>
              </w:rPr>
              <w:t>2.</w:t>
            </w:r>
            <w:r>
              <w:rPr>
                <w:rFonts w:hint="default" w:ascii="Times New Roman" w:hAnsi="Times New Roman" w:eastAsia="宋体" w:cs="Times New Roman"/>
                <w:b/>
                <w:bCs/>
                <w:sz w:val="18"/>
                <w:szCs w:val="18"/>
                <w:u w:val="none" w:color="auto"/>
              </w:rPr>
              <w:t xml:space="preserve">环境空气保护目标指自然保护区、风景名胜区、居住区、文化区和农村地区中人群较集中的区域。 </w:t>
            </w:r>
          </w:p>
          <w:p w14:paraId="1188D054">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lang w:eastAsia="zh-CN"/>
              </w:rPr>
            </w:pPr>
            <w:r>
              <w:rPr>
                <w:rFonts w:hint="default" w:ascii="Times New Roman" w:hAnsi="Times New Roman" w:eastAsia="宋体" w:cs="Times New Roman"/>
                <w:b/>
                <w:bCs/>
                <w:sz w:val="18"/>
                <w:szCs w:val="18"/>
                <w:u w:val="none" w:color="auto"/>
                <w:lang w:val="en-US" w:eastAsia="zh-CN"/>
              </w:rPr>
              <w:t>3.</w:t>
            </w:r>
            <w:r>
              <w:rPr>
                <w:rFonts w:hint="default" w:ascii="Times New Roman" w:hAnsi="Times New Roman" w:eastAsia="宋体" w:cs="Times New Roman"/>
                <w:b/>
                <w:bCs/>
                <w:sz w:val="18"/>
                <w:szCs w:val="18"/>
                <w:u w:val="none" w:color="auto"/>
              </w:rPr>
              <w:t>临界量及其计算方法可参考《建设项目环境风险评价技术导则》（HJ 169）附录B、附录C。</w:t>
            </w:r>
          </w:p>
        </w:tc>
      </w:tr>
      <w:tr w14:paraId="46C0A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19" w:type="dxa"/>
            <w:noWrap w:val="0"/>
            <w:vAlign w:val="center"/>
          </w:tcPr>
          <w:p w14:paraId="300B5E73">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sz w:val="24"/>
                <w:szCs w:val="24"/>
                <w:u w:val="none" w:color="auto"/>
              </w:rPr>
              <w:t>规划情况</w:t>
            </w:r>
          </w:p>
        </w:tc>
        <w:tc>
          <w:tcPr>
            <w:tcW w:w="6951" w:type="dxa"/>
            <w:gridSpan w:val="5"/>
            <w:noWrap w:val="0"/>
            <w:vAlign w:val="center"/>
          </w:tcPr>
          <w:p w14:paraId="3DA5C2B3">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default" w:ascii="Times New Roman" w:hAnsi="Times New Roman" w:eastAsia="宋体" w:cs="Times New Roman"/>
                <w:color w:val="auto"/>
                <w:kern w:val="0"/>
                <w:sz w:val="24"/>
                <w:szCs w:val="24"/>
                <w:u w:val="none" w:color="auto"/>
                <w:lang w:eastAsia="zh-CN"/>
              </w:rPr>
            </w:pPr>
            <w:r>
              <w:rPr>
                <w:rFonts w:hint="default" w:ascii="Times New Roman" w:hAnsi="Times New Roman" w:eastAsia="宋体" w:cs="Times New Roman"/>
                <w:color w:val="auto"/>
                <w:kern w:val="0"/>
                <w:sz w:val="24"/>
                <w:szCs w:val="24"/>
                <w:u w:val="none" w:color="auto"/>
                <w:lang w:eastAsia="zh-CN"/>
              </w:rPr>
              <w:t>（1）规划名称：</w:t>
            </w:r>
            <w:r>
              <w:rPr>
                <w:rFonts w:hint="default" w:ascii="Times New Roman" w:hAnsi="Times New Roman" w:eastAsia="宋体" w:cs="Times New Roman"/>
                <w:sz w:val="24"/>
                <w:szCs w:val="24"/>
                <w:u w:val="none" w:color="auto"/>
              </w:rPr>
              <w:t>《华容工业集中区“十四五”发展规划》（华容县政府，2021</w:t>
            </w:r>
            <w:r>
              <w:rPr>
                <w:rFonts w:hint="default" w:ascii="Times New Roman" w:hAnsi="Times New Roman" w:eastAsia="宋体" w:cs="Times New Roman"/>
                <w:sz w:val="24"/>
                <w:szCs w:val="24"/>
                <w:u w:val="none" w:color="auto"/>
                <w:lang w:val="en-US" w:eastAsia="zh-CN"/>
              </w:rPr>
              <w:t>年</w:t>
            </w:r>
            <w:r>
              <w:rPr>
                <w:rFonts w:hint="default" w:ascii="Times New Roman" w:hAnsi="Times New Roman" w:eastAsia="宋体" w:cs="Times New Roman"/>
                <w:sz w:val="24"/>
                <w:szCs w:val="24"/>
                <w:u w:val="none" w:color="auto"/>
              </w:rPr>
              <w:t>5月3日）</w:t>
            </w:r>
          </w:p>
          <w:p w14:paraId="0474BE0F">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lang w:eastAsia="zh-CN"/>
              </w:rPr>
              <w:t>（2）审批机关：</w:t>
            </w:r>
            <w:r>
              <w:rPr>
                <w:rFonts w:hint="default" w:ascii="Times New Roman" w:hAnsi="Times New Roman" w:eastAsia="宋体" w:cs="Times New Roman"/>
                <w:sz w:val="24"/>
                <w:szCs w:val="24"/>
                <w:u w:val="none" w:color="auto"/>
              </w:rPr>
              <w:t>华容县政府</w:t>
            </w:r>
          </w:p>
        </w:tc>
      </w:tr>
      <w:tr w14:paraId="48254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919" w:type="dxa"/>
            <w:noWrap w:val="0"/>
            <w:vAlign w:val="center"/>
          </w:tcPr>
          <w:p w14:paraId="2D74A097">
            <w:pPr>
              <w:adjustRightInd w:val="0"/>
              <w:snapToGrid w:val="0"/>
              <w:spacing w:line="360" w:lineRule="auto"/>
              <w:jc w:val="center"/>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规划环境影响</w:t>
            </w:r>
          </w:p>
          <w:p w14:paraId="66703387">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sz w:val="24"/>
                <w:szCs w:val="24"/>
                <w:u w:val="none" w:color="auto"/>
              </w:rPr>
              <w:t>评价情况</w:t>
            </w:r>
          </w:p>
        </w:tc>
        <w:tc>
          <w:tcPr>
            <w:tcW w:w="6951" w:type="dxa"/>
            <w:gridSpan w:val="5"/>
            <w:noWrap w:val="0"/>
            <w:vAlign w:val="center"/>
          </w:tcPr>
          <w:p w14:paraId="5E00731A">
            <w:pPr>
              <w:autoSpaceDE w:val="0"/>
              <w:autoSpaceDN w:val="0"/>
              <w:adjustRightInd w:val="0"/>
              <w:snapToGrid w:val="0"/>
              <w:spacing w:line="360" w:lineRule="auto"/>
              <w:jc w:val="left"/>
              <w:rPr>
                <w:rFonts w:hint="default"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color w:val="auto"/>
                <w:kern w:val="0"/>
                <w:sz w:val="24"/>
                <w:szCs w:val="24"/>
                <w:u w:val="none" w:color="auto"/>
                <w:lang w:val="en-US" w:eastAsia="zh-CN"/>
              </w:rPr>
              <w:t>（1）规划环评名称：</w:t>
            </w:r>
            <w:r>
              <w:rPr>
                <w:rFonts w:hint="default" w:ascii="Times New Roman" w:hAnsi="Times New Roman" w:eastAsia="宋体" w:cs="Times New Roman"/>
                <w:sz w:val="24"/>
                <w:szCs w:val="24"/>
                <w:u w:val="none" w:color="auto"/>
              </w:rPr>
              <w:t>《华容高新技术产业开发区环境影响跟踪评价报告书》</w:t>
            </w:r>
          </w:p>
          <w:p w14:paraId="70FC8E2C">
            <w:pPr>
              <w:autoSpaceDE w:val="0"/>
              <w:autoSpaceDN w:val="0"/>
              <w:adjustRightInd w:val="0"/>
              <w:snapToGrid w:val="0"/>
              <w:spacing w:line="360" w:lineRule="auto"/>
              <w:jc w:val="left"/>
              <w:rPr>
                <w:rFonts w:hint="default"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color w:val="auto"/>
                <w:kern w:val="0"/>
                <w:sz w:val="24"/>
                <w:szCs w:val="24"/>
                <w:u w:val="none" w:color="auto"/>
                <w:lang w:val="en-US" w:eastAsia="zh-CN"/>
              </w:rPr>
              <w:t>（2）审批机构：</w:t>
            </w:r>
            <w:r>
              <w:rPr>
                <w:rFonts w:hint="default" w:ascii="Times New Roman" w:hAnsi="Times New Roman" w:eastAsia="宋体" w:cs="Times New Roman"/>
                <w:color w:val="auto"/>
                <w:sz w:val="24"/>
                <w:szCs w:val="24"/>
                <w:u w:val="none" w:color="auto"/>
              </w:rPr>
              <w:t>湖南省生态环境厅</w:t>
            </w:r>
          </w:p>
          <w:p w14:paraId="0E7F5972">
            <w:pPr>
              <w:autoSpaceDE w:val="0"/>
              <w:autoSpaceDN w:val="0"/>
              <w:adjustRightInd w:val="0"/>
              <w:snapToGrid w:val="0"/>
              <w:spacing w:line="360" w:lineRule="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lang w:val="en-US" w:eastAsia="zh-CN"/>
              </w:rPr>
              <w:t>（3）审查文件名称及文号：</w:t>
            </w:r>
            <w:r>
              <w:rPr>
                <w:rFonts w:hint="default" w:ascii="Times New Roman" w:hAnsi="Times New Roman" w:eastAsia="宋体" w:cs="Times New Roman"/>
                <w:sz w:val="24"/>
                <w:szCs w:val="24"/>
                <w:u w:val="none" w:color="auto"/>
              </w:rPr>
              <w:t>《关于华容高新技术产业开发区环境影响跟踪评价工作意见的函》（湘环评函[2023]8号）</w:t>
            </w:r>
          </w:p>
        </w:tc>
      </w:tr>
      <w:tr w14:paraId="22A1D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1" w:hRule="atLeast"/>
          <w:jc w:val="center"/>
        </w:trPr>
        <w:tc>
          <w:tcPr>
            <w:tcW w:w="1919" w:type="dxa"/>
            <w:noWrap w:val="0"/>
            <w:vAlign w:val="center"/>
          </w:tcPr>
          <w:p w14:paraId="6EF1A151">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规划及规划环境</w:t>
            </w:r>
          </w:p>
          <w:p w14:paraId="7275E241">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影响评价符合性分析</w:t>
            </w:r>
          </w:p>
        </w:tc>
        <w:tc>
          <w:tcPr>
            <w:tcW w:w="6951" w:type="dxa"/>
            <w:gridSpan w:val="5"/>
            <w:noWrap w:val="0"/>
            <w:vAlign w:val="center"/>
          </w:tcPr>
          <w:p w14:paraId="4816366B">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（1）与《华容工业集中区“十四五”发展规划》（华容县政府，2021.5月3日）相符性分析</w:t>
            </w:r>
          </w:p>
          <w:p w14:paraId="6BE95FD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根据华容工业集中区“十四五”发展规划，重点发展纺织服装、 食品加工、医药卫材、通用设备制造、能源开发等五大产业。</w:t>
            </w:r>
          </w:p>
          <w:p w14:paraId="36FBD2C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sz w:val="24"/>
                <w:szCs w:val="24"/>
                <w:u w:val="none" w:color="auto"/>
                <w:lang w:val="en-US" w:eastAsia="zh-CN"/>
              </w:rPr>
              <w:t>石伏片区产业发展定位</w:t>
            </w:r>
            <w:r>
              <w:rPr>
                <w:rFonts w:hint="default" w:ascii="Times New Roman" w:hAnsi="Times New Roman" w:eastAsia="宋体" w:cs="Times New Roman"/>
                <w:sz w:val="24"/>
                <w:szCs w:val="24"/>
                <w:u w:val="none" w:color="auto"/>
              </w:rPr>
              <w:t>以棉花加工的纺织产业为主，配套发展服装等下游产业，并选择现代物流业、金融保险业、专业服务业等子行业作为发展的重点。</w:t>
            </w:r>
            <w:r>
              <w:rPr>
                <w:rFonts w:hint="default" w:ascii="Times New Roman" w:hAnsi="Times New Roman" w:eastAsia="宋体" w:cs="Times New Roman"/>
                <w:sz w:val="24"/>
                <w:szCs w:val="24"/>
                <w:u w:val="none" w:color="auto"/>
                <w:lang w:val="en-US" w:eastAsia="zh-CN"/>
              </w:rPr>
              <w:t>本项目建设单位岳阳宝丽纺织品有限公司</w:t>
            </w:r>
            <w:r>
              <w:rPr>
                <w:rFonts w:hint="default" w:ascii="Times New Roman" w:hAnsi="Times New Roman" w:eastAsia="宋体" w:cs="Times New Roman"/>
                <w:sz w:val="24"/>
                <w:szCs w:val="24"/>
                <w:u w:val="none" w:color="auto"/>
              </w:rPr>
              <w:t>主要生产全棉大刮底印花毛浴巾、沙滩巾、沙滩袋、儿童披风等。</w:t>
            </w:r>
            <w:r>
              <w:rPr>
                <w:rFonts w:hint="default" w:ascii="Times New Roman" w:hAnsi="Times New Roman" w:eastAsia="宋体" w:cs="Times New Roman"/>
                <w:sz w:val="24"/>
                <w:szCs w:val="24"/>
                <w:u w:val="none" w:color="auto"/>
                <w:lang w:val="en-US" w:eastAsia="zh-CN"/>
              </w:rPr>
              <w:t>属于纺织品加工行业，本项目新增一台15th生物质锅炉</w:t>
            </w:r>
            <w:r>
              <w:rPr>
                <w:rFonts w:hint="eastAsia" w:cs="Times New Roman"/>
                <w:sz w:val="24"/>
                <w:szCs w:val="24"/>
                <w:u w:val="none" w:color="auto"/>
                <w:lang w:val="en-US" w:eastAsia="zh-CN"/>
              </w:rPr>
              <w:t>为</w:t>
            </w:r>
            <w:r>
              <w:rPr>
                <w:rFonts w:hint="default" w:ascii="Times New Roman" w:hAnsi="Times New Roman" w:eastAsia="宋体" w:cs="Times New Roman"/>
                <w:sz w:val="24"/>
                <w:szCs w:val="24"/>
                <w:u w:val="none" w:color="auto"/>
                <w:lang w:val="en-US" w:eastAsia="zh-CN"/>
              </w:rPr>
              <w:t>现有工程进行供热，属于配套设施，故符合园区主导产业。本项目拟在</w:t>
            </w:r>
            <w:r>
              <w:rPr>
                <w:rFonts w:hint="default" w:ascii="Times New Roman" w:hAnsi="Times New Roman" w:eastAsia="宋体" w:cs="Times New Roman"/>
                <w:sz w:val="24"/>
                <w:szCs w:val="24"/>
                <w:u w:val="none" w:color="auto"/>
              </w:rPr>
              <w:t>现有</w:t>
            </w:r>
            <w:r>
              <w:rPr>
                <w:rFonts w:hint="default" w:ascii="Times New Roman" w:hAnsi="Times New Roman" w:eastAsia="宋体" w:cs="Times New Roman"/>
                <w:bCs/>
                <w:sz w:val="24"/>
                <w:u w:val="none" w:color="auto"/>
              </w:rPr>
              <w:t>厂区内</w:t>
            </w:r>
            <w:r>
              <w:rPr>
                <w:rFonts w:hint="eastAsia" w:cs="Times New Roman"/>
                <w:bCs/>
                <w:sz w:val="24"/>
                <w:u w:val="none" w:color="auto"/>
                <w:lang w:val="en-US" w:eastAsia="zh-CN"/>
              </w:rPr>
              <w:t>扩</w:t>
            </w:r>
            <w:r>
              <w:rPr>
                <w:rFonts w:hint="default" w:ascii="Times New Roman" w:hAnsi="Times New Roman" w:eastAsia="宋体" w:cs="Times New Roman"/>
                <w:bCs/>
                <w:sz w:val="24"/>
                <w:u w:val="none" w:color="auto"/>
                <w:lang w:val="en-US" w:eastAsia="zh-CN"/>
              </w:rPr>
              <w:t>建，不新增用地，</w:t>
            </w:r>
            <w:r>
              <w:rPr>
                <w:rFonts w:hint="default" w:ascii="Times New Roman" w:hAnsi="Times New Roman" w:eastAsia="宋体" w:cs="Times New Roman"/>
                <w:bCs/>
                <w:sz w:val="24"/>
                <w:u w:val="none" w:color="auto"/>
              </w:rPr>
              <w:t>现有厂区</w:t>
            </w:r>
            <w:r>
              <w:rPr>
                <w:rFonts w:hint="default" w:ascii="Times New Roman" w:hAnsi="Times New Roman" w:eastAsia="宋体" w:cs="Times New Roman"/>
                <w:sz w:val="24"/>
                <w:szCs w:val="24"/>
                <w:u w:val="none" w:color="auto"/>
              </w:rPr>
              <w:t>属于</w:t>
            </w:r>
            <w:r>
              <w:rPr>
                <w:rFonts w:hint="default" w:ascii="Times New Roman" w:hAnsi="Times New Roman" w:eastAsia="宋体" w:cs="Times New Roman"/>
                <w:sz w:val="24"/>
                <w:szCs w:val="24"/>
                <w:u w:val="none" w:color="auto"/>
                <w:lang w:val="en-US" w:eastAsia="zh-CN"/>
              </w:rPr>
              <w:t>园区</w:t>
            </w:r>
            <w:r>
              <w:rPr>
                <w:rFonts w:hint="default" w:ascii="Times New Roman" w:hAnsi="Times New Roman" w:eastAsia="宋体" w:cs="Times New Roman"/>
                <w:sz w:val="24"/>
                <w:szCs w:val="24"/>
                <w:u w:val="none" w:color="auto"/>
              </w:rPr>
              <w:t>土地利用规划的</w:t>
            </w:r>
            <w:r>
              <w:rPr>
                <w:rFonts w:hint="default" w:ascii="Times New Roman" w:hAnsi="Times New Roman" w:eastAsia="宋体" w:cs="Times New Roman"/>
                <w:sz w:val="24"/>
                <w:szCs w:val="24"/>
                <w:highlight w:val="none"/>
                <w:u w:val="none" w:color="auto"/>
              </w:rPr>
              <w:t>工业用地，选址符合规划用地要求。</w:t>
            </w:r>
            <w:r>
              <w:rPr>
                <w:rFonts w:hint="default" w:ascii="Times New Roman" w:hAnsi="Times New Roman" w:eastAsia="宋体" w:cs="Times New Roman"/>
                <w:sz w:val="24"/>
                <w:szCs w:val="24"/>
                <w:highlight w:val="none"/>
                <w:u w:val="none" w:color="auto"/>
                <w:lang w:val="en-US" w:eastAsia="zh-CN"/>
              </w:rPr>
              <w:t>本新增生物质锅炉</w:t>
            </w:r>
            <w:r>
              <w:rPr>
                <w:rFonts w:hint="default" w:ascii="Times New Roman" w:hAnsi="Times New Roman" w:eastAsia="宋体" w:cs="Times New Roman"/>
                <w:sz w:val="24"/>
                <w:szCs w:val="24"/>
                <w:highlight w:val="none"/>
                <w:u w:val="none" w:color="auto"/>
              </w:rPr>
              <w:t>项目</w:t>
            </w:r>
            <w:r>
              <w:rPr>
                <w:rFonts w:hint="default" w:ascii="Times New Roman" w:hAnsi="Times New Roman" w:eastAsia="宋体" w:cs="Times New Roman"/>
                <w:sz w:val="24"/>
                <w:szCs w:val="24"/>
                <w:highlight w:val="none"/>
                <w:u w:val="none" w:color="auto"/>
                <w:lang w:val="en-US" w:eastAsia="zh-CN"/>
              </w:rPr>
              <w:t>产生</w:t>
            </w:r>
            <w:r>
              <w:rPr>
                <w:rFonts w:hint="default" w:ascii="Times New Roman" w:hAnsi="Times New Roman" w:eastAsia="宋体" w:cs="Times New Roman"/>
                <w:sz w:val="24"/>
                <w:szCs w:val="24"/>
                <w:highlight w:val="none"/>
                <w:u w:val="none" w:color="auto"/>
                <w:shd w:val="clear"/>
                <w:lang w:val="en-US" w:eastAsia="zh-CN"/>
              </w:rPr>
              <w:t>的锅炉排污水产生的废水经沉淀池沉淀后回用于除尘设施，不外排。</w:t>
            </w:r>
            <w:r>
              <w:rPr>
                <w:rFonts w:hint="default" w:ascii="Times New Roman" w:hAnsi="Times New Roman" w:eastAsia="宋体" w:cs="Times New Roman"/>
                <w:sz w:val="24"/>
                <w:szCs w:val="24"/>
                <w:highlight w:val="none"/>
                <w:u w:val="none" w:color="auto"/>
                <w:shd w:val="clear"/>
              </w:rPr>
              <w:t>项</w:t>
            </w:r>
            <w:r>
              <w:rPr>
                <w:rFonts w:hint="default" w:ascii="Times New Roman" w:hAnsi="Times New Roman" w:eastAsia="宋体" w:cs="Times New Roman"/>
                <w:sz w:val="24"/>
                <w:szCs w:val="24"/>
                <w:u w:val="none" w:color="auto"/>
                <w:shd w:val="clear"/>
              </w:rPr>
              <w:t>目</w:t>
            </w:r>
            <w:r>
              <w:rPr>
                <w:rFonts w:hint="eastAsia" w:cs="Times New Roman"/>
                <w:sz w:val="24"/>
                <w:szCs w:val="24"/>
                <w:u w:val="none" w:color="auto"/>
                <w:shd w:val="clear"/>
                <w:lang w:val="en-US" w:eastAsia="zh-CN"/>
              </w:rPr>
              <w:t>新增15t/h</w:t>
            </w:r>
            <w:r>
              <w:rPr>
                <w:rFonts w:hint="default" w:ascii="Times New Roman" w:hAnsi="Times New Roman" w:eastAsia="宋体" w:cs="Times New Roman"/>
                <w:sz w:val="24"/>
                <w:szCs w:val="24"/>
                <w:u w:val="none" w:color="auto"/>
                <w:lang w:val="en-US" w:eastAsia="zh-CN"/>
              </w:rPr>
              <w:t>锅炉</w:t>
            </w:r>
            <w:r>
              <w:rPr>
                <w:rFonts w:hint="default" w:ascii="Times New Roman" w:hAnsi="Times New Roman" w:eastAsia="宋体" w:cs="Times New Roman"/>
                <w:sz w:val="24"/>
                <w:szCs w:val="24"/>
                <w:u w:val="none" w:color="auto"/>
              </w:rPr>
              <w:t>废气</w:t>
            </w:r>
            <w:r>
              <w:rPr>
                <w:rFonts w:hint="eastAsia" w:ascii="Times New Roman" w:hAnsi="Times New Roman" w:eastAsia="宋体" w:cs="Times New Roman"/>
                <w:sz w:val="24"/>
                <w:szCs w:val="24"/>
                <w:u w:val="none" w:color="auto"/>
                <w:lang w:val="en-US" w:eastAsia="zh-CN"/>
              </w:rPr>
              <w:t>拟采用</w:t>
            </w:r>
            <w:r>
              <w:rPr>
                <w:rFonts w:hint="default" w:ascii="Times New Roman" w:hAnsi="Times New Roman" w:eastAsia="宋体" w:cs="Times New Roman"/>
                <w:sz w:val="24"/>
                <w:szCs w:val="24"/>
                <w:u w:val="none" w:color="auto"/>
                <w:lang w:val="en-US" w:eastAsia="zh-CN"/>
              </w:rPr>
              <w:t>SNCR+多管旋风除尘+布袋除尘+脱硫塔设施</w:t>
            </w:r>
            <w:r>
              <w:rPr>
                <w:rFonts w:hint="default" w:ascii="Times New Roman" w:hAnsi="Times New Roman" w:eastAsia="宋体" w:cs="Times New Roman"/>
                <w:sz w:val="24"/>
                <w:szCs w:val="24"/>
                <w:u w:val="none" w:color="auto"/>
              </w:rPr>
              <w:t>处理后经</w:t>
            </w:r>
            <w:r>
              <w:rPr>
                <w:rFonts w:hint="default" w:ascii="Times New Roman" w:hAnsi="Times New Roman" w:eastAsia="宋体" w:cs="Times New Roman"/>
                <w:sz w:val="24"/>
                <w:szCs w:val="24"/>
                <w:u w:val="none" w:color="auto"/>
                <w:lang w:val="en-US" w:eastAsia="zh-CN"/>
              </w:rPr>
              <w:t>4</w:t>
            </w:r>
            <w:r>
              <w:rPr>
                <w:rFonts w:hint="eastAsia" w:ascii="Times New Roman" w:hAnsi="Times New Roman" w:eastAsia="宋体" w:cs="Times New Roman"/>
                <w:sz w:val="24"/>
                <w:szCs w:val="24"/>
                <w:u w:val="none" w:color="auto"/>
                <w:lang w:val="en-US" w:eastAsia="zh-CN"/>
              </w:rPr>
              <w:t>3</w:t>
            </w:r>
            <w:r>
              <w:rPr>
                <w:rFonts w:hint="default" w:ascii="Times New Roman" w:hAnsi="Times New Roman" w:eastAsia="宋体" w:cs="Times New Roman"/>
                <w:sz w:val="24"/>
                <w:szCs w:val="24"/>
                <w:u w:val="none" w:color="auto"/>
              </w:rPr>
              <w:t>m排气</w:t>
            </w:r>
            <w:r>
              <w:rPr>
                <w:rFonts w:hint="default" w:ascii="Times New Roman" w:hAnsi="Times New Roman" w:eastAsia="宋体" w:cs="Times New Roman"/>
                <w:sz w:val="24"/>
                <w:szCs w:val="24"/>
                <w:highlight w:val="none"/>
                <w:u w:val="none" w:color="auto"/>
              </w:rPr>
              <w:t>筒达标排放，</w:t>
            </w:r>
            <w:r>
              <w:rPr>
                <w:rFonts w:hint="eastAsia" w:cs="Times New Roman"/>
                <w:sz w:val="24"/>
                <w:szCs w:val="24"/>
                <w:u w:val="none" w:color="auto"/>
                <w:shd w:val="clear"/>
                <w:lang w:val="en-US" w:eastAsia="zh-CN"/>
              </w:rPr>
              <w:t>新增4t/h导热油炉</w:t>
            </w:r>
            <w:r>
              <w:rPr>
                <w:rFonts w:hint="default" w:ascii="Times New Roman" w:hAnsi="Times New Roman" w:eastAsia="宋体" w:cs="Times New Roman"/>
                <w:sz w:val="24"/>
                <w:szCs w:val="24"/>
                <w:u w:val="none" w:color="auto"/>
              </w:rPr>
              <w:t>废气</w:t>
            </w:r>
            <w:r>
              <w:rPr>
                <w:rFonts w:hint="eastAsia" w:ascii="Times New Roman" w:hAnsi="Times New Roman" w:eastAsia="宋体" w:cs="Times New Roman"/>
                <w:sz w:val="24"/>
                <w:szCs w:val="24"/>
                <w:u w:val="none" w:color="auto"/>
                <w:lang w:val="en-US" w:eastAsia="zh-CN"/>
              </w:rPr>
              <w:t>拟采用</w:t>
            </w:r>
            <w:r>
              <w:rPr>
                <w:rFonts w:hint="default" w:ascii="Times New Roman" w:hAnsi="Times New Roman" w:eastAsia="宋体" w:cs="Times New Roman"/>
                <w:sz w:val="24"/>
                <w:szCs w:val="24"/>
                <w:u w:val="none" w:color="auto"/>
                <w:lang w:val="en-US" w:eastAsia="zh-CN"/>
              </w:rPr>
              <w:t>多管旋风除尘+布袋除尘+脱硫塔设施</w:t>
            </w:r>
            <w:r>
              <w:rPr>
                <w:rFonts w:hint="default" w:ascii="Times New Roman" w:hAnsi="Times New Roman" w:eastAsia="宋体" w:cs="Times New Roman"/>
                <w:sz w:val="24"/>
                <w:szCs w:val="24"/>
                <w:u w:val="none" w:color="auto"/>
              </w:rPr>
              <w:t>处理后经</w:t>
            </w:r>
            <w:r>
              <w:rPr>
                <w:rFonts w:hint="eastAsia" w:cs="Times New Roman"/>
                <w:sz w:val="24"/>
                <w:szCs w:val="24"/>
                <w:u w:val="none" w:color="auto"/>
                <w:lang w:val="en-US" w:eastAsia="zh-CN"/>
              </w:rPr>
              <w:t>38m</w:t>
            </w:r>
            <w:r>
              <w:rPr>
                <w:rFonts w:hint="default" w:ascii="Times New Roman" w:hAnsi="Times New Roman" w:eastAsia="宋体" w:cs="Times New Roman"/>
                <w:sz w:val="24"/>
                <w:szCs w:val="24"/>
                <w:u w:val="none" w:color="auto"/>
              </w:rPr>
              <w:t>排气</w:t>
            </w:r>
            <w:r>
              <w:rPr>
                <w:rFonts w:hint="default" w:ascii="Times New Roman" w:hAnsi="Times New Roman" w:eastAsia="宋体" w:cs="Times New Roman"/>
                <w:sz w:val="24"/>
                <w:szCs w:val="24"/>
                <w:highlight w:val="none"/>
                <w:u w:val="none" w:color="auto"/>
              </w:rPr>
              <w:t>筒达标排放，</w:t>
            </w:r>
            <w:r>
              <w:rPr>
                <w:rFonts w:hint="default" w:ascii="Times New Roman" w:hAnsi="Times New Roman" w:eastAsia="宋体" w:cs="Times New Roman"/>
                <w:sz w:val="24"/>
                <w:szCs w:val="24"/>
                <w:highlight w:val="none"/>
                <w:u w:val="none" w:color="auto"/>
                <w:lang w:val="en-US" w:eastAsia="zh-CN"/>
              </w:rPr>
              <w:t>一般工业固废统一收集于一般工业固废暂存间后</w:t>
            </w:r>
            <w:r>
              <w:rPr>
                <w:rFonts w:hint="default" w:ascii="Times New Roman" w:hAnsi="Times New Roman" w:eastAsia="宋体" w:cs="Times New Roman"/>
                <w:b w:val="0"/>
                <w:bCs w:val="0"/>
                <w:color w:val="auto"/>
                <w:sz w:val="24"/>
                <w:szCs w:val="24"/>
                <w:highlight w:val="none"/>
                <w:u w:val="none" w:color="auto"/>
                <w:lang w:val="en-US" w:eastAsia="zh-CN"/>
              </w:rPr>
              <w:t>外售附近农户作农肥。</w:t>
            </w:r>
            <w:r>
              <w:rPr>
                <w:rFonts w:hint="default" w:ascii="Times New Roman" w:hAnsi="Times New Roman" w:eastAsia="宋体" w:cs="Times New Roman"/>
                <w:sz w:val="24"/>
                <w:szCs w:val="24"/>
                <w:highlight w:val="none"/>
                <w:u w:val="none" w:color="auto"/>
              </w:rPr>
              <w:t>因此，本项目在落实好环评要求的污染防治措施的前提下，对周边</w:t>
            </w:r>
            <w:r>
              <w:rPr>
                <w:rFonts w:hint="default" w:ascii="Times New Roman" w:hAnsi="Times New Roman" w:eastAsia="宋体" w:cs="Times New Roman"/>
                <w:sz w:val="24"/>
                <w:szCs w:val="24"/>
                <w:u w:val="none" w:color="auto"/>
              </w:rPr>
              <w:t>环境影响较小，综上，本项目与华容工业集中区规划相符合。</w:t>
            </w:r>
          </w:p>
          <w:p w14:paraId="49FBA996">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（2）项目与《华容高新技术产业开发区环境影响跟踪评价报告书》 符合性分析</w:t>
            </w:r>
          </w:p>
          <w:p w14:paraId="2AB7D1A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2023年，湖南省生态环境厅以（湘环评函[2023]8号）对《华容高新技术产业开发区环境影响跟踪评价报告书》进行了批复，本项目与其符合性分析见下表。</w:t>
            </w:r>
          </w:p>
          <w:p w14:paraId="62A3CFE5">
            <w:pPr>
              <w:autoSpaceDE w:val="0"/>
              <w:autoSpaceDN w:val="0"/>
              <w:adjustRightInd w:val="0"/>
              <w:snapToGrid w:val="0"/>
              <w:jc w:val="center"/>
              <w:rPr>
                <w:rFonts w:hint="default" w:ascii="Times New Roman" w:hAnsi="Times New Roman" w:eastAsia="宋体" w:cs="Times New Roman"/>
                <w:b/>
                <w:bCs/>
                <w:kern w:val="0"/>
                <w:sz w:val="21"/>
                <w:szCs w:val="21"/>
                <w:u w:val="none" w:color="auto"/>
                <w:lang w:val="en-US" w:eastAsia="zh-CN" w:bidi="ar-SA"/>
              </w:rPr>
            </w:pPr>
            <w:r>
              <w:rPr>
                <w:rFonts w:hint="default" w:ascii="Times New Roman" w:hAnsi="Times New Roman" w:eastAsia="宋体" w:cs="Times New Roman"/>
                <w:b/>
                <w:bCs/>
                <w:color w:val="auto"/>
                <w:kern w:val="0"/>
                <w:sz w:val="22"/>
                <w:szCs w:val="22"/>
                <w:u w:val="none" w:color="auto"/>
              </w:rPr>
              <w:t>表</w:t>
            </w:r>
            <w:r>
              <w:rPr>
                <w:rFonts w:hint="default" w:ascii="Times New Roman" w:hAnsi="Times New Roman" w:eastAsia="宋体" w:cs="Times New Roman"/>
                <w:b/>
                <w:bCs/>
                <w:kern w:val="0"/>
                <w:sz w:val="21"/>
                <w:szCs w:val="21"/>
                <w:u w:val="none" w:color="auto"/>
                <w:lang w:val="en-US" w:eastAsia="zh-CN" w:bidi="ar-SA"/>
              </w:rPr>
              <w:t>1-</w:t>
            </w:r>
            <w:r>
              <w:rPr>
                <w:rFonts w:hint="eastAsia" w:ascii="Times New Roman" w:hAnsi="Times New Roman" w:eastAsia="宋体" w:cs="Times New Roman"/>
                <w:b/>
                <w:bCs/>
                <w:kern w:val="0"/>
                <w:sz w:val="21"/>
                <w:szCs w:val="21"/>
                <w:u w:val="none" w:color="auto"/>
                <w:lang w:val="en-US" w:eastAsia="zh-CN" w:bidi="ar-SA"/>
              </w:rPr>
              <w:t>２</w:t>
            </w:r>
            <w:r>
              <w:rPr>
                <w:rFonts w:hint="default" w:ascii="Times New Roman" w:hAnsi="Times New Roman" w:eastAsia="宋体" w:cs="Times New Roman"/>
                <w:b/>
                <w:bCs/>
                <w:kern w:val="0"/>
                <w:sz w:val="21"/>
                <w:szCs w:val="21"/>
                <w:u w:val="none" w:color="auto"/>
                <w:lang w:val="en-US" w:eastAsia="zh-CN" w:bidi="ar-SA"/>
              </w:rPr>
              <w:t xml:space="preserve">  项目与《华容高新技术产业开发区环境影响跟踪评价报告书》 及其审查文件的符合性分析</w:t>
            </w:r>
          </w:p>
          <w:tbl>
            <w:tblPr>
              <w:tblStyle w:val="27"/>
              <w:tblW w:w="49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7"/>
              <w:gridCol w:w="3742"/>
              <w:gridCol w:w="1710"/>
              <w:gridCol w:w="751"/>
            </w:tblGrid>
            <w:tr w14:paraId="29BD2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7" w:type="dxa"/>
                  <w:tcBorders>
                    <w:tl2br w:val="nil"/>
                    <w:tr2bl w:val="nil"/>
                  </w:tcBorders>
                  <w:noWrap w:val="0"/>
                  <w:vAlign w:val="top"/>
                </w:tcPr>
                <w:p w14:paraId="3909DE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lang w:val="en-US" w:eastAsia="zh-CN"/>
                    </w:rPr>
                    <w:t>序号</w:t>
                  </w:r>
                </w:p>
              </w:tc>
              <w:tc>
                <w:tcPr>
                  <w:tcW w:w="3742" w:type="dxa"/>
                  <w:tcBorders>
                    <w:tl2br w:val="nil"/>
                    <w:tr2bl w:val="nil"/>
                  </w:tcBorders>
                  <w:noWrap w:val="0"/>
                  <w:vAlign w:val="top"/>
                </w:tcPr>
                <w:p w14:paraId="2F9565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园区规划及审查文件要求</w:t>
                  </w:r>
                </w:p>
              </w:tc>
              <w:tc>
                <w:tcPr>
                  <w:tcW w:w="1710" w:type="dxa"/>
                  <w:tcBorders>
                    <w:tl2br w:val="nil"/>
                    <w:tr2bl w:val="nil"/>
                  </w:tcBorders>
                  <w:noWrap w:val="0"/>
                  <w:vAlign w:val="top"/>
                </w:tcPr>
                <w:p w14:paraId="4406C7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本项目情况</w:t>
                  </w:r>
                </w:p>
              </w:tc>
              <w:tc>
                <w:tcPr>
                  <w:tcW w:w="751" w:type="dxa"/>
                  <w:tcBorders>
                    <w:tl2br w:val="nil"/>
                    <w:tr2bl w:val="nil"/>
                  </w:tcBorders>
                  <w:noWrap w:val="0"/>
                  <w:vAlign w:val="top"/>
                </w:tcPr>
                <w:p w14:paraId="522EC9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符合性</w:t>
                  </w:r>
                </w:p>
              </w:tc>
            </w:tr>
            <w:tr w14:paraId="423BA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77" w:type="dxa"/>
                  <w:tcBorders>
                    <w:tl2br w:val="nil"/>
                    <w:tr2bl w:val="nil"/>
                  </w:tcBorders>
                  <w:noWrap w:val="0"/>
                  <w:vAlign w:val="center"/>
                </w:tcPr>
                <w:p w14:paraId="77F0B6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lang w:val="en-US" w:eastAsia="zh-CN"/>
                    </w:rPr>
                    <w:t>1</w:t>
                  </w:r>
                </w:p>
              </w:tc>
              <w:tc>
                <w:tcPr>
                  <w:tcW w:w="3742" w:type="dxa"/>
                  <w:tcBorders>
                    <w:tl2br w:val="nil"/>
                    <w:tr2bl w:val="nil"/>
                  </w:tcBorders>
                  <w:noWrap w:val="0"/>
                  <w:vAlign w:val="center"/>
                </w:tcPr>
                <w:p w14:paraId="3A23BF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按程序做好园区规划调整。园区在下一步开发建设过程中应按照最新的国土空间规划科学布局，应从有利于产业集中发展、污染处置设施 集中建设的角度布局，尽可能减少产业开发对自然环境及社会服务功能的影响，不得在园区工业用地上新增居民安置区。</w:t>
                  </w:r>
                </w:p>
              </w:tc>
              <w:tc>
                <w:tcPr>
                  <w:tcW w:w="1710" w:type="dxa"/>
                  <w:tcBorders>
                    <w:tl2br w:val="nil"/>
                    <w:tr2bl w:val="nil"/>
                  </w:tcBorders>
                  <w:noWrap w:val="0"/>
                  <w:vAlign w:val="center"/>
                </w:tcPr>
                <w:p w14:paraId="17C9D8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本项目位于</w:t>
                  </w:r>
                  <w:r>
                    <w:rPr>
                      <w:rFonts w:hint="default" w:ascii="Times New Roman" w:hAnsi="Times New Roman" w:eastAsia="宋体" w:cs="Times New Roman"/>
                      <w:color w:val="auto"/>
                      <w:u w:val="none" w:color="auto"/>
                      <w:lang w:val="en-US" w:eastAsia="zh-CN"/>
                    </w:rPr>
                    <w:t>石伏片区</w:t>
                  </w:r>
                  <w:r>
                    <w:rPr>
                      <w:rFonts w:hint="default" w:ascii="Times New Roman" w:hAnsi="Times New Roman" w:eastAsia="宋体" w:cs="Times New Roman"/>
                      <w:color w:val="auto"/>
                      <w:u w:val="none" w:color="auto"/>
                    </w:rPr>
                    <w:t>，未在园区工业用地上新增居民安置区。</w:t>
                  </w:r>
                </w:p>
              </w:tc>
              <w:tc>
                <w:tcPr>
                  <w:tcW w:w="751" w:type="dxa"/>
                  <w:tcBorders>
                    <w:tl2br w:val="nil"/>
                    <w:tr2bl w:val="nil"/>
                  </w:tcBorders>
                  <w:noWrap w:val="0"/>
                  <w:vAlign w:val="center"/>
                </w:tcPr>
                <w:p w14:paraId="47A7D27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5C0D9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77" w:type="dxa"/>
                  <w:tcBorders>
                    <w:tl2br w:val="nil"/>
                    <w:tr2bl w:val="nil"/>
                  </w:tcBorders>
                  <w:noWrap w:val="0"/>
                  <w:vAlign w:val="center"/>
                </w:tcPr>
                <w:p w14:paraId="00F176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lang w:val="en-US" w:eastAsia="zh-CN"/>
                    </w:rPr>
                    <w:t>2</w:t>
                  </w:r>
                </w:p>
              </w:tc>
              <w:tc>
                <w:tcPr>
                  <w:tcW w:w="3742" w:type="dxa"/>
                  <w:tcBorders>
                    <w:tl2br w:val="nil"/>
                    <w:tr2bl w:val="nil"/>
                  </w:tcBorders>
                  <w:noWrap w:val="0"/>
                  <w:vAlign w:val="center"/>
                </w:tcPr>
                <w:p w14:paraId="13FC0A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进一步严格产业环境准入。园区后续发展与规划调整须符合“三线一单”环境准入要求、长江经济带发展负面清单指南及规划环评的环境准入条件和负面清单要求。对于园区产业规划发生重大变化，涉及原规划环评禁止性、限制性准入要求的，须 重新开展规划环评论证以确定规划调整的环境可行性。对不符合园区产业定位的现有污染排放企业，应按强化污染防治措施，禁止新增污染物排放量。</w:t>
                  </w:r>
                </w:p>
              </w:tc>
              <w:tc>
                <w:tcPr>
                  <w:tcW w:w="1710" w:type="dxa"/>
                  <w:tcBorders>
                    <w:tl2br w:val="nil"/>
                    <w:tr2bl w:val="nil"/>
                  </w:tcBorders>
                  <w:noWrap w:val="0"/>
                  <w:vAlign w:val="center"/>
                </w:tcPr>
                <w:p w14:paraId="0AEB70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本项目符合“三线一单”环境准入要 求、长江经济带发展负面清单指南及规划环评的环境准入条件和负 面清单要求。本项目属于热力生产和供应</w:t>
                  </w:r>
                  <w:r>
                    <w:rPr>
                      <w:rFonts w:hint="default" w:ascii="Times New Roman" w:hAnsi="Times New Roman" w:eastAsia="宋体" w:cs="Times New Roman"/>
                      <w:color w:val="auto"/>
                      <w:u w:val="none" w:color="auto"/>
                      <w:lang w:val="en-US" w:eastAsia="zh-CN"/>
                    </w:rPr>
                    <w:t>行业</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u w:val="none" w:color="auto"/>
                      <w:lang w:val="en-US" w:eastAsia="zh-CN"/>
                    </w:rPr>
                    <w:t>采用</w:t>
                  </w:r>
                  <w:r>
                    <w:rPr>
                      <w:rFonts w:hint="eastAsia" w:cs="Times New Roman"/>
                      <w:color w:val="auto"/>
                      <w:u w:val="none" w:color="auto"/>
                      <w:lang w:val="en-US" w:eastAsia="zh-CN"/>
                    </w:rPr>
                    <w:t>15t/h</w:t>
                  </w:r>
                  <w:r>
                    <w:rPr>
                      <w:rFonts w:hint="default" w:ascii="Times New Roman" w:hAnsi="Times New Roman" w:eastAsia="宋体" w:cs="Times New Roman"/>
                      <w:color w:val="auto"/>
                      <w:u w:val="none" w:color="auto"/>
                      <w:lang w:val="en-US" w:eastAsia="zh-CN"/>
                    </w:rPr>
                    <w:t>生物质锅炉给现有工程</w:t>
                  </w:r>
                  <w:r>
                    <w:rPr>
                      <w:rFonts w:hint="default" w:ascii="Times New Roman" w:hAnsi="Times New Roman" w:eastAsia="宋体" w:cs="Times New Roman"/>
                      <w:color w:val="auto"/>
                      <w:u w:val="none" w:color="auto"/>
                    </w:rPr>
                    <w:t>蒸汽供给</w:t>
                  </w:r>
                  <w:r>
                    <w:rPr>
                      <w:rFonts w:hint="eastAsia" w:cs="Times New Roman"/>
                      <w:color w:val="auto"/>
                      <w:u w:val="none" w:color="auto"/>
                      <w:lang w:val="en-US" w:eastAsia="zh-CN"/>
                    </w:rPr>
                    <w:t>以及采用4t/h</w:t>
                  </w:r>
                  <w:r>
                    <w:rPr>
                      <w:rFonts w:hint="default" w:ascii="Times New Roman" w:hAnsi="Times New Roman" w:eastAsia="宋体" w:cs="Times New Roman"/>
                      <w:color w:val="auto"/>
                      <w:u w:val="none" w:color="auto"/>
                      <w:lang w:val="en-US" w:eastAsia="zh-CN"/>
                    </w:rPr>
                    <w:t>生物质</w:t>
                  </w:r>
                  <w:r>
                    <w:rPr>
                      <w:rFonts w:hint="eastAsia" w:cs="Times New Roman"/>
                      <w:color w:val="auto"/>
                      <w:u w:val="none" w:color="auto"/>
                      <w:lang w:val="en-US" w:eastAsia="zh-CN"/>
                    </w:rPr>
                    <w:t>导热油炉</w:t>
                  </w:r>
                  <w:r>
                    <w:rPr>
                      <w:rFonts w:hint="default" w:ascii="Times New Roman" w:hAnsi="Times New Roman" w:eastAsia="宋体" w:cs="Times New Roman"/>
                      <w:color w:val="auto"/>
                      <w:u w:val="none" w:color="auto"/>
                      <w:lang w:val="en-US" w:eastAsia="zh-CN"/>
                    </w:rPr>
                    <w:t>给现有工程</w:t>
                  </w:r>
                  <w:r>
                    <w:rPr>
                      <w:rFonts w:hint="eastAsia" w:cs="Times New Roman"/>
                      <w:color w:val="auto"/>
                      <w:u w:val="none" w:color="auto"/>
                      <w:lang w:val="en-US" w:eastAsia="zh-CN"/>
                    </w:rPr>
                    <w:t>半成品进行烘干</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u w:val="none" w:color="auto"/>
                      <w:lang w:val="en-US" w:eastAsia="zh-CN"/>
                    </w:rPr>
                    <w:t>为现有工程配套设施</w:t>
                  </w:r>
                  <w:r>
                    <w:rPr>
                      <w:rFonts w:hint="default" w:ascii="Times New Roman" w:hAnsi="Times New Roman" w:eastAsia="宋体" w:cs="Times New Roman"/>
                      <w:color w:val="auto"/>
                      <w:u w:val="none" w:color="auto"/>
                    </w:rPr>
                    <w:t>，不属于园区限制类和禁止类，选址符合规划用地要求</w:t>
                  </w:r>
                </w:p>
              </w:tc>
              <w:tc>
                <w:tcPr>
                  <w:tcW w:w="751" w:type="dxa"/>
                  <w:tcBorders>
                    <w:tl2br w:val="nil"/>
                    <w:tr2bl w:val="nil"/>
                  </w:tcBorders>
                  <w:noWrap w:val="0"/>
                  <w:vAlign w:val="center"/>
                </w:tcPr>
                <w:p w14:paraId="352A63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r w14:paraId="47985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7" w:type="dxa"/>
                  <w:tcBorders>
                    <w:tl2br w:val="nil"/>
                    <w:tr2bl w:val="nil"/>
                  </w:tcBorders>
                  <w:noWrap w:val="0"/>
                  <w:vAlign w:val="center"/>
                </w:tcPr>
                <w:p w14:paraId="5A3495E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lang w:val="en-US" w:eastAsia="zh-CN"/>
                    </w:rPr>
                    <w:t>3</w:t>
                  </w:r>
                </w:p>
              </w:tc>
              <w:tc>
                <w:tcPr>
                  <w:tcW w:w="3742" w:type="dxa"/>
                  <w:tcBorders>
                    <w:tl2br w:val="nil"/>
                    <w:tr2bl w:val="nil"/>
                  </w:tcBorders>
                  <w:noWrap w:val="0"/>
                  <w:vAlign w:val="center"/>
                </w:tcPr>
                <w:p w14:paraId="264104D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强化园区污染管控措施。根据园区的开发进程，逐步完善区域的雨、污排水管网建设，确保园区生产、生活废水应收尽收，全部送至相应的污水处理厂集中处理，三封污水处理厂应按时限要求完成提标改造，确保尾水稳 定达《城镇污水处理厂污染物排放标准》（GB18918-2002）一级A标 准后再排入华容河，适时扩 建砖桥污水处理厂，确保满 足区域污水处理能力，完善 园区污水处理厂环保验收、排污许可及入河排污口手续。加强园区大气污染防治，严格控制涉重企业废气排放，重点推动园区企业加强对VOCs排放的治理，加大对园区内重点排污单位废气 治理措施运行情况及废气无组织排放的监管力度，确保废气收集与处理净化装置正常运行并达标排放。做好工业固体废物和生活垃圾的分类收集、转运、综合利用和无害化处理，建立完善的固废管理体系。对危险废物应严格按照国家有关规定综合利用或妥善处置，对危险废物产生企业和经营单位，应强化日常环境监管。全面清理园区企业未按要求开展环评及排污许可的违法违规情形，严格落实排污许可制度和污染物排放总量控制。园区应落实第三方环境治理工作相关政策要求，强化对重点产排污企业的监管与服务。</w:t>
                  </w:r>
                </w:p>
              </w:tc>
              <w:tc>
                <w:tcPr>
                  <w:tcW w:w="1710" w:type="dxa"/>
                  <w:tcBorders>
                    <w:tl2br w:val="nil"/>
                    <w:tr2bl w:val="nil"/>
                  </w:tcBorders>
                  <w:noWrap w:val="0"/>
                  <w:vAlign w:val="center"/>
                </w:tcPr>
                <w:p w14:paraId="4A454382">
                  <w:pPr>
                    <w:keepNext w:val="0"/>
                    <w:keepLines w:val="0"/>
                    <w:pageBreakBefore w:val="0"/>
                    <w:widowControl w:val="0"/>
                    <w:numPr>
                      <w:ilvl w:val="0"/>
                      <w:numId w:val="1"/>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本项目进行雨污分流，</w:t>
                  </w:r>
                  <w:r>
                    <w:rPr>
                      <w:rFonts w:hint="default" w:ascii="Times New Roman" w:hAnsi="Times New Roman" w:eastAsia="宋体" w:cs="Times New Roman"/>
                      <w:color w:val="auto"/>
                      <w:u w:val="none" w:color="auto"/>
                      <w:lang w:val="en-US" w:eastAsia="zh-CN"/>
                    </w:rPr>
                    <w:t>锅炉排污水经现有沉淀池沉淀后用于除尘，不外排。</w:t>
                  </w:r>
                  <w:r>
                    <w:rPr>
                      <w:rFonts w:hint="default" w:ascii="Times New Roman" w:hAnsi="Times New Roman" w:eastAsia="宋体" w:cs="Times New Roman"/>
                      <w:color w:val="auto"/>
                      <w:u w:val="none" w:color="auto"/>
                    </w:rPr>
                    <w:t>（2）本项目不属于涉重企业，本项目</w:t>
                  </w:r>
                  <w:r>
                    <w:rPr>
                      <w:rFonts w:hint="eastAsia" w:cs="Times New Roman"/>
                      <w:color w:val="auto"/>
                      <w:u w:val="none" w:color="auto"/>
                      <w:lang w:val="en-US" w:eastAsia="zh-CN"/>
                    </w:rPr>
                    <w:t>新增15t/h锅炉</w:t>
                  </w:r>
                  <w:r>
                    <w:rPr>
                      <w:rFonts w:hint="default" w:ascii="Times New Roman" w:hAnsi="Times New Roman" w:eastAsia="宋体" w:cs="Times New Roman"/>
                      <w:color w:val="auto"/>
                      <w:u w:val="none" w:color="auto"/>
                      <w:lang w:val="en-US" w:eastAsia="zh-CN"/>
                    </w:rPr>
                    <w:t>燃烧</w:t>
                  </w:r>
                  <w:r>
                    <w:rPr>
                      <w:rFonts w:hint="default" w:ascii="Times New Roman" w:hAnsi="Times New Roman" w:eastAsia="宋体" w:cs="Times New Roman"/>
                      <w:color w:val="auto"/>
                      <w:u w:val="none" w:color="auto"/>
                    </w:rPr>
                    <w:t>废气经</w:t>
                  </w:r>
                  <w:r>
                    <w:rPr>
                      <w:rFonts w:hint="default" w:ascii="Times New Roman" w:hAnsi="Times New Roman" w:eastAsia="宋体" w:cs="Times New Roman"/>
                      <w:color w:val="auto"/>
                      <w:u w:val="none" w:color="auto"/>
                      <w:lang w:val="en-US" w:eastAsia="zh-CN"/>
                    </w:rPr>
                    <w:t>SNCR+多管旋风除尘+</w:t>
                  </w:r>
                  <w:r>
                    <w:rPr>
                      <w:rFonts w:hint="default" w:ascii="Times New Roman" w:hAnsi="Times New Roman" w:eastAsia="宋体" w:cs="Times New Roman"/>
                      <w:color w:val="auto"/>
                      <w:u w:val="none" w:color="auto"/>
                      <w:lang w:eastAsia="zh-CN"/>
                    </w:rPr>
                    <w:t>布袋除尘器+</w:t>
                  </w:r>
                  <w:r>
                    <w:rPr>
                      <w:rFonts w:hint="default" w:ascii="Times New Roman" w:hAnsi="Times New Roman" w:eastAsia="宋体" w:cs="Times New Roman"/>
                      <w:color w:val="auto"/>
                      <w:u w:val="none" w:color="auto"/>
                      <w:lang w:val="en-US" w:eastAsia="zh-CN"/>
                    </w:rPr>
                    <w:t>脱硫塔</w:t>
                  </w:r>
                  <w:r>
                    <w:rPr>
                      <w:rFonts w:hint="default" w:ascii="Times New Roman" w:hAnsi="Times New Roman" w:eastAsia="宋体" w:cs="Times New Roman"/>
                      <w:color w:val="auto"/>
                      <w:u w:val="none" w:color="auto"/>
                    </w:rPr>
                    <w:t>处理后</w:t>
                  </w:r>
                  <w:r>
                    <w:rPr>
                      <w:rFonts w:hint="eastAsia" w:cs="Times New Roman"/>
                      <w:color w:val="auto"/>
                      <w:u w:val="none" w:color="auto"/>
                      <w:lang w:eastAsia="zh-CN"/>
                    </w:rPr>
                    <w:t>，</w:t>
                  </w:r>
                  <w:r>
                    <w:rPr>
                      <w:rFonts w:hint="eastAsia" w:cs="Times New Roman"/>
                      <w:color w:val="auto"/>
                      <w:u w:val="none" w:color="auto"/>
                      <w:lang w:val="en-US" w:eastAsia="zh-CN"/>
                    </w:rPr>
                    <w:t>新增4t/h导热油炉</w:t>
                  </w:r>
                  <w:r>
                    <w:rPr>
                      <w:rFonts w:hint="default" w:ascii="Times New Roman" w:hAnsi="Times New Roman" w:eastAsia="宋体" w:cs="Times New Roman"/>
                      <w:color w:val="auto"/>
                      <w:u w:val="none" w:color="auto"/>
                      <w:lang w:val="en-US" w:eastAsia="zh-CN"/>
                    </w:rPr>
                    <w:t>燃烧</w:t>
                  </w:r>
                  <w:r>
                    <w:rPr>
                      <w:rFonts w:hint="default" w:ascii="Times New Roman" w:hAnsi="Times New Roman" w:eastAsia="宋体" w:cs="Times New Roman"/>
                      <w:color w:val="auto"/>
                      <w:u w:val="none" w:color="auto"/>
                    </w:rPr>
                    <w:t>废气经</w:t>
                  </w:r>
                  <w:r>
                    <w:rPr>
                      <w:rFonts w:hint="default" w:ascii="Times New Roman" w:hAnsi="Times New Roman" w:eastAsia="宋体" w:cs="Times New Roman"/>
                      <w:color w:val="auto"/>
                      <w:u w:val="none" w:color="auto"/>
                      <w:lang w:val="en-US" w:eastAsia="zh-CN"/>
                    </w:rPr>
                    <w:t>多管旋风除尘+</w:t>
                  </w:r>
                  <w:r>
                    <w:rPr>
                      <w:rFonts w:hint="default" w:ascii="Times New Roman" w:hAnsi="Times New Roman" w:eastAsia="宋体" w:cs="Times New Roman"/>
                      <w:color w:val="auto"/>
                      <w:u w:val="none" w:color="auto"/>
                      <w:lang w:eastAsia="zh-CN"/>
                    </w:rPr>
                    <w:t>布袋除尘器+</w:t>
                  </w:r>
                  <w:r>
                    <w:rPr>
                      <w:rFonts w:hint="default" w:ascii="Times New Roman" w:hAnsi="Times New Roman" w:eastAsia="宋体" w:cs="Times New Roman"/>
                      <w:color w:val="auto"/>
                      <w:u w:val="none" w:color="auto"/>
                      <w:lang w:val="en-US" w:eastAsia="zh-CN"/>
                    </w:rPr>
                    <w:t>脱硫塔</w:t>
                  </w:r>
                  <w:r>
                    <w:rPr>
                      <w:rFonts w:hint="default" w:ascii="Times New Roman" w:hAnsi="Times New Roman" w:eastAsia="宋体" w:cs="Times New Roman"/>
                      <w:color w:val="auto"/>
                      <w:u w:val="none" w:color="auto"/>
                    </w:rPr>
                    <w:t>处理后</w:t>
                  </w:r>
                </w:p>
                <w:p w14:paraId="0F6D729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能实现达标排放。（3）本项目做好工业固体废物和生活垃圾的分类收集、转运、综合利用和无害化处理。</w:t>
                  </w:r>
                </w:p>
              </w:tc>
              <w:tc>
                <w:tcPr>
                  <w:tcW w:w="751" w:type="dxa"/>
                  <w:tcBorders>
                    <w:tl2br w:val="nil"/>
                    <w:tr2bl w:val="nil"/>
                  </w:tcBorders>
                  <w:noWrap w:val="0"/>
                  <w:vAlign w:val="center"/>
                </w:tcPr>
                <w:p w14:paraId="63D733F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r w14:paraId="00BC0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7" w:type="dxa"/>
                  <w:tcBorders>
                    <w:tl2br w:val="nil"/>
                    <w:tr2bl w:val="nil"/>
                  </w:tcBorders>
                  <w:noWrap w:val="0"/>
                  <w:vAlign w:val="center"/>
                </w:tcPr>
                <w:p w14:paraId="1CB130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color w:val="auto"/>
                      <w:u w:val="none" w:color="auto"/>
                      <w:lang w:val="en-US" w:eastAsia="zh-CN"/>
                    </w:rPr>
                    <w:t>4</w:t>
                  </w:r>
                </w:p>
              </w:tc>
              <w:tc>
                <w:tcPr>
                  <w:tcW w:w="3742" w:type="dxa"/>
                  <w:tcBorders>
                    <w:tl2br w:val="nil"/>
                    <w:tr2bl w:val="nil"/>
                  </w:tcBorders>
                  <w:noWrap w:val="0"/>
                  <w:vAlign w:val="center"/>
                </w:tcPr>
                <w:p w14:paraId="600F4D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完善园区环境监测体系。园区应严格落实跟踪评价提出的监测方案，应结合园区规划的功能分区、产业布局、重点企业分布、特征污染物的排放种类和状况等，建立健全区域环境空气、地表水、地下水、土壤等环境要素的监控体系。加强对园区重点 排放单位的监督性监测，杜绝因环保设施不正常运行而造成的超标排放情况。</w:t>
                  </w:r>
                </w:p>
              </w:tc>
              <w:tc>
                <w:tcPr>
                  <w:tcW w:w="1710" w:type="dxa"/>
                  <w:tcBorders>
                    <w:tl2br w:val="nil"/>
                    <w:tr2bl w:val="nil"/>
                  </w:tcBorders>
                  <w:noWrap w:val="0"/>
                  <w:vAlign w:val="center"/>
                </w:tcPr>
                <w:p w14:paraId="69EB1A0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本项目制定完善的监测计划并严格执行，杜绝因环保设施不正常运行而造成的超标排放情况。</w:t>
                  </w:r>
                </w:p>
              </w:tc>
              <w:tc>
                <w:tcPr>
                  <w:tcW w:w="751" w:type="dxa"/>
                  <w:tcBorders>
                    <w:tl2br w:val="nil"/>
                    <w:tr2bl w:val="nil"/>
                  </w:tcBorders>
                  <w:noWrap w:val="0"/>
                  <w:vAlign w:val="center"/>
                </w:tcPr>
                <w:p w14:paraId="5DFCAE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r w14:paraId="3D554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77" w:type="dxa"/>
                  <w:tcBorders>
                    <w:tl2br w:val="nil"/>
                    <w:tr2bl w:val="nil"/>
                  </w:tcBorders>
                  <w:noWrap w:val="0"/>
                  <w:vAlign w:val="center"/>
                </w:tcPr>
                <w:p w14:paraId="136C57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p>
              </w:tc>
              <w:tc>
                <w:tcPr>
                  <w:tcW w:w="3742" w:type="dxa"/>
                  <w:tcBorders>
                    <w:tl2br w:val="nil"/>
                    <w:tr2bl w:val="nil"/>
                  </w:tcBorders>
                  <w:noWrap w:val="0"/>
                  <w:vAlign w:val="center"/>
                </w:tcPr>
                <w:p w14:paraId="7C42BF6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健全园区环境风险防控体系。加强园区重要环境风险源管控，落实环境风险防控措施和应急响应联动机制，确保区域</w:t>
                  </w:r>
                </w:p>
              </w:tc>
              <w:tc>
                <w:tcPr>
                  <w:tcW w:w="1710" w:type="dxa"/>
                  <w:tcBorders>
                    <w:tl2br w:val="nil"/>
                    <w:tr2bl w:val="nil"/>
                  </w:tcBorders>
                  <w:noWrap w:val="0"/>
                  <w:vAlign w:val="center"/>
                </w:tcPr>
                <w:p w14:paraId="4F94DA8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本项目</w:t>
                  </w:r>
                  <w:r>
                    <w:rPr>
                      <w:rFonts w:hint="default" w:ascii="Times New Roman" w:hAnsi="Times New Roman" w:eastAsia="宋体" w:cs="Times New Roman"/>
                      <w:color w:val="auto"/>
                      <w:highlight w:val="none"/>
                      <w:u w:val="none" w:color="auto"/>
                      <w:lang w:val="en-US" w:eastAsia="zh-CN"/>
                    </w:rPr>
                    <w:t>已</w:t>
                  </w:r>
                  <w:r>
                    <w:rPr>
                      <w:rFonts w:hint="default" w:ascii="Times New Roman" w:hAnsi="Times New Roman" w:eastAsia="宋体" w:cs="Times New Roman"/>
                      <w:color w:val="auto"/>
                      <w:highlight w:val="none"/>
                      <w:u w:val="none" w:color="auto"/>
                    </w:rPr>
                    <w:t>制定完善的环境风险防控措施和应急机制</w:t>
                  </w:r>
                  <w:r>
                    <w:rPr>
                      <w:rFonts w:hint="default" w:ascii="Times New Roman" w:hAnsi="Times New Roman" w:eastAsia="宋体" w:cs="Times New Roman"/>
                      <w:color w:val="auto"/>
                      <w:highlight w:val="none"/>
                      <w:u w:val="none" w:color="auto"/>
                      <w:lang w:eastAsia="zh-CN"/>
                    </w:rPr>
                    <w:t>，</w:t>
                  </w:r>
                  <w:r>
                    <w:rPr>
                      <w:rFonts w:hint="default" w:ascii="Times New Roman" w:hAnsi="Times New Roman" w:eastAsia="宋体" w:cs="Times New Roman"/>
                      <w:color w:val="auto"/>
                      <w:highlight w:val="none"/>
                      <w:u w:val="none" w:color="auto"/>
                      <w:lang w:val="en-US" w:eastAsia="zh-CN"/>
                    </w:rPr>
                    <w:t>于2024年4月编制了《岳阳宝丽纺织品有限公司突发环境事件应急预案》，并于2024年4月22日取得了备案表（备案编号：430623-2024-008-L）</w:t>
                  </w:r>
                  <w:r>
                    <w:rPr>
                      <w:rFonts w:hint="default" w:ascii="Times New Roman" w:hAnsi="Times New Roman" w:eastAsia="宋体" w:cs="Times New Roman"/>
                      <w:color w:val="auto"/>
                      <w:highlight w:val="none"/>
                      <w:u w:val="none" w:color="auto"/>
                    </w:rPr>
                    <w:t>。</w:t>
                  </w:r>
                </w:p>
              </w:tc>
              <w:tc>
                <w:tcPr>
                  <w:tcW w:w="751" w:type="dxa"/>
                  <w:tcBorders>
                    <w:tl2br w:val="nil"/>
                    <w:tr2bl w:val="nil"/>
                  </w:tcBorders>
                  <w:noWrap w:val="0"/>
                  <w:vAlign w:val="center"/>
                </w:tcPr>
                <w:p w14:paraId="7ACCF2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lang w:val="en-US" w:eastAsia="zh-CN"/>
                    </w:rPr>
                    <w:t>符合</w:t>
                  </w:r>
                </w:p>
              </w:tc>
            </w:tr>
            <w:tr w14:paraId="482EE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77" w:type="dxa"/>
                  <w:tcBorders>
                    <w:tl2br w:val="nil"/>
                    <w:tr2bl w:val="nil"/>
                  </w:tcBorders>
                  <w:noWrap w:val="0"/>
                  <w:vAlign w:val="center"/>
                </w:tcPr>
                <w:p w14:paraId="1A2424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p>
              </w:tc>
              <w:tc>
                <w:tcPr>
                  <w:tcW w:w="3742" w:type="dxa"/>
                  <w:tcBorders>
                    <w:tl2br w:val="nil"/>
                    <w:tr2bl w:val="nil"/>
                  </w:tcBorders>
                  <w:noWrap w:val="0"/>
                  <w:vAlign w:val="center"/>
                </w:tcPr>
                <w:p w14:paraId="3F3C2B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加强对环境敏感点的保护。严格做好控规，杜绝在规划的工业用地上新增环境敏感目标，防止发生居民再次安置和次生环境问题，对于具体项目环评设置防护距离和拆迁要求的，要确保予以落实。</w:t>
                  </w:r>
                </w:p>
              </w:tc>
              <w:tc>
                <w:tcPr>
                  <w:tcW w:w="1710" w:type="dxa"/>
                  <w:tcBorders>
                    <w:tl2br w:val="nil"/>
                    <w:tr2bl w:val="nil"/>
                  </w:tcBorders>
                  <w:noWrap w:val="0"/>
                  <w:vAlign w:val="center"/>
                </w:tcPr>
                <w:p w14:paraId="3D6528E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本项目不新增环境敏感目标</w:t>
                  </w:r>
                </w:p>
              </w:tc>
              <w:tc>
                <w:tcPr>
                  <w:tcW w:w="751" w:type="dxa"/>
                  <w:tcBorders>
                    <w:tl2br w:val="nil"/>
                    <w:tr2bl w:val="nil"/>
                  </w:tcBorders>
                  <w:noWrap w:val="0"/>
                  <w:vAlign w:val="center"/>
                </w:tcPr>
                <w:p w14:paraId="43D19E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r w14:paraId="39819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77" w:type="dxa"/>
                  <w:tcBorders>
                    <w:tl2br w:val="nil"/>
                    <w:tr2bl w:val="nil"/>
                  </w:tcBorders>
                  <w:noWrap w:val="0"/>
                  <w:vAlign w:val="center"/>
                </w:tcPr>
                <w:p w14:paraId="37F739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lang w:val="en-US" w:eastAsia="zh-CN"/>
                    </w:rPr>
                  </w:pPr>
                </w:p>
              </w:tc>
              <w:tc>
                <w:tcPr>
                  <w:tcW w:w="3742" w:type="dxa"/>
                  <w:tcBorders>
                    <w:tl2br w:val="nil"/>
                    <w:tr2bl w:val="nil"/>
                  </w:tcBorders>
                  <w:noWrap w:val="0"/>
                  <w:vAlign w:val="center"/>
                </w:tcPr>
                <w:p w14:paraId="3398A5A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做好园区后续开发过程中生态环境保护。园区开发过程中对土石方开挖、堆存及回填要实施围挡、护坡等措施，裸露地及时恢复植被，防止开发建设中的扬尘污染和水土流失。</w:t>
                  </w:r>
                </w:p>
              </w:tc>
              <w:tc>
                <w:tcPr>
                  <w:tcW w:w="1710" w:type="dxa"/>
                  <w:tcBorders>
                    <w:tl2br w:val="nil"/>
                    <w:tr2bl w:val="nil"/>
                  </w:tcBorders>
                  <w:noWrap w:val="0"/>
                  <w:vAlign w:val="center"/>
                </w:tcPr>
                <w:p w14:paraId="26FB1C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本项目项目利用现有</w:t>
                  </w:r>
                  <w:r>
                    <w:rPr>
                      <w:rFonts w:hint="default" w:ascii="Times New Roman" w:hAnsi="Times New Roman" w:eastAsia="宋体" w:cs="Times New Roman"/>
                      <w:color w:val="auto"/>
                      <w:u w:val="none" w:color="auto"/>
                      <w:lang w:val="en-US" w:eastAsia="zh-CN"/>
                    </w:rPr>
                    <w:t>空地</w:t>
                  </w:r>
                  <w:r>
                    <w:rPr>
                      <w:rFonts w:hint="default" w:ascii="Times New Roman" w:hAnsi="Times New Roman" w:eastAsia="宋体" w:cs="Times New Roman"/>
                      <w:color w:val="auto"/>
                      <w:u w:val="none" w:color="auto"/>
                    </w:rPr>
                    <w:t>进行</w:t>
                  </w:r>
                  <w:r>
                    <w:rPr>
                      <w:rFonts w:hint="default" w:ascii="Times New Roman" w:hAnsi="Times New Roman" w:eastAsia="宋体" w:cs="Times New Roman"/>
                      <w:color w:val="auto"/>
                      <w:u w:val="none" w:color="auto"/>
                      <w:lang w:val="en-US" w:eastAsia="zh-CN"/>
                    </w:rPr>
                    <w:t>锅炉</w:t>
                  </w:r>
                  <w:r>
                    <w:rPr>
                      <w:rFonts w:hint="default" w:ascii="Times New Roman" w:hAnsi="Times New Roman" w:eastAsia="宋体" w:cs="Times New Roman"/>
                      <w:color w:val="auto"/>
                      <w:u w:val="none" w:color="auto"/>
                    </w:rPr>
                    <w:t>建设，</w:t>
                  </w:r>
                  <w:r>
                    <w:rPr>
                      <w:rFonts w:hint="default" w:ascii="Times New Roman" w:hAnsi="Times New Roman" w:eastAsia="宋体" w:cs="Times New Roman"/>
                      <w:color w:val="auto"/>
                      <w:u w:val="none" w:color="auto"/>
                      <w:lang w:val="en-US" w:eastAsia="zh-CN"/>
                    </w:rPr>
                    <w:t>仅涉及土地硬化，</w:t>
                  </w:r>
                  <w:r>
                    <w:rPr>
                      <w:rFonts w:hint="default" w:ascii="Times New Roman" w:hAnsi="Times New Roman" w:eastAsia="宋体" w:cs="Times New Roman"/>
                      <w:color w:val="auto"/>
                      <w:u w:val="none" w:color="auto"/>
                    </w:rPr>
                    <w:t>不涉及土石方开挖</w:t>
                  </w:r>
                </w:p>
              </w:tc>
              <w:tc>
                <w:tcPr>
                  <w:tcW w:w="751" w:type="dxa"/>
                  <w:tcBorders>
                    <w:tl2br w:val="nil"/>
                    <w:tr2bl w:val="nil"/>
                  </w:tcBorders>
                  <w:noWrap w:val="0"/>
                  <w:vAlign w:val="center"/>
                </w:tcPr>
                <w:p w14:paraId="3223E3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bl>
          <w:p w14:paraId="48E80B1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b w:val="0"/>
                <w:bCs w:val="0"/>
                <w:i w:val="0"/>
                <w:iCs w:val="0"/>
                <w:color w:val="auto"/>
                <w:kern w:val="0"/>
                <w:sz w:val="24"/>
                <w:szCs w:val="24"/>
                <w:u w:val="none" w:color="auto"/>
              </w:rPr>
            </w:pPr>
            <w:r>
              <w:rPr>
                <w:rFonts w:hint="default" w:ascii="Times New Roman" w:hAnsi="Times New Roman" w:eastAsia="宋体" w:cs="Times New Roman"/>
                <w:b w:val="0"/>
                <w:bCs w:val="0"/>
                <w:i w:val="0"/>
                <w:iCs w:val="0"/>
                <w:color w:val="auto"/>
                <w:kern w:val="0"/>
                <w:sz w:val="24"/>
                <w:szCs w:val="24"/>
                <w:u w:val="none" w:color="auto"/>
              </w:rPr>
              <w:t>综上，本项目与《华容高新技术产业开发区环境影响跟踪评价报 告》及其审查意见要求相符。</w:t>
            </w:r>
          </w:p>
          <w:p w14:paraId="398E7EC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b w:val="0"/>
                <w:bCs w:val="0"/>
                <w:i w:val="0"/>
                <w:iCs w:val="0"/>
                <w:color w:val="auto"/>
                <w:kern w:val="0"/>
                <w:sz w:val="24"/>
                <w:szCs w:val="24"/>
                <w:u w:val="none" w:color="auto"/>
              </w:rPr>
            </w:pPr>
            <w:r>
              <w:rPr>
                <w:rFonts w:hint="default" w:ascii="Times New Roman" w:hAnsi="Times New Roman" w:eastAsia="宋体" w:cs="Times New Roman"/>
                <w:b w:val="0"/>
                <w:bCs w:val="0"/>
                <w:i w:val="0"/>
                <w:iCs w:val="0"/>
                <w:color w:val="auto"/>
                <w:kern w:val="0"/>
                <w:sz w:val="24"/>
                <w:szCs w:val="24"/>
                <w:u w:val="none" w:color="auto"/>
              </w:rPr>
              <w:t>华容高新技术产业开发区（以下简称“园区”）前身为华容工业集中区，于2012年11月由湖南省人民政府批准设立为省级工业集中区。2014年6月原湖南省环保厅对园区规划环评予以批复（湘环评函 [2014]58号）。本项目与《华容高新技术产业开发区环境影响跟踪评价报告》中的准入负面清单符合性分析见下表。</w:t>
            </w:r>
          </w:p>
          <w:p w14:paraId="427623E7">
            <w:pPr>
              <w:autoSpaceDE w:val="0"/>
              <w:autoSpaceDN w:val="0"/>
              <w:adjustRightInd w:val="0"/>
              <w:snapToGrid w:val="0"/>
              <w:jc w:val="center"/>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rPr>
              <w:t>表1-</w:t>
            </w:r>
            <w:r>
              <w:rPr>
                <w:rFonts w:hint="eastAsia" w:ascii="Times New Roman" w:hAnsi="Times New Roman" w:eastAsia="宋体" w:cs="Times New Roman"/>
                <w:b/>
                <w:bCs/>
                <w:color w:val="auto"/>
                <w:kern w:val="0"/>
                <w:sz w:val="22"/>
                <w:szCs w:val="22"/>
                <w:u w:val="none" w:color="auto"/>
                <w:lang w:val="en-US" w:eastAsia="zh-CN"/>
              </w:rPr>
              <w:t>3</w:t>
            </w:r>
            <w:r>
              <w:rPr>
                <w:rFonts w:hint="default" w:ascii="Times New Roman" w:hAnsi="Times New Roman" w:eastAsia="宋体" w:cs="Times New Roman"/>
                <w:b/>
                <w:bCs/>
                <w:color w:val="auto"/>
                <w:kern w:val="0"/>
                <w:sz w:val="22"/>
                <w:szCs w:val="22"/>
                <w:u w:val="none" w:color="auto"/>
              </w:rPr>
              <w:t>项目与《华容高新技术产业开发区环境影响跟踪评价报告书》准入负面清单的符合性分析</w:t>
            </w:r>
          </w:p>
          <w:tbl>
            <w:tblPr>
              <w:tblStyle w:val="27"/>
              <w:tblW w:w="681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690"/>
              <w:gridCol w:w="2565"/>
              <w:gridCol w:w="2250"/>
              <w:gridCol w:w="750"/>
            </w:tblGrid>
            <w:tr w14:paraId="1249F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tcBorders>
                    <w:tl2br w:val="nil"/>
                    <w:tr2bl w:val="nil"/>
                  </w:tcBorders>
                </w:tcPr>
                <w:p w14:paraId="651F54D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产业名称</w:t>
                  </w:r>
                </w:p>
              </w:tc>
              <w:tc>
                <w:tcPr>
                  <w:tcW w:w="690" w:type="dxa"/>
                  <w:tcBorders>
                    <w:tl2br w:val="nil"/>
                    <w:tr2bl w:val="nil"/>
                  </w:tcBorders>
                </w:tcPr>
                <w:p w14:paraId="395B15F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类别</w:t>
                  </w:r>
                </w:p>
              </w:tc>
              <w:tc>
                <w:tcPr>
                  <w:tcW w:w="2565" w:type="dxa"/>
                  <w:tcBorders>
                    <w:tl2br w:val="nil"/>
                    <w:tr2bl w:val="nil"/>
                  </w:tcBorders>
                </w:tcPr>
                <w:p w14:paraId="7E4A7B0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产业/项目名称及管控要求</w:t>
                  </w:r>
                </w:p>
              </w:tc>
              <w:tc>
                <w:tcPr>
                  <w:tcW w:w="2250" w:type="dxa"/>
                  <w:tcBorders>
                    <w:tl2br w:val="nil"/>
                    <w:tr2bl w:val="nil"/>
                  </w:tcBorders>
                </w:tcPr>
                <w:p w14:paraId="55F8BC7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本项目情况</w:t>
                  </w:r>
                </w:p>
              </w:tc>
              <w:tc>
                <w:tcPr>
                  <w:tcW w:w="750" w:type="dxa"/>
                  <w:tcBorders>
                    <w:tl2br w:val="nil"/>
                    <w:tr2bl w:val="nil"/>
                  </w:tcBorders>
                </w:tcPr>
                <w:p w14:paraId="79342DC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符合性分析</w:t>
                  </w:r>
                </w:p>
              </w:tc>
            </w:tr>
            <w:tr w14:paraId="14E93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9" w:type="dxa"/>
                  <w:gridSpan w:val="2"/>
                  <w:tcBorders>
                    <w:tl2br w:val="nil"/>
                    <w:tr2bl w:val="nil"/>
                  </w:tcBorders>
                </w:tcPr>
                <w:p w14:paraId="229FB45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总体要求</w:t>
                  </w:r>
                </w:p>
              </w:tc>
              <w:tc>
                <w:tcPr>
                  <w:tcW w:w="2565" w:type="dxa"/>
                  <w:tcBorders>
                    <w:tl2br w:val="nil"/>
                    <w:tr2bl w:val="nil"/>
                  </w:tcBorders>
                </w:tcPr>
                <w:p w14:paraId="1BB1CF6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①不属于《产业结构调整指导目录》(2019年本)限制类、淘汰类:《外商投资产业指导目录(2017年修订)》限制类和禁止类项目。②满足各行业准入条件。③满足产业定位与高新区用地规划要求。④不涉及对人体健康、生态环境有严重危害的物质。⑤符合原华容工业集中区生态环境准要求。⑥符合华容高新技术产业开发区的产业定位要求。</w:t>
                  </w:r>
                </w:p>
              </w:tc>
              <w:tc>
                <w:tcPr>
                  <w:tcW w:w="2250" w:type="dxa"/>
                  <w:tcBorders>
                    <w:tl2br w:val="nil"/>
                    <w:tr2bl w:val="nil"/>
                  </w:tcBorders>
                </w:tcPr>
                <w:p w14:paraId="3964810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①本项目不属于《产业结构调整指导目录》(2019年本)限制类、淘汰类:《外商投资产业指导目录(2017年修订)》限制类和禁止类项目。</w:t>
                  </w:r>
                </w:p>
                <w:p w14:paraId="544B1D7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②本项目满足各行业准入条件。</w:t>
                  </w:r>
                </w:p>
                <w:p w14:paraId="180FDA9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③本项目满足产业定位与高新区用地规划要求。</w:t>
                  </w:r>
                </w:p>
                <w:p w14:paraId="7FCC298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④本项目不涉及对人体健康、生态环境有严重危害的物质。</w:t>
                  </w:r>
                </w:p>
                <w:p w14:paraId="5839EEF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⑤本项目符合原华容工业集中区生态环境准要求。</w:t>
                  </w:r>
                </w:p>
                <w:p w14:paraId="06F22DE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⑥本项目符合华容高新技术产业开发区的产业定位要求。</w:t>
                  </w:r>
                </w:p>
              </w:tc>
              <w:tc>
                <w:tcPr>
                  <w:tcW w:w="750" w:type="dxa"/>
                  <w:tcBorders>
                    <w:tl2br w:val="nil"/>
                    <w:tr2bl w:val="nil"/>
                  </w:tcBorders>
                </w:tcPr>
                <w:p w14:paraId="12ED9B5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55822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49" w:type="dxa"/>
                  <w:gridSpan w:val="2"/>
                  <w:tcBorders>
                    <w:tl2br w:val="nil"/>
                    <w:tr2bl w:val="nil"/>
                  </w:tcBorders>
                </w:tcPr>
                <w:p w14:paraId="7C551DC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华容高新技术产业开发区</w:t>
                  </w:r>
                </w:p>
              </w:tc>
              <w:tc>
                <w:tcPr>
                  <w:tcW w:w="2565" w:type="dxa"/>
                  <w:tcBorders>
                    <w:tl2br w:val="nil"/>
                    <w:tr2bl w:val="nil"/>
                  </w:tcBorders>
                </w:tcPr>
                <w:p w14:paraId="12490D7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建议调整后的产业定位:以纺织服装、食品加工、医药制造和通用设备制造为主导产业</w:t>
                  </w:r>
                  <w:r>
                    <w:rPr>
                      <w:rFonts w:hint="eastAsia" w:cs="Times New Roman"/>
                      <w:color w:val="auto"/>
                      <w:u w:val="none" w:color="auto"/>
                      <w:lang w:eastAsia="zh-CN"/>
                    </w:rPr>
                    <w:t>，</w:t>
                  </w:r>
                  <w:r>
                    <w:rPr>
                      <w:rFonts w:hint="default" w:ascii="Times New Roman" w:hAnsi="Times New Roman" w:eastAsia="宋体" w:cs="Times New Roman"/>
                      <w:color w:val="auto"/>
                      <w:u w:val="none" w:color="auto"/>
                    </w:rPr>
                    <w:t>辅以发展能源和新材料、电子产业</w:t>
                  </w:r>
                </w:p>
              </w:tc>
              <w:tc>
                <w:tcPr>
                  <w:tcW w:w="2250" w:type="dxa"/>
                  <w:tcBorders>
                    <w:tl2br w:val="nil"/>
                    <w:tr2bl w:val="nil"/>
                  </w:tcBorders>
                </w:tcPr>
                <w:p w14:paraId="3A76F12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本项目属于热力生产和供应</w:t>
                  </w:r>
                  <w:r>
                    <w:rPr>
                      <w:rFonts w:hint="default" w:ascii="Times New Roman" w:hAnsi="Times New Roman" w:eastAsia="宋体" w:cs="Times New Roman"/>
                      <w:color w:val="auto"/>
                      <w:u w:val="none" w:color="auto"/>
                      <w:lang w:val="en-US" w:eastAsia="zh-CN"/>
                    </w:rPr>
                    <w:t>行业</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u w:val="none" w:color="auto"/>
                      <w:lang w:val="en-US" w:eastAsia="zh-CN"/>
                    </w:rPr>
                    <w:t>采用</w:t>
                  </w:r>
                  <w:r>
                    <w:rPr>
                      <w:rFonts w:hint="eastAsia" w:cs="Times New Roman"/>
                      <w:color w:val="auto"/>
                      <w:u w:val="none" w:color="auto"/>
                      <w:lang w:val="en-US" w:eastAsia="zh-CN"/>
                    </w:rPr>
                    <w:t>15t/h</w:t>
                  </w:r>
                  <w:r>
                    <w:rPr>
                      <w:rFonts w:hint="default" w:ascii="Times New Roman" w:hAnsi="Times New Roman" w:eastAsia="宋体" w:cs="Times New Roman"/>
                      <w:color w:val="auto"/>
                      <w:u w:val="none" w:color="auto"/>
                      <w:lang w:val="en-US" w:eastAsia="zh-CN"/>
                    </w:rPr>
                    <w:t>生物质锅炉给现有工程</w:t>
                  </w:r>
                  <w:r>
                    <w:rPr>
                      <w:rFonts w:hint="default" w:ascii="Times New Roman" w:hAnsi="Times New Roman" w:eastAsia="宋体" w:cs="Times New Roman"/>
                      <w:color w:val="auto"/>
                      <w:u w:val="none" w:color="auto"/>
                    </w:rPr>
                    <w:t>蒸汽供给</w:t>
                  </w:r>
                  <w:r>
                    <w:rPr>
                      <w:rFonts w:hint="eastAsia" w:cs="Times New Roman"/>
                      <w:color w:val="auto"/>
                      <w:u w:val="none" w:color="auto"/>
                      <w:lang w:val="en-US" w:eastAsia="zh-CN"/>
                    </w:rPr>
                    <w:t>以及采用4t/h</w:t>
                  </w:r>
                  <w:r>
                    <w:rPr>
                      <w:rFonts w:hint="default" w:ascii="Times New Roman" w:hAnsi="Times New Roman" w:eastAsia="宋体" w:cs="Times New Roman"/>
                      <w:color w:val="auto"/>
                      <w:u w:val="none" w:color="auto"/>
                      <w:lang w:val="en-US" w:eastAsia="zh-CN"/>
                    </w:rPr>
                    <w:t>生物质</w:t>
                  </w:r>
                  <w:r>
                    <w:rPr>
                      <w:rFonts w:hint="eastAsia" w:cs="Times New Roman"/>
                      <w:color w:val="auto"/>
                      <w:u w:val="none" w:color="auto"/>
                      <w:lang w:val="en-US" w:eastAsia="zh-CN"/>
                    </w:rPr>
                    <w:t>导热油炉</w:t>
                  </w:r>
                  <w:r>
                    <w:rPr>
                      <w:rFonts w:hint="default" w:ascii="Times New Roman" w:hAnsi="Times New Roman" w:eastAsia="宋体" w:cs="Times New Roman"/>
                      <w:color w:val="auto"/>
                      <w:u w:val="none" w:color="auto"/>
                      <w:lang w:val="en-US" w:eastAsia="zh-CN"/>
                    </w:rPr>
                    <w:t>给现有工程</w:t>
                  </w:r>
                  <w:r>
                    <w:rPr>
                      <w:rFonts w:hint="eastAsia" w:cs="Times New Roman"/>
                      <w:color w:val="auto"/>
                      <w:u w:val="none" w:color="auto"/>
                      <w:lang w:val="en-US" w:eastAsia="zh-CN"/>
                    </w:rPr>
                    <w:t>半成品进行烘干</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u w:val="none" w:color="auto"/>
                      <w:lang w:val="en-US" w:eastAsia="zh-CN"/>
                    </w:rPr>
                    <w:t>为现有工程配套设施</w:t>
                  </w:r>
                </w:p>
              </w:tc>
              <w:tc>
                <w:tcPr>
                  <w:tcW w:w="750" w:type="dxa"/>
                  <w:tcBorders>
                    <w:tl2br w:val="nil"/>
                    <w:tr2bl w:val="nil"/>
                  </w:tcBorders>
                </w:tcPr>
                <w:p w14:paraId="09AD4E4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符合</w:t>
                  </w:r>
                </w:p>
              </w:tc>
            </w:tr>
            <w:tr w14:paraId="1EE7E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restart"/>
                  <w:tcBorders>
                    <w:tl2br w:val="nil"/>
                    <w:tr2bl w:val="nil"/>
                  </w:tcBorders>
                </w:tcPr>
                <w:p w14:paraId="589529F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纺</w:t>
                  </w:r>
                  <w:r>
                    <w:rPr>
                      <w:rFonts w:hint="default" w:ascii="Times New Roman" w:hAnsi="Times New Roman" w:eastAsia="宋体" w:cs="Times New Roman"/>
                      <w:color w:val="auto"/>
                      <w:u w:val="none" w:color="auto"/>
                      <w:lang w:val="en-US" w:eastAsia="zh-CN"/>
                    </w:rPr>
                    <w:t>纺</w:t>
                  </w:r>
                  <w:r>
                    <w:rPr>
                      <w:rFonts w:hint="default" w:ascii="Times New Roman" w:hAnsi="Times New Roman" w:eastAsia="宋体" w:cs="Times New Roman"/>
                      <w:color w:val="auto"/>
                      <w:u w:val="none" w:color="auto"/>
                    </w:rPr>
                    <w:t>织 服装</w:t>
                  </w:r>
                </w:p>
              </w:tc>
              <w:tc>
                <w:tcPr>
                  <w:tcW w:w="690" w:type="dxa"/>
                  <w:vMerge w:val="restart"/>
                  <w:tcBorders>
                    <w:tl2br w:val="nil"/>
                    <w:tr2bl w:val="nil"/>
                  </w:tcBorders>
                </w:tcPr>
                <w:p w14:paraId="5A24F76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 类</w:t>
                  </w:r>
                </w:p>
              </w:tc>
              <w:tc>
                <w:tcPr>
                  <w:tcW w:w="2565" w:type="dxa"/>
                  <w:tcBorders>
                    <w:tl2br w:val="nil"/>
                    <w:tr2bl w:val="nil"/>
                  </w:tcBorders>
                </w:tcPr>
                <w:p w14:paraId="059032C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单线产能小于20万吨/年的 常规聚酯（PET）连续聚合 生产装置</w:t>
                  </w:r>
                </w:p>
              </w:tc>
              <w:tc>
                <w:tcPr>
                  <w:tcW w:w="2250" w:type="dxa"/>
                  <w:vMerge w:val="restart"/>
                  <w:tcBorders>
                    <w:tl2br w:val="nil"/>
                    <w:tr2bl w:val="nil"/>
                  </w:tcBorders>
                </w:tcPr>
                <w:p w14:paraId="3D0DA24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本项目为热力生产和供应</w:t>
                  </w:r>
                  <w:r>
                    <w:rPr>
                      <w:rFonts w:hint="default" w:ascii="Times New Roman" w:hAnsi="Times New Roman" w:eastAsia="宋体" w:cs="Times New Roman"/>
                      <w:color w:val="auto"/>
                      <w:u w:val="none" w:color="auto"/>
                      <w:lang w:val="en-US" w:eastAsia="zh-CN"/>
                    </w:rPr>
                    <w:t>行业</w:t>
                  </w:r>
                  <w:r>
                    <w:rPr>
                      <w:rFonts w:hint="default" w:ascii="Times New Roman" w:hAnsi="Times New Roman" w:eastAsia="宋体" w:cs="Times New Roman"/>
                      <w:color w:val="auto"/>
                      <w:u w:val="none" w:color="auto"/>
                    </w:rPr>
                    <w:t>， 不属于左述行业</w:t>
                  </w:r>
                </w:p>
              </w:tc>
              <w:tc>
                <w:tcPr>
                  <w:tcW w:w="750" w:type="dxa"/>
                  <w:vMerge w:val="restart"/>
                  <w:tcBorders>
                    <w:tl2br w:val="nil"/>
                    <w:tr2bl w:val="nil"/>
                  </w:tcBorders>
                </w:tcPr>
                <w:p w14:paraId="24EAFC8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符合</w:t>
                  </w:r>
                </w:p>
              </w:tc>
            </w:tr>
            <w:tr w14:paraId="57F81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69CA61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17514F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024660A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常规聚酯的对苯二甲酸二 甲酯（DMT）法生产工艺</w:t>
                  </w:r>
                </w:p>
              </w:tc>
              <w:tc>
                <w:tcPr>
                  <w:tcW w:w="2250" w:type="dxa"/>
                  <w:vMerge w:val="continue"/>
                  <w:tcBorders>
                    <w:tl2br w:val="nil"/>
                    <w:tr2bl w:val="nil"/>
                  </w:tcBorders>
                </w:tcPr>
                <w:p w14:paraId="6CFAB5F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2C7319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0047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191EBEB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F9FE74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64042E7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半连续纺粘胶长丝生产线</w:t>
                  </w:r>
                </w:p>
              </w:tc>
              <w:tc>
                <w:tcPr>
                  <w:tcW w:w="2250" w:type="dxa"/>
                  <w:vMerge w:val="continue"/>
                  <w:tcBorders>
                    <w:tl2br w:val="nil"/>
                    <w:tr2bl w:val="nil"/>
                  </w:tcBorders>
                </w:tcPr>
                <w:p w14:paraId="16C2DA94">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3177612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1DD4B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02B968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610CD35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2A4271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间歇式氨纶聚合生产装置</w:t>
                  </w:r>
                </w:p>
              </w:tc>
              <w:tc>
                <w:tcPr>
                  <w:tcW w:w="2250" w:type="dxa"/>
                  <w:vMerge w:val="continue"/>
                  <w:tcBorders>
                    <w:tl2br w:val="nil"/>
                    <w:tr2bl w:val="nil"/>
                  </w:tcBorders>
                </w:tcPr>
                <w:p w14:paraId="60B7B9B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603004B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7927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0875156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D47A27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6AADC8F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常规化纤长丝用锭轴长 1200毫米及以下的半自动 卷绕设备</w:t>
                  </w:r>
                </w:p>
              </w:tc>
              <w:tc>
                <w:tcPr>
                  <w:tcW w:w="2250" w:type="dxa"/>
                  <w:vMerge w:val="continue"/>
                  <w:tcBorders>
                    <w:tl2br w:val="nil"/>
                    <w:tr2bl w:val="nil"/>
                  </w:tcBorders>
                </w:tcPr>
                <w:p w14:paraId="2FDA3ABA">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7208BFE">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840B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137658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FD9E35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3F992A7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单线产能≤1000吨/年、幅 宽≤2米的常规丙纶纺粘 法非织造布生产线</w:t>
                  </w:r>
                </w:p>
              </w:tc>
              <w:tc>
                <w:tcPr>
                  <w:tcW w:w="2250" w:type="dxa"/>
                  <w:vMerge w:val="continue"/>
                  <w:tcBorders>
                    <w:tl2br w:val="nil"/>
                    <w:tr2bl w:val="nil"/>
                  </w:tcBorders>
                </w:tcPr>
                <w:p w14:paraId="63D255C8">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36689E9E">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CC6C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F0C1AC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7AAF181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1090F54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采用聚乙烯醇浆料（PVA） 上浆工艺及产品（涤棉产 品，纯棉的高支高密产品除 外）</w:t>
                  </w:r>
                </w:p>
              </w:tc>
              <w:tc>
                <w:tcPr>
                  <w:tcW w:w="2250" w:type="dxa"/>
                  <w:vMerge w:val="continue"/>
                  <w:tcBorders>
                    <w:tl2br w:val="nil"/>
                    <w:tr2bl w:val="nil"/>
                  </w:tcBorders>
                </w:tcPr>
                <w:p w14:paraId="6CE3004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6859B369">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216D4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7D61577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restart"/>
                  <w:tcBorders>
                    <w:tl2br w:val="nil"/>
                    <w:tr2bl w:val="nil"/>
                  </w:tcBorders>
                </w:tcPr>
                <w:p w14:paraId="6C2FE3C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 类</w:t>
                  </w:r>
                </w:p>
              </w:tc>
              <w:tc>
                <w:tcPr>
                  <w:tcW w:w="2565" w:type="dxa"/>
                  <w:tcBorders>
                    <w:tl2br w:val="nil"/>
                    <w:tr2bl w:val="nil"/>
                  </w:tcBorders>
                </w:tcPr>
                <w:p w14:paraId="12D4B40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辊长 1000毫米以下的皮辊轧花机，锯片片数在80以下的锯齿轧花机，压力吨位在 400吨以下的皮棉打包机(不含160 吨、200 吨短绒棉花打包机)</w:t>
                  </w:r>
                </w:p>
              </w:tc>
              <w:tc>
                <w:tcPr>
                  <w:tcW w:w="2250" w:type="dxa"/>
                  <w:vMerge w:val="continue"/>
                  <w:tcBorders>
                    <w:tl2br w:val="nil"/>
                    <w:tr2bl w:val="nil"/>
                  </w:tcBorders>
                </w:tcPr>
                <w:p w14:paraId="51C77FAA">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60284AF9">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326C4F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1A27D1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617411F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00AD8B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4万吨/年及以下粘胶常规短纤维生产线</w:t>
                  </w:r>
                </w:p>
              </w:tc>
              <w:tc>
                <w:tcPr>
                  <w:tcW w:w="2250" w:type="dxa"/>
                  <w:vMerge w:val="continue"/>
                  <w:tcBorders>
                    <w:tl2br w:val="nil"/>
                    <w:tr2bl w:val="nil"/>
                  </w:tcBorders>
                </w:tcPr>
                <w:p w14:paraId="0654618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54C469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C093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F599DC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90DD9C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406316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湿法氨纶生产工艺</w:t>
                  </w:r>
                </w:p>
              </w:tc>
              <w:tc>
                <w:tcPr>
                  <w:tcW w:w="2250" w:type="dxa"/>
                  <w:vMerge w:val="continue"/>
                  <w:tcBorders>
                    <w:tl2br w:val="nil"/>
                    <w:tr2bl w:val="nil"/>
                  </w:tcBorders>
                </w:tcPr>
                <w:p w14:paraId="46B3143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323E128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4C3A4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53EC11C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3CEA02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4580B85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二甲基甲酰胺(DMF)溶剂法氨纶及腈纶生产工艺</w:t>
                  </w:r>
                </w:p>
              </w:tc>
              <w:tc>
                <w:tcPr>
                  <w:tcW w:w="2250" w:type="dxa"/>
                  <w:vMerge w:val="continue"/>
                  <w:tcBorders>
                    <w:tl2br w:val="nil"/>
                    <w:tr2bl w:val="nil"/>
                  </w:tcBorders>
                </w:tcPr>
                <w:p w14:paraId="468D35A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3360F124">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AD38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130D5AB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36B44F1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6252404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常规涤纶长丝锭轴长900毫米及以下的半自动卷绕</w:t>
                  </w:r>
                </w:p>
                <w:p w14:paraId="070AB46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设备</w:t>
                  </w:r>
                </w:p>
              </w:tc>
              <w:tc>
                <w:tcPr>
                  <w:tcW w:w="2250" w:type="dxa"/>
                  <w:vMerge w:val="continue"/>
                  <w:tcBorders>
                    <w:tl2br w:val="nil"/>
                    <w:tr2bl w:val="nil"/>
                  </w:tcBorders>
                </w:tcPr>
                <w:p w14:paraId="4E14A4B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2EC5EA8">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4CA72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restart"/>
                  <w:tcBorders>
                    <w:tl2br w:val="nil"/>
                    <w:tr2bl w:val="nil"/>
                  </w:tcBorders>
                </w:tcPr>
                <w:p w14:paraId="4309EF3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建</w:t>
                  </w:r>
                  <w:r>
                    <w:rPr>
                      <w:rFonts w:hint="default" w:ascii="Times New Roman" w:hAnsi="Times New Roman" w:eastAsia="宋体" w:cs="Times New Roman"/>
                      <w:color w:val="auto"/>
                      <w:u w:val="none" w:color="auto"/>
                      <w:lang w:val="en-US" w:eastAsia="zh-CN"/>
                    </w:rPr>
                    <w:t>建</w:t>
                  </w:r>
                  <w:r>
                    <w:rPr>
                      <w:rFonts w:hint="default" w:ascii="Times New Roman" w:hAnsi="Times New Roman" w:eastAsia="宋体" w:cs="Times New Roman"/>
                      <w:color w:val="auto"/>
                      <w:u w:val="none" w:color="auto"/>
                    </w:rPr>
                    <w:t>筑 新材 料</w:t>
                  </w:r>
                </w:p>
              </w:tc>
              <w:tc>
                <w:tcPr>
                  <w:tcW w:w="690" w:type="dxa"/>
                  <w:vMerge w:val="restart"/>
                  <w:tcBorders>
                    <w:tl2br w:val="nil"/>
                    <w:tr2bl w:val="nil"/>
                  </w:tcBorders>
                  <w:vAlign w:val="top"/>
                </w:tcPr>
                <w:p w14:paraId="28787DB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 类</w:t>
                  </w:r>
                </w:p>
              </w:tc>
              <w:tc>
                <w:tcPr>
                  <w:tcW w:w="2565" w:type="dxa"/>
                  <w:tcBorders>
                    <w:tl2br w:val="nil"/>
                    <w:tr2bl w:val="nil"/>
                  </w:tcBorders>
                </w:tcPr>
                <w:p w14:paraId="4238198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限制水泥制造(水泥、石灰和石膏制造)项目</w:t>
                  </w:r>
                </w:p>
              </w:tc>
              <w:tc>
                <w:tcPr>
                  <w:tcW w:w="2250" w:type="dxa"/>
                  <w:vMerge w:val="continue"/>
                  <w:tcBorders>
                    <w:tl2br w:val="nil"/>
                    <w:tr2bl w:val="nil"/>
                  </w:tcBorders>
                </w:tcPr>
                <w:p w14:paraId="3D7F469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1AAD039">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401A8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1EA9E6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vAlign w:val="top"/>
                </w:tcPr>
                <w:p w14:paraId="5398600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3492FB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限制150万平方米/年及以下的建筑陶瓷生产线:限制60万件/年以下的隧道窑卫生陶瓷生产线</w:t>
                  </w:r>
                </w:p>
              </w:tc>
              <w:tc>
                <w:tcPr>
                  <w:tcW w:w="2250" w:type="dxa"/>
                  <w:vMerge w:val="continue"/>
                  <w:tcBorders>
                    <w:tl2br w:val="nil"/>
                    <w:tr2bl w:val="nil"/>
                  </w:tcBorders>
                </w:tcPr>
                <w:p w14:paraId="48B028E8">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DFEE4DE">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1E1F8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32337C2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37A9000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278B68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 3000万平方米/年以下的纸面石膏板生产线:限制15 万平方米/年以下的石膏(空心)砌块生产线</w:t>
                  </w:r>
                </w:p>
              </w:tc>
              <w:tc>
                <w:tcPr>
                  <w:tcW w:w="2250" w:type="dxa"/>
                  <w:vMerge w:val="continue"/>
                  <w:tcBorders>
                    <w:tl2br w:val="nil"/>
                    <w:tr2bl w:val="nil"/>
                  </w:tcBorders>
                </w:tcPr>
                <w:p w14:paraId="627F363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8439D4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F242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8B23BC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CF9D96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FAFB95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限制粘土空心砖生产线3000万标砖/年以下的煤矸石、页岩烧结实心砖生产线</w:t>
                  </w:r>
                </w:p>
              </w:tc>
              <w:tc>
                <w:tcPr>
                  <w:tcW w:w="2250" w:type="dxa"/>
                  <w:vMerge w:val="continue"/>
                  <w:tcBorders>
                    <w:tl2br w:val="nil"/>
                    <w:tr2bl w:val="nil"/>
                  </w:tcBorders>
                </w:tcPr>
                <w:p w14:paraId="3C6F48B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2F0AC26">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2468F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59D090D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2A06EF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B9904D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限制单班 2.5万立方米/年以下的混凝土小型空心砌块以及单班15万平方米/年以下的混凝土铺地砖固定式生产线、5万立方米/年以下的人造轻集料(陶粒)生产线:限制10万立方米/年以下的加气混凝土生产线，100万米/年及以下预应力高强混凝土离心桩生产线</w:t>
                  </w:r>
                </w:p>
              </w:tc>
              <w:tc>
                <w:tcPr>
                  <w:tcW w:w="2250" w:type="dxa"/>
                  <w:vMerge w:val="continue"/>
                  <w:tcBorders>
                    <w:tl2br w:val="nil"/>
                    <w:tr2bl w:val="nil"/>
                  </w:tcBorders>
                </w:tcPr>
                <w:p w14:paraId="1FA55F1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445767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708C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03E52DD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restart"/>
                  <w:tcBorders>
                    <w:tl2br w:val="nil"/>
                    <w:tr2bl w:val="nil"/>
                  </w:tcBorders>
                </w:tcPr>
                <w:p w14:paraId="447C73A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 类</w:t>
                  </w:r>
                </w:p>
              </w:tc>
              <w:tc>
                <w:tcPr>
                  <w:tcW w:w="2565" w:type="dxa"/>
                  <w:tcBorders>
                    <w:tl2br w:val="nil"/>
                    <w:tr2bl w:val="nil"/>
                  </w:tcBorders>
                </w:tcPr>
                <w:p w14:paraId="7FD79D8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禁止直径3米以下水泥粉</w:t>
                  </w:r>
                </w:p>
                <w:p w14:paraId="2671CCA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磨设备</w:t>
                  </w:r>
                </w:p>
              </w:tc>
              <w:tc>
                <w:tcPr>
                  <w:tcW w:w="2250" w:type="dxa"/>
                  <w:vMerge w:val="continue"/>
                  <w:tcBorders>
                    <w:tl2br w:val="nil"/>
                    <w:tr2bl w:val="nil"/>
                  </w:tcBorders>
                </w:tcPr>
                <w:p w14:paraId="16E2C4C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FAA3BA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0EE6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CBD7ED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6B17FA6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4A6006E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禁止无复膜塑编水泥包装</w:t>
                  </w:r>
                </w:p>
                <w:p w14:paraId="5BDB234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袋生产线</w:t>
                  </w:r>
                </w:p>
              </w:tc>
              <w:tc>
                <w:tcPr>
                  <w:tcW w:w="2250" w:type="dxa"/>
                  <w:vMerge w:val="continue"/>
                  <w:tcBorders>
                    <w:tl2br w:val="nil"/>
                    <w:tr2bl w:val="nil"/>
                  </w:tcBorders>
                </w:tcPr>
                <w:p w14:paraId="46FB16AF">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090E7C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17E87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854C24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C79836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31331B6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禁止1000万平方米/年以下的纸面石膏板生产线</w:t>
                  </w:r>
                </w:p>
              </w:tc>
              <w:tc>
                <w:tcPr>
                  <w:tcW w:w="2250" w:type="dxa"/>
                  <w:vMerge w:val="continue"/>
                  <w:tcBorders>
                    <w:tl2br w:val="nil"/>
                    <w:tr2bl w:val="nil"/>
                  </w:tcBorders>
                </w:tcPr>
                <w:p w14:paraId="602EBABF">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0602968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883F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restart"/>
                  <w:tcBorders>
                    <w:tl2br w:val="nil"/>
                    <w:tr2bl w:val="nil"/>
                  </w:tcBorders>
                </w:tcPr>
                <w:p w14:paraId="7422C95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通用设备制造</w:t>
                  </w:r>
                </w:p>
              </w:tc>
              <w:tc>
                <w:tcPr>
                  <w:tcW w:w="690" w:type="dxa"/>
                  <w:vMerge w:val="restart"/>
                  <w:tcBorders>
                    <w:tl2br w:val="nil"/>
                    <w:tr2bl w:val="nil"/>
                  </w:tcBorders>
                </w:tcPr>
                <w:p w14:paraId="535EDE5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限制类</w:t>
                  </w:r>
                </w:p>
              </w:tc>
              <w:tc>
                <w:tcPr>
                  <w:tcW w:w="2565" w:type="dxa"/>
                  <w:tcBorders>
                    <w:tl2br w:val="nil"/>
                    <w:tr2bl w:val="nil"/>
                  </w:tcBorders>
                </w:tcPr>
                <w:p w14:paraId="1F1A7C7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废水、废气、固体废物产生量和排放量较大的装备制</w:t>
                  </w:r>
                </w:p>
                <w:p w14:paraId="4E6B1D6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造项目。</w:t>
                  </w:r>
                </w:p>
              </w:tc>
              <w:tc>
                <w:tcPr>
                  <w:tcW w:w="2250" w:type="dxa"/>
                  <w:vMerge w:val="continue"/>
                  <w:tcBorders>
                    <w:tl2br w:val="nil"/>
                    <w:tr2bl w:val="nil"/>
                  </w:tcBorders>
                </w:tcPr>
                <w:p w14:paraId="631C36B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50989BA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7963E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5C1DD87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p>
              </w:tc>
              <w:tc>
                <w:tcPr>
                  <w:tcW w:w="690" w:type="dxa"/>
                  <w:vMerge w:val="continue"/>
                  <w:tcBorders>
                    <w:tl2br w:val="nil"/>
                    <w:tr2bl w:val="nil"/>
                  </w:tcBorders>
                </w:tcPr>
                <w:p w14:paraId="5A3A423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3A6773A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铸造件生产项目及生产规模不符合产业政策的装备制造项目</w:t>
                  </w:r>
                </w:p>
              </w:tc>
              <w:tc>
                <w:tcPr>
                  <w:tcW w:w="2250" w:type="dxa"/>
                  <w:vMerge w:val="continue"/>
                  <w:tcBorders>
                    <w:tl2br w:val="nil"/>
                    <w:tr2bl w:val="nil"/>
                  </w:tcBorders>
                </w:tcPr>
                <w:p w14:paraId="2DE7A8F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BC2516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171B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0DFF469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110A87A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211E418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限制发展矿用搅拌、浓缩、过滤设备制造项目</w:t>
                  </w:r>
                </w:p>
              </w:tc>
              <w:tc>
                <w:tcPr>
                  <w:tcW w:w="2250" w:type="dxa"/>
                  <w:vMerge w:val="continue"/>
                  <w:tcBorders>
                    <w:tl2br w:val="nil"/>
                    <w:tr2bl w:val="nil"/>
                  </w:tcBorders>
                </w:tcPr>
                <w:p w14:paraId="2F9914B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E8E27D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08DF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16BC931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299CB8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2431145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限制普通剪板机、折弯机、弯管机、普通高速钢钻机、锨刀等制造项目。</w:t>
                  </w:r>
                </w:p>
              </w:tc>
              <w:tc>
                <w:tcPr>
                  <w:tcW w:w="2250" w:type="dxa"/>
                  <w:vMerge w:val="continue"/>
                  <w:tcBorders>
                    <w:tl2br w:val="nil"/>
                    <w:tr2bl w:val="nil"/>
                  </w:tcBorders>
                </w:tcPr>
                <w:p w14:paraId="57CA74B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04F73BB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4137B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5E52EF1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restart"/>
                  <w:tcBorders>
                    <w:tl2br w:val="nil"/>
                    <w:tr2bl w:val="nil"/>
                  </w:tcBorders>
                </w:tcPr>
                <w:p w14:paraId="1158446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禁止类</w:t>
                  </w:r>
                </w:p>
              </w:tc>
              <w:tc>
                <w:tcPr>
                  <w:tcW w:w="2565" w:type="dxa"/>
                  <w:tcBorders>
                    <w:tl2br w:val="nil"/>
                    <w:tr2bl w:val="nil"/>
                  </w:tcBorders>
                </w:tcPr>
                <w:p w14:paraId="53AF126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不符合产业政策的专业热</w:t>
                  </w:r>
                </w:p>
                <w:p w14:paraId="52CA619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处理项目</w:t>
                  </w:r>
                </w:p>
              </w:tc>
              <w:tc>
                <w:tcPr>
                  <w:tcW w:w="2250" w:type="dxa"/>
                  <w:vMerge w:val="continue"/>
                  <w:tcBorders>
                    <w:tl2br w:val="nil"/>
                    <w:tr2bl w:val="nil"/>
                  </w:tcBorders>
                </w:tcPr>
                <w:p w14:paraId="0D9D322B">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B8AA0E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DE34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79D8EA6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24D1220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36773F0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电镀生产线及耗水量大的大型机械设备项目</w:t>
                  </w:r>
                </w:p>
              </w:tc>
              <w:tc>
                <w:tcPr>
                  <w:tcW w:w="2250" w:type="dxa"/>
                  <w:vMerge w:val="continue"/>
                  <w:tcBorders>
                    <w:tl2br w:val="nil"/>
                    <w:tr2bl w:val="nil"/>
                  </w:tcBorders>
                </w:tcPr>
                <w:p w14:paraId="5B5F83A4">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FB3234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29E49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restart"/>
                  <w:tcBorders>
                    <w:tl2br w:val="nil"/>
                    <w:tr2bl w:val="nil"/>
                  </w:tcBorders>
                </w:tcPr>
                <w:p w14:paraId="33F90E6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食品加工</w:t>
                  </w:r>
                </w:p>
              </w:tc>
              <w:tc>
                <w:tcPr>
                  <w:tcW w:w="690" w:type="dxa"/>
                  <w:vMerge w:val="restart"/>
                  <w:tcBorders>
                    <w:tl2br w:val="nil"/>
                    <w:tr2bl w:val="nil"/>
                  </w:tcBorders>
                </w:tcPr>
                <w:p w14:paraId="76A0F8A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限制类</w:t>
                  </w:r>
                </w:p>
              </w:tc>
              <w:tc>
                <w:tcPr>
                  <w:tcW w:w="2565" w:type="dxa"/>
                  <w:tcBorders>
                    <w:tl2br w:val="nil"/>
                    <w:tr2bl w:val="nil"/>
                  </w:tcBorders>
                </w:tcPr>
                <w:p w14:paraId="66343F6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限制肉制品及副产品加工(屠宰及肉类加工):3000吨/年及以下的西式肉制品加工项目</w:t>
                  </w:r>
                </w:p>
              </w:tc>
              <w:tc>
                <w:tcPr>
                  <w:tcW w:w="2250" w:type="dxa"/>
                  <w:vMerge w:val="continue"/>
                  <w:tcBorders>
                    <w:tl2br w:val="nil"/>
                    <w:tr2bl w:val="nil"/>
                  </w:tcBorders>
                </w:tcPr>
                <w:p w14:paraId="2FEB1F0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0B51D00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7F87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71B01E7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7779E7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31DA203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限制白酒制造(酒的制造)酒精生产线</w:t>
                  </w:r>
                </w:p>
              </w:tc>
              <w:tc>
                <w:tcPr>
                  <w:tcW w:w="2250" w:type="dxa"/>
                  <w:vMerge w:val="continue"/>
                  <w:tcBorders>
                    <w:tl2br w:val="nil"/>
                    <w:tr2bl w:val="nil"/>
                  </w:tcBorders>
                </w:tcPr>
                <w:p w14:paraId="68C559D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50672A24">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3A889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152D48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4B98DCF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007D9E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限制粮食转化乙醇、食用植物油料转化生物燃料项目</w:t>
                  </w:r>
                </w:p>
              </w:tc>
              <w:tc>
                <w:tcPr>
                  <w:tcW w:w="2250" w:type="dxa"/>
                  <w:vMerge w:val="continue"/>
                  <w:tcBorders>
                    <w:tl2br w:val="nil"/>
                    <w:tr2bl w:val="nil"/>
                  </w:tcBorders>
                </w:tcPr>
                <w:p w14:paraId="767566F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56A1D9E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FFA1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FCE130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77D98E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E2092A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限制大豆压榨及浸出项目，单线日处理油菜籽、棉籽200吨及以下.花生100吨及以下的油料加工项目</w:t>
                  </w:r>
                </w:p>
              </w:tc>
              <w:tc>
                <w:tcPr>
                  <w:tcW w:w="2250" w:type="dxa"/>
                  <w:vMerge w:val="continue"/>
                  <w:tcBorders>
                    <w:tl2br w:val="nil"/>
                    <w:tr2bl w:val="nil"/>
                  </w:tcBorders>
                </w:tcPr>
                <w:p w14:paraId="3ABDE8FE">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6A49574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0D2D9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0D8B56A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D48B7B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42D180C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限制年加工玉米30万吨以下、绝干收率在 98%以下玉米淀粉湿法生产线</w:t>
                  </w:r>
                </w:p>
              </w:tc>
              <w:tc>
                <w:tcPr>
                  <w:tcW w:w="2250" w:type="dxa"/>
                  <w:vMerge w:val="continue"/>
                  <w:tcBorders>
                    <w:tl2br w:val="nil"/>
                    <w:tr2bl w:val="nil"/>
                  </w:tcBorders>
                </w:tcPr>
                <w:p w14:paraId="1968ECCB">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87514D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28C9A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755901A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730DFAB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02E88B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限制年屠宰生猪15万头及以下、肉牛1万头及以下、肉羊15 万只及以下、活禽1000万只及以下的屠宰建</w:t>
                  </w:r>
                </w:p>
                <w:p w14:paraId="156733D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设项目</w:t>
                  </w:r>
                </w:p>
              </w:tc>
              <w:tc>
                <w:tcPr>
                  <w:tcW w:w="2250" w:type="dxa"/>
                  <w:vMerge w:val="continue"/>
                  <w:tcBorders>
                    <w:tl2br w:val="nil"/>
                    <w:tr2bl w:val="nil"/>
                  </w:tcBorders>
                </w:tcPr>
                <w:p w14:paraId="753D7BF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E959D49">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1C7F2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BA4B46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restart"/>
                  <w:tcBorders>
                    <w:tl2br w:val="nil"/>
                    <w:tr2bl w:val="nil"/>
                  </w:tcBorders>
                </w:tcPr>
                <w:p w14:paraId="77C79E1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禁止类</w:t>
                  </w:r>
                </w:p>
              </w:tc>
              <w:tc>
                <w:tcPr>
                  <w:tcW w:w="2565" w:type="dxa"/>
                  <w:tcBorders>
                    <w:tl2br w:val="nil"/>
                    <w:tr2bl w:val="nil"/>
                  </w:tcBorders>
                </w:tcPr>
                <w:p w14:paraId="3769A98A">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禁止以木材、伐根为主要原料的活性炭生产以及氯化锌法活性炭生产工艺</w:t>
                  </w:r>
                </w:p>
              </w:tc>
              <w:tc>
                <w:tcPr>
                  <w:tcW w:w="2250" w:type="dxa"/>
                  <w:vMerge w:val="continue"/>
                  <w:tcBorders>
                    <w:tl2br w:val="nil"/>
                    <w:tr2bl w:val="nil"/>
                  </w:tcBorders>
                </w:tcPr>
                <w:p w14:paraId="23C456B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67035FB">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FCC4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B50247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3CF2C30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48C1073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禁止3万吨/年以下酒精生产线(废糖蜜制酒精除外)</w:t>
                  </w:r>
                </w:p>
              </w:tc>
              <w:tc>
                <w:tcPr>
                  <w:tcW w:w="2250" w:type="dxa"/>
                  <w:vMerge w:val="continue"/>
                  <w:tcBorders>
                    <w:tl2br w:val="nil"/>
                    <w:tr2bl w:val="nil"/>
                  </w:tcBorders>
                </w:tcPr>
                <w:p w14:paraId="55F92DD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8881F78">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3C3DC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3E4633B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0E4BB78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6B02812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禁止年处理10万吨以下、总干物收率 97%以下的湿法玉米淀粉生产线</w:t>
                  </w:r>
                </w:p>
              </w:tc>
              <w:tc>
                <w:tcPr>
                  <w:tcW w:w="2250" w:type="dxa"/>
                  <w:vMerge w:val="continue"/>
                  <w:tcBorders>
                    <w:tl2br w:val="nil"/>
                    <w:tr2bl w:val="nil"/>
                  </w:tcBorders>
                </w:tcPr>
                <w:p w14:paraId="2D2B2A0A">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359A512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64792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BE3BEA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5FAF5EF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56AF11F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rPr>
                    <w:t>禁止桥式劈半锯、敞式生猪烫毛机等生猪屠宰设备:猪、牛、羊、禽手工屠宰工</w:t>
                  </w:r>
                  <w:r>
                    <w:rPr>
                      <w:rFonts w:hint="default" w:ascii="Times New Roman" w:hAnsi="Times New Roman" w:eastAsia="宋体" w:cs="Times New Roman"/>
                      <w:color w:val="auto"/>
                      <w:u w:val="none" w:color="auto"/>
                      <w:lang w:val="en-US" w:eastAsia="zh-CN"/>
                    </w:rPr>
                    <w:t>艺</w:t>
                  </w:r>
                </w:p>
              </w:tc>
              <w:tc>
                <w:tcPr>
                  <w:tcW w:w="2250" w:type="dxa"/>
                  <w:vMerge w:val="continue"/>
                  <w:tcBorders>
                    <w:tl2br w:val="nil"/>
                    <w:tr2bl w:val="nil"/>
                  </w:tcBorders>
                </w:tcPr>
                <w:p w14:paraId="52BC19F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F788DCB">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45F48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42142F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1B7594C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136AC1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rPr>
                    <w:t>禁止使用农林产品作为原料生产化学原料及化学制</w:t>
                  </w:r>
                  <w:r>
                    <w:rPr>
                      <w:rFonts w:hint="default" w:ascii="Times New Roman" w:hAnsi="Times New Roman" w:eastAsia="宋体" w:cs="Times New Roman"/>
                      <w:color w:val="auto"/>
                      <w:u w:val="none" w:color="auto"/>
                      <w:lang w:val="en-US" w:eastAsia="zh-CN"/>
                    </w:rPr>
                    <w:t>品</w:t>
                  </w:r>
                </w:p>
              </w:tc>
              <w:tc>
                <w:tcPr>
                  <w:tcW w:w="2250" w:type="dxa"/>
                  <w:vMerge w:val="continue"/>
                  <w:tcBorders>
                    <w:tl2br w:val="nil"/>
                    <w:tr2bl w:val="nil"/>
                  </w:tcBorders>
                </w:tcPr>
                <w:p w14:paraId="62D52A7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5D270F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B2BB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tcBorders>
                    <w:tl2br w:val="nil"/>
                    <w:tr2bl w:val="nil"/>
                  </w:tcBorders>
                </w:tcPr>
                <w:p w14:paraId="767D19A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tcBorders>
                    <w:tl2br w:val="nil"/>
                    <w:tr2bl w:val="nil"/>
                  </w:tcBorders>
                </w:tcPr>
                <w:p w14:paraId="646A9EC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6969ECF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rPr>
                    <w:t>新建、扩建古龙酸和维生素C 原粉(包括药用、食品用、饲料用、化妆品用)生产装置，新建药品、食品、饲料、化妆品等用途的维生素B1、维生素B2、维生素B12、维生素E原料生产装</w:t>
                  </w:r>
                  <w:r>
                    <w:rPr>
                      <w:rFonts w:hint="default" w:ascii="Times New Roman" w:hAnsi="Times New Roman" w:eastAsia="宋体" w:cs="Times New Roman"/>
                      <w:color w:val="auto"/>
                      <w:u w:val="none" w:color="auto"/>
                      <w:lang w:val="en-US" w:eastAsia="zh-CN"/>
                    </w:rPr>
                    <w:t>置</w:t>
                  </w:r>
                </w:p>
              </w:tc>
              <w:tc>
                <w:tcPr>
                  <w:tcW w:w="2250" w:type="dxa"/>
                  <w:vMerge w:val="continue"/>
                  <w:tcBorders>
                    <w:tl2br w:val="nil"/>
                    <w:tr2bl w:val="nil"/>
                  </w:tcBorders>
                </w:tcPr>
                <w:p w14:paraId="5E0B1DE5">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1D0794B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15B11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restart"/>
                  <w:tcBorders>
                    <w:tl2br w:val="nil"/>
                    <w:tr2bl w:val="nil"/>
                  </w:tcBorders>
                </w:tcPr>
                <w:p w14:paraId="253D9F6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医药制造</w:t>
                  </w:r>
                </w:p>
              </w:tc>
              <w:tc>
                <w:tcPr>
                  <w:tcW w:w="690" w:type="dxa"/>
                  <w:vMerge w:val="restart"/>
                  <w:tcBorders>
                    <w:tl2br w:val="nil"/>
                    <w:tr2bl w:val="nil"/>
                  </w:tcBorders>
                </w:tcPr>
                <w:p w14:paraId="1A6E304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限制类</w:t>
                  </w:r>
                </w:p>
              </w:tc>
              <w:tc>
                <w:tcPr>
                  <w:tcW w:w="2565" w:type="dxa"/>
                  <w:tcBorders>
                    <w:tl2br w:val="nil"/>
                    <w:tr2bl w:val="nil"/>
                  </w:tcBorders>
                </w:tcPr>
                <w:p w14:paraId="15F2EAF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新建紫杉醇(配套红豆杉种植除外)、植物提取法黄连素(配套黄连种植除外)生产装置。新开办无新药证书的药品生产企业</w:t>
                  </w:r>
                </w:p>
              </w:tc>
              <w:tc>
                <w:tcPr>
                  <w:tcW w:w="2250" w:type="dxa"/>
                  <w:vMerge w:val="continue"/>
                  <w:tcBorders>
                    <w:tl2br w:val="nil"/>
                    <w:tr2bl w:val="nil"/>
                  </w:tcBorders>
                </w:tcPr>
                <w:p w14:paraId="005252C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B8CC8A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3F9FE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2149B2B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11EC035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0F61F98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新建及改扩建原料含有尚未规模化种植或养殖的濒危动植物药材的产品生产装置</w:t>
                  </w:r>
                </w:p>
              </w:tc>
              <w:tc>
                <w:tcPr>
                  <w:tcW w:w="2250" w:type="dxa"/>
                  <w:vMerge w:val="continue"/>
                  <w:tcBorders>
                    <w:tl2br w:val="nil"/>
                    <w:tr2bl w:val="nil"/>
                  </w:tcBorders>
                </w:tcPr>
                <w:p w14:paraId="7E9821AA">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2D74E0E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4B054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675ECA1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12B30B0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1ED913A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新建、改扩建药用丁基橡胶塞、二步法生产输液用塑料瓶生产装置</w:t>
                  </w:r>
                </w:p>
              </w:tc>
              <w:tc>
                <w:tcPr>
                  <w:tcW w:w="2250" w:type="dxa"/>
                  <w:vMerge w:val="continue"/>
                  <w:tcBorders>
                    <w:tl2br w:val="nil"/>
                    <w:tr2bl w:val="nil"/>
                  </w:tcBorders>
                </w:tcPr>
                <w:p w14:paraId="27EE1C13">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5190313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A81C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7BAF9599">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2B14D94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77E9F7D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新建、改扩建充汞式玻璃体温计、血压计生产装置、银汞齐齿科材料,新建2亿支/年以下一次性注射器、输血器、输液器生产装置</w:t>
                  </w:r>
                </w:p>
              </w:tc>
              <w:tc>
                <w:tcPr>
                  <w:tcW w:w="2250" w:type="dxa"/>
                  <w:vMerge w:val="continue"/>
                  <w:tcBorders>
                    <w:tl2br w:val="nil"/>
                    <w:tr2bl w:val="nil"/>
                  </w:tcBorders>
                </w:tcPr>
                <w:p w14:paraId="15C47E48">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5DF930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53451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6C92E5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restart"/>
                  <w:tcBorders>
                    <w:tl2br w:val="nil"/>
                    <w:tr2bl w:val="nil"/>
                  </w:tcBorders>
                </w:tcPr>
                <w:p w14:paraId="735F836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禁止类</w:t>
                  </w:r>
                </w:p>
              </w:tc>
              <w:tc>
                <w:tcPr>
                  <w:tcW w:w="2565" w:type="dxa"/>
                  <w:tcBorders>
                    <w:tl2br w:val="nil"/>
                    <w:tr2bl w:val="nil"/>
                  </w:tcBorders>
                </w:tcPr>
                <w:p w14:paraId="2BA3D95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涉及使用或者生产国家明令禁止或淘汰的医药制品</w:t>
                  </w:r>
                </w:p>
                <w:p w14:paraId="326C3AE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类</w:t>
                  </w:r>
                </w:p>
              </w:tc>
              <w:tc>
                <w:tcPr>
                  <w:tcW w:w="2250" w:type="dxa"/>
                  <w:vMerge w:val="continue"/>
                  <w:tcBorders>
                    <w:tl2br w:val="nil"/>
                    <w:tr2bl w:val="nil"/>
                  </w:tcBorders>
                </w:tcPr>
                <w:p w14:paraId="588F107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4BDE8940">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7F4A4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5E1689A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3F8394F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4434CD1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其他高耗能、废水、废气、固体废物产生量和排放量大的项目</w:t>
                  </w:r>
                </w:p>
              </w:tc>
              <w:tc>
                <w:tcPr>
                  <w:tcW w:w="2250" w:type="dxa"/>
                  <w:vMerge w:val="continue"/>
                  <w:tcBorders>
                    <w:tl2br w:val="nil"/>
                    <w:tr2bl w:val="nil"/>
                  </w:tcBorders>
                </w:tcPr>
                <w:p w14:paraId="7930B4F2">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6E9DF66D">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72993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4D95003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78EC698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0A26D9D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铅锡软膏管、单层聚烯烃软膏管(肛肠、腔道给药除外)</w:t>
                  </w:r>
                </w:p>
              </w:tc>
              <w:tc>
                <w:tcPr>
                  <w:tcW w:w="2250" w:type="dxa"/>
                  <w:vMerge w:val="continue"/>
                  <w:tcBorders>
                    <w:tl2br w:val="nil"/>
                    <w:tr2bl w:val="nil"/>
                  </w:tcBorders>
                </w:tcPr>
                <w:p w14:paraId="62F054BA">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0087AA71">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r w14:paraId="740D1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59" w:type="dxa"/>
                  <w:vMerge w:val="continue"/>
                  <w:tcBorders>
                    <w:tl2br w:val="nil"/>
                    <w:tr2bl w:val="nil"/>
                  </w:tcBorders>
                </w:tcPr>
                <w:p w14:paraId="1B3DAB50">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690" w:type="dxa"/>
                  <w:vMerge w:val="continue"/>
                  <w:tcBorders>
                    <w:tl2br w:val="nil"/>
                    <w:tr2bl w:val="nil"/>
                  </w:tcBorders>
                </w:tcPr>
                <w:p w14:paraId="7A3322F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p>
              </w:tc>
              <w:tc>
                <w:tcPr>
                  <w:tcW w:w="2565" w:type="dxa"/>
                  <w:tcBorders>
                    <w:tl2br w:val="nil"/>
                    <w:tr2bl w:val="nil"/>
                  </w:tcBorders>
                </w:tcPr>
                <w:p w14:paraId="11DB7D7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安瓿灌装注射用无菌粉末</w:t>
                  </w:r>
                </w:p>
              </w:tc>
              <w:tc>
                <w:tcPr>
                  <w:tcW w:w="2250" w:type="dxa"/>
                  <w:vMerge w:val="continue"/>
                  <w:tcBorders>
                    <w:tl2br w:val="nil"/>
                    <w:tr2bl w:val="nil"/>
                  </w:tcBorders>
                </w:tcPr>
                <w:p w14:paraId="138E776C">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c>
                <w:tcPr>
                  <w:tcW w:w="750" w:type="dxa"/>
                  <w:vMerge w:val="continue"/>
                  <w:tcBorders>
                    <w:tl2br w:val="nil"/>
                    <w:tr2bl w:val="nil"/>
                  </w:tcBorders>
                </w:tcPr>
                <w:p w14:paraId="77EE2127">
                  <w:pPr>
                    <w:pStyle w:val="17"/>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textAlignment w:val="auto"/>
                    <w:rPr>
                      <w:rFonts w:hint="default" w:ascii="Times New Roman" w:hAnsi="Times New Roman" w:eastAsia="宋体" w:cs="Times New Roman"/>
                      <w:color w:val="auto"/>
                      <w:kern w:val="0"/>
                      <w:sz w:val="24"/>
                      <w:szCs w:val="24"/>
                      <w:u w:val="none" w:color="auto"/>
                      <w:vertAlign w:val="baseline"/>
                    </w:rPr>
                  </w:pPr>
                </w:p>
              </w:tc>
            </w:tr>
          </w:tbl>
          <w:p w14:paraId="45F0A989">
            <w:pPr>
              <w:pStyle w:val="17"/>
              <w:ind w:left="0" w:leftChars="0" w:firstLine="480" w:firstLineChars="200"/>
              <w:rPr>
                <w:rFonts w:hint="default" w:ascii="Times New Roman" w:hAnsi="Times New Roman" w:eastAsia="宋体" w:cs="Times New Roman"/>
                <w:u w:val="none" w:color="auto"/>
              </w:rPr>
            </w:pPr>
            <w:r>
              <w:rPr>
                <w:rFonts w:hint="default" w:ascii="Times New Roman" w:hAnsi="Times New Roman" w:eastAsia="宋体" w:cs="Times New Roman"/>
                <w:sz w:val="24"/>
                <w:szCs w:val="24"/>
                <w:u w:val="none" w:color="auto"/>
              </w:rPr>
              <w:t>根据以上分析，本项目不属于产业园区限制入园清单内的产业， 本项目入园不违背产业园区定位。</w:t>
            </w:r>
          </w:p>
        </w:tc>
      </w:tr>
      <w:tr w14:paraId="28CFF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84" w:hRule="atLeast"/>
          <w:jc w:val="center"/>
        </w:trPr>
        <w:tc>
          <w:tcPr>
            <w:tcW w:w="1919" w:type="dxa"/>
            <w:noWrap w:val="0"/>
            <w:vAlign w:val="center"/>
          </w:tcPr>
          <w:p w14:paraId="51976488">
            <w:pPr>
              <w:autoSpaceDE w:val="0"/>
              <w:autoSpaceDN w:val="0"/>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其他符合性分析</w:t>
            </w:r>
          </w:p>
        </w:tc>
        <w:tc>
          <w:tcPr>
            <w:tcW w:w="6951" w:type="dxa"/>
            <w:gridSpan w:val="5"/>
            <w:noWrap w:val="0"/>
            <w:vAlign w:val="center"/>
          </w:tcPr>
          <w:p w14:paraId="7C4A1380">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（1）产业政策符合性分析</w:t>
            </w:r>
          </w:p>
          <w:p w14:paraId="0A354BD6">
            <w:pPr>
              <w:autoSpaceDE w:val="0"/>
              <w:autoSpaceDN w:val="0"/>
              <w:adjustRightInd w:val="0"/>
              <w:snapToGrid w:val="0"/>
              <w:spacing w:line="360" w:lineRule="auto"/>
              <w:ind w:firstLine="480" w:firstLineChars="200"/>
              <w:rPr>
                <w:rFonts w:hint="default" w:ascii="Times New Roman" w:hAnsi="Times New Roman" w:eastAsia="宋体" w:cs="Times New Roman"/>
                <w:bCs/>
                <w:sz w:val="24"/>
                <w:highlight w:val="none"/>
                <w:u w:val="none" w:color="auto"/>
              </w:rPr>
            </w:pPr>
            <w:r>
              <w:rPr>
                <w:rFonts w:hint="default" w:ascii="Times New Roman" w:hAnsi="Times New Roman" w:eastAsia="宋体" w:cs="Times New Roman"/>
                <w:bCs/>
                <w:sz w:val="24"/>
                <w:highlight w:val="none"/>
                <w:u w:val="none" w:color="auto"/>
              </w:rPr>
              <w:t>本项目 属于《国民经济行业分类与代码（GB/T4754－2017）》中的“热力生产和供应D4430”。根据《产业结构调整指导目录（20</w:t>
            </w:r>
            <w:r>
              <w:rPr>
                <w:rFonts w:hint="default" w:ascii="Times New Roman" w:hAnsi="Times New Roman" w:eastAsia="宋体" w:cs="Times New Roman"/>
                <w:bCs/>
                <w:sz w:val="24"/>
                <w:highlight w:val="none"/>
                <w:u w:val="none" w:color="auto"/>
                <w:lang w:val="en-US" w:eastAsia="zh-CN"/>
              </w:rPr>
              <w:t>24</w:t>
            </w:r>
            <w:r>
              <w:rPr>
                <w:rFonts w:hint="default" w:ascii="Times New Roman" w:hAnsi="Times New Roman" w:eastAsia="宋体" w:cs="Times New Roman"/>
                <w:bCs/>
                <w:sz w:val="24"/>
                <w:highlight w:val="none"/>
                <w:u w:val="none" w:color="auto"/>
              </w:rPr>
              <w:t>年本）》，项目不属于限制类和淘汰类，属于允许类。因此，本项目符合国家产业政策。</w:t>
            </w:r>
          </w:p>
          <w:p w14:paraId="12A01C7D">
            <w:pPr>
              <w:autoSpaceDE w:val="0"/>
              <w:autoSpaceDN w:val="0"/>
              <w:adjustRightInd w:val="0"/>
              <w:snapToGrid w:val="0"/>
              <w:spacing w:line="360" w:lineRule="auto"/>
              <w:ind w:firstLine="480" w:firstLineChars="200"/>
              <w:rPr>
                <w:rFonts w:hint="default" w:ascii="Times New Roman" w:hAnsi="Times New Roman" w:eastAsia="宋体" w:cs="Times New Roman"/>
                <w:bCs/>
                <w:sz w:val="24"/>
                <w:highlight w:val="none"/>
                <w:u w:val="none" w:color="auto"/>
              </w:rPr>
            </w:pPr>
            <w:r>
              <w:rPr>
                <w:rFonts w:hint="default" w:ascii="Times New Roman" w:hAnsi="Times New Roman" w:eastAsia="宋体" w:cs="Times New Roman"/>
                <w:bCs/>
                <w:sz w:val="24"/>
                <w:highlight w:val="none"/>
                <w:u w:val="none" w:color="auto"/>
                <w:lang w:val="en-US" w:eastAsia="zh-CN"/>
              </w:rPr>
              <w:t>本项目所选设备（锅炉主机及其附属设备，如风机等）未列入工信部《限期淘汰产生严重污染环境的工业固体废物的落后生产工艺设备名录》（2021年第25号）和《市场准入负面清单（2022年版）》，不属于《产业结构调整指导目录（2024年本）》第三类“淘汰类”中所列淘汰设备。</w:t>
            </w:r>
          </w:p>
          <w:p w14:paraId="28FAAF86">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（2）选址合理性分析</w:t>
            </w:r>
          </w:p>
          <w:p w14:paraId="6DBC56B2">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项目位于湖南省岳阳市华容县三封寺镇华容高新技术产业开发区</w:t>
            </w:r>
            <w:r>
              <w:rPr>
                <w:rFonts w:hint="default" w:ascii="Times New Roman" w:hAnsi="Times New Roman" w:eastAsia="宋体" w:cs="Times New Roman"/>
                <w:sz w:val="24"/>
                <w:szCs w:val="24"/>
                <w:u w:val="none" w:color="auto"/>
                <w:lang w:val="en-US" w:eastAsia="zh-CN"/>
              </w:rPr>
              <w:t>石伏片区</w:t>
            </w:r>
            <w:r>
              <w:rPr>
                <w:rFonts w:hint="default" w:ascii="Times New Roman" w:hAnsi="Times New Roman" w:eastAsia="宋体" w:cs="Times New Roman"/>
                <w:bCs/>
                <w:sz w:val="24"/>
                <w:u w:val="none" w:color="auto"/>
              </w:rPr>
              <w:t>岳阳宝丽纺织品有限公司现有厂区内</w:t>
            </w:r>
            <w:r>
              <w:rPr>
                <w:rFonts w:hint="default" w:ascii="Times New Roman" w:hAnsi="Times New Roman" w:eastAsia="宋体" w:cs="Times New Roman"/>
                <w:sz w:val="24"/>
                <w:szCs w:val="24"/>
                <w:u w:val="none" w:color="auto"/>
              </w:rPr>
              <w:t>，项目用地为工业用地，项目选址不在风景名胜区内，评价区域内无国家和省级保护野生动物、植物及古树名木，项目评价范围内没有学校、医院、特殊文物保护单位和饮用水水源保护区等环境敏感点；场址所在地水、电供应均有保证，能满足本项目生产及生活需求，根据分析项目营运过程中产生的废气、废水、固体废物、噪声等均可达标排放或妥善处置，对周边环境影响较小。因此，从环保角度考虑，选址合理。</w:t>
            </w:r>
          </w:p>
          <w:p w14:paraId="09347714">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（3）平面布局合理性分析</w:t>
            </w:r>
          </w:p>
          <w:p w14:paraId="383D5B0D">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color="auto"/>
              </w:rPr>
            </w:pPr>
            <w:r>
              <w:rPr>
                <w:rFonts w:hint="default" w:ascii="Times New Roman" w:hAnsi="Times New Roman" w:eastAsia="宋体" w:cs="Times New Roman"/>
                <w:color w:val="auto"/>
                <w:kern w:val="0"/>
                <w:sz w:val="24"/>
                <w:szCs w:val="24"/>
                <w:highlight w:val="none"/>
                <w:u w:val="none" w:color="auto"/>
                <w:lang w:eastAsia="zh-CN"/>
              </w:rPr>
              <w:t>本项目</w:t>
            </w:r>
            <w:r>
              <w:rPr>
                <w:rFonts w:hint="default" w:ascii="Times New Roman" w:hAnsi="Times New Roman" w:eastAsia="宋体" w:cs="Times New Roman"/>
                <w:color w:val="auto"/>
                <w:kern w:val="0"/>
                <w:sz w:val="24"/>
                <w:szCs w:val="24"/>
                <w:highlight w:val="none"/>
                <w:u w:val="none" w:color="auto"/>
                <w:lang w:val="en-US" w:eastAsia="zh-CN"/>
              </w:rPr>
              <w:t>选址位于</w:t>
            </w:r>
            <w:r>
              <w:rPr>
                <w:rFonts w:hint="default" w:ascii="Times New Roman" w:hAnsi="Times New Roman" w:eastAsia="宋体" w:cs="Times New Roman"/>
                <w:bCs/>
                <w:sz w:val="24"/>
                <w:highlight w:val="none"/>
                <w:u w:val="none" w:color="auto"/>
              </w:rPr>
              <w:t>岳阳宝丽纺织品有限公司现有厂区</w:t>
            </w:r>
            <w:r>
              <w:rPr>
                <w:rFonts w:hint="default" w:ascii="Times New Roman" w:hAnsi="Times New Roman" w:eastAsia="宋体" w:cs="Times New Roman"/>
                <w:bCs/>
                <w:sz w:val="24"/>
                <w:highlight w:val="none"/>
                <w:u w:val="none" w:color="auto"/>
                <w:lang w:val="en-US" w:eastAsia="zh-CN"/>
              </w:rPr>
              <w:t>北侧空置场地新增锅炉房</w:t>
            </w:r>
            <w:r>
              <w:rPr>
                <w:rFonts w:hint="default" w:ascii="Times New Roman" w:hAnsi="Times New Roman" w:eastAsia="宋体" w:cs="Times New Roman"/>
                <w:color w:val="auto"/>
                <w:kern w:val="0"/>
                <w:sz w:val="24"/>
                <w:szCs w:val="24"/>
                <w:highlight w:val="none"/>
                <w:u w:val="none" w:color="auto"/>
                <w:lang w:val="en-US" w:eastAsia="zh-CN"/>
              </w:rPr>
              <w:t>。</w:t>
            </w:r>
            <w:r>
              <w:rPr>
                <w:rFonts w:hint="default" w:ascii="Times New Roman" w:hAnsi="Times New Roman" w:eastAsia="宋体" w:cs="Times New Roman"/>
                <w:color w:val="auto"/>
                <w:kern w:val="0"/>
                <w:sz w:val="24"/>
                <w:szCs w:val="24"/>
                <w:highlight w:val="none"/>
                <w:u w:val="none" w:color="auto"/>
              </w:rPr>
              <w:t>本项目平面布置基本保证了工艺流程的顺畅紧凑，同时最大限度地减少工艺输送流程和距离，有利于生产活动；而且</w:t>
            </w:r>
            <w:r>
              <w:rPr>
                <w:rFonts w:hint="default" w:ascii="Times New Roman" w:hAnsi="Times New Roman" w:eastAsia="宋体" w:cs="Times New Roman"/>
                <w:color w:val="auto"/>
                <w:kern w:val="0"/>
                <w:sz w:val="24"/>
                <w:szCs w:val="24"/>
                <w:highlight w:val="none"/>
                <w:u w:val="none" w:color="auto"/>
                <w:lang w:val="en-US" w:eastAsia="zh-CN"/>
              </w:rPr>
              <w:t>锅炉、风机等设备</w:t>
            </w:r>
            <w:r>
              <w:rPr>
                <w:rFonts w:hint="default" w:ascii="Times New Roman" w:hAnsi="Times New Roman" w:eastAsia="宋体" w:cs="Times New Roman"/>
                <w:color w:val="auto"/>
                <w:kern w:val="0"/>
                <w:sz w:val="24"/>
                <w:szCs w:val="24"/>
                <w:highlight w:val="none"/>
                <w:u w:val="none" w:color="auto"/>
              </w:rPr>
              <w:t>均布局在厂区</w:t>
            </w:r>
            <w:r>
              <w:rPr>
                <w:rFonts w:hint="default" w:ascii="Times New Roman" w:hAnsi="Times New Roman" w:eastAsia="宋体" w:cs="Times New Roman"/>
                <w:color w:val="auto"/>
                <w:kern w:val="0"/>
                <w:sz w:val="24"/>
                <w:szCs w:val="24"/>
                <w:highlight w:val="none"/>
                <w:u w:val="none" w:color="auto"/>
                <w:lang w:val="en-US" w:eastAsia="zh-CN"/>
              </w:rPr>
              <w:t>北</w:t>
            </w:r>
            <w:r>
              <w:rPr>
                <w:rFonts w:hint="default" w:ascii="Times New Roman" w:hAnsi="Times New Roman" w:eastAsia="宋体" w:cs="Times New Roman"/>
                <w:color w:val="auto"/>
                <w:kern w:val="0"/>
                <w:sz w:val="24"/>
                <w:szCs w:val="24"/>
                <w:highlight w:val="none"/>
                <w:u w:val="none" w:color="auto"/>
              </w:rPr>
              <w:t>部，远离敏感目标，能有效将其生产活动对外界环境的影响降低到最小程度；排气筒出口远离敏感目标，能减少废气对敏感目标的影响。综上所述，本项目平面布局合理可行。</w:t>
            </w:r>
          </w:p>
          <w:p w14:paraId="16232A6F">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（4）“三线一单”相符性分析</w:t>
            </w:r>
          </w:p>
          <w:p w14:paraId="4DF3344C">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color="auto"/>
              </w:rPr>
            </w:pPr>
            <w:r>
              <w:rPr>
                <w:rFonts w:hint="default" w:ascii="Times New Roman" w:hAnsi="Times New Roman" w:eastAsia="宋体" w:cs="Times New Roman"/>
                <w:color w:val="auto"/>
                <w:kern w:val="0"/>
                <w:sz w:val="24"/>
                <w:szCs w:val="24"/>
                <w:highlight w:val="none"/>
                <w:u w:val="none" w:color="auto"/>
              </w:rPr>
              <w:t>本项目位于</w:t>
            </w:r>
            <w:r>
              <w:rPr>
                <w:rFonts w:hint="default" w:ascii="Times New Roman" w:hAnsi="Times New Roman" w:eastAsia="宋体" w:cs="Times New Roman"/>
                <w:sz w:val="24"/>
                <w:szCs w:val="24"/>
                <w:u w:val="none" w:color="auto"/>
              </w:rPr>
              <w:t>湖南 省岳阳市华容县华容高新技术产业开发区</w:t>
            </w:r>
            <w:r>
              <w:rPr>
                <w:rFonts w:hint="default" w:ascii="Times New Roman" w:hAnsi="Times New Roman" w:eastAsia="宋体" w:cs="Times New Roman"/>
                <w:sz w:val="24"/>
                <w:szCs w:val="24"/>
                <w:u w:val="none" w:color="auto"/>
                <w:lang w:val="en-US" w:eastAsia="zh-CN"/>
              </w:rPr>
              <w:t>石伏工业片区</w:t>
            </w:r>
            <w:r>
              <w:rPr>
                <w:rFonts w:hint="default" w:ascii="Times New Roman" w:hAnsi="Times New Roman" w:eastAsia="宋体" w:cs="Times New Roman"/>
                <w:sz w:val="24"/>
                <w:szCs w:val="24"/>
                <w:u w:val="none" w:color="auto"/>
              </w:rPr>
              <w:t>内</w:t>
            </w:r>
            <w:r>
              <w:rPr>
                <w:rFonts w:hint="default" w:ascii="Times New Roman" w:hAnsi="Times New Roman" w:eastAsia="宋体" w:cs="Times New Roman"/>
                <w:color w:val="auto"/>
                <w:kern w:val="0"/>
                <w:sz w:val="24"/>
                <w:szCs w:val="24"/>
                <w:highlight w:val="none"/>
                <w:u w:val="none" w:color="auto"/>
              </w:rPr>
              <w:t>，对照《湖南省“三线一单 ”生态环境总体管控要求暨省级以上产业园区生态环境准入清单》（湘环函〔2020〕142号）本项目所在地执行产业园区重点管控单元生态环境总体管控要求。</w:t>
            </w:r>
          </w:p>
          <w:p w14:paraId="5EF1B163">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①生态保护红线</w:t>
            </w:r>
          </w:p>
          <w:p w14:paraId="156E5BEB">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根据湖南省人民政府关于印发《湖南省生态保护红线》的通知，湖南省生态保护红线空间格局为“一湖三山四水”，本项目位于湖南省岳阳市华容县华容高新技术产业开发区</w:t>
            </w:r>
            <w:r>
              <w:rPr>
                <w:rFonts w:hint="default" w:ascii="Times New Roman" w:hAnsi="Times New Roman" w:eastAsia="宋体" w:cs="Times New Roman"/>
                <w:color w:val="auto"/>
                <w:kern w:val="0"/>
                <w:sz w:val="24"/>
                <w:szCs w:val="24"/>
                <w:u w:val="none" w:color="auto"/>
                <w:lang w:val="en-US" w:eastAsia="zh-CN"/>
              </w:rPr>
              <w:t>石伏片区</w:t>
            </w:r>
            <w:r>
              <w:rPr>
                <w:rFonts w:hint="default" w:ascii="Times New Roman" w:hAnsi="Times New Roman" w:eastAsia="宋体" w:cs="Times New Roman"/>
                <w:color w:val="auto"/>
                <w:kern w:val="0"/>
                <w:sz w:val="24"/>
                <w:szCs w:val="24"/>
                <w:u w:val="none" w:color="auto"/>
              </w:rPr>
              <w:t>内，不属于华容县生态保护红线范围，项目建设符合生态红线控制要求。</w:t>
            </w:r>
          </w:p>
          <w:p w14:paraId="66539E5A">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②环境质量底线</w:t>
            </w:r>
          </w:p>
          <w:p w14:paraId="6A0BAA36">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区域环境空气属于《环境空气质量标准》（</w:t>
            </w:r>
            <w:r>
              <w:rPr>
                <w:rFonts w:hint="default" w:ascii="Times New Roman" w:hAnsi="Times New Roman" w:eastAsia="宋体" w:cs="Times New Roman"/>
                <w:color w:val="auto"/>
                <w:kern w:val="0"/>
                <w:sz w:val="24"/>
                <w:szCs w:val="24"/>
                <w:highlight w:val="none"/>
                <w:u w:val="none" w:color="auto"/>
              </w:rPr>
              <w:t>GB3095-2012）</w:t>
            </w:r>
            <w:r>
              <w:rPr>
                <w:rFonts w:hint="default" w:ascii="Times New Roman" w:hAnsi="Times New Roman" w:eastAsia="宋体" w:cs="Times New Roman"/>
                <w:color w:val="auto"/>
                <w:kern w:val="0"/>
                <w:sz w:val="24"/>
                <w:szCs w:val="24"/>
                <w:u w:val="none" w:color="auto"/>
              </w:rPr>
              <w:t>中二类功能区、地表水水环境功能属于《地表水环境质量标准》（</w:t>
            </w:r>
            <w:r>
              <w:rPr>
                <w:rFonts w:hint="default" w:ascii="Times New Roman" w:hAnsi="Times New Roman" w:eastAsia="宋体" w:cs="Times New Roman"/>
                <w:color w:val="auto"/>
                <w:kern w:val="0"/>
                <w:sz w:val="24"/>
                <w:szCs w:val="24"/>
                <w:highlight w:val="none"/>
                <w:u w:val="none" w:color="auto"/>
              </w:rPr>
              <w:t>GB3838-2002）</w:t>
            </w:r>
            <w:r>
              <w:rPr>
                <w:rFonts w:hint="default" w:ascii="Times New Roman" w:hAnsi="Times New Roman" w:eastAsia="宋体" w:cs="Times New Roman"/>
                <w:color w:val="auto"/>
                <w:kern w:val="0"/>
                <w:sz w:val="24"/>
                <w:szCs w:val="24"/>
                <w:u w:val="none" w:color="auto"/>
              </w:rPr>
              <w:t>中Ⅲ类功能区、区域声环境属于《声环境质量标准》</w:t>
            </w:r>
            <w:r>
              <w:rPr>
                <w:rFonts w:hint="default" w:ascii="Times New Roman" w:hAnsi="Times New Roman" w:eastAsia="宋体" w:cs="Times New Roman"/>
                <w:color w:val="auto"/>
                <w:kern w:val="0"/>
                <w:sz w:val="24"/>
                <w:szCs w:val="24"/>
                <w:highlight w:val="none"/>
                <w:u w:val="none" w:color="auto"/>
              </w:rPr>
              <w:t>（GB3096-2008）</w:t>
            </w:r>
            <w:r>
              <w:rPr>
                <w:rFonts w:hint="default" w:ascii="Times New Roman" w:hAnsi="Times New Roman" w:eastAsia="宋体" w:cs="Times New Roman"/>
                <w:color w:val="auto"/>
                <w:kern w:val="0"/>
                <w:sz w:val="24"/>
                <w:szCs w:val="24"/>
                <w:u w:val="none" w:color="auto"/>
              </w:rPr>
              <w:t>中</w:t>
            </w:r>
            <w:r>
              <w:rPr>
                <w:rFonts w:hint="default" w:ascii="Times New Roman" w:hAnsi="Times New Roman" w:eastAsia="宋体" w:cs="Times New Roman"/>
                <w:color w:val="auto"/>
                <w:kern w:val="0"/>
                <w:sz w:val="24"/>
                <w:szCs w:val="24"/>
                <w:highlight w:val="none"/>
                <w:u w:val="none" w:color="auto"/>
              </w:rPr>
              <w:t>3</w:t>
            </w:r>
            <w:r>
              <w:rPr>
                <w:rFonts w:hint="default" w:ascii="Times New Roman" w:hAnsi="Times New Roman" w:eastAsia="宋体" w:cs="Times New Roman"/>
                <w:color w:val="auto"/>
                <w:kern w:val="0"/>
                <w:sz w:val="24"/>
                <w:szCs w:val="24"/>
                <w:u w:val="none" w:color="auto"/>
              </w:rPr>
              <w:t>类功能区。本项目产生的三废均能有效处理，采取相应治理措施后可达标排放。因此，本项目建设不会造成区域环境功能的降低，不会突破项目所在地的环境质量底线，符合环境质量底线的要求。</w:t>
            </w:r>
          </w:p>
          <w:p w14:paraId="7440E3D3">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③资源利用上线</w:t>
            </w:r>
          </w:p>
          <w:p w14:paraId="520FAE68">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项目用水来源自来水公司</w:t>
            </w:r>
            <w:r>
              <w:rPr>
                <w:rFonts w:hint="default" w:ascii="Times New Roman" w:hAnsi="Times New Roman" w:eastAsia="宋体" w:cs="Times New Roman"/>
                <w:color w:val="auto"/>
                <w:kern w:val="0"/>
                <w:sz w:val="24"/>
                <w:szCs w:val="24"/>
                <w:u w:val="none" w:color="auto"/>
                <w:lang w:eastAsia="zh-CN"/>
              </w:rPr>
              <w:t>，</w:t>
            </w:r>
            <w:r>
              <w:rPr>
                <w:rFonts w:hint="default" w:ascii="Times New Roman" w:hAnsi="Times New Roman" w:eastAsia="宋体" w:cs="Times New Roman"/>
                <w:color w:val="auto"/>
                <w:kern w:val="0"/>
                <w:sz w:val="24"/>
                <w:szCs w:val="24"/>
                <w:u w:val="none" w:color="auto"/>
              </w:rPr>
              <w:t>项目用电由当地电网供电，项目建设不涉及基本农田，土地资源消耗符合相关要求。因此项目符合资源利用上线要求。</w:t>
            </w:r>
          </w:p>
          <w:p w14:paraId="76201A1C">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④生态环境准入清单</w:t>
            </w:r>
          </w:p>
          <w:p w14:paraId="1EAD6FB2">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根据《湖南省“三线一单”生态环境总体管控要求暨省级以上产 业园区生态环境准入清单》（2020年9月）中“湖南省“三线一单”省级以上产业园区生态环境准入清单-六岳阳市产业园区生态环境准入清单-6-11华容工业集中区，“华容工业集中区”主导产业为“湘发改地区(2012)1374号:以纺织服装农副食品加工、医药卫材等产业为主的特色综合型工业集中区。潮环评函(2014)58号:洪山头工业片区，以机械制造业、石材、建筑新材料三大产业为主，配套发展能源产业下游产品及手工业等劳动密集型产业;石伏工业片区，以棉花加工的纺织产业为主，配套发展服装等下游产业。六部委公告2018年第4号:纺织服装、食品医药。”。华容工业集中区主要环境问题和重要敏感目标为“石伏片区邻近中国圆田螺水产种质资源保护区实验区”。本项目位于华容高新技术产业开发区（2021年4月，湖南省人民政府批准华容工业集中区升级为“华容高新技术产业开发区”）</w:t>
            </w:r>
            <w:r>
              <w:rPr>
                <w:rFonts w:hint="default" w:ascii="Times New Roman" w:hAnsi="Times New Roman" w:eastAsia="宋体" w:cs="Times New Roman"/>
                <w:sz w:val="24"/>
                <w:szCs w:val="24"/>
                <w:u w:val="none" w:color="auto"/>
                <w:lang w:val="en-US" w:eastAsia="zh-CN"/>
              </w:rPr>
              <w:t>石伏工业片区内，属于热力生产与供应行业，主要采用</w:t>
            </w:r>
            <w:r>
              <w:rPr>
                <w:rFonts w:hint="eastAsia" w:ascii="Times New Roman" w:hAnsi="Times New Roman" w:eastAsia="宋体" w:cs="Times New Roman"/>
                <w:sz w:val="24"/>
                <w:szCs w:val="24"/>
                <w:u w:val="none" w:color="auto"/>
                <w:lang w:val="en-US" w:eastAsia="zh-CN"/>
              </w:rPr>
              <w:t>15t/h</w:t>
            </w:r>
            <w:r>
              <w:rPr>
                <w:rFonts w:hint="default" w:ascii="Times New Roman" w:hAnsi="Times New Roman" w:eastAsia="宋体" w:cs="Times New Roman"/>
                <w:sz w:val="24"/>
                <w:szCs w:val="24"/>
                <w:u w:val="none" w:color="auto"/>
                <w:lang w:val="en-US" w:eastAsia="zh-CN"/>
              </w:rPr>
              <w:t>生物质锅炉给现有工程蒸汽供给</w:t>
            </w:r>
            <w:r>
              <w:rPr>
                <w:rFonts w:hint="eastAsia" w:ascii="Times New Roman" w:hAnsi="Times New Roman" w:eastAsia="宋体" w:cs="Times New Roman"/>
                <w:sz w:val="24"/>
                <w:szCs w:val="24"/>
                <w:u w:val="none" w:color="auto"/>
                <w:lang w:val="en-US" w:eastAsia="zh-CN"/>
              </w:rPr>
              <w:t>以及采用4t/h</w:t>
            </w:r>
            <w:r>
              <w:rPr>
                <w:rFonts w:hint="default" w:ascii="Times New Roman" w:hAnsi="Times New Roman" w:eastAsia="宋体" w:cs="Times New Roman"/>
                <w:sz w:val="24"/>
                <w:szCs w:val="24"/>
                <w:u w:val="none" w:color="auto"/>
                <w:lang w:val="en-US" w:eastAsia="zh-CN"/>
              </w:rPr>
              <w:t>生物质</w:t>
            </w:r>
            <w:r>
              <w:rPr>
                <w:rFonts w:hint="eastAsia" w:ascii="Times New Roman" w:hAnsi="Times New Roman" w:eastAsia="宋体" w:cs="Times New Roman"/>
                <w:sz w:val="24"/>
                <w:szCs w:val="24"/>
                <w:u w:val="none" w:color="auto"/>
                <w:lang w:val="en-US" w:eastAsia="zh-CN"/>
              </w:rPr>
              <w:t>导热油炉</w:t>
            </w:r>
            <w:r>
              <w:rPr>
                <w:rFonts w:hint="default" w:ascii="Times New Roman" w:hAnsi="Times New Roman" w:eastAsia="宋体" w:cs="Times New Roman"/>
                <w:sz w:val="24"/>
                <w:szCs w:val="24"/>
                <w:u w:val="none" w:color="auto"/>
                <w:lang w:val="en-US" w:eastAsia="zh-CN"/>
              </w:rPr>
              <w:t>给现有工程</w:t>
            </w:r>
            <w:r>
              <w:rPr>
                <w:rFonts w:hint="eastAsia" w:ascii="Times New Roman" w:hAnsi="Times New Roman" w:eastAsia="宋体" w:cs="Times New Roman"/>
                <w:sz w:val="24"/>
                <w:szCs w:val="24"/>
                <w:u w:val="none" w:color="auto"/>
                <w:lang w:val="en-US" w:eastAsia="zh-CN"/>
              </w:rPr>
              <w:t>半成品进行烘干</w:t>
            </w:r>
            <w:r>
              <w:rPr>
                <w:rFonts w:hint="default" w:ascii="Times New Roman" w:hAnsi="Times New Roman" w:eastAsia="宋体" w:cs="Times New Roman"/>
                <w:sz w:val="24"/>
                <w:szCs w:val="24"/>
                <w:u w:val="none" w:color="auto"/>
                <w:lang w:val="en-US" w:eastAsia="zh-CN"/>
              </w:rPr>
              <w:t>，为现有工程配套设施</w:t>
            </w:r>
            <w:r>
              <w:rPr>
                <w:rFonts w:hint="default" w:ascii="Times New Roman" w:hAnsi="Times New Roman" w:eastAsia="宋体" w:cs="Times New Roman"/>
                <w:sz w:val="24"/>
                <w:szCs w:val="24"/>
                <w:u w:val="none" w:color="auto"/>
              </w:rPr>
              <w:t>，符合</w:t>
            </w:r>
            <w:r>
              <w:rPr>
                <w:rFonts w:hint="default" w:ascii="Times New Roman" w:hAnsi="Times New Roman" w:eastAsia="宋体" w:cs="Times New Roman"/>
                <w:sz w:val="24"/>
                <w:szCs w:val="24"/>
                <w:u w:val="none" w:color="auto"/>
                <w:lang w:val="en-US" w:eastAsia="zh-CN"/>
              </w:rPr>
              <w:t>石伏</w:t>
            </w:r>
            <w:r>
              <w:rPr>
                <w:rFonts w:hint="default" w:ascii="Times New Roman" w:hAnsi="Times New Roman" w:eastAsia="宋体" w:cs="Times New Roman"/>
                <w:sz w:val="24"/>
                <w:szCs w:val="24"/>
                <w:u w:val="none" w:color="auto"/>
              </w:rPr>
              <w:t>工业片区的主导产业要求。本项目</w:t>
            </w:r>
            <w:r>
              <w:rPr>
                <w:rFonts w:hint="default" w:ascii="Times New Roman" w:hAnsi="Times New Roman" w:eastAsia="宋体" w:cs="Times New Roman"/>
                <w:sz w:val="24"/>
                <w:szCs w:val="24"/>
                <w:u w:val="none" w:color="auto"/>
                <w:lang w:val="en-US" w:eastAsia="zh-CN"/>
              </w:rPr>
              <w:t>虽</w:t>
            </w:r>
            <w:r>
              <w:rPr>
                <w:rFonts w:hint="default" w:ascii="Times New Roman" w:hAnsi="Times New Roman" w:eastAsia="宋体" w:cs="Times New Roman"/>
                <w:sz w:val="24"/>
                <w:szCs w:val="24"/>
                <w:u w:val="none" w:color="auto"/>
              </w:rPr>
              <w:t>属于石伏片区内，</w:t>
            </w:r>
            <w:r>
              <w:rPr>
                <w:rFonts w:hint="default" w:ascii="Times New Roman" w:hAnsi="Times New Roman" w:eastAsia="宋体" w:cs="Times New Roman"/>
                <w:sz w:val="24"/>
                <w:szCs w:val="24"/>
                <w:u w:val="none" w:color="auto"/>
                <w:lang w:val="en-US" w:eastAsia="zh-CN"/>
              </w:rPr>
              <w:t>但不</w:t>
            </w:r>
            <w:r>
              <w:rPr>
                <w:rFonts w:hint="default" w:ascii="Times New Roman" w:hAnsi="Times New Roman" w:eastAsia="宋体" w:cs="Times New Roman"/>
                <w:sz w:val="24"/>
                <w:szCs w:val="24"/>
                <w:u w:val="none" w:color="auto"/>
              </w:rPr>
              <w:t xml:space="preserve">涉及中国圆田螺水产种质资源保护区实验区。 </w:t>
            </w:r>
          </w:p>
          <w:p w14:paraId="421B0A33">
            <w:pPr>
              <w:autoSpaceDE w:val="0"/>
              <w:autoSpaceDN w:val="0"/>
              <w:adjustRightInd w:val="0"/>
              <w:snapToGrid w:val="0"/>
              <w:spacing w:line="360" w:lineRule="auto"/>
              <w:ind w:firstLine="480" w:firstLineChars="200"/>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sz w:val="24"/>
                <w:szCs w:val="24"/>
                <w:u w:val="none" w:color="auto"/>
              </w:rPr>
              <w:t>根据《湖南省人民政府关于实施“三线一单”生态环境分区管控 的意见》(湘政发〔2020〕12号)和《湖南省“三线一单”生态环境总体管控要求暨省级以上产业园区生态环境准入清单》（2020年9月），本项目所在华容高新技术产业开发区是省级工业园区，属于重点管控单元，环境管控单元编码为ZH43062320002。具体分析见表1-</w:t>
            </w:r>
            <w:r>
              <w:rPr>
                <w:rFonts w:hint="eastAsia" w:ascii="Times New Roman" w:hAnsi="Times New Roman" w:eastAsia="宋体" w:cs="Times New Roman"/>
                <w:sz w:val="24"/>
                <w:szCs w:val="24"/>
                <w:u w:val="none" w:color="auto"/>
                <w:lang w:val="en-US" w:eastAsia="zh-CN"/>
              </w:rPr>
              <w:t>4</w:t>
            </w:r>
            <w:r>
              <w:rPr>
                <w:rFonts w:hint="default" w:ascii="Times New Roman" w:hAnsi="Times New Roman" w:eastAsia="宋体" w:cs="Times New Roman"/>
                <w:sz w:val="24"/>
                <w:szCs w:val="24"/>
                <w:u w:val="none" w:color="auto"/>
              </w:rPr>
              <w:t>。</w:t>
            </w:r>
          </w:p>
          <w:p w14:paraId="56AADFD0">
            <w:pPr>
              <w:autoSpaceDE w:val="0"/>
              <w:autoSpaceDN w:val="0"/>
              <w:adjustRightInd w:val="0"/>
              <w:snapToGrid w:val="0"/>
              <w:ind w:firstLine="442" w:firstLineChars="200"/>
              <w:jc w:val="center"/>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lang w:eastAsia="zh-CN"/>
              </w:rPr>
              <w:t>表</w:t>
            </w:r>
            <w:r>
              <w:rPr>
                <w:rFonts w:hint="default" w:ascii="Times New Roman" w:hAnsi="Times New Roman" w:eastAsia="宋体" w:cs="Times New Roman"/>
                <w:b/>
                <w:bCs/>
                <w:color w:val="auto"/>
                <w:kern w:val="0"/>
                <w:sz w:val="22"/>
                <w:szCs w:val="22"/>
                <w:u w:val="none" w:color="auto"/>
                <w:lang w:val="en-US" w:eastAsia="zh-CN"/>
              </w:rPr>
              <w:t>1-</w:t>
            </w:r>
            <w:r>
              <w:rPr>
                <w:rFonts w:hint="eastAsia" w:ascii="Times New Roman" w:hAnsi="Times New Roman" w:eastAsia="宋体" w:cs="Times New Roman"/>
                <w:b/>
                <w:bCs/>
                <w:color w:val="auto"/>
                <w:kern w:val="0"/>
                <w:sz w:val="22"/>
                <w:szCs w:val="22"/>
                <w:u w:val="none" w:color="auto"/>
                <w:lang w:val="en-US" w:eastAsia="zh-CN"/>
              </w:rPr>
              <w:t>4</w:t>
            </w:r>
            <w:r>
              <w:rPr>
                <w:rFonts w:hint="default" w:ascii="Times New Roman" w:hAnsi="Times New Roman" w:eastAsia="宋体" w:cs="Times New Roman"/>
                <w:b/>
                <w:bCs/>
                <w:color w:val="auto"/>
                <w:kern w:val="0"/>
                <w:sz w:val="22"/>
                <w:szCs w:val="22"/>
                <w:u w:val="none" w:color="auto"/>
                <w:lang w:val="en-US" w:eastAsia="zh-CN"/>
              </w:rPr>
              <w:t xml:space="preserve"> </w:t>
            </w:r>
            <w:r>
              <w:rPr>
                <w:rFonts w:hint="default" w:ascii="Times New Roman" w:hAnsi="Times New Roman" w:eastAsia="宋体" w:cs="Times New Roman"/>
                <w:b/>
                <w:bCs/>
                <w:color w:val="auto"/>
                <w:kern w:val="0"/>
                <w:sz w:val="22"/>
                <w:szCs w:val="22"/>
                <w:u w:val="none" w:color="auto"/>
                <w:lang w:eastAsia="zh-CN"/>
              </w:rPr>
              <w:t>湖</w:t>
            </w:r>
            <w:r>
              <w:rPr>
                <w:rFonts w:hint="default" w:ascii="Times New Roman" w:hAnsi="Times New Roman" w:eastAsia="宋体" w:cs="Times New Roman"/>
                <w:b/>
                <w:bCs/>
                <w:color w:val="auto"/>
                <w:kern w:val="0"/>
                <w:sz w:val="22"/>
                <w:szCs w:val="22"/>
                <w:u w:val="none" w:color="auto"/>
              </w:rPr>
              <w:t>南省“三线一单”生态环境总体管控要求暨省级以上产业园区生态环境准入清单》相符性分析</w:t>
            </w:r>
          </w:p>
          <w:tbl>
            <w:tblPr>
              <w:tblStyle w:val="26"/>
              <w:tblW w:w="6622" w:type="dxa"/>
              <w:tblInd w:w="-6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65"/>
              <w:gridCol w:w="1999"/>
              <w:gridCol w:w="658"/>
            </w:tblGrid>
            <w:tr w14:paraId="09FCA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65" w:type="dxa"/>
                  <w:tcBorders>
                    <w:tl2br w:val="nil"/>
                    <w:tr2bl w:val="nil"/>
                  </w:tcBorders>
                  <w:noWrap w:val="0"/>
                  <w:vAlign w:val="center"/>
                </w:tcPr>
                <w:p w14:paraId="15D297F7">
                  <w:pPr>
                    <w:jc w:val="left"/>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z w:val="21"/>
                      <w:szCs w:val="21"/>
                      <w:u w:val="none" w:color="auto"/>
                    </w:rPr>
                    <w:t>文件要求</w:t>
                  </w:r>
                </w:p>
              </w:tc>
              <w:tc>
                <w:tcPr>
                  <w:tcW w:w="1999" w:type="dxa"/>
                  <w:tcBorders>
                    <w:tl2br w:val="nil"/>
                    <w:tr2bl w:val="nil"/>
                  </w:tcBorders>
                  <w:noWrap w:val="0"/>
                  <w:vAlign w:val="center"/>
                </w:tcPr>
                <w:p w14:paraId="131F2F94">
                  <w:pPr>
                    <w:jc w:val="left"/>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z w:val="21"/>
                      <w:szCs w:val="21"/>
                      <w:u w:val="none" w:color="auto"/>
                    </w:rPr>
                    <w:t>本项目</w:t>
                  </w:r>
                </w:p>
              </w:tc>
              <w:tc>
                <w:tcPr>
                  <w:tcW w:w="658" w:type="dxa"/>
                  <w:tcBorders>
                    <w:tl2br w:val="nil"/>
                    <w:tr2bl w:val="nil"/>
                  </w:tcBorders>
                  <w:noWrap w:val="0"/>
                  <w:vAlign w:val="center"/>
                </w:tcPr>
                <w:p w14:paraId="5D86E52B">
                  <w:pPr>
                    <w:jc w:val="center"/>
                    <w:rPr>
                      <w:rFonts w:hint="default" w:ascii="Times New Roman" w:hAnsi="Times New Roman" w:eastAsia="宋体" w:cs="Times New Roman"/>
                      <w:b/>
                      <w:bCs/>
                      <w:color w:val="auto"/>
                      <w:sz w:val="21"/>
                      <w:szCs w:val="21"/>
                      <w:u w:val="none" w:color="auto"/>
                    </w:rPr>
                  </w:pPr>
                  <w:r>
                    <w:rPr>
                      <w:rFonts w:hint="default" w:ascii="Times New Roman" w:hAnsi="Times New Roman" w:eastAsia="宋体" w:cs="Times New Roman"/>
                      <w:b/>
                      <w:bCs/>
                      <w:color w:val="auto"/>
                      <w:sz w:val="21"/>
                      <w:szCs w:val="21"/>
                      <w:u w:val="none" w:color="auto"/>
                    </w:rPr>
                    <w:t>符合性</w:t>
                  </w:r>
                </w:p>
              </w:tc>
            </w:tr>
            <w:tr w14:paraId="3AABF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965" w:type="dxa"/>
                  <w:tcBorders>
                    <w:tl2br w:val="nil"/>
                    <w:tr2bl w:val="nil"/>
                  </w:tcBorders>
                  <w:noWrap w:val="0"/>
                  <w:vAlign w:val="center"/>
                </w:tcPr>
                <w:p w14:paraId="0D240436">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华容工业集中区主导产业为“湘发改地区(2012)1374号:以纺织服装农副食品加工、医药卫材等产业为主的特色综合型工业集中区。潮环评函(2014)58号:洪山头工业片区，以机械制造业、石材、建筑新材料三大产业为主，配套发展能源产业下游产品及手工业等劳动密集型产业;石伏工业片区，以棉花加工的纺织产业为主，配套发展服装等下游产业。六部委公告2018年第4号:纺织服装、食品医药。”</w:t>
                  </w:r>
                </w:p>
              </w:tc>
              <w:tc>
                <w:tcPr>
                  <w:tcW w:w="1999" w:type="dxa"/>
                  <w:tcBorders>
                    <w:tl2br w:val="nil"/>
                    <w:tr2bl w:val="nil"/>
                  </w:tcBorders>
                  <w:noWrap w:val="0"/>
                  <w:vAlign w:val="center"/>
                </w:tcPr>
                <w:p w14:paraId="709167FB">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本项目位于华容高新技术产业开发区（2021年4月，湖南省人民政府批准华容工业集中区升级为“华容高新技术产业开发区”）</w:t>
                  </w:r>
                  <w:r>
                    <w:rPr>
                      <w:rFonts w:hint="default" w:ascii="Times New Roman" w:hAnsi="Times New Roman" w:eastAsia="宋体" w:cs="Times New Roman"/>
                      <w:color w:val="auto"/>
                      <w:sz w:val="21"/>
                      <w:szCs w:val="21"/>
                      <w:u w:val="none" w:color="auto"/>
                      <w:lang w:val="en-US" w:eastAsia="zh-CN"/>
                    </w:rPr>
                    <w:t>石伏</w:t>
                  </w:r>
                  <w:r>
                    <w:rPr>
                      <w:rFonts w:hint="default" w:ascii="Times New Roman" w:hAnsi="Times New Roman" w:eastAsia="宋体" w:cs="Times New Roman"/>
                      <w:color w:val="auto"/>
                      <w:sz w:val="21"/>
                      <w:szCs w:val="21"/>
                      <w:u w:val="none" w:color="auto"/>
                      <w:lang w:eastAsia="zh-CN"/>
                    </w:rPr>
                    <w:t>工业片区内，属于</w:t>
                  </w:r>
                  <w:r>
                    <w:rPr>
                      <w:rFonts w:hint="default" w:ascii="Times New Roman" w:hAnsi="Times New Roman" w:eastAsia="宋体" w:cs="Times New Roman"/>
                      <w:color w:val="auto"/>
                      <w:sz w:val="21"/>
                      <w:szCs w:val="21"/>
                      <w:u w:val="none" w:color="auto"/>
                      <w:lang w:val="en-US" w:eastAsia="zh-CN"/>
                    </w:rPr>
                    <w:t>热力生产与供应行业</w:t>
                  </w: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主要</w:t>
                  </w:r>
                  <w:r>
                    <w:rPr>
                      <w:rFonts w:hint="default" w:ascii="Times New Roman" w:hAnsi="Times New Roman" w:eastAsia="宋体" w:cs="Times New Roman"/>
                      <w:color w:val="auto"/>
                      <w:u w:val="none" w:color="auto"/>
                      <w:lang w:val="en-US" w:eastAsia="zh-CN"/>
                    </w:rPr>
                    <w:t>采用</w:t>
                  </w:r>
                  <w:r>
                    <w:rPr>
                      <w:rFonts w:hint="eastAsia" w:cs="Times New Roman"/>
                      <w:color w:val="auto"/>
                      <w:u w:val="none" w:color="auto"/>
                      <w:lang w:val="en-US" w:eastAsia="zh-CN"/>
                    </w:rPr>
                    <w:t>15t/h</w:t>
                  </w:r>
                  <w:r>
                    <w:rPr>
                      <w:rFonts w:hint="default" w:ascii="Times New Roman" w:hAnsi="Times New Roman" w:eastAsia="宋体" w:cs="Times New Roman"/>
                      <w:color w:val="auto"/>
                      <w:u w:val="none" w:color="auto"/>
                      <w:lang w:val="en-US" w:eastAsia="zh-CN"/>
                    </w:rPr>
                    <w:t>生物质锅炉给现有工程</w:t>
                  </w:r>
                  <w:r>
                    <w:rPr>
                      <w:rFonts w:hint="default" w:ascii="Times New Roman" w:hAnsi="Times New Roman" w:eastAsia="宋体" w:cs="Times New Roman"/>
                      <w:color w:val="auto"/>
                      <w:u w:val="none" w:color="auto"/>
                    </w:rPr>
                    <w:t>蒸汽供给</w:t>
                  </w:r>
                  <w:r>
                    <w:rPr>
                      <w:rFonts w:hint="eastAsia" w:cs="Times New Roman"/>
                      <w:color w:val="auto"/>
                      <w:u w:val="none" w:color="auto"/>
                      <w:lang w:val="en-US" w:eastAsia="zh-CN"/>
                    </w:rPr>
                    <w:t>以及采用4t/h</w:t>
                  </w:r>
                  <w:r>
                    <w:rPr>
                      <w:rFonts w:hint="default" w:ascii="Times New Roman" w:hAnsi="Times New Roman" w:eastAsia="宋体" w:cs="Times New Roman"/>
                      <w:color w:val="auto"/>
                      <w:u w:val="none" w:color="auto"/>
                      <w:lang w:val="en-US" w:eastAsia="zh-CN"/>
                    </w:rPr>
                    <w:t>生物质</w:t>
                  </w:r>
                  <w:r>
                    <w:rPr>
                      <w:rFonts w:hint="eastAsia" w:cs="Times New Roman"/>
                      <w:color w:val="auto"/>
                      <w:u w:val="none" w:color="auto"/>
                      <w:lang w:val="en-US" w:eastAsia="zh-CN"/>
                    </w:rPr>
                    <w:t>导热油炉</w:t>
                  </w:r>
                  <w:r>
                    <w:rPr>
                      <w:rFonts w:hint="default" w:ascii="Times New Roman" w:hAnsi="Times New Roman" w:eastAsia="宋体" w:cs="Times New Roman"/>
                      <w:color w:val="auto"/>
                      <w:u w:val="none" w:color="auto"/>
                      <w:lang w:val="en-US" w:eastAsia="zh-CN"/>
                    </w:rPr>
                    <w:t>给现有工程</w:t>
                  </w:r>
                  <w:r>
                    <w:rPr>
                      <w:rFonts w:hint="eastAsia" w:cs="Times New Roman"/>
                      <w:color w:val="auto"/>
                      <w:u w:val="none" w:color="auto"/>
                      <w:lang w:val="en-US" w:eastAsia="zh-CN"/>
                    </w:rPr>
                    <w:t>半成品进行烘干</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sz w:val="21"/>
                      <w:szCs w:val="21"/>
                      <w:u w:val="none" w:color="auto"/>
                      <w:lang w:val="en-US" w:eastAsia="zh-CN"/>
                    </w:rPr>
                    <w:t>为现有工程配套设施</w:t>
                  </w:r>
                  <w:r>
                    <w:rPr>
                      <w:rFonts w:hint="default" w:ascii="Times New Roman" w:hAnsi="Times New Roman" w:eastAsia="宋体" w:cs="Times New Roman"/>
                      <w:color w:val="auto"/>
                      <w:sz w:val="21"/>
                      <w:szCs w:val="21"/>
                      <w:u w:val="none" w:color="auto"/>
                      <w:lang w:eastAsia="zh-CN"/>
                    </w:rPr>
                    <w:t>，符合</w:t>
                  </w:r>
                  <w:r>
                    <w:rPr>
                      <w:rFonts w:hint="default" w:ascii="Times New Roman" w:hAnsi="Times New Roman" w:eastAsia="宋体" w:cs="Times New Roman"/>
                      <w:color w:val="auto"/>
                      <w:sz w:val="21"/>
                      <w:szCs w:val="21"/>
                      <w:u w:val="none" w:color="auto"/>
                      <w:lang w:val="en-US" w:eastAsia="zh-CN"/>
                    </w:rPr>
                    <w:t>石伏</w:t>
                  </w:r>
                  <w:r>
                    <w:rPr>
                      <w:rFonts w:hint="default" w:ascii="Times New Roman" w:hAnsi="Times New Roman" w:eastAsia="宋体" w:cs="Times New Roman"/>
                      <w:color w:val="auto"/>
                      <w:sz w:val="21"/>
                      <w:szCs w:val="21"/>
                      <w:u w:val="none" w:color="auto"/>
                      <w:lang w:eastAsia="zh-CN"/>
                    </w:rPr>
                    <w:t>工业片区的主导产业要求。</w:t>
                  </w:r>
                </w:p>
              </w:tc>
              <w:tc>
                <w:tcPr>
                  <w:tcW w:w="658" w:type="dxa"/>
                  <w:tcBorders>
                    <w:tl2br w:val="nil"/>
                    <w:tr2bl w:val="nil"/>
                  </w:tcBorders>
                  <w:noWrap w:val="0"/>
                  <w:vAlign w:val="center"/>
                </w:tcPr>
                <w:p w14:paraId="2E4A7D74">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符合要求</w:t>
                  </w:r>
                </w:p>
              </w:tc>
            </w:tr>
            <w:tr w14:paraId="0C381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65" w:type="dxa"/>
                  <w:tcBorders>
                    <w:tl2br w:val="nil"/>
                    <w:tr2bl w:val="nil"/>
                  </w:tcBorders>
                  <w:noWrap w:val="0"/>
                  <w:vAlign w:val="center"/>
                </w:tcPr>
                <w:p w14:paraId="6DA100DB">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 xml:space="preserve">空间布局约束： </w:t>
                  </w:r>
                </w:p>
                <w:p w14:paraId="4BC72904">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（1.4）石伏片区不得引进和建设印染类项目。</w:t>
                  </w:r>
                </w:p>
              </w:tc>
              <w:tc>
                <w:tcPr>
                  <w:tcW w:w="1999" w:type="dxa"/>
                  <w:tcBorders>
                    <w:tl2br w:val="nil"/>
                    <w:tr2bl w:val="nil"/>
                  </w:tcBorders>
                  <w:noWrap w:val="0"/>
                  <w:vAlign w:val="top"/>
                </w:tcPr>
                <w:p w14:paraId="38251183">
                  <w:pPr>
                    <w:jc w:val="left"/>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（1.4）本项目不属于</w:t>
                  </w:r>
                  <w:r>
                    <w:rPr>
                      <w:rFonts w:hint="default" w:ascii="Times New Roman" w:hAnsi="Times New Roman" w:eastAsia="宋体" w:cs="Times New Roman"/>
                      <w:color w:val="auto"/>
                      <w:sz w:val="21"/>
                      <w:szCs w:val="21"/>
                      <w:u w:val="none" w:color="auto"/>
                      <w:lang w:eastAsia="zh-CN"/>
                    </w:rPr>
                    <w:t>印染类项目</w:t>
                  </w:r>
                </w:p>
              </w:tc>
              <w:tc>
                <w:tcPr>
                  <w:tcW w:w="658" w:type="dxa"/>
                  <w:tcBorders>
                    <w:tl2br w:val="nil"/>
                    <w:tr2bl w:val="nil"/>
                  </w:tcBorders>
                  <w:noWrap w:val="0"/>
                  <w:vAlign w:val="center"/>
                </w:tcPr>
                <w:p w14:paraId="197DE9B8">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符合要求</w:t>
                  </w:r>
                </w:p>
              </w:tc>
            </w:tr>
            <w:tr w14:paraId="3A86F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65" w:type="dxa"/>
                  <w:tcBorders>
                    <w:tl2br w:val="nil"/>
                    <w:tr2bl w:val="nil"/>
                  </w:tcBorders>
                  <w:noWrap w:val="0"/>
                  <w:vAlign w:val="center"/>
                </w:tcPr>
                <w:p w14:paraId="111EB278">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 xml:space="preserve">污染物排放管控： </w:t>
                  </w:r>
                </w:p>
                <w:p w14:paraId="4C360638">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2.1）废水：排水实施雨污分流。三封工业片区内工业废水、生活污水经三封污水处理厂处理达标后外排华洪运河；石伏工业片区废污水依托桥东污水处理厂进行园区废水集中处理；洪山头工业片区废污水经砖桥污水处理厂处理达标后排入长江。加快洪山头片区企业、污水处理厂排水及配套管网同步建设。</w:t>
                  </w:r>
                </w:p>
                <w:p w14:paraId="0B167B6A">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2.2）废气：工业集中区企业有工艺废气产出的生产节点，须督促其配置废气收集与处理净化装置，经处理达到相应标准；加强生产工业研究与技术改进，采取有效措施，减少工艺废气的无组织排放；划分网格点并安装空气监测小微站。 （2.3）工业集中区内相关行业及锅炉废气污染物排放满足《湖南省生态环境厅关于执行污染物特别排放限值（第一批）的公告》中的要求。</w:t>
                  </w:r>
                </w:p>
                <w:p w14:paraId="5DB0040D">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（2.4）固废：做好园区工业固体废物和生活垃圾的分类收集、转运，综合利用和无害化处理，建立统一的固废收集、贮存、运输、综 合利用和安全处置的运营管理体系。推行清洁生产，减少固体废物产生量；加强固体废物的资源化进程，提高综合利用率；规范固体废物处理措施，对工业企业产生的固体废物特别是危险废物应按国家有关规定综合利用或妥善处置，严防二次污染。</w:t>
                  </w:r>
                </w:p>
              </w:tc>
              <w:tc>
                <w:tcPr>
                  <w:tcW w:w="1999" w:type="dxa"/>
                  <w:tcBorders>
                    <w:tl2br w:val="nil"/>
                    <w:tr2bl w:val="nil"/>
                  </w:tcBorders>
                  <w:noWrap w:val="0"/>
                  <w:vAlign w:val="center"/>
                </w:tcPr>
                <w:p w14:paraId="50173488">
                  <w:pPr>
                    <w:jc w:val="left"/>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2.1</w:t>
                  </w:r>
                  <w:r>
                    <w:rPr>
                      <w:rFonts w:hint="default" w:ascii="Times New Roman" w:hAnsi="Times New Roman" w:eastAsia="宋体" w:cs="Times New Roman"/>
                      <w:color w:val="auto"/>
                      <w:sz w:val="21"/>
                      <w:szCs w:val="21"/>
                      <w:u w:val="none" w:color="auto"/>
                      <w:lang w:eastAsia="zh-CN"/>
                    </w:rPr>
                    <w:t>）本项目厂区废水实行雨污分流，</w:t>
                  </w:r>
                  <w:r>
                    <w:rPr>
                      <w:rFonts w:hint="default" w:ascii="Times New Roman" w:hAnsi="Times New Roman" w:eastAsia="宋体" w:cs="Times New Roman"/>
                      <w:color w:val="auto"/>
                      <w:sz w:val="21"/>
                      <w:szCs w:val="21"/>
                      <w:u w:val="none" w:color="auto"/>
                      <w:lang w:val="en-US" w:eastAsia="zh-CN"/>
                    </w:rPr>
                    <w:t>本项目锅炉排污水经现有沉淀池沉淀后用于除尘，不外排；</w:t>
                  </w:r>
                </w:p>
                <w:p w14:paraId="1D45F58F">
                  <w:pPr>
                    <w:jc w:val="left"/>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2.2</w:t>
                  </w:r>
                  <w:r>
                    <w:rPr>
                      <w:rFonts w:hint="default" w:ascii="Times New Roman" w:hAnsi="Times New Roman" w:eastAsia="宋体" w:cs="Times New Roman"/>
                      <w:color w:val="auto"/>
                      <w:sz w:val="21"/>
                      <w:szCs w:val="21"/>
                      <w:u w:val="none" w:color="auto"/>
                      <w:lang w:eastAsia="zh-CN"/>
                    </w:rPr>
                    <w:t>）项目</w:t>
                  </w:r>
                  <w:r>
                    <w:rPr>
                      <w:rFonts w:hint="eastAsia" w:cs="Times New Roman"/>
                      <w:color w:val="auto"/>
                      <w:sz w:val="21"/>
                      <w:szCs w:val="21"/>
                      <w:u w:val="none" w:color="auto"/>
                      <w:lang w:val="en-US" w:eastAsia="zh-CN"/>
                    </w:rPr>
                    <w:t>新增一台15t/h</w:t>
                  </w:r>
                  <w:r>
                    <w:rPr>
                      <w:rFonts w:hint="default" w:ascii="Times New Roman" w:hAnsi="Times New Roman" w:eastAsia="宋体" w:cs="Times New Roman"/>
                      <w:color w:val="auto"/>
                      <w:sz w:val="21"/>
                      <w:szCs w:val="21"/>
                      <w:u w:val="none" w:color="auto"/>
                      <w:lang w:val="en-US" w:eastAsia="zh-CN"/>
                    </w:rPr>
                    <w:t>锅炉废气</w:t>
                  </w:r>
                  <w:r>
                    <w:rPr>
                      <w:rFonts w:hint="default" w:ascii="Times New Roman" w:hAnsi="Times New Roman" w:eastAsia="宋体" w:cs="Times New Roman"/>
                      <w:color w:val="auto"/>
                      <w:sz w:val="21"/>
                      <w:szCs w:val="21"/>
                      <w:u w:val="none" w:color="auto"/>
                      <w:lang w:eastAsia="zh-CN"/>
                    </w:rPr>
                    <w:t>经</w:t>
                  </w:r>
                  <w:r>
                    <w:rPr>
                      <w:rFonts w:hint="default" w:ascii="Times New Roman" w:hAnsi="Times New Roman" w:eastAsia="宋体" w:cs="Times New Roman"/>
                      <w:color w:val="auto"/>
                      <w:sz w:val="21"/>
                      <w:szCs w:val="21"/>
                      <w:u w:val="none" w:color="auto"/>
                      <w:lang w:val="en-US" w:eastAsia="zh-CN"/>
                    </w:rPr>
                    <w:t>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脱硫塔后经43m高排气筒排放</w:t>
                  </w:r>
                  <w:r>
                    <w:rPr>
                      <w:rFonts w:hint="eastAsia" w:cs="Times New Roman"/>
                      <w:color w:val="auto"/>
                      <w:sz w:val="21"/>
                      <w:szCs w:val="21"/>
                      <w:u w:val="none" w:color="auto"/>
                      <w:lang w:val="en-US" w:eastAsia="zh-CN"/>
                    </w:rPr>
                    <w:t>，新增一台4t/h导热油炉</w:t>
                  </w:r>
                  <w:r>
                    <w:rPr>
                      <w:rFonts w:hint="default" w:ascii="Times New Roman" w:hAnsi="Times New Roman" w:eastAsia="宋体" w:cs="Times New Roman"/>
                      <w:color w:val="auto"/>
                      <w:sz w:val="21"/>
                      <w:szCs w:val="21"/>
                      <w:u w:val="none" w:color="auto"/>
                      <w:lang w:val="en-US" w:eastAsia="zh-CN"/>
                    </w:rPr>
                    <w:t>废气</w:t>
                  </w:r>
                  <w:r>
                    <w:rPr>
                      <w:rFonts w:hint="default" w:ascii="Times New Roman" w:hAnsi="Times New Roman" w:eastAsia="宋体" w:cs="Times New Roman"/>
                      <w:color w:val="auto"/>
                      <w:sz w:val="21"/>
                      <w:szCs w:val="21"/>
                      <w:u w:val="none" w:color="auto"/>
                      <w:lang w:eastAsia="zh-CN"/>
                    </w:rPr>
                    <w:t>经</w:t>
                  </w:r>
                  <w:r>
                    <w:rPr>
                      <w:rFonts w:hint="default" w:ascii="Times New Roman" w:hAnsi="Times New Roman" w:eastAsia="宋体" w:cs="Times New Roman"/>
                      <w:color w:val="auto"/>
                      <w:sz w:val="21"/>
                      <w:szCs w:val="21"/>
                      <w:u w:val="none" w:color="auto"/>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脱硫塔后经</w:t>
                  </w:r>
                  <w:r>
                    <w:rPr>
                      <w:rFonts w:hint="eastAsia" w:cs="Times New Roman"/>
                      <w:color w:val="auto"/>
                      <w:sz w:val="21"/>
                      <w:szCs w:val="21"/>
                      <w:u w:val="none" w:color="auto"/>
                      <w:lang w:val="en-US" w:eastAsia="zh-CN"/>
                    </w:rPr>
                    <w:t>38m</w:t>
                  </w:r>
                  <w:r>
                    <w:rPr>
                      <w:rFonts w:hint="default" w:ascii="Times New Roman" w:hAnsi="Times New Roman" w:eastAsia="宋体" w:cs="Times New Roman"/>
                      <w:color w:val="auto"/>
                      <w:sz w:val="21"/>
                      <w:szCs w:val="21"/>
                      <w:u w:val="none" w:color="auto"/>
                      <w:lang w:val="en-US" w:eastAsia="zh-CN"/>
                    </w:rPr>
                    <w:t>高排气筒排放；</w:t>
                  </w:r>
                </w:p>
                <w:p w14:paraId="064F5688">
                  <w:pPr>
                    <w:jc w:val="left"/>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（2.3）锅炉废气排放浓度可满足</w:t>
                  </w:r>
                  <w:r>
                    <w:rPr>
                      <w:rFonts w:hint="default" w:ascii="Times New Roman" w:hAnsi="Times New Roman" w:eastAsia="宋体" w:cs="Times New Roman"/>
                      <w:color w:val="auto"/>
                      <w:sz w:val="21"/>
                      <w:szCs w:val="21"/>
                      <w:u w:val="none" w:color="auto"/>
                      <w:lang w:eastAsia="zh-CN"/>
                    </w:rPr>
                    <w:t>《湖南省生态环境厅关于执行污染物特别排放限值（第一批）的公告》中的要求。</w:t>
                  </w:r>
                </w:p>
                <w:p w14:paraId="6619CD18">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val="en-US" w:eastAsia="zh-CN"/>
                    </w:rPr>
                    <w:t>（2.4）项目</w:t>
                  </w:r>
                  <w:r>
                    <w:rPr>
                      <w:rFonts w:hint="default" w:ascii="Times New Roman" w:hAnsi="Times New Roman" w:eastAsia="宋体" w:cs="Times New Roman"/>
                      <w:color w:val="auto"/>
                      <w:sz w:val="21"/>
                      <w:szCs w:val="21"/>
                      <w:u w:val="none" w:color="auto"/>
                      <w:lang w:eastAsia="zh-CN"/>
                    </w:rPr>
                    <w:t>各类固废均能得到妥善处置。</w:t>
                  </w:r>
                </w:p>
              </w:tc>
              <w:tc>
                <w:tcPr>
                  <w:tcW w:w="658" w:type="dxa"/>
                  <w:tcBorders>
                    <w:tl2br w:val="nil"/>
                    <w:tr2bl w:val="nil"/>
                  </w:tcBorders>
                  <w:noWrap w:val="0"/>
                  <w:vAlign w:val="center"/>
                </w:tcPr>
                <w:p w14:paraId="405292F0">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符合要求</w:t>
                  </w:r>
                </w:p>
              </w:tc>
            </w:tr>
            <w:tr w14:paraId="3E88F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65" w:type="dxa"/>
                  <w:tcBorders>
                    <w:tl2br w:val="nil"/>
                    <w:tr2bl w:val="nil"/>
                  </w:tcBorders>
                  <w:noWrap w:val="0"/>
                  <w:vAlign w:val="top"/>
                </w:tcPr>
                <w:p w14:paraId="1726FB69">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环境风险防控：</w:t>
                  </w:r>
                </w:p>
                <w:p w14:paraId="5285E401">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 xml:space="preserve">（3.1）集中区应建立健全环境风险防控体系，严格落实《华容工业集中区突发环境事件应急预案》中相关要求，严防突发环境事件发生，提高应急处置能力。 （3.2）园区可能发生突发环境事件的污染物排放企业，生产、储存、运输、使用危险化学品的企业，产生、收集、贮存、运输危险废物的企业应当编制和实施环境应急预案；鼓励其他企业制定单独的环境应急预案，或在突发事件应急预案中制定环境应急预案专章，并备案。 </w:t>
                  </w:r>
                </w:p>
                <w:p w14:paraId="6F24D6D1">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 xml:space="preserve">（3.3）建设用地土壤风险防控：对拟收回土地使用权的相关行业企业用地，以及用途拟变更为居住和商业、学校、医疗、养老机构等公共设施的企业用地开展土壤环境状况调查评估。 </w:t>
                  </w:r>
                </w:p>
                <w:p w14:paraId="3DD6D7AC">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（3.4）农用地土壤风险防控：拟开发为农用地的，地方人民政府组织开展土壤环境质量状况评估；不符合相应标准的，不得种植食用农产品。</w:t>
                  </w:r>
                </w:p>
              </w:tc>
              <w:tc>
                <w:tcPr>
                  <w:tcW w:w="1999" w:type="dxa"/>
                  <w:tcBorders>
                    <w:tl2br w:val="nil"/>
                    <w:tr2bl w:val="nil"/>
                  </w:tcBorders>
                  <w:noWrap w:val="0"/>
                  <w:vAlign w:val="center"/>
                </w:tcPr>
                <w:p w14:paraId="390BEF81">
                  <w:pPr>
                    <w:jc w:val="left"/>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3.1</w:t>
                  </w:r>
                  <w:r>
                    <w:rPr>
                      <w:rFonts w:hint="default" w:ascii="Times New Roman" w:hAnsi="Times New Roman" w:eastAsia="宋体" w:cs="Times New Roman"/>
                      <w:color w:val="auto"/>
                      <w:sz w:val="21"/>
                      <w:szCs w:val="21"/>
                      <w:u w:val="none" w:color="auto"/>
                      <w:lang w:eastAsia="zh-CN"/>
                    </w:rPr>
                    <w:t>）华容工业集中区建立有完善的环境风险防控体系，具有较高的应</w:t>
                  </w:r>
                  <w:r>
                    <w:rPr>
                      <w:rFonts w:hint="default" w:ascii="Times New Roman" w:hAnsi="Times New Roman" w:eastAsia="宋体" w:cs="Times New Roman"/>
                      <w:color w:val="auto"/>
                      <w:sz w:val="21"/>
                      <w:szCs w:val="21"/>
                      <w:highlight w:val="none"/>
                      <w:u w:val="none" w:color="auto"/>
                      <w:lang w:eastAsia="zh-CN"/>
                    </w:rPr>
                    <w:t>急处置能力</w:t>
                  </w:r>
                </w:p>
                <w:p w14:paraId="1661D073">
                  <w:pPr>
                    <w:jc w:val="left"/>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eastAsia="zh-CN"/>
                    </w:rPr>
                    <w:t>（</w:t>
                  </w:r>
                  <w:r>
                    <w:rPr>
                      <w:rFonts w:hint="default" w:ascii="Times New Roman" w:hAnsi="Times New Roman" w:eastAsia="宋体" w:cs="Times New Roman"/>
                      <w:color w:val="auto"/>
                      <w:sz w:val="21"/>
                      <w:szCs w:val="21"/>
                      <w:highlight w:val="none"/>
                      <w:u w:val="none" w:color="auto"/>
                      <w:lang w:val="en-US" w:eastAsia="zh-CN"/>
                    </w:rPr>
                    <w:t>3.2</w:t>
                  </w:r>
                  <w:r>
                    <w:rPr>
                      <w:rFonts w:hint="default" w:ascii="Times New Roman" w:hAnsi="Times New Roman" w:eastAsia="宋体" w:cs="Times New Roman"/>
                      <w:color w:val="auto"/>
                      <w:sz w:val="21"/>
                      <w:szCs w:val="21"/>
                      <w:highlight w:val="none"/>
                      <w:u w:val="none" w:color="auto"/>
                      <w:lang w:eastAsia="zh-CN"/>
                    </w:rPr>
                    <w:t>）本</w:t>
                  </w:r>
                  <w:r>
                    <w:rPr>
                      <w:rFonts w:hint="default" w:ascii="Times New Roman" w:hAnsi="Times New Roman" w:eastAsia="宋体" w:cs="Times New Roman"/>
                      <w:color w:val="auto"/>
                      <w:sz w:val="21"/>
                      <w:szCs w:val="21"/>
                      <w:highlight w:val="none"/>
                      <w:u w:val="none" w:color="auto"/>
                      <w:lang w:val="en-US" w:eastAsia="zh-CN"/>
                    </w:rPr>
                    <w:t>企业已</w:t>
                  </w:r>
                  <w:r>
                    <w:rPr>
                      <w:rFonts w:hint="default" w:ascii="Times New Roman" w:hAnsi="Times New Roman" w:eastAsia="宋体" w:cs="Times New Roman"/>
                      <w:color w:val="auto"/>
                      <w:highlight w:val="none"/>
                      <w:u w:val="none" w:color="auto"/>
                      <w:lang w:val="en-US" w:eastAsia="zh-CN"/>
                    </w:rPr>
                    <w:t>于2024年4月编制了《岳阳宝丽纺织品有限公司突发环境事件应急预案》，并于2024年4月22日取得了备案表（备案编号：430623-2024-008-L）</w:t>
                  </w:r>
                  <w:r>
                    <w:rPr>
                      <w:rFonts w:hint="default" w:ascii="Times New Roman" w:hAnsi="Times New Roman" w:eastAsia="宋体" w:cs="Times New Roman"/>
                      <w:color w:val="auto"/>
                      <w:sz w:val="21"/>
                      <w:szCs w:val="21"/>
                      <w:highlight w:val="none"/>
                      <w:u w:val="none" w:color="auto"/>
                      <w:lang w:eastAsia="zh-CN"/>
                    </w:rPr>
                    <w:t>。</w:t>
                  </w:r>
                </w:p>
                <w:p w14:paraId="236B09AC">
                  <w:pPr>
                    <w:jc w:val="left"/>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highlight w:val="none"/>
                      <w:u w:val="none" w:color="auto"/>
                      <w:lang w:eastAsia="zh-CN"/>
                    </w:rPr>
                    <w:t>（</w:t>
                  </w:r>
                  <w:r>
                    <w:rPr>
                      <w:rFonts w:hint="default" w:ascii="Times New Roman" w:hAnsi="Times New Roman" w:eastAsia="宋体" w:cs="Times New Roman"/>
                      <w:color w:val="auto"/>
                      <w:sz w:val="21"/>
                      <w:szCs w:val="21"/>
                      <w:highlight w:val="none"/>
                      <w:u w:val="none" w:color="auto"/>
                      <w:lang w:val="en-US" w:eastAsia="zh-CN"/>
                    </w:rPr>
                    <w:t>3.3</w:t>
                  </w:r>
                  <w:r>
                    <w:rPr>
                      <w:rFonts w:hint="default" w:ascii="Times New Roman" w:hAnsi="Times New Roman" w:eastAsia="宋体" w:cs="Times New Roman"/>
                      <w:color w:val="auto"/>
                      <w:sz w:val="21"/>
                      <w:szCs w:val="21"/>
                      <w:highlight w:val="none"/>
                      <w:u w:val="none" w:color="auto"/>
                      <w:lang w:eastAsia="zh-CN"/>
                    </w:rPr>
                    <w:t>）</w:t>
                  </w:r>
                  <w:r>
                    <w:rPr>
                      <w:rFonts w:hint="default" w:ascii="Times New Roman" w:hAnsi="Times New Roman" w:eastAsia="宋体" w:cs="Times New Roman"/>
                      <w:color w:val="auto"/>
                      <w:sz w:val="21"/>
                      <w:szCs w:val="21"/>
                      <w:highlight w:val="none"/>
                      <w:u w:val="none" w:color="auto"/>
                      <w:lang w:val="en-US" w:eastAsia="zh-CN"/>
                    </w:rPr>
                    <w:t>不涉及（3.4）不涉及</w:t>
                  </w:r>
                </w:p>
              </w:tc>
              <w:tc>
                <w:tcPr>
                  <w:tcW w:w="658" w:type="dxa"/>
                  <w:tcBorders>
                    <w:tl2br w:val="nil"/>
                    <w:tr2bl w:val="nil"/>
                  </w:tcBorders>
                  <w:noWrap w:val="0"/>
                  <w:vAlign w:val="center"/>
                </w:tcPr>
                <w:p w14:paraId="3F760E79">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符合要求</w:t>
                  </w:r>
                </w:p>
              </w:tc>
            </w:tr>
            <w:tr w14:paraId="26BD6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65" w:type="dxa"/>
                  <w:tcBorders>
                    <w:tl2br w:val="nil"/>
                    <w:tr2bl w:val="nil"/>
                  </w:tcBorders>
                  <w:noWrap w:val="0"/>
                  <w:vAlign w:val="top"/>
                </w:tcPr>
                <w:p w14:paraId="042ED943">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资源开发效率要求：</w:t>
                  </w:r>
                </w:p>
                <w:p w14:paraId="3E80C0CA">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(4.1)能源:区城内能源消费主要为电力、生物质颖粒。能源消耗预测情况如下:2020年区城年综合能耗消费量预测当量值为478200吨标煤，区城单位GDP能耗预测值为0.232吨标煤/万元，消费增量当量值控制在13000吨标煤;2025年区城年综合能耗消费量预测当量值为 590600吨标煤，区城单位GDP能耗预测值为 0.195吨标煤/万元，消费增量当量值控制在112400吨标煤。</w:t>
                  </w:r>
                </w:p>
                <w:p w14:paraId="7698CB9A">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(4.2)水资源:加强工业节水，重点开展相关工业行业节水技术改造，逐步淘汰高耗水的落后产能，积板推广工业水循环利用，支持引导企业开展水平衡测试，继续推进节水型企业、节水型工业园区建设。2020年，华容县万元国内生产总值用水量99立方米/万元，万元工业增加值用水量32立方米/万元。</w:t>
                  </w:r>
                </w:p>
                <w:p w14:paraId="4DEF7CB5">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(4.3)土地资源:以国家产业发展政策为导向，合理制定区城产业用地政策，优先保障主导产业发展用地，严禁向禁止类工业项目供地，严格控制限制类工业项目用地，重点支持发展与区城资源环境条件相适应的产业。纺织服装、医药卫材、通用设备制造投资强度拟定标准分别为150万元/亩、250万元/亩、270万元/亩。</w:t>
                  </w:r>
                </w:p>
              </w:tc>
              <w:tc>
                <w:tcPr>
                  <w:tcW w:w="1999" w:type="dxa"/>
                  <w:tcBorders>
                    <w:tl2br w:val="nil"/>
                    <w:tr2bl w:val="nil"/>
                  </w:tcBorders>
                  <w:noWrap w:val="0"/>
                  <w:vAlign w:val="center"/>
                </w:tcPr>
                <w:p w14:paraId="61166861">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4.1</w:t>
                  </w:r>
                  <w:r>
                    <w:rPr>
                      <w:rFonts w:hint="default" w:ascii="Times New Roman" w:hAnsi="Times New Roman" w:eastAsia="宋体" w:cs="Times New Roman"/>
                      <w:color w:val="auto"/>
                      <w:sz w:val="21"/>
                      <w:szCs w:val="21"/>
                      <w:u w:val="none" w:color="auto"/>
                      <w:lang w:eastAsia="zh-CN"/>
                    </w:rPr>
                    <w:t>）本项目使用的能源为</w:t>
                  </w:r>
                  <w:r>
                    <w:rPr>
                      <w:rFonts w:hint="default" w:ascii="Times New Roman" w:hAnsi="Times New Roman" w:eastAsia="宋体" w:cs="Times New Roman"/>
                      <w:color w:val="auto"/>
                      <w:sz w:val="21"/>
                      <w:szCs w:val="21"/>
                      <w:u w:val="none" w:color="auto"/>
                      <w:lang w:val="en-US" w:eastAsia="zh-CN"/>
                    </w:rPr>
                    <w:t>生物质燃料</w:t>
                  </w: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符合能源要求</w:t>
                  </w:r>
                  <w:r>
                    <w:rPr>
                      <w:rFonts w:hint="default" w:ascii="Times New Roman" w:hAnsi="Times New Roman" w:eastAsia="宋体" w:cs="Times New Roman"/>
                      <w:color w:val="auto"/>
                      <w:sz w:val="21"/>
                      <w:szCs w:val="21"/>
                      <w:u w:val="none" w:color="auto"/>
                      <w:lang w:eastAsia="zh-CN"/>
                    </w:rPr>
                    <w:t>；</w:t>
                  </w:r>
                </w:p>
                <w:p w14:paraId="122F9477">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4.2</w:t>
                  </w:r>
                  <w:r>
                    <w:rPr>
                      <w:rFonts w:hint="default" w:ascii="Times New Roman" w:hAnsi="Times New Roman" w:eastAsia="宋体" w:cs="Times New Roman"/>
                      <w:color w:val="auto"/>
                      <w:sz w:val="21"/>
                      <w:szCs w:val="21"/>
                      <w:u w:val="none" w:color="auto"/>
                      <w:lang w:eastAsia="zh-CN"/>
                    </w:rPr>
                    <w:t>）项目用水量小；</w:t>
                  </w:r>
                </w:p>
                <w:p w14:paraId="73E320F0">
                  <w:pPr>
                    <w:jc w:val="left"/>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4.3</w:t>
                  </w:r>
                  <w:r>
                    <w:rPr>
                      <w:rFonts w:hint="default" w:ascii="Times New Roman" w:hAnsi="Times New Roman" w:eastAsia="宋体" w:cs="Times New Roman"/>
                      <w:color w:val="auto"/>
                      <w:sz w:val="21"/>
                      <w:szCs w:val="21"/>
                      <w:u w:val="none" w:color="auto"/>
                      <w:lang w:eastAsia="zh-CN"/>
                    </w:rPr>
                    <w:t>）项目</w:t>
                  </w:r>
                  <w:r>
                    <w:rPr>
                      <w:rFonts w:hint="default" w:ascii="Times New Roman" w:hAnsi="Times New Roman" w:eastAsia="宋体" w:cs="Times New Roman"/>
                      <w:color w:val="auto"/>
                      <w:sz w:val="21"/>
                      <w:szCs w:val="21"/>
                      <w:u w:val="none" w:color="auto"/>
                      <w:lang w:val="en-US" w:eastAsia="zh-CN"/>
                    </w:rPr>
                    <w:t>在现有工程范围内</w:t>
                  </w:r>
                  <w:r>
                    <w:rPr>
                      <w:rFonts w:hint="default" w:ascii="Times New Roman" w:hAnsi="Times New Roman" w:eastAsia="宋体" w:cs="Times New Roman"/>
                      <w:color w:val="auto"/>
                      <w:sz w:val="21"/>
                      <w:szCs w:val="21"/>
                      <w:u w:val="none" w:color="auto"/>
                      <w:lang w:eastAsia="zh-CN"/>
                    </w:rPr>
                    <w:t>进行建设，</w:t>
                  </w:r>
                  <w:r>
                    <w:rPr>
                      <w:rFonts w:hint="default" w:ascii="Times New Roman" w:hAnsi="Times New Roman" w:eastAsia="宋体" w:cs="Times New Roman"/>
                      <w:color w:val="auto"/>
                      <w:sz w:val="21"/>
                      <w:szCs w:val="21"/>
                      <w:u w:val="none" w:color="auto"/>
                      <w:lang w:val="en-US" w:eastAsia="zh-CN"/>
                    </w:rPr>
                    <w:t>不新增用地</w:t>
                  </w:r>
                  <w:r>
                    <w:rPr>
                      <w:rFonts w:hint="default" w:ascii="Times New Roman" w:hAnsi="Times New Roman" w:eastAsia="宋体" w:cs="Times New Roman"/>
                      <w:color w:val="auto"/>
                      <w:sz w:val="21"/>
                      <w:szCs w:val="21"/>
                      <w:u w:val="none" w:color="auto"/>
                      <w:lang w:eastAsia="zh-CN"/>
                    </w:rPr>
                    <w:t>。</w:t>
                  </w:r>
                </w:p>
              </w:tc>
              <w:tc>
                <w:tcPr>
                  <w:tcW w:w="658" w:type="dxa"/>
                  <w:tcBorders>
                    <w:tl2br w:val="nil"/>
                    <w:tr2bl w:val="nil"/>
                  </w:tcBorders>
                  <w:noWrap w:val="0"/>
                  <w:vAlign w:val="center"/>
                </w:tcPr>
                <w:p w14:paraId="351FCE37">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符合要求</w:t>
                  </w:r>
                </w:p>
              </w:tc>
            </w:tr>
          </w:tbl>
          <w:p w14:paraId="6AAE3E5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从上表可以看出，本项目符合《湖南省“三线一单”生态环境总体管控要求暨省级以上产业园区生态环境准入清单》要求。</w:t>
            </w:r>
          </w:p>
          <w:p w14:paraId="769EDF26">
            <w:pPr>
              <w:numPr>
                <w:ilvl w:val="0"/>
                <w:numId w:val="0"/>
              </w:numPr>
              <w:autoSpaceDE w:val="0"/>
              <w:autoSpaceDN w:val="0"/>
              <w:adjustRightInd w:val="0"/>
              <w:snapToGrid w:val="0"/>
              <w:spacing w:line="360" w:lineRule="auto"/>
              <w:rPr>
                <w:rFonts w:hint="default" w:ascii="Times New Roman" w:hAnsi="Times New Roman" w:eastAsia="宋体" w:cs="Times New Roman"/>
                <w:b/>
                <w:bCs/>
                <w:color w:val="auto"/>
                <w:kern w:val="0"/>
                <w:sz w:val="24"/>
                <w:szCs w:val="24"/>
                <w:highlight w:val="none"/>
                <w:u w:val="none" w:color="auto"/>
              </w:rPr>
            </w:pPr>
            <w:r>
              <w:rPr>
                <w:rFonts w:hint="eastAsia" w:ascii="Times New Roman" w:hAnsi="Times New Roman" w:eastAsia="宋体" w:cs="Times New Roman"/>
                <w:b/>
                <w:bCs/>
                <w:color w:val="auto"/>
                <w:kern w:val="0"/>
                <w:sz w:val="24"/>
                <w:szCs w:val="24"/>
                <w:highlight w:val="none"/>
                <w:u w:val="none" w:color="auto"/>
                <w:lang w:eastAsia="zh-CN"/>
              </w:rPr>
              <w:t>（</w:t>
            </w:r>
            <w:r>
              <w:rPr>
                <w:rFonts w:hint="eastAsia" w:ascii="Times New Roman" w:hAnsi="Times New Roman" w:eastAsia="宋体" w:cs="Times New Roman"/>
                <w:b/>
                <w:bCs/>
                <w:color w:val="auto"/>
                <w:kern w:val="0"/>
                <w:sz w:val="24"/>
                <w:szCs w:val="24"/>
                <w:highlight w:val="none"/>
                <w:u w:val="none" w:color="auto"/>
                <w:lang w:val="en-US" w:eastAsia="zh-CN"/>
              </w:rPr>
              <w:t>5</w:t>
            </w:r>
            <w:r>
              <w:rPr>
                <w:rFonts w:hint="eastAsia" w:ascii="Times New Roman" w:hAnsi="Times New Roman" w:eastAsia="宋体" w:cs="Times New Roman"/>
                <w:b/>
                <w:bCs/>
                <w:color w:val="auto"/>
                <w:kern w:val="0"/>
                <w:sz w:val="24"/>
                <w:szCs w:val="24"/>
                <w:highlight w:val="none"/>
                <w:u w:val="none" w:color="auto"/>
                <w:lang w:eastAsia="zh-CN"/>
              </w:rPr>
              <w:t>）</w:t>
            </w:r>
            <w:r>
              <w:rPr>
                <w:rFonts w:hint="default" w:ascii="Times New Roman" w:hAnsi="Times New Roman" w:eastAsia="宋体" w:cs="Times New Roman"/>
                <w:b/>
                <w:bCs/>
                <w:color w:val="auto"/>
                <w:kern w:val="0"/>
                <w:sz w:val="24"/>
                <w:szCs w:val="24"/>
                <w:highlight w:val="none"/>
                <w:u w:val="none" w:color="auto"/>
              </w:rPr>
              <w:t>与《湖南省大气污染防治“守护蓝天”攻坚行动计划（2023—2025年）》的通知湘政办发〔2023〕34号文件的符合性分析</w:t>
            </w:r>
          </w:p>
          <w:p w14:paraId="1452253E">
            <w:pPr>
              <w:autoSpaceDE w:val="0"/>
              <w:autoSpaceDN w:val="0"/>
              <w:adjustRightInd w:val="0"/>
              <w:snapToGrid w:val="0"/>
              <w:ind w:firstLine="442" w:firstLineChars="200"/>
              <w:jc w:val="center"/>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lang w:val="en-US" w:eastAsia="zh-CN"/>
              </w:rPr>
              <w:t>表1-</w:t>
            </w:r>
            <w:r>
              <w:rPr>
                <w:rFonts w:hint="eastAsia" w:ascii="Times New Roman" w:hAnsi="Times New Roman" w:eastAsia="宋体" w:cs="Times New Roman"/>
                <w:b/>
                <w:bCs/>
                <w:color w:val="auto"/>
                <w:kern w:val="0"/>
                <w:sz w:val="22"/>
                <w:szCs w:val="22"/>
                <w:u w:val="none" w:color="auto"/>
                <w:lang w:val="en-US" w:eastAsia="zh-CN"/>
              </w:rPr>
              <w:t>5</w:t>
            </w:r>
            <w:r>
              <w:rPr>
                <w:rFonts w:hint="default" w:ascii="Times New Roman" w:hAnsi="Times New Roman" w:eastAsia="宋体" w:cs="Times New Roman"/>
                <w:b/>
                <w:bCs/>
                <w:color w:val="auto"/>
                <w:kern w:val="0"/>
                <w:sz w:val="22"/>
                <w:szCs w:val="22"/>
                <w:u w:val="none" w:color="auto"/>
                <w:lang w:val="en-US" w:eastAsia="zh-CN"/>
              </w:rPr>
              <w:t xml:space="preserve"> </w:t>
            </w:r>
            <w:r>
              <w:rPr>
                <w:rFonts w:hint="default" w:ascii="Times New Roman" w:hAnsi="Times New Roman" w:eastAsia="宋体" w:cs="Times New Roman"/>
                <w:b/>
                <w:bCs/>
                <w:color w:val="auto"/>
                <w:kern w:val="0"/>
                <w:sz w:val="22"/>
                <w:szCs w:val="22"/>
                <w:u w:val="none" w:color="auto"/>
              </w:rPr>
              <w:t>《湖南省大气污染防治“守护蓝天”攻坚行动计划（2023—2025年）》的通知湘政办发〔2023〕34号文件的符合性分析</w:t>
            </w:r>
          </w:p>
          <w:tbl>
            <w:tblPr>
              <w:tblStyle w:val="27"/>
              <w:tblW w:w="666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9"/>
              <w:gridCol w:w="3225"/>
              <w:gridCol w:w="1935"/>
              <w:gridCol w:w="765"/>
            </w:tblGrid>
            <w:tr w14:paraId="5109F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tcBorders>
                    <w:tl2br w:val="nil"/>
                    <w:tr2bl w:val="nil"/>
                  </w:tcBorders>
                  <w:vAlign w:val="center"/>
                </w:tcPr>
                <w:p w14:paraId="77B6E9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序号</w:t>
                  </w:r>
                </w:p>
              </w:tc>
              <w:tc>
                <w:tcPr>
                  <w:tcW w:w="3225" w:type="dxa"/>
                  <w:tcBorders>
                    <w:tl2br w:val="nil"/>
                    <w:tr2bl w:val="nil"/>
                  </w:tcBorders>
                  <w:vAlign w:val="center"/>
                </w:tcPr>
                <w:p w14:paraId="032906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文件内容</w:t>
                  </w:r>
                </w:p>
              </w:tc>
              <w:tc>
                <w:tcPr>
                  <w:tcW w:w="1935" w:type="dxa"/>
                  <w:tcBorders>
                    <w:tl2br w:val="nil"/>
                    <w:tr2bl w:val="nil"/>
                  </w:tcBorders>
                  <w:vAlign w:val="center"/>
                </w:tcPr>
                <w:p w14:paraId="53DEB0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本项目情况</w:t>
                  </w:r>
                </w:p>
              </w:tc>
              <w:tc>
                <w:tcPr>
                  <w:tcW w:w="765" w:type="dxa"/>
                  <w:tcBorders>
                    <w:tl2br w:val="nil"/>
                    <w:tr2bl w:val="nil"/>
                  </w:tcBorders>
                  <w:vAlign w:val="center"/>
                </w:tcPr>
                <w:p w14:paraId="349D25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符合性</w:t>
                  </w:r>
                </w:p>
              </w:tc>
            </w:tr>
            <w:tr w14:paraId="60E28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tcBorders>
                    <w:tl2br w:val="nil"/>
                    <w:tr2bl w:val="nil"/>
                  </w:tcBorders>
                  <w:vAlign w:val="center"/>
                </w:tcPr>
                <w:p w14:paraId="16AD9B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w:t>
                  </w:r>
                </w:p>
              </w:tc>
              <w:tc>
                <w:tcPr>
                  <w:tcW w:w="3225" w:type="dxa"/>
                  <w:tcBorders>
                    <w:tl2br w:val="nil"/>
                    <w:tr2bl w:val="nil"/>
                  </w:tcBorders>
                  <w:vAlign w:val="center"/>
                </w:tcPr>
                <w:p w14:paraId="282A2C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工业和信息化领域： 加大低VOCs原辅材料替代力度。建立多部门联合执法机制，加大监督检查力度，确保生产、销售、使用符合VOCs含量限值标准的产品。以工业涂装、包装印刷和胶粘剂使用等为重点，在企业清洁生产审 核中明确提出低VOCs原辅材料替代要求。</w:t>
                  </w:r>
                </w:p>
              </w:tc>
              <w:tc>
                <w:tcPr>
                  <w:tcW w:w="1935" w:type="dxa"/>
                  <w:tcBorders>
                    <w:tl2br w:val="nil"/>
                    <w:tr2bl w:val="nil"/>
                  </w:tcBorders>
                  <w:vAlign w:val="center"/>
                </w:tcPr>
                <w:p w14:paraId="1133A7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本项目不涉及</w:t>
                  </w:r>
                </w:p>
              </w:tc>
              <w:tc>
                <w:tcPr>
                  <w:tcW w:w="765" w:type="dxa"/>
                  <w:tcBorders>
                    <w:tl2br w:val="nil"/>
                    <w:tr2bl w:val="nil"/>
                  </w:tcBorders>
                  <w:vAlign w:val="center"/>
                </w:tcPr>
                <w:p w14:paraId="312564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符合</w:t>
                  </w:r>
                </w:p>
              </w:tc>
            </w:tr>
            <w:tr w14:paraId="163C5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tcBorders>
                    <w:tl2br w:val="nil"/>
                    <w:tr2bl w:val="nil"/>
                  </w:tcBorders>
                  <w:vAlign w:val="center"/>
                </w:tcPr>
                <w:p w14:paraId="45BEDC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2</w:t>
                  </w:r>
                </w:p>
              </w:tc>
              <w:tc>
                <w:tcPr>
                  <w:tcW w:w="3225" w:type="dxa"/>
                  <w:tcBorders>
                    <w:tl2br w:val="nil"/>
                    <w:tr2bl w:val="nil"/>
                  </w:tcBorders>
                  <w:vAlign w:val="center"/>
                </w:tcPr>
                <w:p w14:paraId="7E0B9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工业治理领域：1、推进锅窑炉超低排放与深度治理。全面开展钢铁、水泥行业超低排放改造，深入开展锅炉窑炉深度治理和简易低效处理设施排查，对高排放重点行业开展专项整治。生物质锅炉使用专用炉具和成型燃料并配套高效治理设施，推动城市建成区生物质锅炉安装烟气在线监测设施。到2025年，全面完成钢铁和重点城市水泥企业超低排 放改造。 2、开展涉VOCs重点行业全流程整治。持 续开展VOCs治理突出问题排查，清理整 顿简易低效、不合规定治理设施，强化无 组织和非正常工况废气排放管控。规范开 展泄漏检测与修复。推动各市州分别新建1 —3个涉VOCs“绿岛”项目。 3、加强工业源重污染天气应对。完善应急 减排清单，确保涉气企业全覆盖。将应急 减排措施纳入排污许可证管理。严厉打击 在线监控运维及手工监测报告弄虚作假、 治理设施不正常运行和重污染应急减排措 施未落实等违法行为。积极提升应急减排 重点行业企业环境绩效水平。到2025年， 全省非最低等级绩效水平企业占比力争达 到10%，钢铁、水泥企业全部达到B（含 B-）级及以上。</w:t>
                  </w:r>
                </w:p>
              </w:tc>
              <w:tc>
                <w:tcPr>
                  <w:tcW w:w="1935" w:type="dxa"/>
                  <w:tcBorders>
                    <w:tl2br w:val="nil"/>
                    <w:tr2bl w:val="nil"/>
                  </w:tcBorders>
                  <w:vAlign w:val="center"/>
                </w:tcPr>
                <w:p w14:paraId="3DE284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1、本项目使用生物质专用锅炉，燃料为生物质，</w:t>
                  </w:r>
                  <w:r>
                    <w:rPr>
                      <w:rFonts w:hint="eastAsia" w:cs="Times New Roman"/>
                      <w:color w:val="auto"/>
                      <w:sz w:val="21"/>
                      <w:szCs w:val="21"/>
                      <w:u w:val="none" w:color="auto"/>
                      <w:lang w:val="en-US" w:eastAsia="zh-CN"/>
                    </w:rPr>
                    <w:t>15t/h</w:t>
                  </w:r>
                  <w:r>
                    <w:rPr>
                      <w:rFonts w:hint="default" w:ascii="Times New Roman" w:hAnsi="Times New Roman" w:eastAsia="宋体" w:cs="Times New Roman"/>
                      <w:color w:val="auto"/>
                      <w:sz w:val="21"/>
                      <w:szCs w:val="21"/>
                      <w:u w:val="none" w:color="auto"/>
                      <w:lang w:val="en-US" w:eastAsia="zh-CN"/>
                    </w:rPr>
                    <w:t>锅炉配备了SNCR+多管旋风除尘+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 w:val="21"/>
                      <w:szCs w:val="21"/>
                      <w:u w:val="none" w:color="auto"/>
                      <w:lang w:eastAsia="zh-CN"/>
                    </w:rPr>
                    <w:t>，</w:t>
                  </w:r>
                  <w:r>
                    <w:rPr>
                      <w:rFonts w:hint="eastAsia" w:cs="Times New Roman"/>
                      <w:color w:val="auto"/>
                      <w:sz w:val="21"/>
                      <w:szCs w:val="21"/>
                      <w:u w:val="none" w:color="auto"/>
                      <w:lang w:val="en-US" w:eastAsia="zh-CN"/>
                    </w:rPr>
                    <w:t>4t/h导热油炉</w:t>
                  </w:r>
                  <w:r>
                    <w:rPr>
                      <w:rFonts w:hint="default" w:ascii="Times New Roman" w:hAnsi="Times New Roman" w:eastAsia="宋体" w:cs="Times New Roman"/>
                      <w:color w:val="auto"/>
                      <w:sz w:val="21"/>
                      <w:szCs w:val="21"/>
                      <w:u w:val="none" w:color="auto"/>
                      <w:lang w:val="en-US" w:eastAsia="zh-CN"/>
                    </w:rPr>
                    <w:t>配备了多管旋风除尘+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lang w:val="en-US" w:eastAsia="zh-CN"/>
                    </w:rPr>
                    <w:t>除尘设施均属于高效除尘器。</w:t>
                  </w:r>
                </w:p>
                <w:p w14:paraId="36D98E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2、本项目不涉及；</w:t>
                  </w:r>
                </w:p>
                <w:p w14:paraId="3584001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3、本</w:t>
                  </w:r>
                  <w:r>
                    <w:rPr>
                      <w:rFonts w:hint="default" w:ascii="Times New Roman" w:hAnsi="Times New Roman" w:eastAsia="宋体" w:cs="Times New Roman"/>
                      <w:color w:val="auto"/>
                      <w:sz w:val="21"/>
                      <w:szCs w:val="21"/>
                      <w:u w:val="none" w:color="auto"/>
                      <w:lang w:eastAsia="zh-CN"/>
                    </w:rPr>
                    <w:t>项目不属于该攻 坚行动计划中提到的涉气企业。</w:t>
                  </w:r>
                </w:p>
              </w:tc>
              <w:tc>
                <w:tcPr>
                  <w:tcW w:w="765" w:type="dxa"/>
                  <w:tcBorders>
                    <w:tl2br w:val="nil"/>
                    <w:tr2bl w:val="nil"/>
                  </w:tcBorders>
                  <w:vAlign w:val="center"/>
                </w:tcPr>
                <w:p w14:paraId="650226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符合</w:t>
                  </w:r>
                </w:p>
              </w:tc>
            </w:tr>
            <w:tr w14:paraId="5BC01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39" w:type="dxa"/>
                  <w:tcBorders>
                    <w:tl2br w:val="nil"/>
                    <w:tr2bl w:val="nil"/>
                  </w:tcBorders>
                  <w:vAlign w:val="center"/>
                </w:tcPr>
                <w:p w14:paraId="47E3EE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3</w:t>
                  </w:r>
                </w:p>
              </w:tc>
              <w:tc>
                <w:tcPr>
                  <w:tcW w:w="3225" w:type="dxa"/>
                  <w:tcBorders>
                    <w:tl2br w:val="nil"/>
                    <w:tr2bl w:val="nil"/>
                  </w:tcBorders>
                  <w:vAlign w:val="center"/>
                </w:tcPr>
                <w:p w14:paraId="483438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农业农村领域</w:t>
                  </w:r>
                </w:p>
                <w:p w14:paraId="7B0E36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1．加强秸秆综合利用和禁烧。因地制宜推进秸秆“五化”综合利用，建立秸秆资源台账系统和定期调度机制，完善秸秆收储运体系。完善网格化监管体系，提高秸秆焚烧火点监测精准度，开展重点区域重点时段专项巡查。各地科学划定禁烧区域，禁止秸秆露天焚烧。到2025年，全省秸秆综合利用率稳定在86%以上并达到国家要求。</w:t>
                  </w:r>
                </w:p>
              </w:tc>
              <w:tc>
                <w:tcPr>
                  <w:tcW w:w="1935" w:type="dxa"/>
                  <w:tcBorders>
                    <w:tl2br w:val="nil"/>
                    <w:tr2bl w:val="nil"/>
                  </w:tcBorders>
                  <w:vAlign w:val="center"/>
                </w:tcPr>
                <w:p w14:paraId="060E2B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本项目采用</w:t>
                  </w:r>
                  <w:r>
                    <w:rPr>
                      <w:rFonts w:hint="eastAsia" w:cs="Times New Roman"/>
                      <w:color w:val="auto"/>
                      <w:sz w:val="21"/>
                      <w:szCs w:val="21"/>
                      <w:u w:val="none" w:color="auto"/>
                      <w:lang w:val="en-US" w:eastAsia="zh-CN"/>
                    </w:rPr>
                    <w:t>成型生物质以及</w:t>
                  </w:r>
                  <w:r>
                    <w:rPr>
                      <w:rFonts w:hint="default" w:ascii="Times New Roman" w:hAnsi="Times New Roman" w:eastAsia="宋体" w:cs="Times New Roman"/>
                      <w:color w:val="auto"/>
                      <w:sz w:val="21"/>
                      <w:szCs w:val="21"/>
                      <w:u w:val="none" w:color="auto"/>
                      <w:lang w:val="en-US" w:eastAsia="zh-CN"/>
                    </w:rPr>
                    <w:t>生物质燃料燃烧进行蒸汽供热，生物质主要源于农村的</w:t>
                  </w:r>
                  <w:r>
                    <w:rPr>
                      <w:rFonts w:hint="default" w:ascii="Times New Roman" w:hAnsi="Times New Roman" w:eastAsia="宋体" w:cs="Times New Roman"/>
                      <w:bCs/>
                      <w:szCs w:val="21"/>
                      <w:u w:val="none" w:color="auto"/>
                    </w:rPr>
                    <w:t>木屑、树枝、树皮、稻壳、秸秆、芦苇秆、锯末、甘蔗渣等</w:t>
                  </w:r>
                  <w:r>
                    <w:rPr>
                      <w:rFonts w:hint="default" w:ascii="Times New Roman" w:hAnsi="Times New Roman" w:eastAsia="宋体" w:cs="Times New Roman"/>
                      <w:color w:val="auto"/>
                      <w:sz w:val="21"/>
                      <w:szCs w:val="21"/>
                      <w:u w:val="none" w:color="auto"/>
                      <w:lang w:val="en-US" w:eastAsia="zh-CN"/>
                    </w:rPr>
                    <w:t>，应政府号召，加强秸秆的综合利用和禁烧，本项目为秸秆焚烧点，采用秸秆等生物质燃料用于工业生产供热。</w:t>
                  </w:r>
                </w:p>
              </w:tc>
              <w:tc>
                <w:tcPr>
                  <w:tcW w:w="765" w:type="dxa"/>
                  <w:tcBorders>
                    <w:tl2br w:val="nil"/>
                    <w:tr2bl w:val="nil"/>
                  </w:tcBorders>
                  <w:vAlign w:val="center"/>
                </w:tcPr>
                <w:p w14:paraId="15DBC7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符合</w:t>
                  </w:r>
                </w:p>
              </w:tc>
            </w:tr>
          </w:tbl>
          <w:p w14:paraId="1EBB957C">
            <w:pPr>
              <w:pStyle w:val="89"/>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kern w:val="0"/>
                <w:sz w:val="24"/>
                <w:szCs w:val="20"/>
                <w:u w:val="none" w:color="auto"/>
                <w:lang w:val="en-US" w:eastAsia="zh-CN" w:bidi="ar-SA"/>
              </w:rPr>
              <w:t xml:space="preserve">综上，本项目与 《湖南省大气污染防治“守护蓝天”攻坚行动计划（2023—2025年）》的通知湘政办发〔2023〕34号文件中的相关要求相符。”。 </w:t>
            </w:r>
            <w:r>
              <w:rPr>
                <w:rFonts w:hint="default" w:ascii="Times New Roman" w:hAnsi="Times New Roman" w:eastAsia="宋体" w:cs="Times New Roman"/>
                <w:color w:val="auto"/>
                <w:u w:val="none" w:color="auto"/>
                <w:lang w:val="en-US" w:eastAsia="zh-CN"/>
              </w:rPr>
              <w:t xml:space="preserve">  </w:t>
            </w:r>
          </w:p>
          <w:p w14:paraId="68A85733">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lang w:eastAsia="zh-CN"/>
              </w:rPr>
              <w:t>（</w:t>
            </w:r>
            <w:r>
              <w:rPr>
                <w:rFonts w:hint="eastAsia" w:ascii="Times New Roman" w:hAnsi="Times New Roman" w:eastAsia="宋体" w:cs="Times New Roman"/>
                <w:b/>
                <w:bCs/>
                <w:color w:val="auto"/>
                <w:kern w:val="0"/>
                <w:sz w:val="24"/>
                <w:szCs w:val="24"/>
                <w:highlight w:val="none"/>
                <w:u w:val="none" w:color="auto"/>
                <w:lang w:val="en-US" w:eastAsia="zh-CN"/>
              </w:rPr>
              <w:t>6</w:t>
            </w:r>
            <w:r>
              <w:rPr>
                <w:rFonts w:hint="default" w:ascii="Times New Roman" w:hAnsi="Times New Roman" w:eastAsia="宋体" w:cs="Times New Roman"/>
                <w:b/>
                <w:bCs/>
                <w:color w:val="auto"/>
                <w:kern w:val="0"/>
                <w:sz w:val="24"/>
                <w:szCs w:val="24"/>
                <w:highlight w:val="none"/>
                <w:u w:val="none" w:color="auto"/>
                <w:lang w:eastAsia="zh-CN"/>
              </w:rPr>
              <w:t>）</w:t>
            </w:r>
            <w:r>
              <w:rPr>
                <w:rFonts w:hint="default" w:ascii="Times New Roman" w:hAnsi="Times New Roman" w:eastAsia="宋体" w:cs="Times New Roman"/>
                <w:b/>
                <w:bCs/>
                <w:color w:val="auto"/>
                <w:kern w:val="0"/>
                <w:sz w:val="24"/>
                <w:szCs w:val="24"/>
                <w:highlight w:val="none"/>
                <w:u w:val="none" w:color="auto"/>
              </w:rPr>
              <w:t>与《华容县生态环境“十四五”规划》（2021-2025年）符合性分析</w:t>
            </w:r>
          </w:p>
          <w:p w14:paraId="4DA51A21">
            <w:pPr>
              <w:autoSpaceDE w:val="0"/>
              <w:autoSpaceDN w:val="0"/>
              <w:adjustRightInd w:val="0"/>
              <w:snapToGrid w:val="0"/>
              <w:spacing w:line="360" w:lineRule="auto"/>
              <w:ind w:firstLine="480"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sz w:val="24"/>
                <w:szCs w:val="24"/>
                <w:u w:val="none" w:color="auto"/>
              </w:rPr>
              <w:t>本项目涉及内容与《华容县生态环境“十四五”规划》（2021-2025 年）要求对比分析见表1-6。</w:t>
            </w:r>
          </w:p>
          <w:p w14:paraId="1177BC17">
            <w:pPr>
              <w:autoSpaceDE w:val="0"/>
              <w:autoSpaceDN w:val="0"/>
              <w:adjustRightInd w:val="0"/>
              <w:snapToGrid w:val="0"/>
              <w:ind w:firstLine="442" w:firstLineChars="200"/>
              <w:jc w:val="center"/>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rPr>
              <w:t>表1-6与《华容县生态环境“十四五”规划》（2021-2025年）相符性 分析</w:t>
            </w:r>
          </w:p>
          <w:tbl>
            <w:tblPr>
              <w:tblStyle w:val="27"/>
              <w:tblW w:w="6735"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461"/>
              <w:gridCol w:w="2265"/>
              <w:gridCol w:w="1009"/>
            </w:tblGrid>
            <w:tr w14:paraId="4B3A8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61" w:type="dxa"/>
                  <w:tcBorders>
                    <w:tl2br w:val="nil"/>
                    <w:tr2bl w:val="nil"/>
                  </w:tcBorders>
                  <w:vAlign w:val="center"/>
                </w:tcPr>
                <w:p w14:paraId="506A1B6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lang w:val="en-US" w:eastAsia="zh-CN"/>
                    </w:rPr>
                  </w:pPr>
                  <w:r>
                    <w:rPr>
                      <w:rFonts w:hint="default" w:ascii="Times New Roman" w:hAnsi="Times New Roman" w:eastAsia="宋体" w:cs="Times New Roman"/>
                      <w:b/>
                      <w:bCs/>
                      <w:color w:val="auto"/>
                      <w:kern w:val="0"/>
                      <w:sz w:val="24"/>
                      <w:szCs w:val="24"/>
                      <w:highlight w:val="none"/>
                      <w:u w:val="none" w:color="auto"/>
                      <w:vertAlign w:val="baseline"/>
                      <w:lang w:val="en-US" w:eastAsia="zh-CN"/>
                    </w:rPr>
                    <w:t>要求内容</w:t>
                  </w:r>
                </w:p>
              </w:tc>
              <w:tc>
                <w:tcPr>
                  <w:tcW w:w="2265" w:type="dxa"/>
                  <w:tcBorders>
                    <w:tl2br w:val="nil"/>
                    <w:tr2bl w:val="nil"/>
                  </w:tcBorders>
                  <w:vAlign w:val="center"/>
                </w:tcPr>
                <w:p w14:paraId="1A2E8F5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lang w:val="en-US" w:eastAsia="zh-CN"/>
                    </w:rPr>
                  </w:pPr>
                  <w:r>
                    <w:rPr>
                      <w:rFonts w:hint="default" w:ascii="Times New Roman" w:hAnsi="Times New Roman" w:eastAsia="宋体" w:cs="Times New Roman"/>
                      <w:b/>
                      <w:bCs/>
                      <w:color w:val="auto"/>
                      <w:kern w:val="0"/>
                      <w:sz w:val="24"/>
                      <w:szCs w:val="24"/>
                      <w:highlight w:val="none"/>
                      <w:u w:val="none" w:color="auto"/>
                      <w:vertAlign w:val="baseline"/>
                      <w:lang w:val="en-US" w:eastAsia="zh-CN"/>
                    </w:rPr>
                    <w:t>本项目情况</w:t>
                  </w:r>
                </w:p>
              </w:tc>
              <w:tc>
                <w:tcPr>
                  <w:tcW w:w="1009" w:type="dxa"/>
                  <w:tcBorders>
                    <w:tl2br w:val="nil"/>
                    <w:tr2bl w:val="nil"/>
                  </w:tcBorders>
                  <w:vAlign w:val="center"/>
                </w:tcPr>
                <w:p w14:paraId="40AC394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lang w:val="en-US" w:eastAsia="zh-CN"/>
                    </w:rPr>
                  </w:pPr>
                  <w:r>
                    <w:rPr>
                      <w:rFonts w:hint="default" w:ascii="Times New Roman" w:hAnsi="Times New Roman" w:eastAsia="宋体" w:cs="Times New Roman"/>
                      <w:b/>
                      <w:bCs/>
                      <w:color w:val="auto"/>
                      <w:kern w:val="0"/>
                      <w:sz w:val="24"/>
                      <w:szCs w:val="24"/>
                      <w:highlight w:val="none"/>
                      <w:u w:val="none" w:color="auto"/>
                      <w:vertAlign w:val="baseline"/>
                      <w:lang w:val="en-US" w:eastAsia="zh-CN"/>
                    </w:rPr>
                    <w:t>符合性</w:t>
                  </w:r>
                </w:p>
              </w:tc>
            </w:tr>
            <w:tr w14:paraId="1DB1A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61" w:type="dxa"/>
                  <w:tcBorders>
                    <w:tl2br w:val="nil"/>
                    <w:tr2bl w:val="nil"/>
                  </w:tcBorders>
                  <w:vAlign w:val="center"/>
                </w:tcPr>
                <w:p w14:paraId="5D043A97">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强化生态空间管控：全面落实主体功能区规划。生态红线划定的禁止开发区域实施强制性生态环境保护，严格控制人为因素对自然生态的干扰。华容县工业 集中区规划区和人口集中及住区域要加强环境管理与治理，大幅降低污染物排放强度，减少工业化、城镇化对生态环境的影响，改善人居环境，努力提高环境质量。</w:t>
                  </w:r>
                </w:p>
              </w:tc>
              <w:tc>
                <w:tcPr>
                  <w:tcW w:w="2265" w:type="dxa"/>
                  <w:tcBorders>
                    <w:tl2br w:val="nil"/>
                    <w:tr2bl w:val="nil"/>
                  </w:tcBorders>
                  <w:vAlign w:val="center"/>
                </w:tcPr>
                <w:p w14:paraId="0000A983">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本项目用地不属于生态红线划定范围</w:t>
                  </w:r>
                </w:p>
              </w:tc>
              <w:tc>
                <w:tcPr>
                  <w:tcW w:w="1009" w:type="dxa"/>
                  <w:tcBorders>
                    <w:tl2br w:val="nil"/>
                    <w:tr2bl w:val="nil"/>
                  </w:tcBorders>
                  <w:vAlign w:val="center"/>
                </w:tcPr>
                <w:p w14:paraId="168711A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rPr>
                  </w:pPr>
                  <w:r>
                    <w:rPr>
                      <w:rFonts w:hint="default" w:ascii="Times New Roman" w:hAnsi="Times New Roman" w:eastAsia="宋体" w:cs="Times New Roman"/>
                      <w:sz w:val="24"/>
                      <w:szCs w:val="24"/>
                      <w:u w:val="none" w:color="auto"/>
                    </w:rPr>
                    <w:t>符合</w:t>
                  </w:r>
                </w:p>
              </w:tc>
            </w:tr>
            <w:tr w14:paraId="1A5E4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61" w:type="dxa"/>
                  <w:tcBorders>
                    <w:tl2br w:val="nil"/>
                    <w:tr2bl w:val="nil"/>
                  </w:tcBorders>
                  <w:vAlign w:val="center"/>
                </w:tcPr>
                <w:p w14:paraId="5D05F5DE">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落实绿色发展机制：对长期超标排放的 企业、无治理能力且无治理意愿的企 业、达标无望的企业，依法予以关闭淘 汰。实行新（改、扩）建项目重点污染 物排放等量或减量置换。严格要求促进 企业加快升级改造。推动工业园区和企 业污染治理设施升级改造。推动循环发 展，推进全县生活垃圾分类收集、集中 处置，深化工业固体废物综合利用，健 全再生资源回收利用网络，规范完善废 钢铁、废旧轮胎、废旧纺织品与服装、 废塑料、废旧动力电池等综合利用行业管理。</w:t>
                  </w:r>
                </w:p>
              </w:tc>
              <w:tc>
                <w:tcPr>
                  <w:tcW w:w="2265" w:type="dxa"/>
                  <w:tcBorders>
                    <w:tl2br w:val="nil"/>
                    <w:tr2bl w:val="nil"/>
                  </w:tcBorders>
                  <w:vAlign w:val="center"/>
                </w:tcPr>
                <w:p w14:paraId="15F0D9FF">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w:t>
                  </w:r>
                  <w:r>
                    <w:rPr>
                      <w:rFonts w:hint="eastAsia" w:cs="Times New Roman"/>
                      <w:color w:val="auto"/>
                      <w:sz w:val="21"/>
                      <w:szCs w:val="21"/>
                      <w:u w:val="none" w:color="auto"/>
                      <w:lang w:val="en-US" w:eastAsia="zh-CN"/>
                    </w:rPr>
                    <w:t>15t/h</w:t>
                  </w:r>
                  <w:r>
                    <w:rPr>
                      <w:rFonts w:hint="default" w:ascii="Times New Roman" w:hAnsi="Times New Roman" w:eastAsia="宋体" w:cs="Times New Roman"/>
                      <w:color w:val="auto"/>
                      <w:sz w:val="21"/>
                      <w:szCs w:val="21"/>
                      <w:u w:val="none" w:color="auto"/>
                      <w:lang w:val="en-US" w:eastAsia="zh-CN"/>
                    </w:rPr>
                    <w:t>锅炉配备了SNCR+多管旋风除尘+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 w:val="21"/>
                      <w:szCs w:val="21"/>
                      <w:u w:val="none" w:color="auto"/>
                      <w:lang w:eastAsia="zh-CN"/>
                    </w:rPr>
                    <w:t>，</w:t>
                  </w:r>
                  <w:r>
                    <w:rPr>
                      <w:rFonts w:hint="eastAsia" w:cs="Times New Roman"/>
                      <w:color w:val="auto"/>
                      <w:sz w:val="21"/>
                      <w:szCs w:val="21"/>
                      <w:u w:val="none" w:color="auto"/>
                      <w:lang w:val="en-US" w:eastAsia="zh-CN"/>
                    </w:rPr>
                    <w:t>4t/h导热油炉</w:t>
                  </w:r>
                  <w:r>
                    <w:rPr>
                      <w:rFonts w:hint="default" w:ascii="Times New Roman" w:hAnsi="Times New Roman" w:eastAsia="宋体" w:cs="Times New Roman"/>
                      <w:color w:val="auto"/>
                      <w:sz w:val="21"/>
                      <w:szCs w:val="21"/>
                      <w:u w:val="none" w:color="auto"/>
                      <w:lang w:val="en-US" w:eastAsia="zh-CN"/>
                    </w:rPr>
                    <w:t>配备了多管旋风除尘+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本项目</w:t>
                  </w:r>
                  <w:r>
                    <w:rPr>
                      <w:rFonts w:hint="default" w:ascii="Times New Roman" w:hAnsi="Times New Roman" w:eastAsia="宋体" w:cs="Times New Roman"/>
                      <w:color w:val="auto"/>
                      <w:u w:val="none" w:color="auto"/>
                      <w:lang w:val="en-US" w:eastAsia="zh-CN"/>
                    </w:rPr>
                    <w:t>锅炉排污水经现有沉淀池沉淀后用于除尘，不外排，本项目产生一般工业固废收集后外售附近农户作农肥。</w:t>
                  </w:r>
                </w:p>
              </w:tc>
              <w:tc>
                <w:tcPr>
                  <w:tcW w:w="1009" w:type="dxa"/>
                  <w:tcBorders>
                    <w:tl2br w:val="nil"/>
                    <w:tr2bl w:val="nil"/>
                  </w:tcBorders>
                  <w:vAlign w:val="center"/>
                </w:tcPr>
                <w:p w14:paraId="7C23D9B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rPr>
                  </w:pPr>
                </w:p>
              </w:tc>
            </w:tr>
            <w:tr w14:paraId="5C5E6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61" w:type="dxa"/>
                  <w:tcBorders>
                    <w:tl2br w:val="nil"/>
                    <w:tr2bl w:val="nil"/>
                  </w:tcBorders>
                  <w:vAlign w:val="center"/>
                </w:tcPr>
                <w:p w14:paraId="2B74CD97">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实施工业污染源全面达标排放计划：工业污染源全面开展自行监测和信息公开。工业企业要建立环境管理台账制度，开展自行监测，如实申报，属于重点排污单位的还要依法履行信息公开义务。实施排污口规范化整治，2022年底前，全县工业企业要进一步规范排污口设置，编制年度排污状况报告。重点排污企业全面实行在线监测，逐步实 现工业污染源排放监测数据统一采集、 公开发布，不断加强社会监督，对企业守法承诺履行情况进行监督检查。排查并公布未达标工业污染源名单。要加强对工业污染源的监督检查，全面推进 “双随机”抽查制度，实施环境信用颜 色评价。对污染物排放超标或者重点污 染物排放超总量的企业予以“黄牌” 警示，限制生产或停产整治；对整治后仍不能达到要求且情节严重的企业予以“红牌”处罚，限期停业、关闭。岳阳市生态环境局华容分局将加大抽查核查力度，对企业超标现象普遍、超标企业集中地区的地方政府进行通报、挂 牌督办。完善工业园区污水集中处理设 施。实行“清污分流、雨污分流”，实现废水分类收集、分质处理，入园企业 应在达到国家或地方规定的排放标准 后接入集中式污水处理设施处理，园区集中式污水处理设施总排口应安装自 动监控系统、视频监控系统，并与生态环境主管部门联网。开展工业园区污水集中处理规范化改造示范。</w:t>
                  </w:r>
                </w:p>
              </w:tc>
              <w:tc>
                <w:tcPr>
                  <w:tcW w:w="2265" w:type="dxa"/>
                  <w:tcBorders>
                    <w:tl2br w:val="nil"/>
                    <w:tr2bl w:val="nil"/>
                  </w:tcBorders>
                  <w:vAlign w:val="center"/>
                </w:tcPr>
                <w:p w14:paraId="5CCE746B">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rPr>
                    <w:t>本项目定期开展自行监测，建立环境管理台账制度</w:t>
                  </w:r>
                  <w:r>
                    <w:rPr>
                      <w:rFonts w:hint="default" w:ascii="Times New Roman" w:hAnsi="Times New Roman" w:eastAsia="宋体" w:cs="Times New Roman"/>
                      <w:color w:val="auto"/>
                      <w:szCs w:val="21"/>
                      <w:u w:val="none" w:color="auto"/>
                      <w:lang w:eastAsia="zh-CN"/>
                    </w:rPr>
                    <w:t>。</w:t>
                  </w:r>
                </w:p>
              </w:tc>
              <w:tc>
                <w:tcPr>
                  <w:tcW w:w="1009" w:type="dxa"/>
                  <w:tcBorders>
                    <w:tl2br w:val="nil"/>
                    <w:tr2bl w:val="nil"/>
                  </w:tcBorders>
                  <w:vAlign w:val="center"/>
                </w:tcPr>
                <w:p w14:paraId="3E93876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rPr>
                  </w:pPr>
                </w:p>
              </w:tc>
            </w:tr>
            <w:tr w14:paraId="6E284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61" w:type="dxa"/>
                  <w:tcBorders>
                    <w:tl2br w:val="nil"/>
                    <w:tr2bl w:val="nil"/>
                  </w:tcBorders>
                  <w:vAlign w:val="center"/>
                </w:tcPr>
                <w:p w14:paraId="02237D6E">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落实资源市场交易制度:进一步推行排污权交易制度。全面落实排污权交易制度，落实排污权有偿使用制度。新建项目污染物排放指标必须通过交易方式取得，且不得增加我县区污染物排放总量。进一步落实省、</w:t>
                  </w:r>
                  <w:r>
                    <w:rPr>
                      <w:rFonts w:hint="default" w:ascii="Times New Roman" w:hAnsi="Times New Roman" w:eastAsia="宋体" w:cs="Times New Roman"/>
                      <w:color w:val="auto"/>
                      <w:szCs w:val="21"/>
                      <w:u w:val="none" w:color="auto"/>
                      <w:lang w:val="en-US" w:eastAsia="zh-CN"/>
                    </w:rPr>
                    <w:t>市</w:t>
                  </w:r>
                  <w:r>
                    <w:rPr>
                      <w:rFonts w:hint="default" w:ascii="Times New Roman" w:hAnsi="Times New Roman" w:eastAsia="宋体" w:cs="Times New Roman"/>
                      <w:color w:val="auto"/>
                      <w:szCs w:val="21"/>
                      <w:u w:val="none" w:color="auto"/>
                    </w:rPr>
                    <w:t>关于开征环境保护税的相关规定</w:t>
                  </w:r>
                </w:p>
              </w:tc>
              <w:tc>
                <w:tcPr>
                  <w:tcW w:w="2265" w:type="dxa"/>
                  <w:tcBorders>
                    <w:tl2br w:val="nil"/>
                    <w:tr2bl w:val="nil"/>
                  </w:tcBorders>
                  <w:vAlign w:val="center"/>
                </w:tcPr>
                <w:p w14:paraId="5555A313">
                  <w:pPr>
                    <w:pStyle w:val="5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rPr>
                    <w:t>本项目涉及污染物排放指标为</w:t>
                  </w:r>
                  <w:r>
                    <w:rPr>
                      <w:rFonts w:hint="default" w:ascii="Times New Roman" w:hAnsi="Times New Roman" w:eastAsia="宋体" w:cs="Times New Roman"/>
                      <w:color w:val="auto"/>
                      <w:szCs w:val="21"/>
                      <w:u w:val="none" w:color="auto"/>
                      <w:lang w:val="en-US" w:eastAsia="zh-CN"/>
                    </w:rPr>
                    <w:t>二氧化硫、氮氧化物</w:t>
                  </w:r>
                  <w:r>
                    <w:rPr>
                      <w:rFonts w:hint="default" w:ascii="Times New Roman" w:hAnsi="Times New Roman" w:eastAsia="宋体" w:cs="Times New Roman"/>
                      <w:color w:val="auto"/>
                      <w:szCs w:val="21"/>
                      <w:u w:val="none" w:color="auto"/>
                    </w:rPr>
                    <w:t>，现有工程于2016年1月22日取得岳阳市排污权管理中心印发的排污许可证</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lang w:val="en-US" w:eastAsia="zh-CN"/>
                    </w:rPr>
                    <w:t>本次新增1台15t/h的生物质锅炉</w:t>
                  </w:r>
                  <w:r>
                    <w:rPr>
                      <w:rFonts w:hint="eastAsia" w:cs="Times New Roman"/>
                      <w:color w:val="auto"/>
                      <w:szCs w:val="21"/>
                      <w:u w:val="none" w:color="auto"/>
                      <w:lang w:val="en-US" w:eastAsia="zh-CN"/>
                    </w:rPr>
                    <w:t>和1台4</w:t>
                  </w:r>
                  <w:r>
                    <w:rPr>
                      <w:rFonts w:hint="default" w:ascii="Times New Roman" w:hAnsi="Times New Roman" w:eastAsia="宋体" w:cs="Times New Roman"/>
                      <w:color w:val="auto"/>
                      <w:szCs w:val="21"/>
                      <w:u w:val="none" w:color="auto"/>
                      <w:lang w:val="en-US" w:eastAsia="zh-CN"/>
                    </w:rPr>
                    <w:t>t/h的</w:t>
                  </w:r>
                  <w:r>
                    <w:rPr>
                      <w:rFonts w:hint="eastAsia" w:cs="Times New Roman"/>
                      <w:color w:val="auto"/>
                      <w:szCs w:val="21"/>
                      <w:u w:val="none" w:color="auto"/>
                      <w:lang w:val="en-US" w:eastAsia="zh-CN"/>
                    </w:rPr>
                    <w:t>导热油炉</w:t>
                  </w:r>
                  <w:r>
                    <w:rPr>
                      <w:rFonts w:hint="default" w:ascii="Times New Roman" w:hAnsi="Times New Roman" w:eastAsia="宋体" w:cs="Times New Roman"/>
                      <w:color w:val="auto"/>
                      <w:szCs w:val="21"/>
                      <w:u w:val="none" w:color="auto"/>
                      <w:lang w:val="en-US" w:eastAsia="zh-CN"/>
                    </w:rPr>
                    <w:t>后，二氧化硫、氮氧化物排放量</w:t>
                  </w:r>
                  <w:r>
                    <w:rPr>
                      <w:rFonts w:hint="default" w:ascii="Times New Roman" w:hAnsi="Times New Roman" w:eastAsia="宋体" w:cs="Times New Roman"/>
                      <w:color w:val="auto"/>
                      <w:szCs w:val="21"/>
                      <w:u w:val="none" w:color="auto"/>
                    </w:rPr>
                    <w:t>未超出排污许可证污染物量</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lang w:val="en-US" w:eastAsia="zh-CN"/>
                    </w:rPr>
                    <w:t>无需重新申请总量。</w:t>
                  </w:r>
                </w:p>
              </w:tc>
              <w:tc>
                <w:tcPr>
                  <w:tcW w:w="1009" w:type="dxa"/>
                  <w:tcBorders>
                    <w:tl2br w:val="nil"/>
                    <w:tr2bl w:val="nil"/>
                  </w:tcBorders>
                  <w:vAlign w:val="center"/>
                </w:tcPr>
                <w:p w14:paraId="00F7A2D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4"/>
                      <w:szCs w:val="24"/>
                      <w:highlight w:val="none"/>
                      <w:u w:val="none" w:color="auto"/>
                      <w:vertAlign w:val="baseline"/>
                    </w:rPr>
                  </w:pPr>
                </w:p>
              </w:tc>
            </w:tr>
          </w:tbl>
          <w:p w14:paraId="670BC2B0">
            <w:pPr>
              <w:autoSpaceDE w:val="0"/>
              <w:autoSpaceDN w:val="0"/>
              <w:adjustRightInd w:val="0"/>
              <w:snapToGrid w:val="0"/>
              <w:spacing w:line="360" w:lineRule="auto"/>
              <w:ind w:firstLine="480"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sz w:val="24"/>
                <w:szCs w:val="24"/>
                <w:u w:val="none" w:color="auto"/>
              </w:rPr>
              <w:t>综上，本项目与华容县生态环境“十四五”规划（2021-2025年） 要求相符。</w:t>
            </w:r>
          </w:p>
          <w:p w14:paraId="5B6F8A56">
            <w:pPr>
              <w:pStyle w:val="97"/>
              <w:numPr>
                <w:ilvl w:val="0"/>
                <w:numId w:val="0"/>
              </w:numPr>
              <w:ind w:leftChars="200"/>
              <w:rPr>
                <w:rFonts w:hint="default" w:ascii="Times New Roman" w:hAnsi="Times New Roman" w:eastAsia="宋体" w:cs="Times New Roman"/>
                <w:b/>
                <w:bCs/>
                <w:color w:val="000000"/>
                <w:u w:val="none" w:color="auto"/>
                <w:lang w:val="en-US" w:eastAsia="zh-CN"/>
              </w:rPr>
            </w:pPr>
            <w:r>
              <w:rPr>
                <w:rFonts w:hint="eastAsia" w:ascii="Times New Roman" w:hAnsi="Times New Roman" w:eastAsia="宋体" w:cs="Times New Roman"/>
                <w:b/>
                <w:bCs/>
                <w:color w:val="000000"/>
                <w:u w:val="none" w:color="auto"/>
                <w:lang w:val="en-US" w:eastAsia="zh-CN"/>
              </w:rPr>
              <w:t>（7）</w:t>
            </w:r>
            <w:r>
              <w:rPr>
                <w:rFonts w:hint="default" w:ascii="Times New Roman" w:hAnsi="Times New Roman" w:eastAsia="宋体" w:cs="Times New Roman"/>
                <w:b/>
                <w:bCs/>
                <w:color w:val="000000"/>
                <w:u w:val="none" w:color="auto"/>
                <w:lang w:val="en-US" w:eastAsia="zh-CN"/>
              </w:rPr>
              <w:t>与《中华人民共和国长江保护法》符合性分析</w:t>
            </w:r>
          </w:p>
          <w:p w14:paraId="725149D4">
            <w:pPr>
              <w:pStyle w:val="97"/>
              <w:ind w:firstLine="480"/>
              <w:rPr>
                <w:rFonts w:hint="default" w:ascii="Times New Roman" w:hAnsi="Times New Roman" w:eastAsia="宋体" w:cs="Times New Roman"/>
                <w:color w:val="000000"/>
                <w:u w:val="none" w:color="auto"/>
              </w:rPr>
            </w:pPr>
            <w:r>
              <w:rPr>
                <w:rFonts w:hint="default" w:ascii="Times New Roman" w:hAnsi="Times New Roman" w:eastAsia="宋体" w:cs="Times New Roman"/>
                <w:color w:val="000000"/>
                <w:u w:val="none" w:color="auto"/>
                <w:lang w:val="en-US" w:eastAsia="zh-CN"/>
              </w:rPr>
              <w:t>本项目建设内容与《中华人民共和国长江保护法》相关要求对比分析见下表。</w:t>
            </w:r>
          </w:p>
          <w:p w14:paraId="63233719">
            <w:pPr>
              <w:autoSpaceDE w:val="0"/>
              <w:autoSpaceDN w:val="0"/>
              <w:adjustRightInd w:val="0"/>
              <w:snapToGrid w:val="0"/>
              <w:ind w:firstLine="442" w:firstLineChars="200"/>
              <w:jc w:val="center"/>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lang w:val="en-US" w:eastAsia="zh-CN"/>
              </w:rPr>
              <w:t>表</w:t>
            </w:r>
            <w:r>
              <w:rPr>
                <w:rFonts w:hint="default" w:ascii="Times New Roman" w:hAnsi="Times New Roman" w:eastAsia="宋体" w:cs="Times New Roman"/>
                <w:b/>
                <w:bCs/>
                <w:color w:val="auto"/>
                <w:kern w:val="0"/>
                <w:sz w:val="22"/>
                <w:szCs w:val="22"/>
                <w:u w:val="none" w:color="auto"/>
              </w:rPr>
              <w:t>1-</w:t>
            </w:r>
            <w:r>
              <w:rPr>
                <w:rFonts w:hint="eastAsia" w:ascii="Times New Roman" w:hAnsi="Times New Roman" w:eastAsia="宋体" w:cs="Times New Roman"/>
                <w:b/>
                <w:bCs/>
                <w:color w:val="auto"/>
                <w:kern w:val="0"/>
                <w:sz w:val="22"/>
                <w:szCs w:val="22"/>
                <w:u w:val="none" w:color="auto"/>
                <w:lang w:val="en-US" w:eastAsia="zh-CN"/>
              </w:rPr>
              <w:t>7</w:t>
            </w:r>
            <w:r>
              <w:rPr>
                <w:rFonts w:hint="default" w:ascii="Times New Roman" w:hAnsi="Times New Roman" w:eastAsia="宋体" w:cs="Times New Roman"/>
                <w:b/>
                <w:bCs/>
                <w:color w:val="auto"/>
                <w:kern w:val="0"/>
                <w:sz w:val="22"/>
                <w:szCs w:val="22"/>
                <w:u w:val="none" w:color="auto"/>
                <w:lang w:val="en-US" w:eastAsia="zh-CN"/>
              </w:rPr>
              <w:t xml:space="preserve">   </w:t>
            </w:r>
            <w:r>
              <w:rPr>
                <w:rFonts w:hint="default" w:ascii="Times New Roman" w:hAnsi="Times New Roman" w:eastAsia="宋体" w:cs="Times New Roman"/>
                <w:b/>
                <w:bCs/>
                <w:color w:val="auto"/>
                <w:kern w:val="0"/>
                <w:sz w:val="22"/>
                <w:szCs w:val="22"/>
                <w:u w:val="none" w:color="auto"/>
              </w:rPr>
              <w:t>与《中华人民共和国长江保护法》符合性分析一览表</w:t>
            </w:r>
          </w:p>
          <w:tbl>
            <w:tblPr>
              <w:tblStyle w:val="26"/>
              <w:tblW w:w="6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48"/>
              <w:gridCol w:w="4054"/>
              <w:gridCol w:w="1883"/>
              <w:gridCol w:w="433"/>
            </w:tblGrid>
            <w:tr w14:paraId="60F220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650" w:hRule="atLeast"/>
                <w:jc w:val="center"/>
              </w:trPr>
              <w:tc>
                <w:tcPr>
                  <w:tcW w:w="348" w:type="dxa"/>
                  <w:tcBorders>
                    <w:tl2br w:val="nil"/>
                    <w:tr2bl w:val="nil"/>
                  </w:tcBorders>
                  <w:noWrap w:val="0"/>
                  <w:vAlign w:val="center"/>
                </w:tcPr>
                <w:p w14:paraId="096AC37F">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eastAsia="宋体" w:cs="Times New Roman"/>
                      <w:b/>
                      <w:bCs/>
                      <w:color w:val="000000"/>
                      <w:sz w:val="21"/>
                      <w:szCs w:val="21"/>
                      <w:u w:val="none" w:color="auto"/>
                      <w:lang w:val="en-US" w:eastAsia="zh-CN"/>
                    </w:rPr>
                    <w:t>序号</w:t>
                  </w:r>
                </w:p>
              </w:tc>
              <w:tc>
                <w:tcPr>
                  <w:tcW w:w="4054" w:type="dxa"/>
                  <w:tcBorders>
                    <w:tl2br w:val="nil"/>
                    <w:tr2bl w:val="nil"/>
                  </w:tcBorders>
                  <w:noWrap w:val="0"/>
                  <w:vAlign w:val="center"/>
                </w:tcPr>
                <w:p w14:paraId="02C19D58">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eastAsia="宋体" w:cs="Times New Roman"/>
                      <w:b/>
                      <w:bCs/>
                      <w:color w:val="000000"/>
                      <w:sz w:val="21"/>
                      <w:szCs w:val="21"/>
                      <w:u w:val="none" w:color="auto"/>
                      <w:lang w:val="en-US" w:eastAsia="zh-CN"/>
                    </w:rPr>
                    <w:t>要求内容</w:t>
                  </w:r>
                </w:p>
              </w:tc>
              <w:tc>
                <w:tcPr>
                  <w:tcW w:w="1883" w:type="dxa"/>
                  <w:tcBorders>
                    <w:tl2br w:val="nil"/>
                    <w:tr2bl w:val="nil"/>
                  </w:tcBorders>
                  <w:noWrap w:val="0"/>
                  <w:vAlign w:val="center"/>
                </w:tcPr>
                <w:p w14:paraId="7C05B416">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eastAsia="宋体" w:cs="Times New Roman"/>
                      <w:b/>
                      <w:bCs/>
                      <w:color w:val="000000"/>
                      <w:sz w:val="21"/>
                      <w:szCs w:val="21"/>
                      <w:u w:val="none" w:color="auto"/>
                      <w:lang w:val="en-US" w:eastAsia="zh-CN"/>
                    </w:rPr>
                    <w:t>本项目情况</w:t>
                  </w:r>
                </w:p>
              </w:tc>
              <w:tc>
                <w:tcPr>
                  <w:tcW w:w="433" w:type="dxa"/>
                  <w:tcBorders>
                    <w:tl2br w:val="nil"/>
                    <w:tr2bl w:val="nil"/>
                  </w:tcBorders>
                  <w:noWrap w:val="0"/>
                  <w:vAlign w:val="center"/>
                </w:tcPr>
                <w:p w14:paraId="2369E970">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eastAsia="宋体" w:cs="Times New Roman"/>
                      <w:b/>
                      <w:bCs/>
                      <w:color w:val="000000"/>
                      <w:sz w:val="21"/>
                      <w:szCs w:val="21"/>
                      <w:u w:val="none" w:color="auto"/>
                      <w:lang w:val="en-US" w:eastAsia="zh-CN"/>
                    </w:rPr>
                    <w:t>符合</w:t>
                  </w:r>
                </w:p>
                <w:p w14:paraId="0ABAF626">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000000"/>
                      <w:sz w:val="21"/>
                      <w:szCs w:val="21"/>
                      <w:u w:val="none" w:color="auto"/>
                      <w:lang w:val="en-US" w:eastAsia="zh-CN"/>
                    </w:rPr>
                  </w:pPr>
                  <w:r>
                    <w:rPr>
                      <w:rFonts w:hint="default" w:ascii="Times New Roman" w:hAnsi="Times New Roman" w:eastAsia="宋体" w:cs="Times New Roman"/>
                      <w:b/>
                      <w:bCs/>
                      <w:color w:val="000000"/>
                      <w:sz w:val="21"/>
                      <w:szCs w:val="21"/>
                      <w:u w:val="none" w:color="auto"/>
                      <w:lang w:val="en-US" w:eastAsia="zh-CN"/>
                    </w:rPr>
                    <w:t>性</w:t>
                  </w:r>
                </w:p>
              </w:tc>
            </w:tr>
            <w:tr w14:paraId="226372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1192" w:hRule="atLeast"/>
                <w:jc w:val="center"/>
              </w:trPr>
              <w:tc>
                <w:tcPr>
                  <w:tcW w:w="348" w:type="dxa"/>
                  <w:tcBorders>
                    <w:tl2br w:val="nil"/>
                    <w:tr2bl w:val="nil"/>
                  </w:tcBorders>
                  <w:noWrap w:val="0"/>
                  <w:vAlign w:val="center"/>
                </w:tcPr>
                <w:p w14:paraId="5FE7FC77">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1</w:t>
                  </w:r>
                </w:p>
              </w:tc>
              <w:tc>
                <w:tcPr>
                  <w:tcW w:w="4054" w:type="dxa"/>
                  <w:tcBorders>
                    <w:tl2br w:val="nil"/>
                    <w:tr2bl w:val="nil"/>
                  </w:tcBorders>
                  <w:noWrap w:val="0"/>
                  <w:vAlign w:val="center"/>
                </w:tcPr>
                <w:p w14:paraId="6C2A1A64">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第二十九条 长江流域水资源保护与利用，应当根据流域综合规划，优先满足城乡居民生活用水，保障基本生态用水，并统筹农业、工业用水以及航运等需要。</w:t>
                  </w:r>
                </w:p>
              </w:tc>
              <w:tc>
                <w:tcPr>
                  <w:tcW w:w="1883" w:type="dxa"/>
                  <w:tcBorders>
                    <w:tl2br w:val="nil"/>
                    <w:tr2bl w:val="nil"/>
                  </w:tcBorders>
                  <w:noWrap w:val="0"/>
                  <w:vAlign w:val="center"/>
                </w:tcPr>
                <w:p w14:paraId="2F6786B8">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本项目属于自建供热工程，取水来自于市政自来水厂，不涉及从长江取水</w:t>
                  </w:r>
                </w:p>
              </w:tc>
              <w:tc>
                <w:tcPr>
                  <w:tcW w:w="433" w:type="dxa"/>
                  <w:tcBorders>
                    <w:tl2br w:val="nil"/>
                    <w:tr2bl w:val="nil"/>
                  </w:tcBorders>
                  <w:noWrap w:val="0"/>
                  <w:vAlign w:val="center"/>
                </w:tcPr>
                <w:p w14:paraId="6DBE1F5E">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符合</w:t>
                  </w:r>
                </w:p>
              </w:tc>
            </w:tr>
            <w:tr w14:paraId="182BE2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11" w:hRule="atLeast"/>
                <w:jc w:val="center"/>
              </w:trPr>
              <w:tc>
                <w:tcPr>
                  <w:tcW w:w="348" w:type="dxa"/>
                  <w:tcBorders>
                    <w:tl2br w:val="nil"/>
                    <w:tr2bl w:val="nil"/>
                  </w:tcBorders>
                  <w:noWrap w:val="0"/>
                  <w:vAlign w:val="center"/>
                </w:tcPr>
                <w:p w14:paraId="331B1AD8">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2</w:t>
                  </w:r>
                </w:p>
              </w:tc>
              <w:tc>
                <w:tcPr>
                  <w:tcW w:w="4054" w:type="dxa"/>
                  <w:tcBorders>
                    <w:tl2br w:val="nil"/>
                    <w:tr2bl w:val="nil"/>
                  </w:tcBorders>
                  <w:noWrap w:val="0"/>
                  <w:vAlign w:val="center"/>
                </w:tcPr>
                <w:p w14:paraId="69D1EAC6">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第四十七条 在长江流域江河、湖泊新设、改设或者扩大排污口，应当按照国家有关规定报经有管辖权的生态环境主管部门或者长江流域生态场境监督管理机构同意。对未达到水质目标的水功能区，除污水集中处理设施排污口外，应当严格控制新设，改设或者扩大排污口。</w:t>
                  </w:r>
                </w:p>
              </w:tc>
              <w:tc>
                <w:tcPr>
                  <w:tcW w:w="1883" w:type="dxa"/>
                  <w:tcBorders>
                    <w:tl2br w:val="nil"/>
                    <w:tr2bl w:val="nil"/>
                  </w:tcBorders>
                  <w:noWrap w:val="0"/>
                  <w:vAlign w:val="center"/>
                </w:tcPr>
                <w:p w14:paraId="07A6AEE4">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本项目未在长江流域江河、湖泊新设、改设或者扩大排污口</w:t>
                  </w:r>
                </w:p>
              </w:tc>
              <w:tc>
                <w:tcPr>
                  <w:tcW w:w="433" w:type="dxa"/>
                  <w:tcBorders>
                    <w:tl2br w:val="nil"/>
                    <w:tr2bl w:val="nil"/>
                  </w:tcBorders>
                  <w:noWrap w:val="0"/>
                  <w:vAlign w:val="center"/>
                </w:tcPr>
                <w:p w14:paraId="72B36FC9">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符合</w:t>
                  </w:r>
                </w:p>
              </w:tc>
            </w:tr>
            <w:tr w14:paraId="4044D4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1503" w:hRule="atLeast"/>
                <w:jc w:val="center"/>
              </w:trPr>
              <w:tc>
                <w:tcPr>
                  <w:tcW w:w="348" w:type="dxa"/>
                  <w:tcBorders>
                    <w:tl2br w:val="nil"/>
                    <w:tr2bl w:val="nil"/>
                  </w:tcBorders>
                  <w:noWrap w:val="0"/>
                  <w:vAlign w:val="center"/>
                </w:tcPr>
                <w:p w14:paraId="0FE1F6D3">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3</w:t>
                  </w:r>
                </w:p>
              </w:tc>
              <w:tc>
                <w:tcPr>
                  <w:tcW w:w="4054" w:type="dxa"/>
                  <w:tcBorders>
                    <w:tl2br w:val="nil"/>
                    <w:tr2bl w:val="nil"/>
                  </w:tcBorders>
                  <w:noWrap w:val="0"/>
                  <w:vAlign w:val="center"/>
                </w:tcPr>
                <w:p w14:paraId="2E3A564C">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1883" w:type="dxa"/>
                  <w:tcBorders>
                    <w:tl2br w:val="nil"/>
                    <w:tr2bl w:val="nil"/>
                  </w:tcBorders>
                  <w:noWrap w:val="0"/>
                  <w:vAlign w:val="center"/>
                </w:tcPr>
                <w:p w14:paraId="382F7A6C">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本项目不属于垃圾填埋场、加油站、矿山、尾矿库、危险废物处置场、化工园区和化工项目等</w:t>
                  </w:r>
                </w:p>
              </w:tc>
              <w:tc>
                <w:tcPr>
                  <w:tcW w:w="433" w:type="dxa"/>
                  <w:tcBorders>
                    <w:tl2br w:val="nil"/>
                    <w:tr2bl w:val="nil"/>
                  </w:tcBorders>
                  <w:noWrap w:val="0"/>
                  <w:vAlign w:val="center"/>
                </w:tcPr>
                <w:p w14:paraId="18658ED6">
                  <w:pPr>
                    <w:pStyle w:val="99"/>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符合</w:t>
                  </w:r>
                </w:p>
              </w:tc>
            </w:tr>
          </w:tbl>
          <w:p w14:paraId="20727D8F">
            <w:pPr>
              <w:pStyle w:val="97"/>
              <w:ind w:firstLine="480"/>
              <w:rPr>
                <w:rFonts w:hint="default" w:ascii="Times New Roman" w:hAnsi="Times New Roman" w:eastAsia="宋体" w:cs="Times New Roman"/>
                <w:color w:val="000000"/>
                <w:u w:val="none" w:color="auto"/>
                <w:lang w:val="en-US" w:eastAsia="zh-CN"/>
              </w:rPr>
            </w:pPr>
            <w:r>
              <w:rPr>
                <w:rFonts w:hint="default" w:ascii="Times New Roman" w:hAnsi="Times New Roman" w:eastAsia="宋体" w:cs="Times New Roman"/>
                <w:color w:val="000000"/>
                <w:u w:val="none" w:color="auto"/>
                <w:lang w:val="en-US" w:eastAsia="zh-CN"/>
              </w:rPr>
              <w:t>综上，项目与《中华人民共和国长江保护法》中相关条款不冲突。</w:t>
            </w:r>
          </w:p>
          <w:p w14:paraId="43D80C4E">
            <w:pPr>
              <w:pStyle w:val="97"/>
              <w:numPr>
                <w:ilvl w:val="0"/>
                <w:numId w:val="0"/>
              </w:numPr>
              <w:ind w:leftChars="200"/>
              <w:jc w:val="left"/>
              <w:rPr>
                <w:rFonts w:hint="default" w:ascii="Times New Roman" w:hAnsi="Times New Roman" w:eastAsia="宋体" w:cs="Times New Roman"/>
                <w:b/>
                <w:bCs/>
                <w:color w:val="000000"/>
                <w:u w:val="none" w:color="auto"/>
                <w:lang w:val="en-US" w:eastAsia="zh-CN"/>
              </w:rPr>
            </w:pPr>
            <w:r>
              <w:rPr>
                <w:rFonts w:hint="default" w:ascii="Times New Roman" w:hAnsi="Times New Roman" w:eastAsia="宋体" w:cs="Times New Roman"/>
                <w:b/>
                <w:bCs/>
                <w:color w:val="000000"/>
                <w:u w:val="none" w:color="auto"/>
                <w:lang w:val="en-US" w:eastAsia="zh-CN"/>
              </w:rPr>
              <w:t>（</w:t>
            </w:r>
            <w:r>
              <w:rPr>
                <w:rFonts w:hint="eastAsia" w:ascii="Times New Roman" w:hAnsi="Times New Roman" w:eastAsia="宋体" w:cs="Times New Roman"/>
                <w:b/>
                <w:bCs/>
                <w:color w:val="000000"/>
                <w:u w:val="none" w:color="auto"/>
                <w:lang w:val="en-US" w:eastAsia="zh-CN"/>
              </w:rPr>
              <w:t>8</w:t>
            </w:r>
            <w:r>
              <w:rPr>
                <w:rFonts w:hint="default" w:ascii="Times New Roman" w:hAnsi="Times New Roman" w:eastAsia="宋体" w:cs="Times New Roman"/>
                <w:b/>
                <w:bCs/>
                <w:color w:val="000000"/>
                <w:u w:val="none" w:color="auto"/>
                <w:lang w:val="en-US" w:eastAsia="zh-CN"/>
              </w:rPr>
              <w:t>）与《湖南省长江经济带发展负面清单实施细则（试行，2022年）》要求的符合性。</w:t>
            </w:r>
          </w:p>
          <w:p w14:paraId="09E56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kern w:val="0"/>
                <w:sz w:val="21"/>
                <w:szCs w:val="21"/>
                <w:u w:val="none" w:color="auto"/>
                <w:lang w:val="en-US" w:eastAsia="zh-CN" w:bidi="ar-SA"/>
              </w:rPr>
              <w:t>表1-</w:t>
            </w:r>
            <w:r>
              <w:rPr>
                <w:rFonts w:hint="eastAsia" w:ascii="Times New Roman" w:hAnsi="Times New Roman" w:eastAsia="宋体" w:cs="Times New Roman"/>
                <w:b/>
                <w:bCs/>
                <w:kern w:val="0"/>
                <w:sz w:val="21"/>
                <w:szCs w:val="21"/>
                <w:u w:val="none" w:color="auto"/>
                <w:lang w:val="en-US" w:eastAsia="zh-CN" w:bidi="ar-SA"/>
              </w:rPr>
              <w:t>8</w:t>
            </w:r>
            <w:r>
              <w:rPr>
                <w:rFonts w:hint="default" w:ascii="Times New Roman" w:hAnsi="Times New Roman" w:eastAsia="宋体" w:cs="Times New Roman"/>
                <w:b/>
                <w:bCs/>
                <w:kern w:val="0"/>
                <w:sz w:val="21"/>
                <w:szCs w:val="21"/>
                <w:u w:val="none" w:color="auto"/>
                <w:lang w:val="en-US" w:eastAsia="zh-CN" w:bidi="ar-SA"/>
              </w:rPr>
              <w:t>与《湖南省长</w:t>
            </w:r>
            <w:r>
              <w:rPr>
                <w:rFonts w:hint="default" w:ascii="Times New Roman" w:hAnsi="Times New Roman" w:eastAsia="宋体" w:cs="Times New Roman"/>
                <w:b/>
                <w:bCs/>
                <w:sz w:val="21"/>
                <w:szCs w:val="21"/>
                <w:u w:val="none" w:color="auto"/>
                <w:lang w:val="en-US" w:eastAsia="zh-CN"/>
              </w:rPr>
              <w:t>江经济带发展负面清单实施细则（2022年）</w:t>
            </w:r>
            <w:r>
              <w:rPr>
                <w:rFonts w:hint="default" w:ascii="Times New Roman" w:hAnsi="Times New Roman" w:eastAsia="宋体" w:cs="Times New Roman"/>
                <w:b/>
                <w:bCs/>
                <w:sz w:val="21"/>
                <w:szCs w:val="21"/>
                <w:u w:val="none" w:color="auto"/>
              </w:rPr>
              <w:t>》相符性分析表</w:t>
            </w:r>
          </w:p>
          <w:tbl>
            <w:tblPr>
              <w:tblStyle w:val="26"/>
              <w:tblW w:w="500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0"/>
              <w:gridCol w:w="3033"/>
              <w:gridCol w:w="2434"/>
              <w:gridCol w:w="818"/>
            </w:tblGrid>
            <w:tr w14:paraId="6FB6E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2CBB0733">
                  <w:pPr>
                    <w:pStyle w:val="59"/>
                    <w:autoSpaceDE/>
                    <w:autoSpaceDN/>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序号</w:t>
                  </w:r>
                </w:p>
              </w:tc>
              <w:tc>
                <w:tcPr>
                  <w:tcW w:w="2261" w:type="pct"/>
                  <w:tcBorders>
                    <w:tl2br w:val="nil"/>
                    <w:tr2bl w:val="nil"/>
                  </w:tcBorders>
                  <w:noWrap w:val="0"/>
                  <w:vAlign w:val="center"/>
                </w:tcPr>
                <w:p w14:paraId="36BDEF51">
                  <w:pPr>
                    <w:pStyle w:val="59"/>
                    <w:autoSpaceDE/>
                    <w:autoSpaceDN/>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标准要求</w:t>
                  </w:r>
                </w:p>
              </w:tc>
              <w:tc>
                <w:tcPr>
                  <w:tcW w:w="1814" w:type="pct"/>
                  <w:tcBorders>
                    <w:tl2br w:val="nil"/>
                    <w:tr2bl w:val="nil"/>
                  </w:tcBorders>
                  <w:noWrap w:val="0"/>
                  <w:vAlign w:val="center"/>
                </w:tcPr>
                <w:p w14:paraId="6F3D15E6">
                  <w:pPr>
                    <w:pStyle w:val="59"/>
                    <w:autoSpaceDE/>
                    <w:autoSpaceDN/>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lang w:val="en-US" w:eastAsia="zh-CN"/>
                    </w:rPr>
                    <w:t>本项</w:t>
                  </w:r>
                  <w:r>
                    <w:rPr>
                      <w:rFonts w:hint="default" w:ascii="Times New Roman" w:hAnsi="Times New Roman" w:eastAsia="宋体" w:cs="Times New Roman"/>
                      <w:b/>
                      <w:bCs/>
                      <w:color w:val="auto"/>
                      <w:szCs w:val="21"/>
                      <w:u w:val="none" w:color="auto"/>
                      <w:lang w:eastAsia="zh-CN"/>
                    </w:rPr>
                    <w:t>目</w:t>
                  </w:r>
                  <w:r>
                    <w:rPr>
                      <w:rFonts w:hint="default" w:ascii="Times New Roman" w:hAnsi="Times New Roman" w:eastAsia="宋体" w:cs="Times New Roman"/>
                      <w:b/>
                      <w:bCs/>
                      <w:color w:val="auto"/>
                      <w:szCs w:val="21"/>
                      <w:u w:val="none" w:color="auto"/>
                    </w:rPr>
                    <w:t>情况</w:t>
                  </w:r>
                </w:p>
              </w:tc>
              <w:tc>
                <w:tcPr>
                  <w:tcW w:w="610" w:type="pct"/>
                  <w:tcBorders>
                    <w:tl2br w:val="nil"/>
                    <w:tr2bl w:val="nil"/>
                  </w:tcBorders>
                  <w:noWrap w:val="0"/>
                  <w:vAlign w:val="center"/>
                </w:tcPr>
                <w:p w14:paraId="2E9C53B7">
                  <w:pPr>
                    <w:pStyle w:val="59"/>
                    <w:autoSpaceDE/>
                    <w:autoSpaceDN/>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符合性</w:t>
                  </w:r>
                </w:p>
              </w:tc>
            </w:tr>
            <w:tr w14:paraId="2F0D5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22D2DE02">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1</w:t>
                  </w:r>
                </w:p>
              </w:tc>
              <w:tc>
                <w:tcPr>
                  <w:tcW w:w="2261" w:type="pct"/>
                  <w:tcBorders>
                    <w:tl2br w:val="nil"/>
                    <w:tr2bl w:val="nil"/>
                  </w:tcBorders>
                  <w:noWrap w:val="0"/>
                  <w:vAlign w:val="center"/>
                </w:tcPr>
                <w:p w14:paraId="3BC8A38D">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rPr>
                    <w:t>禁止建设不符合全国和省级港口布局规划以及港口总体规划的码头项目，禁止建设不符合《长江干线过江通道布局规划(2020-2035年)》的过长江通道</w:t>
                  </w:r>
                  <w:r>
                    <w:rPr>
                      <w:rFonts w:hint="default" w:ascii="Times New Roman" w:hAnsi="Times New Roman" w:eastAsia="宋体" w:cs="Times New Roman"/>
                      <w:color w:val="auto"/>
                      <w:szCs w:val="21"/>
                      <w:u w:val="none" w:color="auto"/>
                      <w:lang w:eastAsia="zh-CN"/>
                    </w:rPr>
                    <w:t>项目</w:t>
                  </w:r>
                </w:p>
              </w:tc>
              <w:tc>
                <w:tcPr>
                  <w:tcW w:w="1814" w:type="pct"/>
                  <w:tcBorders>
                    <w:tl2br w:val="nil"/>
                    <w:tr2bl w:val="nil"/>
                  </w:tcBorders>
                  <w:noWrap w:val="0"/>
                  <w:vAlign w:val="center"/>
                </w:tcPr>
                <w:p w14:paraId="0F2DCB72">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本项目不属于码头项目和过长江通道项目。</w:t>
                  </w:r>
                </w:p>
              </w:tc>
              <w:tc>
                <w:tcPr>
                  <w:tcW w:w="610" w:type="pct"/>
                  <w:tcBorders>
                    <w:tl2br w:val="nil"/>
                    <w:tr2bl w:val="nil"/>
                  </w:tcBorders>
                  <w:noWrap w:val="0"/>
                  <w:vAlign w:val="center"/>
                </w:tcPr>
                <w:p w14:paraId="60DB19E6">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179EF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2E1D4904">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2</w:t>
                  </w:r>
                </w:p>
              </w:tc>
              <w:tc>
                <w:tcPr>
                  <w:tcW w:w="2261" w:type="pct"/>
                  <w:tcBorders>
                    <w:tl2br w:val="nil"/>
                    <w:tr2bl w:val="nil"/>
                  </w:tcBorders>
                  <w:noWrap w:val="0"/>
                  <w:vAlign w:val="center"/>
                </w:tcPr>
                <w:p w14:paraId="13C0BCA4">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rPr>
                    <w:t>禁止在自然保护区核心区、缓冲区的岸线和河段范围内投资建设旅游和生产经营项目</w:t>
                  </w:r>
                  <w:r>
                    <w:rPr>
                      <w:rFonts w:hint="default" w:ascii="Times New Roman" w:hAnsi="Times New Roman" w:eastAsia="宋体" w:cs="Times New Roman"/>
                      <w:color w:val="auto"/>
                      <w:szCs w:val="21"/>
                      <w:u w:val="none" w:color="auto"/>
                      <w:lang w:eastAsia="zh-CN"/>
                    </w:rPr>
                    <w:t>。</w:t>
                  </w:r>
                </w:p>
              </w:tc>
              <w:tc>
                <w:tcPr>
                  <w:tcW w:w="1814" w:type="pct"/>
                  <w:tcBorders>
                    <w:tl2br w:val="nil"/>
                    <w:tr2bl w:val="nil"/>
                  </w:tcBorders>
                  <w:noWrap w:val="0"/>
                  <w:vAlign w:val="center"/>
                </w:tcPr>
                <w:p w14:paraId="724DC36E">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本项目位于湖南省岳阳市华容县三封寺镇华容高新技术产业开发区</w:t>
                  </w:r>
                  <w:r>
                    <w:rPr>
                      <w:rFonts w:hint="default" w:ascii="Times New Roman" w:hAnsi="Times New Roman" w:eastAsia="宋体" w:cs="Times New Roman"/>
                      <w:color w:val="auto"/>
                      <w:szCs w:val="21"/>
                      <w:u w:val="none" w:color="auto"/>
                      <w:lang w:val="en-US" w:eastAsia="zh-CN"/>
                    </w:rPr>
                    <w:t>石伏片区</w:t>
                  </w:r>
                  <w:r>
                    <w:rPr>
                      <w:rFonts w:hint="default" w:ascii="Times New Roman" w:hAnsi="Times New Roman" w:eastAsia="宋体" w:cs="Times New Roman"/>
                      <w:color w:val="auto"/>
                      <w:szCs w:val="21"/>
                      <w:u w:val="none" w:color="auto"/>
                      <w:lang w:eastAsia="zh-CN"/>
                    </w:rPr>
                    <w:t>，不在自然保护区核心区、缓冲区的岸线和河段范围内。</w:t>
                  </w:r>
                </w:p>
              </w:tc>
              <w:tc>
                <w:tcPr>
                  <w:tcW w:w="610" w:type="pct"/>
                  <w:tcBorders>
                    <w:tl2br w:val="nil"/>
                    <w:tr2bl w:val="nil"/>
                  </w:tcBorders>
                  <w:noWrap w:val="0"/>
                  <w:vAlign w:val="center"/>
                </w:tcPr>
                <w:p w14:paraId="4C9EA54F">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4E9DD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313" w:type="pct"/>
                  <w:tcBorders>
                    <w:tl2br w:val="nil"/>
                    <w:tr2bl w:val="nil"/>
                  </w:tcBorders>
                  <w:noWrap w:val="0"/>
                  <w:vAlign w:val="center"/>
                </w:tcPr>
                <w:p w14:paraId="3BACAE1D">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3</w:t>
                  </w:r>
                </w:p>
              </w:tc>
              <w:tc>
                <w:tcPr>
                  <w:tcW w:w="2261" w:type="pct"/>
                  <w:tcBorders>
                    <w:tl2br w:val="nil"/>
                    <w:tr2bl w:val="nil"/>
                  </w:tcBorders>
                  <w:noWrap w:val="0"/>
                  <w:vAlign w:val="center"/>
                </w:tcPr>
                <w:p w14:paraId="65D13D71">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机场、铁路、公路、水利、围堰等公益性基础设施的选址选线应多方案优化必选，尽量避让相关自然保护区域、野</w:t>
                  </w:r>
                </w:p>
                <w:p w14:paraId="14D492E9">
                  <w:pPr>
                    <w:pStyle w:val="59"/>
                    <w:autoSpaceDE/>
                    <w:autoSpaceDN/>
                    <w:spacing w:line="240" w:lineRule="exact"/>
                    <w:jc w:val="both"/>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生动物迁徙洄游通道</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无法避让的，应当采取修建野生动物通道、过鱼设施等措施，消除或者减少对野生动物的不利</w:t>
                  </w:r>
                </w:p>
                <w:p w14:paraId="1E1C869B">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影响。</w:t>
                  </w:r>
                </w:p>
              </w:tc>
              <w:tc>
                <w:tcPr>
                  <w:tcW w:w="1814" w:type="pct"/>
                  <w:tcBorders>
                    <w:tl2br w:val="nil"/>
                    <w:tr2bl w:val="nil"/>
                  </w:tcBorders>
                  <w:noWrap w:val="0"/>
                  <w:vAlign w:val="center"/>
                </w:tcPr>
                <w:p w14:paraId="42147CB0">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本项目不属于机场、铁路、公路、水利、围堰等公益性基础设施项目。</w:t>
                  </w:r>
                </w:p>
              </w:tc>
              <w:tc>
                <w:tcPr>
                  <w:tcW w:w="610" w:type="pct"/>
                  <w:tcBorders>
                    <w:tl2br w:val="nil"/>
                    <w:tr2bl w:val="nil"/>
                  </w:tcBorders>
                  <w:noWrap w:val="0"/>
                  <w:vAlign w:val="center"/>
                </w:tcPr>
                <w:p w14:paraId="70884860">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4E588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33E48C86">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4</w:t>
                  </w:r>
                </w:p>
              </w:tc>
              <w:tc>
                <w:tcPr>
                  <w:tcW w:w="2261" w:type="pct"/>
                  <w:tcBorders>
                    <w:tl2br w:val="nil"/>
                    <w:tr2bl w:val="nil"/>
                  </w:tcBorders>
                  <w:noWrap w:val="0"/>
                  <w:vAlign w:val="center"/>
                </w:tcPr>
                <w:p w14:paraId="58F91111">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禁止违反风景名胜区规划，在风景名胜区内设立各类开发区和在核心景区减少宾馆、招待所、培训中心、疗养院以及与风景名胜资源保护无关的其他建筑物</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已经建设的，应当按照风景名胜区规划，逐步迁出。</w:t>
                  </w:r>
                </w:p>
              </w:tc>
              <w:tc>
                <w:tcPr>
                  <w:tcW w:w="1814" w:type="pct"/>
                  <w:tcBorders>
                    <w:tl2br w:val="nil"/>
                    <w:tr2bl w:val="nil"/>
                  </w:tcBorders>
                  <w:noWrap w:val="0"/>
                  <w:vAlign w:val="center"/>
                </w:tcPr>
                <w:p w14:paraId="0A1C5044">
                  <w:pPr>
                    <w:pStyle w:val="59"/>
                    <w:autoSpaceDE/>
                    <w:autoSpaceDN/>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eastAsia="zh-CN"/>
                    </w:rPr>
                    <w:t>本项目位于</w:t>
                  </w:r>
                  <w:r>
                    <w:rPr>
                      <w:rFonts w:hint="default" w:ascii="Times New Roman" w:hAnsi="Times New Roman" w:eastAsia="宋体" w:cs="Times New Roman"/>
                      <w:color w:val="auto"/>
                      <w:szCs w:val="21"/>
                      <w:u w:val="none" w:color="auto"/>
                    </w:rPr>
                    <w:t>湖南省岳阳市华容县三封寺镇华容高新技术产业开发区</w:t>
                  </w:r>
                  <w:r>
                    <w:rPr>
                      <w:rFonts w:hint="default" w:ascii="Times New Roman" w:hAnsi="Times New Roman" w:eastAsia="宋体" w:cs="Times New Roman"/>
                      <w:color w:val="auto"/>
                      <w:szCs w:val="21"/>
                      <w:u w:val="none" w:color="auto"/>
                      <w:lang w:val="en-US" w:eastAsia="zh-CN"/>
                    </w:rPr>
                    <w:t>石伏片区</w:t>
                  </w:r>
                  <w:r>
                    <w:rPr>
                      <w:rFonts w:hint="default" w:ascii="Times New Roman" w:hAnsi="Times New Roman" w:eastAsia="宋体" w:cs="Times New Roman"/>
                      <w:color w:val="auto"/>
                      <w:szCs w:val="21"/>
                      <w:u w:val="none" w:color="auto"/>
                      <w:lang w:eastAsia="zh-CN"/>
                    </w:rPr>
                    <w:t>，不在</w:t>
                  </w:r>
                  <w:r>
                    <w:rPr>
                      <w:rFonts w:hint="default" w:ascii="Times New Roman" w:hAnsi="Times New Roman" w:eastAsia="宋体" w:cs="Times New Roman"/>
                      <w:color w:val="auto"/>
                      <w:szCs w:val="21"/>
                      <w:u w:val="none" w:color="auto"/>
                    </w:rPr>
                    <w:t>风景名胜区</w:t>
                  </w:r>
                  <w:r>
                    <w:rPr>
                      <w:rFonts w:hint="default" w:ascii="Times New Roman" w:hAnsi="Times New Roman" w:eastAsia="宋体" w:cs="Times New Roman"/>
                      <w:color w:val="auto"/>
                      <w:szCs w:val="21"/>
                      <w:u w:val="none" w:color="auto"/>
                      <w:lang w:val="en-US" w:eastAsia="zh-CN"/>
                    </w:rPr>
                    <w:t>内</w:t>
                  </w:r>
                </w:p>
              </w:tc>
              <w:tc>
                <w:tcPr>
                  <w:tcW w:w="610" w:type="pct"/>
                  <w:tcBorders>
                    <w:tl2br w:val="nil"/>
                    <w:tr2bl w:val="nil"/>
                  </w:tcBorders>
                  <w:noWrap w:val="0"/>
                  <w:vAlign w:val="center"/>
                </w:tcPr>
                <w:p w14:paraId="382FE2F1">
                  <w:pPr>
                    <w:pStyle w:val="59"/>
                    <w:autoSpaceDE/>
                    <w:autoSpaceDN/>
                    <w:jc w:val="center"/>
                    <w:rPr>
                      <w:rFonts w:hint="default" w:ascii="Times New Roman" w:hAnsi="Times New Roman" w:eastAsia="宋体" w:cs="Times New Roman"/>
                      <w:color w:val="auto"/>
                      <w:szCs w:val="21"/>
                      <w:highlight w:val="yellow"/>
                      <w:u w:val="none" w:color="auto"/>
                    </w:rPr>
                  </w:pPr>
                  <w:r>
                    <w:rPr>
                      <w:rFonts w:hint="default" w:ascii="Times New Roman" w:hAnsi="Times New Roman" w:eastAsia="宋体" w:cs="Times New Roman"/>
                      <w:color w:val="auto"/>
                      <w:szCs w:val="21"/>
                      <w:u w:val="none" w:color="auto"/>
                    </w:rPr>
                    <w:t>符合</w:t>
                  </w:r>
                </w:p>
              </w:tc>
            </w:tr>
            <w:tr w14:paraId="3AB37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6D68E92F">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5</w:t>
                  </w:r>
                </w:p>
              </w:tc>
              <w:tc>
                <w:tcPr>
                  <w:tcW w:w="2261" w:type="pct"/>
                  <w:tcBorders>
                    <w:tl2br w:val="nil"/>
                    <w:tr2bl w:val="nil"/>
                  </w:tcBorders>
                  <w:noWrap w:val="0"/>
                  <w:vAlign w:val="center"/>
                </w:tcPr>
                <w:p w14:paraId="48B5A0AF">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饮用水水源一级保护区内禁止新建、改建、扩建与供水设施和保护水源无关的建设项目，以及网箱养殖、畜禽养殖、</w:t>
                  </w:r>
                </w:p>
                <w:p w14:paraId="00E115CF">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旅游等可能污染饮用水水体的投资建设项目</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禁止向水域排放污水，已设置的排污口必须拆除</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不得设置与供水需要无关的码头，禁止停靠船舶;禁止堆置和存放工业废渣、城市垃圾、粪便和其它废弃物</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禁止设置油库:禁止使用含磷洗涤用品。</w:t>
                  </w:r>
                </w:p>
              </w:tc>
              <w:tc>
                <w:tcPr>
                  <w:tcW w:w="1814" w:type="pct"/>
                  <w:tcBorders>
                    <w:tl2br w:val="nil"/>
                    <w:tr2bl w:val="nil"/>
                  </w:tcBorders>
                  <w:noWrap w:val="0"/>
                  <w:vAlign w:val="center"/>
                </w:tcPr>
                <w:p w14:paraId="4DCF7C04">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本项目涉及地表河段无饮用水水源一级保护区。</w:t>
                  </w:r>
                </w:p>
              </w:tc>
              <w:tc>
                <w:tcPr>
                  <w:tcW w:w="610" w:type="pct"/>
                  <w:tcBorders>
                    <w:tl2br w:val="nil"/>
                    <w:tr2bl w:val="nil"/>
                  </w:tcBorders>
                  <w:noWrap w:val="0"/>
                  <w:vAlign w:val="center"/>
                </w:tcPr>
                <w:p w14:paraId="17979DBA">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50F9A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114ECAE7">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6</w:t>
                  </w:r>
                </w:p>
              </w:tc>
              <w:tc>
                <w:tcPr>
                  <w:tcW w:w="2261" w:type="pct"/>
                  <w:tcBorders>
                    <w:tl2br w:val="nil"/>
                    <w:tr2bl w:val="nil"/>
                  </w:tcBorders>
                  <w:noWrap w:val="0"/>
                  <w:vAlign w:val="center"/>
                </w:tcPr>
                <w:p w14:paraId="723AA21F">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饮用水水源二级保护区内禁止新建、改建、扩建向水体排放污染物的投资建设项目。原有排污口依法拆除或关闭。禁止设立装卸垃圾、粪便、油类和有毒物品的码头。</w:t>
                  </w:r>
                </w:p>
              </w:tc>
              <w:tc>
                <w:tcPr>
                  <w:tcW w:w="1814" w:type="pct"/>
                  <w:tcBorders>
                    <w:tl2br w:val="nil"/>
                    <w:tr2bl w:val="nil"/>
                  </w:tcBorders>
                  <w:noWrap w:val="0"/>
                  <w:vAlign w:val="center"/>
                </w:tcPr>
                <w:p w14:paraId="278BB471">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本项目涉及地表水河段无饮用水水源二级保护区。</w:t>
                  </w:r>
                </w:p>
              </w:tc>
              <w:tc>
                <w:tcPr>
                  <w:tcW w:w="610" w:type="pct"/>
                  <w:tcBorders>
                    <w:tl2br w:val="nil"/>
                    <w:tr2bl w:val="nil"/>
                  </w:tcBorders>
                  <w:noWrap w:val="0"/>
                  <w:vAlign w:val="center"/>
                </w:tcPr>
                <w:p w14:paraId="1490F37E">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1BBF8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09965A74">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7</w:t>
                  </w:r>
                </w:p>
              </w:tc>
              <w:tc>
                <w:tcPr>
                  <w:tcW w:w="2261" w:type="pct"/>
                  <w:tcBorders>
                    <w:tl2br w:val="nil"/>
                    <w:tr2bl w:val="nil"/>
                  </w:tcBorders>
                  <w:noWrap w:val="0"/>
                  <w:vAlign w:val="center"/>
                </w:tcPr>
                <w:p w14:paraId="77170A04">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禁止在水产种质资源保护区的岸线和河段范围内新建排污口、实施非法围垦河道和围湖造田造地等投资建设项目</w:t>
                  </w:r>
                </w:p>
              </w:tc>
              <w:tc>
                <w:tcPr>
                  <w:tcW w:w="1814" w:type="pct"/>
                  <w:tcBorders>
                    <w:tl2br w:val="nil"/>
                    <w:tr2bl w:val="nil"/>
                  </w:tcBorders>
                  <w:noWrap w:val="0"/>
                  <w:vAlign w:val="center"/>
                </w:tcPr>
                <w:p w14:paraId="723568FF">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eastAsia="zh-CN"/>
                    </w:rPr>
                    <w:t>本项目位于</w:t>
                  </w:r>
                  <w:r>
                    <w:rPr>
                      <w:rFonts w:hint="default" w:ascii="Times New Roman" w:hAnsi="Times New Roman" w:eastAsia="宋体" w:cs="Times New Roman"/>
                      <w:color w:val="auto"/>
                      <w:szCs w:val="21"/>
                      <w:u w:val="none" w:color="auto"/>
                    </w:rPr>
                    <w:t>湖南省岳阳市华容县三封寺镇华容高新技术产业开发区</w:t>
                  </w:r>
                  <w:r>
                    <w:rPr>
                      <w:rFonts w:hint="default" w:ascii="Times New Roman" w:hAnsi="Times New Roman" w:eastAsia="宋体" w:cs="Times New Roman"/>
                      <w:color w:val="auto"/>
                      <w:szCs w:val="21"/>
                      <w:u w:val="none" w:color="auto"/>
                      <w:lang w:val="en-US" w:eastAsia="zh-CN"/>
                    </w:rPr>
                    <w:t>石伏片区</w:t>
                  </w:r>
                  <w:r>
                    <w:rPr>
                      <w:rFonts w:hint="default" w:ascii="Times New Roman" w:hAnsi="Times New Roman" w:eastAsia="宋体" w:cs="Times New Roman"/>
                      <w:color w:val="auto"/>
                      <w:szCs w:val="21"/>
                      <w:u w:val="none" w:color="auto"/>
                    </w:rPr>
                    <w:t>内</w:t>
                  </w:r>
                  <w:r>
                    <w:rPr>
                      <w:rFonts w:hint="default" w:ascii="Times New Roman" w:hAnsi="Times New Roman" w:eastAsia="宋体" w:cs="Times New Roman"/>
                      <w:color w:val="auto"/>
                      <w:szCs w:val="21"/>
                      <w:u w:val="none" w:color="auto"/>
                      <w:lang w:eastAsia="zh-CN"/>
                    </w:rPr>
                    <w:t>，不在</w:t>
                  </w:r>
                  <w:r>
                    <w:rPr>
                      <w:rFonts w:hint="default" w:ascii="Times New Roman" w:hAnsi="Times New Roman" w:eastAsia="宋体" w:cs="Times New Roman"/>
                      <w:color w:val="auto"/>
                      <w:szCs w:val="21"/>
                      <w:u w:val="none" w:color="auto"/>
                    </w:rPr>
                    <w:t>水产种质资源保护区的岸线和河段范围内</w:t>
                  </w:r>
                </w:p>
              </w:tc>
              <w:tc>
                <w:tcPr>
                  <w:tcW w:w="610" w:type="pct"/>
                  <w:tcBorders>
                    <w:tl2br w:val="nil"/>
                    <w:tr2bl w:val="nil"/>
                  </w:tcBorders>
                  <w:noWrap w:val="0"/>
                  <w:vAlign w:val="center"/>
                </w:tcPr>
                <w:p w14:paraId="4E196429">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18AD6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222F6561">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8</w:t>
                  </w:r>
                </w:p>
              </w:tc>
              <w:tc>
                <w:tcPr>
                  <w:tcW w:w="2261" w:type="pct"/>
                  <w:tcBorders>
                    <w:tl2br w:val="nil"/>
                    <w:tr2bl w:val="nil"/>
                  </w:tcBorders>
                  <w:noWrap w:val="0"/>
                  <w:vAlign w:val="center"/>
                </w:tcPr>
                <w:p w14:paraId="4C044901">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除《中华人民共和国防洪法》规定的紧急防汛期采取的紧急措施外，禁止在国家湿地公园的岸线和河段范围内挖沙、</w:t>
                  </w:r>
                </w:p>
                <w:p w14:paraId="22A7B47F">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rPr>
                    <w:t>采矿，以及其他不符合主体功能定位的行为和活动</w:t>
                  </w:r>
                  <w:r>
                    <w:rPr>
                      <w:rFonts w:hint="default" w:ascii="Times New Roman" w:hAnsi="Times New Roman" w:eastAsia="宋体" w:cs="Times New Roman"/>
                      <w:color w:val="auto"/>
                      <w:szCs w:val="21"/>
                      <w:u w:val="none" w:color="auto"/>
                      <w:lang w:eastAsia="zh-CN"/>
                    </w:rPr>
                    <w:t>。</w:t>
                  </w:r>
                </w:p>
              </w:tc>
              <w:tc>
                <w:tcPr>
                  <w:tcW w:w="1814" w:type="pct"/>
                  <w:tcBorders>
                    <w:tl2br w:val="nil"/>
                    <w:tr2bl w:val="nil"/>
                  </w:tcBorders>
                  <w:noWrap w:val="0"/>
                  <w:vAlign w:val="center"/>
                </w:tcPr>
                <w:p w14:paraId="32E25E70">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本项目不属于挖沙、采矿等其他不符合主体功能定位的项目</w:t>
                  </w:r>
                </w:p>
              </w:tc>
              <w:tc>
                <w:tcPr>
                  <w:tcW w:w="610" w:type="pct"/>
                  <w:tcBorders>
                    <w:tl2br w:val="nil"/>
                    <w:tr2bl w:val="nil"/>
                  </w:tcBorders>
                  <w:noWrap w:val="0"/>
                  <w:vAlign w:val="center"/>
                </w:tcPr>
                <w:p w14:paraId="2E085A23">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5E107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4186DD9F">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9</w:t>
                  </w:r>
                </w:p>
              </w:tc>
              <w:tc>
                <w:tcPr>
                  <w:tcW w:w="2261" w:type="pct"/>
                  <w:tcBorders>
                    <w:tl2br w:val="nil"/>
                    <w:tr2bl w:val="nil"/>
                  </w:tcBorders>
                  <w:noWrap w:val="0"/>
                  <w:vAlign w:val="center"/>
                </w:tcPr>
                <w:p w14:paraId="68F2ADA4">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w:t>
                  </w:r>
                </w:p>
                <w:p w14:paraId="77F06C52">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田及非法围垦河道，禁止非法建设矮围网围、填埋湿地等侵占河湖水域或者违法利用、占用河湖岸线的行为。</w:t>
                  </w:r>
                </w:p>
              </w:tc>
              <w:tc>
                <w:tcPr>
                  <w:tcW w:w="1814" w:type="pct"/>
                  <w:tcBorders>
                    <w:tl2br w:val="nil"/>
                    <w:tr2bl w:val="nil"/>
                  </w:tcBorders>
                  <w:noWrap w:val="0"/>
                  <w:vAlign w:val="center"/>
                </w:tcPr>
                <w:p w14:paraId="519DCB95">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本项目位于湖南省岳阳市华容县三封寺镇华容高新技术产业开发区</w:t>
                  </w:r>
                  <w:r>
                    <w:rPr>
                      <w:rFonts w:hint="default" w:ascii="Times New Roman" w:hAnsi="Times New Roman" w:eastAsia="宋体" w:cs="Times New Roman"/>
                      <w:color w:val="auto"/>
                      <w:szCs w:val="21"/>
                      <w:u w:val="none" w:color="auto"/>
                      <w:lang w:val="en-US" w:eastAsia="zh-CN"/>
                    </w:rPr>
                    <w:t>石伏片区</w:t>
                  </w:r>
                  <w:r>
                    <w:rPr>
                      <w:rFonts w:hint="default" w:ascii="Times New Roman" w:hAnsi="Times New Roman" w:eastAsia="宋体" w:cs="Times New Roman"/>
                      <w:color w:val="auto"/>
                      <w:szCs w:val="21"/>
                      <w:u w:val="none" w:color="auto"/>
                      <w:lang w:eastAsia="zh-CN"/>
                    </w:rPr>
                    <w:t>内，不涉及利用、占用长江流域河湖岸线，不涉及填湖造地、围湖造田及非法围垦河道。</w:t>
                  </w:r>
                </w:p>
              </w:tc>
              <w:tc>
                <w:tcPr>
                  <w:tcW w:w="610" w:type="pct"/>
                  <w:tcBorders>
                    <w:tl2br w:val="nil"/>
                    <w:tr2bl w:val="nil"/>
                  </w:tcBorders>
                  <w:noWrap w:val="0"/>
                  <w:vAlign w:val="center"/>
                </w:tcPr>
                <w:p w14:paraId="771B4777">
                  <w:pPr>
                    <w:pStyle w:val="59"/>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47A1A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10B0C19F">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w:t>
                  </w:r>
                </w:p>
              </w:tc>
              <w:tc>
                <w:tcPr>
                  <w:tcW w:w="2261" w:type="pct"/>
                  <w:tcBorders>
                    <w:tl2br w:val="nil"/>
                    <w:tr2bl w:val="nil"/>
                  </w:tcBorders>
                  <w:noWrap w:val="0"/>
                  <w:vAlign w:val="center"/>
                </w:tcPr>
                <w:p w14:paraId="1E752C7D">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禁止在《全国重要江河湖泊水功能区划》划定的河段及湖泊保护区、保留区内投资建设不利于水资源及自然生态保护的项目。</w:t>
                  </w:r>
                </w:p>
              </w:tc>
              <w:tc>
                <w:tcPr>
                  <w:tcW w:w="1814" w:type="pct"/>
                  <w:tcBorders>
                    <w:tl2br w:val="nil"/>
                    <w:tr2bl w:val="nil"/>
                  </w:tcBorders>
                  <w:noWrap w:val="0"/>
                  <w:vAlign w:val="center"/>
                </w:tcPr>
                <w:p w14:paraId="154C0E4B">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本项目位于</w:t>
                  </w:r>
                  <w:r>
                    <w:rPr>
                      <w:rFonts w:hint="default" w:ascii="Times New Roman" w:hAnsi="Times New Roman" w:eastAsia="宋体" w:cs="Times New Roman"/>
                      <w:color w:val="auto"/>
                      <w:szCs w:val="21"/>
                      <w:u w:val="none" w:color="auto"/>
                    </w:rPr>
                    <w:t>湖南省岳阳市华容县三封寺镇华容高新技术产业开发区</w:t>
                  </w:r>
                  <w:r>
                    <w:rPr>
                      <w:rFonts w:hint="default" w:ascii="Times New Roman" w:hAnsi="Times New Roman" w:eastAsia="宋体" w:cs="Times New Roman"/>
                      <w:color w:val="auto"/>
                      <w:szCs w:val="21"/>
                      <w:u w:val="none" w:color="auto"/>
                      <w:lang w:val="en-US" w:eastAsia="zh-CN"/>
                    </w:rPr>
                    <w:t>石伏片区内，</w:t>
                  </w:r>
                  <w:r>
                    <w:rPr>
                      <w:rFonts w:hint="default" w:ascii="Times New Roman" w:hAnsi="Times New Roman" w:eastAsia="宋体" w:cs="Times New Roman"/>
                      <w:color w:val="auto"/>
                      <w:szCs w:val="21"/>
                      <w:u w:val="none" w:color="auto"/>
                      <w:lang w:eastAsia="zh-CN"/>
                    </w:rPr>
                    <w:t>不涉及</w:t>
                  </w:r>
                  <w:r>
                    <w:rPr>
                      <w:rFonts w:hint="default" w:ascii="Times New Roman" w:hAnsi="Times New Roman" w:eastAsia="宋体" w:cs="Times New Roman"/>
                      <w:color w:val="auto"/>
                      <w:szCs w:val="21"/>
                      <w:u w:val="none" w:color="auto"/>
                    </w:rPr>
                    <w:t>《全国重要江河湖泊水功能区划》划定的河段及湖泊保护区、保留区内</w:t>
                  </w:r>
                  <w:r>
                    <w:rPr>
                      <w:rFonts w:hint="default" w:ascii="Times New Roman" w:hAnsi="Times New Roman" w:eastAsia="宋体" w:cs="Times New Roman"/>
                      <w:color w:val="auto"/>
                      <w:szCs w:val="21"/>
                      <w:u w:val="none" w:color="auto"/>
                      <w:lang w:eastAsia="zh-CN"/>
                    </w:rPr>
                    <w:t>。</w:t>
                  </w:r>
                </w:p>
              </w:tc>
              <w:tc>
                <w:tcPr>
                  <w:tcW w:w="610" w:type="pct"/>
                  <w:tcBorders>
                    <w:tl2br w:val="nil"/>
                    <w:tr2bl w:val="nil"/>
                  </w:tcBorders>
                  <w:noWrap w:val="0"/>
                  <w:vAlign w:val="center"/>
                </w:tcPr>
                <w:p w14:paraId="612675D5">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5E6FE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2D5D231E">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11</w:t>
                  </w:r>
                </w:p>
              </w:tc>
              <w:tc>
                <w:tcPr>
                  <w:tcW w:w="2261" w:type="pct"/>
                  <w:tcBorders>
                    <w:tl2br w:val="nil"/>
                    <w:tr2bl w:val="nil"/>
                  </w:tcBorders>
                  <w:noWrap w:val="0"/>
                  <w:vAlign w:val="center"/>
                </w:tcPr>
                <w:p w14:paraId="12D9AA4E">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禁止未经许可在长江干支流及湖泊新设、改设或扩大排污口</w:t>
                  </w:r>
                </w:p>
              </w:tc>
              <w:tc>
                <w:tcPr>
                  <w:tcW w:w="1814" w:type="pct"/>
                  <w:tcBorders>
                    <w:tl2br w:val="nil"/>
                    <w:tr2bl w:val="nil"/>
                  </w:tcBorders>
                  <w:noWrap w:val="0"/>
                  <w:vAlign w:val="center"/>
                </w:tcPr>
                <w:p w14:paraId="5F9CA885">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本项目废水</w:t>
                  </w:r>
                  <w:r>
                    <w:rPr>
                      <w:rFonts w:hint="default" w:ascii="Times New Roman" w:hAnsi="Times New Roman" w:eastAsia="宋体" w:cs="Times New Roman"/>
                      <w:color w:val="auto"/>
                      <w:szCs w:val="21"/>
                      <w:u w:val="none" w:color="auto"/>
                      <w:lang w:val="en-US" w:eastAsia="zh-CN"/>
                    </w:rPr>
                    <w:t>间</w:t>
                  </w:r>
                  <w:r>
                    <w:rPr>
                      <w:rFonts w:hint="default" w:ascii="Times New Roman" w:hAnsi="Times New Roman" w:eastAsia="宋体" w:cs="Times New Roman"/>
                      <w:color w:val="auto"/>
                      <w:szCs w:val="21"/>
                      <w:u w:val="none" w:color="auto"/>
                      <w:lang w:eastAsia="zh-CN"/>
                    </w:rPr>
                    <w:t>接排放，不涉及排污口建设。</w:t>
                  </w:r>
                </w:p>
              </w:tc>
              <w:tc>
                <w:tcPr>
                  <w:tcW w:w="610" w:type="pct"/>
                  <w:tcBorders>
                    <w:tl2br w:val="nil"/>
                    <w:tr2bl w:val="nil"/>
                  </w:tcBorders>
                  <w:noWrap w:val="0"/>
                  <w:vAlign w:val="center"/>
                </w:tcPr>
                <w:p w14:paraId="68596760">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3CABD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722DFBBF">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12</w:t>
                  </w:r>
                </w:p>
              </w:tc>
              <w:tc>
                <w:tcPr>
                  <w:tcW w:w="2261" w:type="pct"/>
                  <w:tcBorders>
                    <w:tl2br w:val="nil"/>
                    <w:tr2bl w:val="nil"/>
                  </w:tcBorders>
                  <w:noWrap w:val="0"/>
                  <w:vAlign w:val="center"/>
                </w:tcPr>
                <w:p w14:paraId="7CF8120F">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禁止在洞庭湖、湘江、资江、沅江、澧水干流和45个水生生物保护区开展生产性捕捞。在相关自然保护区域和禁猎(渔)区、禁猎(渔)期内，禁止猎捕</w:t>
                  </w:r>
                </w:p>
                <w:p w14:paraId="51134486">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以及其他妨碍野生动物生息繁衍的活动，但法律法规另有规定的除外。</w:t>
                  </w:r>
                </w:p>
              </w:tc>
              <w:tc>
                <w:tcPr>
                  <w:tcW w:w="1814" w:type="pct"/>
                  <w:tcBorders>
                    <w:tl2br w:val="nil"/>
                    <w:tr2bl w:val="nil"/>
                  </w:tcBorders>
                  <w:noWrap w:val="0"/>
                  <w:vAlign w:val="center"/>
                </w:tcPr>
                <w:p w14:paraId="161EA146">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本项目不涉及生产性捕捞。</w:t>
                  </w:r>
                </w:p>
              </w:tc>
              <w:tc>
                <w:tcPr>
                  <w:tcW w:w="610" w:type="pct"/>
                  <w:tcBorders>
                    <w:tl2br w:val="nil"/>
                    <w:tr2bl w:val="nil"/>
                  </w:tcBorders>
                  <w:noWrap w:val="0"/>
                  <w:vAlign w:val="center"/>
                </w:tcPr>
                <w:p w14:paraId="24B99DE3">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7F7DE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60D1E3D7">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13</w:t>
                  </w:r>
                </w:p>
                <w:p w14:paraId="46850CDE">
                  <w:pPr>
                    <w:pStyle w:val="59"/>
                    <w:autoSpaceDE/>
                    <w:autoSpaceDN/>
                    <w:jc w:val="center"/>
                    <w:rPr>
                      <w:rFonts w:hint="default" w:ascii="Times New Roman" w:hAnsi="Times New Roman" w:eastAsia="宋体" w:cs="Times New Roman"/>
                      <w:color w:val="auto"/>
                      <w:szCs w:val="21"/>
                      <w:u w:val="none" w:color="auto"/>
                    </w:rPr>
                  </w:pPr>
                </w:p>
              </w:tc>
              <w:tc>
                <w:tcPr>
                  <w:tcW w:w="2261" w:type="pct"/>
                  <w:tcBorders>
                    <w:tl2br w:val="nil"/>
                    <w:tr2bl w:val="nil"/>
                  </w:tcBorders>
                  <w:noWrap w:val="0"/>
                  <w:vAlign w:val="center"/>
                </w:tcPr>
                <w:p w14:paraId="444CD94E">
                  <w:pPr>
                    <w:pStyle w:val="59"/>
                    <w:autoSpaceDE/>
                    <w:autoSpaceDN/>
                    <w:spacing w:line="240" w:lineRule="exact"/>
                    <w:jc w:val="both"/>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814" w:type="pct"/>
                  <w:tcBorders>
                    <w:tl2br w:val="nil"/>
                    <w:tr2bl w:val="nil"/>
                  </w:tcBorders>
                  <w:noWrap w:val="0"/>
                  <w:vAlign w:val="center"/>
                </w:tcPr>
                <w:p w14:paraId="3834BFC7">
                  <w:pPr>
                    <w:pStyle w:val="59"/>
                    <w:autoSpaceDE/>
                    <w:autoSpaceDN/>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eastAsia="zh-CN"/>
                    </w:rPr>
                    <w:t>本项目属于</w:t>
                  </w:r>
                </w:p>
                <w:p w14:paraId="7E5DE418">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热力生产和供应D4430</w:t>
                  </w:r>
                  <w:r>
                    <w:rPr>
                      <w:rFonts w:hint="default" w:ascii="Times New Roman" w:hAnsi="Times New Roman" w:eastAsia="宋体" w:cs="Times New Roman"/>
                      <w:color w:val="auto"/>
                      <w:szCs w:val="21"/>
                      <w:u w:val="none" w:color="auto"/>
                      <w:lang w:val="en-US" w:eastAsia="zh-CN"/>
                    </w:rPr>
                    <w:t>行业</w:t>
                  </w:r>
                  <w:r>
                    <w:rPr>
                      <w:rFonts w:hint="default" w:ascii="Times New Roman" w:hAnsi="Times New Roman" w:eastAsia="宋体" w:cs="Times New Roman"/>
                      <w:color w:val="auto"/>
                      <w:szCs w:val="21"/>
                      <w:u w:val="none" w:color="auto"/>
                      <w:lang w:eastAsia="zh-CN"/>
                    </w:rPr>
                    <w:t>，不属于化工项目，不属于尾矿库、冶炼渣库和磷石膏库建设项目。</w:t>
                  </w:r>
                </w:p>
              </w:tc>
              <w:tc>
                <w:tcPr>
                  <w:tcW w:w="610" w:type="pct"/>
                  <w:tcBorders>
                    <w:tl2br w:val="nil"/>
                    <w:tr2bl w:val="nil"/>
                  </w:tcBorders>
                  <w:noWrap w:val="0"/>
                  <w:vAlign w:val="center"/>
                </w:tcPr>
                <w:p w14:paraId="37E55B54">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3E9E1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57ADAD0D">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14</w:t>
                  </w:r>
                </w:p>
              </w:tc>
              <w:tc>
                <w:tcPr>
                  <w:tcW w:w="2261" w:type="pct"/>
                  <w:tcBorders>
                    <w:tl2br w:val="nil"/>
                    <w:tr2bl w:val="nil"/>
                  </w:tcBorders>
                  <w:noWrap w:val="0"/>
                  <w:vAlign w:val="center"/>
                </w:tcPr>
                <w:p w14:paraId="761F570C">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禁止在合规园区外新建、扩建钢铁、石化、化工、焦化、建材、有色、制浆造纸等高污染项目。高污染项目严格按照</w:t>
                  </w:r>
                </w:p>
                <w:p w14:paraId="12570DD0">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生态环境部《环境保护综合名录(2021年版)》有关要求执行。</w:t>
                  </w:r>
                </w:p>
              </w:tc>
              <w:tc>
                <w:tcPr>
                  <w:tcW w:w="1814" w:type="pct"/>
                  <w:tcBorders>
                    <w:tl2br w:val="nil"/>
                    <w:tr2bl w:val="nil"/>
                  </w:tcBorders>
                  <w:noWrap w:val="0"/>
                  <w:vAlign w:val="center"/>
                </w:tcPr>
                <w:p w14:paraId="6FB396DB">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本项目位于</w:t>
                  </w:r>
                  <w:r>
                    <w:rPr>
                      <w:rFonts w:hint="default" w:ascii="Times New Roman" w:hAnsi="Times New Roman" w:eastAsia="宋体" w:cs="Times New Roman"/>
                      <w:color w:val="auto"/>
                      <w:szCs w:val="21"/>
                      <w:u w:val="none" w:color="auto"/>
                    </w:rPr>
                    <w:t>湖南省岳阳市华容县三封寺镇华容高新技术产业开华容高新技术产业开发区</w:t>
                  </w:r>
                  <w:r>
                    <w:rPr>
                      <w:rFonts w:hint="default" w:ascii="Times New Roman" w:hAnsi="Times New Roman" w:eastAsia="宋体" w:cs="Times New Roman"/>
                      <w:color w:val="auto"/>
                      <w:szCs w:val="21"/>
                      <w:u w:val="none" w:color="auto"/>
                      <w:lang w:eastAsia="zh-CN"/>
                    </w:rPr>
                    <w:t>，该园区属于合规园区。</w:t>
                  </w:r>
                </w:p>
              </w:tc>
              <w:tc>
                <w:tcPr>
                  <w:tcW w:w="610" w:type="pct"/>
                  <w:tcBorders>
                    <w:tl2br w:val="nil"/>
                    <w:tr2bl w:val="nil"/>
                  </w:tcBorders>
                  <w:noWrap w:val="0"/>
                  <w:vAlign w:val="center"/>
                </w:tcPr>
                <w:p w14:paraId="39CA63AE">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50F2B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73B24C94">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15</w:t>
                  </w:r>
                </w:p>
              </w:tc>
              <w:tc>
                <w:tcPr>
                  <w:tcW w:w="2261" w:type="pct"/>
                  <w:tcBorders>
                    <w:tl2br w:val="nil"/>
                    <w:tr2bl w:val="nil"/>
                  </w:tcBorders>
                  <w:noWrap w:val="0"/>
                  <w:vAlign w:val="center"/>
                </w:tcPr>
                <w:p w14:paraId="41BCCBCC">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禁止新建、扩建不符合国家石化、现代煤化工等产业布局规划的项目。未通过认定的化工园区，不得新建、改扩建化</w:t>
                  </w:r>
                </w:p>
                <w:p w14:paraId="0C410865">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工项目(安全、环保、节能和智能化改造项目除外)。</w:t>
                  </w:r>
                </w:p>
              </w:tc>
              <w:tc>
                <w:tcPr>
                  <w:tcW w:w="1814" w:type="pct"/>
                  <w:tcBorders>
                    <w:tl2br w:val="nil"/>
                    <w:tr2bl w:val="nil"/>
                  </w:tcBorders>
                  <w:noWrap w:val="0"/>
                  <w:vAlign w:val="center"/>
                </w:tcPr>
                <w:p w14:paraId="6ED5C05D">
                  <w:pPr>
                    <w:pStyle w:val="59"/>
                    <w:autoSpaceDE/>
                    <w:autoSpaceDN/>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eastAsia="zh-CN"/>
                    </w:rPr>
                    <w:t>本项目属于</w:t>
                  </w:r>
                </w:p>
                <w:p w14:paraId="1D34C2F6">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rPr>
                    <w:t>热力生产和供应D4430</w:t>
                  </w:r>
                  <w:r>
                    <w:rPr>
                      <w:rFonts w:hint="default" w:ascii="Times New Roman" w:hAnsi="Times New Roman" w:eastAsia="宋体" w:cs="Times New Roman"/>
                      <w:color w:val="auto"/>
                      <w:szCs w:val="21"/>
                      <w:u w:val="none" w:color="auto"/>
                      <w:lang w:val="en-US" w:eastAsia="zh-CN"/>
                    </w:rPr>
                    <w:t>行业，不属于</w:t>
                  </w:r>
                  <w:r>
                    <w:rPr>
                      <w:rFonts w:hint="default" w:ascii="Times New Roman" w:hAnsi="Times New Roman" w:eastAsia="宋体" w:cs="Times New Roman"/>
                      <w:color w:val="auto"/>
                      <w:szCs w:val="21"/>
                      <w:u w:val="none" w:color="auto"/>
                    </w:rPr>
                    <w:t>石化、现代煤化工等</w:t>
                  </w:r>
                  <w:r>
                    <w:rPr>
                      <w:rFonts w:hint="default" w:ascii="Times New Roman" w:hAnsi="Times New Roman" w:eastAsia="宋体" w:cs="Times New Roman"/>
                      <w:color w:val="auto"/>
                      <w:szCs w:val="21"/>
                      <w:u w:val="none" w:color="auto"/>
                      <w:lang w:eastAsia="zh-CN"/>
                    </w:rPr>
                    <w:t>相关产业</w:t>
                  </w:r>
                </w:p>
              </w:tc>
              <w:tc>
                <w:tcPr>
                  <w:tcW w:w="610" w:type="pct"/>
                  <w:tcBorders>
                    <w:tl2br w:val="nil"/>
                    <w:tr2bl w:val="nil"/>
                  </w:tcBorders>
                  <w:noWrap w:val="0"/>
                  <w:vAlign w:val="center"/>
                </w:tcPr>
                <w:p w14:paraId="0C624783">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r w14:paraId="4FAE9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3" w:type="pct"/>
                  <w:tcBorders>
                    <w:tl2br w:val="nil"/>
                    <w:tr2bl w:val="nil"/>
                  </w:tcBorders>
                  <w:noWrap w:val="0"/>
                  <w:vAlign w:val="center"/>
                </w:tcPr>
                <w:p w14:paraId="76C94074">
                  <w:pPr>
                    <w:pStyle w:val="59"/>
                    <w:autoSpaceDE/>
                    <w:autoSpaceDN/>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16</w:t>
                  </w:r>
                </w:p>
              </w:tc>
              <w:tc>
                <w:tcPr>
                  <w:tcW w:w="2261" w:type="pct"/>
                  <w:tcBorders>
                    <w:tl2br w:val="nil"/>
                    <w:tr2bl w:val="nil"/>
                  </w:tcBorders>
                  <w:noWrap w:val="0"/>
                  <w:vAlign w:val="center"/>
                </w:tcPr>
                <w:p w14:paraId="41ABB63E">
                  <w:pPr>
                    <w:pStyle w:val="59"/>
                    <w:autoSpaceDE/>
                    <w:autoSpaceDN/>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禁止新建、扩建法律法规和相关政策明令禁止的落后产能项目</w:t>
                  </w:r>
                  <w:r>
                    <w:rPr>
                      <w:rFonts w:hint="default" w:ascii="Times New Roman" w:hAnsi="Times New Roman" w:eastAsia="宋体" w:cs="Times New Roman"/>
                      <w:color w:val="auto"/>
                      <w:szCs w:val="21"/>
                      <w:u w:val="none" w:color="auto"/>
                      <w:lang w:eastAsia="zh-CN"/>
                    </w:rPr>
                    <w:t>；</w:t>
                  </w:r>
                  <w:r>
                    <w:rPr>
                      <w:rFonts w:hint="default" w:ascii="Times New Roman" w:hAnsi="Times New Roman" w:eastAsia="宋体" w:cs="Times New Roman"/>
                      <w:color w:val="auto"/>
                      <w:szCs w:val="21"/>
                      <w:u w:val="none" w:color="auto"/>
                    </w:rPr>
                    <w:t>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814" w:type="pct"/>
                  <w:tcBorders>
                    <w:tl2br w:val="nil"/>
                    <w:tr2bl w:val="nil"/>
                  </w:tcBorders>
                  <w:noWrap w:val="0"/>
                  <w:vAlign w:val="center"/>
                </w:tcPr>
                <w:p w14:paraId="3C46A1F2">
                  <w:pPr>
                    <w:pStyle w:val="59"/>
                    <w:autoSpaceDE/>
                    <w:autoSpaceDN/>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根据上述产业政策符合性分析小节，本项目不属于法律法规和相关政策明令禁止的落后产能项目。</w:t>
                  </w:r>
                </w:p>
              </w:tc>
              <w:tc>
                <w:tcPr>
                  <w:tcW w:w="610" w:type="pct"/>
                  <w:tcBorders>
                    <w:tl2br w:val="nil"/>
                    <w:tr2bl w:val="nil"/>
                  </w:tcBorders>
                  <w:noWrap w:val="0"/>
                  <w:vAlign w:val="center"/>
                </w:tcPr>
                <w:p w14:paraId="4D9873F0">
                  <w:pPr>
                    <w:autoSpaceDE/>
                    <w:autoSpaceDN/>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符合</w:t>
                  </w:r>
                </w:p>
              </w:tc>
            </w:tr>
          </w:tbl>
          <w:p w14:paraId="1577AA4E">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lang w:val="en-US" w:eastAsia="zh-CN"/>
              </w:rPr>
            </w:pPr>
            <w:r>
              <w:rPr>
                <w:rFonts w:hint="default" w:ascii="Times New Roman" w:hAnsi="Times New Roman" w:eastAsia="宋体" w:cs="Times New Roman"/>
                <w:b/>
                <w:bCs/>
                <w:color w:val="auto"/>
                <w:kern w:val="0"/>
                <w:sz w:val="24"/>
                <w:szCs w:val="24"/>
                <w:highlight w:val="none"/>
                <w:u w:val="none" w:color="auto"/>
                <w:lang w:eastAsia="zh-CN"/>
              </w:rPr>
              <w:t>（</w:t>
            </w:r>
            <w:r>
              <w:rPr>
                <w:rFonts w:hint="eastAsia" w:ascii="Times New Roman" w:hAnsi="Times New Roman" w:eastAsia="宋体" w:cs="Times New Roman"/>
                <w:b/>
                <w:bCs/>
                <w:color w:val="auto"/>
                <w:kern w:val="0"/>
                <w:sz w:val="24"/>
                <w:szCs w:val="24"/>
                <w:highlight w:val="none"/>
                <w:u w:val="none" w:color="auto"/>
                <w:lang w:val="en-US" w:eastAsia="zh-CN"/>
              </w:rPr>
              <w:t>9</w:t>
            </w:r>
            <w:r>
              <w:rPr>
                <w:rFonts w:hint="default" w:ascii="Times New Roman" w:hAnsi="Times New Roman" w:eastAsia="宋体" w:cs="Times New Roman"/>
                <w:b/>
                <w:bCs/>
                <w:color w:val="auto"/>
                <w:kern w:val="0"/>
                <w:sz w:val="24"/>
                <w:szCs w:val="24"/>
                <w:highlight w:val="none"/>
                <w:u w:val="none" w:color="auto"/>
                <w:lang w:eastAsia="zh-CN"/>
              </w:rPr>
              <w:t>）</w:t>
            </w:r>
            <w:r>
              <w:rPr>
                <w:rFonts w:hint="default" w:ascii="Times New Roman" w:hAnsi="Times New Roman" w:eastAsia="宋体" w:cs="Times New Roman"/>
                <w:b/>
                <w:bCs/>
                <w:color w:val="auto"/>
                <w:kern w:val="0"/>
                <w:sz w:val="24"/>
                <w:szCs w:val="24"/>
                <w:highlight w:val="none"/>
                <w:u w:val="none" w:color="auto"/>
                <w:lang w:val="en-US" w:eastAsia="zh-CN"/>
              </w:rPr>
              <w:t>与岳阳市人民政府《</w:t>
            </w:r>
            <w:r>
              <w:rPr>
                <w:rFonts w:hint="default" w:ascii="Times New Roman" w:hAnsi="Times New Roman" w:eastAsia="宋体" w:cs="Times New Roman"/>
                <w:b/>
                <w:bCs/>
                <w:color w:val="auto"/>
                <w:kern w:val="0"/>
                <w:sz w:val="24"/>
                <w:szCs w:val="24"/>
                <w:highlight w:val="none"/>
                <w:u w:val="none" w:color="auto"/>
              </w:rPr>
              <w:t>关于加强市城区高污染燃料禁燃区管理的通告</w:t>
            </w:r>
            <w:r>
              <w:rPr>
                <w:rFonts w:hint="default" w:ascii="Times New Roman" w:hAnsi="Times New Roman" w:eastAsia="宋体" w:cs="Times New Roman"/>
                <w:b/>
                <w:bCs/>
                <w:color w:val="auto"/>
                <w:kern w:val="0"/>
                <w:sz w:val="24"/>
                <w:szCs w:val="24"/>
                <w:highlight w:val="none"/>
                <w:u w:val="none" w:color="auto"/>
                <w:lang w:val="en-US" w:eastAsia="zh-CN"/>
              </w:rPr>
              <w:t>》</w:t>
            </w:r>
            <w:r>
              <w:rPr>
                <w:rFonts w:hint="default" w:ascii="Times New Roman" w:hAnsi="Times New Roman" w:eastAsia="宋体" w:cs="Times New Roman"/>
                <w:b/>
                <w:bCs/>
                <w:color w:val="auto"/>
                <w:kern w:val="0"/>
                <w:sz w:val="24"/>
                <w:szCs w:val="24"/>
                <w:highlight w:val="none"/>
                <w:u w:val="none" w:color="auto"/>
              </w:rPr>
              <w:t>岳政告〔2020〕2号</w:t>
            </w:r>
            <w:r>
              <w:rPr>
                <w:rFonts w:hint="default" w:ascii="Times New Roman" w:hAnsi="Times New Roman" w:eastAsia="宋体" w:cs="Times New Roman"/>
                <w:b/>
                <w:bCs/>
                <w:color w:val="auto"/>
                <w:kern w:val="0"/>
                <w:sz w:val="24"/>
                <w:szCs w:val="24"/>
                <w:highlight w:val="none"/>
                <w:u w:val="none" w:color="auto"/>
                <w:lang w:val="en-US" w:eastAsia="zh-CN"/>
              </w:rPr>
              <w:t>文件相符性分析</w:t>
            </w:r>
          </w:p>
          <w:p w14:paraId="64442AB4">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color="auto"/>
                <w:lang w:val="en-US" w:eastAsia="zh-CN"/>
              </w:rPr>
            </w:pPr>
            <w:r>
              <w:rPr>
                <w:rFonts w:hint="default" w:ascii="Times New Roman" w:hAnsi="Times New Roman" w:eastAsia="宋体" w:cs="Times New Roman"/>
                <w:color w:val="auto"/>
                <w:kern w:val="0"/>
                <w:sz w:val="24"/>
                <w:szCs w:val="24"/>
                <w:highlight w:val="none"/>
                <w:u w:val="none" w:color="auto"/>
                <w:lang w:val="en-US" w:eastAsia="zh-CN"/>
              </w:rPr>
              <w:t>《</w:t>
            </w:r>
            <w:r>
              <w:rPr>
                <w:rFonts w:hint="default" w:ascii="Times New Roman" w:hAnsi="Times New Roman" w:eastAsia="宋体" w:cs="Times New Roman"/>
                <w:color w:val="auto"/>
                <w:kern w:val="0"/>
                <w:sz w:val="24"/>
                <w:szCs w:val="24"/>
                <w:highlight w:val="none"/>
                <w:u w:val="none" w:color="auto"/>
              </w:rPr>
              <w:t>关于加强市城区高污染燃料禁燃区管理的通告</w:t>
            </w:r>
            <w:r>
              <w:rPr>
                <w:rFonts w:hint="default" w:ascii="Times New Roman" w:hAnsi="Times New Roman" w:eastAsia="宋体" w:cs="Times New Roman"/>
                <w:color w:val="auto"/>
                <w:kern w:val="0"/>
                <w:sz w:val="24"/>
                <w:szCs w:val="24"/>
                <w:highlight w:val="none"/>
                <w:u w:val="none" w:color="auto"/>
                <w:lang w:val="en-US" w:eastAsia="zh-CN"/>
              </w:rPr>
              <w:t>》</w:t>
            </w:r>
            <w:r>
              <w:rPr>
                <w:rFonts w:hint="default" w:ascii="Times New Roman" w:hAnsi="Times New Roman" w:eastAsia="宋体" w:cs="Times New Roman"/>
                <w:color w:val="auto"/>
                <w:kern w:val="0"/>
                <w:sz w:val="24"/>
                <w:szCs w:val="24"/>
                <w:highlight w:val="none"/>
                <w:u w:val="none" w:color="auto"/>
              </w:rPr>
              <w:t>岳政告〔2020〕2号</w:t>
            </w:r>
            <w:r>
              <w:rPr>
                <w:rFonts w:hint="default" w:ascii="Times New Roman" w:hAnsi="Times New Roman" w:eastAsia="宋体" w:cs="Times New Roman"/>
                <w:color w:val="auto"/>
                <w:kern w:val="0"/>
                <w:sz w:val="24"/>
                <w:szCs w:val="24"/>
                <w:highlight w:val="none"/>
                <w:u w:val="none" w:color="auto"/>
                <w:lang w:val="en-US" w:eastAsia="zh-CN"/>
              </w:rPr>
              <w:t>文件将岳阳市</w:t>
            </w:r>
            <w:r>
              <w:rPr>
                <w:rFonts w:hint="default" w:ascii="Times New Roman" w:hAnsi="Times New Roman" w:eastAsia="宋体" w:cs="Times New Roman"/>
                <w:color w:val="auto"/>
                <w:kern w:val="0"/>
                <w:sz w:val="24"/>
                <w:szCs w:val="24"/>
                <w:highlight w:val="none"/>
                <w:u w:val="none" w:color="auto"/>
              </w:rPr>
              <w:t>城区禁燃区禁燃区分为III类禁燃区（严格）、II类禁燃区（较严）、I类禁燃区（一般）。</w:t>
            </w:r>
            <w:r>
              <w:rPr>
                <w:rFonts w:hint="default" w:ascii="Times New Roman" w:hAnsi="Times New Roman" w:eastAsia="宋体" w:cs="Times New Roman"/>
                <w:color w:val="auto"/>
                <w:kern w:val="0"/>
                <w:sz w:val="24"/>
                <w:szCs w:val="24"/>
                <w:highlight w:val="none"/>
                <w:u w:val="none" w:color="auto"/>
                <w:lang w:val="en-US" w:eastAsia="zh-CN"/>
              </w:rPr>
              <w:t>本项目所在地为</w:t>
            </w:r>
            <w:r>
              <w:rPr>
                <w:rFonts w:hint="default" w:ascii="Times New Roman" w:hAnsi="Times New Roman" w:eastAsia="宋体" w:cs="Times New Roman"/>
                <w:color w:val="auto"/>
                <w:kern w:val="0"/>
                <w:sz w:val="24"/>
                <w:szCs w:val="24"/>
                <w:highlight w:val="none"/>
                <w:u w:val="none" w:color="auto"/>
              </w:rPr>
              <w:t>II类禁燃区：城市建成区范围外的各类工业区。</w:t>
            </w:r>
            <w:r>
              <w:rPr>
                <w:rFonts w:hint="default" w:ascii="Times New Roman" w:hAnsi="Times New Roman" w:eastAsia="宋体" w:cs="Times New Roman"/>
                <w:color w:val="auto"/>
                <w:kern w:val="0"/>
                <w:sz w:val="24"/>
                <w:szCs w:val="24"/>
                <w:highlight w:val="none"/>
                <w:u w:val="none" w:color="auto"/>
                <w:lang w:val="en-US" w:eastAsia="zh-CN"/>
              </w:rPr>
              <w:t>该文件规定，</w:t>
            </w:r>
            <w:r>
              <w:rPr>
                <w:rFonts w:hint="default" w:ascii="Times New Roman" w:hAnsi="Times New Roman" w:eastAsia="宋体" w:cs="Times New Roman"/>
                <w:color w:val="auto"/>
                <w:kern w:val="0"/>
                <w:sz w:val="24"/>
                <w:szCs w:val="24"/>
                <w:highlight w:val="none"/>
                <w:u w:val="none" w:color="auto"/>
              </w:rPr>
              <w:t>II类禁燃区</w:t>
            </w:r>
            <w:r>
              <w:rPr>
                <w:rFonts w:hint="default" w:ascii="Times New Roman" w:hAnsi="Times New Roman" w:eastAsia="宋体" w:cs="Times New Roman"/>
                <w:color w:val="auto"/>
                <w:kern w:val="0"/>
                <w:sz w:val="24"/>
                <w:szCs w:val="24"/>
                <w:highlight w:val="none"/>
                <w:u w:val="none" w:color="auto"/>
                <w:lang w:val="en-US" w:eastAsia="zh-CN"/>
              </w:rPr>
              <w:t>禁止燃用的高污染燃料为</w:t>
            </w:r>
            <w:r>
              <w:rPr>
                <w:rFonts w:hint="default" w:ascii="Times New Roman" w:hAnsi="Times New Roman" w:eastAsia="宋体" w:cs="Times New Roman"/>
                <w:color w:val="auto"/>
                <w:kern w:val="0"/>
                <w:sz w:val="24"/>
                <w:szCs w:val="24"/>
                <w:highlight w:val="none"/>
                <w:u w:val="none" w:color="auto"/>
              </w:rPr>
              <w:t>：石油焦、油页岩、原油、重油、渣油、煤焦油</w:t>
            </w:r>
            <w:r>
              <w:rPr>
                <w:rFonts w:hint="default" w:ascii="Times New Roman" w:hAnsi="Times New Roman" w:eastAsia="宋体" w:cs="Times New Roman"/>
                <w:color w:val="auto"/>
                <w:kern w:val="0"/>
                <w:sz w:val="24"/>
                <w:szCs w:val="24"/>
                <w:highlight w:val="none"/>
                <w:u w:val="none" w:color="auto"/>
                <w:lang w:eastAsia="zh-CN"/>
              </w:rPr>
              <w:t>，</w:t>
            </w:r>
            <w:r>
              <w:rPr>
                <w:rFonts w:hint="default" w:ascii="Times New Roman" w:hAnsi="Times New Roman" w:eastAsia="宋体" w:cs="Times New Roman"/>
                <w:color w:val="auto"/>
                <w:kern w:val="0"/>
                <w:sz w:val="24"/>
                <w:szCs w:val="24"/>
                <w:highlight w:val="none"/>
                <w:u w:val="none" w:color="auto"/>
              </w:rPr>
              <w:t>除单台出力大于等于20蒸吨/小时锅炉以外燃用的煤炭及其制</w:t>
            </w:r>
            <w:r>
              <w:rPr>
                <w:rFonts w:hint="default" w:ascii="Times New Roman" w:hAnsi="Times New Roman" w:eastAsia="宋体" w:cs="Times New Roman"/>
                <w:color w:val="auto"/>
                <w:kern w:val="0"/>
                <w:sz w:val="24"/>
                <w:szCs w:val="24"/>
                <w:highlight w:val="none"/>
                <w:u w:val="none" w:color="auto"/>
                <w:lang w:val="en-US" w:eastAsia="zh-CN"/>
              </w:rPr>
              <w:t>品。本项目新增</w:t>
            </w:r>
            <w:r>
              <w:rPr>
                <w:rFonts w:hint="eastAsia" w:cs="Times New Roman"/>
                <w:color w:val="auto"/>
                <w:kern w:val="0"/>
                <w:sz w:val="24"/>
                <w:szCs w:val="24"/>
                <w:highlight w:val="none"/>
                <w:u w:val="none" w:color="auto"/>
                <w:lang w:val="en-US" w:eastAsia="zh-CN"/>
              </w:rPr>
              <w:t>2台</w:t>
            </w:r>
            <w:r>
              <w:rPr>
                <w:rFonts w:hint="default" w:ascii="Times New Roman" w:hAnsi="Times New Roman" w:eastAsia="宋体" w:cs="Times New Roman"/>
                <w:color w:val="auto"/>
                <w:kern w:val="0"/>
                <w:sz w:val="24"/>
                <w:szCs w:val="24"/>
                <w:highlight w:val="none"/>
                <w:u w:val="none" w:color="auto"/>
                <w:lang w:val="en-US" w:eastAsia="zh-CN"/>
              </w:rPr>
              <w:t>锅炉</w:t>
            </w:r>
            <w:r>
              <w:rPr>
                <w:rFonts w:hint="eastAsia" w:cs="Times New Roman"/>
                <w:color w:val="auto"/>
                <w:kern w:val="0"/>
                <w:sz w:val="24"/>
                <w:szCs w:val="24"/>
                <w:highlight w:val="none"/>
                <w:u w:val="none" w:color="auto"/>
                <w:lang w:val="en-US" w:eastAsia="zh-CN"/>
              </w:rPr>
              <w:t>，其中一台</w:t>
            </w:r>
            <w:r>
              <w:rPr>
                <w:rFonts w:hint="default" w:ascii="Times New Roman" w:hAnsi="Times New Roman" w:eastAsia="宋体" w:cs="Times New Roman"/>
                <w:color w:val="auto"/>
                <w:kern w:val="0"/>
                <w:sz w:val="24"/>
                <w:szCs w:val="24"/>
                <w:highlight w:val="none"/>
                <w:u w:val="none" w:color="auto"/>
                <w:lang w:val="en-US" w:eastAsia="zh-CN"/>
              </w:rPr>
              <w:t>为燃烧生物质燃料的专用15t/h锅炉，并且配套了SNCR+多管旋风除尘+布袋除尘器+脱硫塔，</w:t>
            </w:r>
            <w:r>
              <w:rPr>
                <w:rFonts w:hint="eastAsia" w:cs="Times New Roman"/>
                <w:color w:val="auto"/>
                <w:kern w:val="0"/>
                <w:sz w:val="24"/>
                <w:szCs w:val="24"/>
                <w:highlight w:val="none"/>
                <w:u w:val="none" w:color="auto"/>
                <w:lang w:val="en-US" w:eastAsia="zh-CN"/>
              </w:rPr>
              <w:t>另外一台为</w:t>
            </w:r>
            <w:r>
              <w:rPr>
                <w:rFonts w:hint="default" w:ascii="Times New Roman" w:hAnsi="Times New Roman" w:eastAsia="宋体" w:cs="Times New Roman"/>
                <w:color w:val="auto"/>
                <w:kern w:val="0"/>
                <w:sz w:val="24"/>
                <w:szCs w:val="24"/>
                <w:highlight w:val="none"/>
                <w:u w:val="none" w:color="auto"/>
                <w:lang w:val="en-US" w:eastAsia="zh-CN"/>
              </w:rPr>
              <w:t>燃烧</w:t>
            </w:r>
            <w:r>
              <w:rPr>
                <w:rFonts w:hint="eastAsia" w:cs="Times New Roman"/>
                <w:color w:val="auto"/>
                <w:kern w:val="0"/>
                <w:sz w:val="24"/>
                <w:szCs w:val="24"/>
                <w:highlight w:val="none"/>
                <w:u w:val="none" w:color="auto"/>
                <w:lang w:val="en-US" w:eastAsia="zh-CN"/>
              </w:rPr>
              <w:t>成型</w:t>
            </w:r>
            <w:r>
              <w:rPr>
                <w:rFonts w:hint="default" w:ascii="Times New Roman" w:hAnsi="Times New Roman" w:eastAsia="宋体" w:cs="Times New Roman"/>
                <w:color w:val="auto"/>
                <w:kern w:val="0"/>
                <w:sz w:val="24"/>
                <w:szCs w:val="24"/>
                <w:highlight w:val="none"/>
                <w:u w:val="none" w:color="auto"/>
                <w:lang w:val="en-US" w:eastAsia="zh-CN"/>
              </w:rPr>
              <w:t>生物质燃料的专用</w:t>
            </w:r>
            <w:r>
              <w:rPr>
                <w:rFonts w:hint="eastAsia" w:cs="Times New Roman"/>
                <w:color w:val="auto"/>
                <w:kern w:val="0"/>
                <w:sz w:val="24"/>
                <w:szCs w:val="24"/>
                <w:highlight w:val="none"/>
                <w:u w:val="none" w:color="auto"/>
                <w:lang w:val="en-US" w:eastAsia="zh-CN"/>
              </w:rPr>
              <w:t>4</w:t>
            </w:r>
            <w:r>
              <w:rPr>
                <w:rFonts w:hint="default" w:ascii="Times New Roman" w:hAnsi="Times New Roman" w:eastAsia="宋体" w:cs="Times New Roman"/>
                <w:color w:val="auto"/>
                <w:kern w:val="0"/>
                <w:sz w:val="24"/>
                <w:szCs w:val="24"/>
                <w:highlight w:val="none"/>
                <w:u w:val="none" w:color="auto"/>
                <w:lang w:val="en-US" w:eastAsia="zh-CN"/>
              </w:rPr>
              <w:t>t/h</w:t>
            </w:r>
            <w:r>
              <w:rPr>
                <w:rFonts w:hint="eastAsia" w:cs="Times New Roman"/>
                <w:color w:val="auto"/>
                <w:kern w:val="0"/>
                <w:sz w:val="24"/>
                <w:szCs w:val="24"/>
                <w:highlight w:val="none"/>
                <w:u w:val="none" w:color="auto"/>
                <w:lang w:val="en-US" w:eastAsia="zh-CN"/>
              </w:rPr>
              <w:t>导热油炉</w:t>
            </w:r>
            <w:r>
              <w:rPr>
                <w:rFonts w:hint="default" w:ascii="Times New Roman" w:hAnsi="Times New Roman" w:eastAsia="宋体" w:cs="Times New Roman"/>
                <w:color w:val="auto"/>
                <w:kern w:val="0"/>
                <w:sz w:val="24"/>
                <w:szCs w:val="24"/>
                <w:highlight w:val="none"/>
                <w:u w:val="none" w:color="auto"/>
                <w:lang w:val="en-US" w:eastAsia="zh-CN"/>
              </w:rPr>
              <w:t>，并且配套了多管旋风除尘+布袋除尘器+脱硫塔，该除尘器均为高效除尘器，可以有效的去除锅炉粉尘，同时还能脱硫脱硝，本项目新增锅炉及使用的生物质燃料不属于</w:t>
            </w:r>
            <w:r>
              <w:rPr>
                <w:rFonts w:hint="default" w:ascii="Times New Roman" w:hAnsi="Times New Roman" w:eastAsia="宋体" w:cs="Times New Roman"/>
                <w:color w:val="auto"/>
                <w:kern w:val="0"/>
                <w:sz w:val="24"/>
                <w:szCs w:val="24"/>
                <w:highlight w:val="none"/>
                <w:u w:val="none" w:color="auto"/>
              </w:rPr>
              <w:t>II类禁燃区</w:t>
            </w:r>
            <w:r>
              <w:rPr>
                <w:rFonts w:hint="default" w:ascii="Times New Roman" w:hAnsi="Times New Roman" w:eastAsia="宋体" w:cs="Times New Roman"/>
                <w:color w:val="auto"/>
                <w:kern w:val="0"/>
                <w:sz w:val="24"/>
                <w:szCs w:val="24"/>
                <w:highlight w:val="none"/>
                <w:u w:val="none" w:color="auto"/>
                <w:lang w:val="en-US" w:eastAsia="zh-CN"/>
              </w:rPr>
              <w:t>禁止燃用的高污染燃料。故本项目符合岳阳市人民政府《</w:t>
            </w:r>
            <w:r>
              <w:rPr>
                <w:rFonts w:hint="default" w:ascii="Times New Roman" w:hAnsi="Times New Roman" w:eastAsia="宋体" w:cs="Times New Roman"/>
                <w:color w:val="auto"/>
                <w:kern w:val="0"/>
                <w:sz w:val="24"/>
                <w:szCs w:val="24"/>
                <w:highlight w:val="none"/>
                <w:u w:val="none" w:color="auto"/>
              </w:rPr>
              <w:t>关于加强市城区高污染燃料禁燃区管理的通告</w:t>
            </w:r>
            <w:r>
              <w:rPr>
                <w:rFonts w:hint="default" w:ascii="Times New Roman" w:hAnsi="Times New Roman" w:eastAsia="宋体" w:cs="Times New Roman"/>
                <w:color w:val="auto"/>
                <w:kern w:val="0"/>
                <w:sz w:val="24"/>
                <w:szCs w:val="24"/>
                <w:highlight w:val="none"/>
                <w:u w:val="none" w:color="auto"/>
                <w:lang w:val="en-US" w:eastAsia="zh-CN"/>
              </w:rPr>
              <w:t>》</w:t>
            </w:r>
            <w:r>
              <w:rPr>
                <w:rFonts w:hint="default" w:ascii="Times New Roman" w:hAnsi="Times New Roman" w:eastAsia="宋体" w:cs="Times New Roman"/>
                <w:color w:val="auto"/>
                <w:kern w:val="0"/>
                <w:sz w:val="24"/>
                <w:szCs w:val="24"/>
                <w:highlight w:val="none"/>
                <w:u w:val="none" w:color="auto"/>
              </w:rPr>
              <w:t>岳政告〔2020〕2号</w:t>
            </w:r>
            <w:r>
              <w:rPr>
                <w:rFonts w:hint="default" w:ascii="Times New Roman" w:hAnsi="Times New Roman" w:eastAsia="宋体" w:cs="Times New Roman"/>
                <w:color w:val="auto"/>
                <w:kern w:val="0"/>
                <w:sz w:val="24"/>
                <w:szCs w:val="24"/>
                <w:highlight w:val="none"/>
                <w:u w:val="none" w:color="auto"/>
                <w:lang w:val="en-US" w:eastAsia="zh-CN"/>
              </w:rPr>
              <w:t>文件相关要求。</w:t>
            </w:r>
          </w:p>
          <w:p w14:paraId="332201CF">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w:t>
            </w:r>
            <w:r>
              <w:rPr>
                <w:rFonts w:hint="eastAsia" w:ascii="Times New Roman" w:hAnsi="Times New Roman" w:eastAsia="宋体" w:cs="Times New Roman"/>
                <w:b/>
                <w:bCs/>
                <w:color w:val="auto"/>
                <w:kern w:val="0"/>
                <w:sz w:val="24"/>
                <w:szCs w:val="24"/>
                <w:highlight w:val="none"/>
                <w:u w:val="none" w:color="auto"/>
                <w:lang w:val="en-US" w:eastAsia="zh-CN"/>
              </w:rPr>
              <w:t>10</w:t>
            </w:r>
            <w:r>
              <w:rPr>
                <w:rFonts w:hint="default" w:ascii="Times New Roman" w:hAnsi="Times New Roman" w:eastAsia="宋体" w:cs="Times New Roman"/>
                <w:b/>
                <w:bCs/>
                <w:color w:val="auto"/>
                <w:kern w:val="0"/>
                <w:sz w:val="24"/>
                <w:szCs w:val="24"/>
                <w:highlight w:val="none"/>
                <w:u w:val="none" w:color="auto"/>
              </w:rPr>
              <w:t>）与周围环境的相容性</w:t>
            </w:r>
          </w:p>
          <w:p w14:paraId="659C9499">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highlight w:val="none"/>
                <w:u w:val="none" w:color="auto"/>
              </w:rPr>
              <w:t>本项目在运行过程中，废气、废水产生量较小，固体废物得到妥善处置。项目地为工业用地，</w:t>
            </w:r>
            <w:r>
              <w:rPr>
                <w:rFonts w:hint="default" w:ascii="Times New Roman" w:hAnsi="Times New Roman" w:eastAsia="宋体" w:cs="Times New Roman"/>
                <w:color w:val="auto"/>
                <w:kern w:val="0"/>
                <w:sz w:val="24"/>
                <w:szCs w:val="24"/>
                <w:highlight w:val="none"/>
                <w:u w:val="none" w:color="auto"/>
                <w:lang w:val="en-US" w:eastAsia="zh-CN"/>
              </w:rPr>
              <w:t>在现有厂区范围内新增1台15t/h的生物质专用锅炉</w:t>
            </w:r>
            <w:r>
              <w:rPr>
                <w:rFonts w:hint="eastAsia" w:cs="Times New Roman"/>
                <w:color w:val="auto"/>
                <w:kern w:val="0"/>
                <w:sz w:val="24"/>
                <w:szCs w:val="24"/>
                <w:highlight w:val="none"/>
                <w:u w:val="none" w:color="auto"/>
                <w:lang w:val="en-US" w:eastAsia="zh-CN"/>
              </w:rPr>
              <w:t>和1台4</w:t>
            </w:r>
            <w:r>
              <w:rPr>
                <w:rFonts w:hint="default" w:ascii="Times New Roman" w:hAnsi="Times New Roman" w:eastAsia="宋体" w:cs="Times New Roman"/>
                <w:color w:val="auto"/>
                <w:kern w:val="0"/>
                <w:sz w:val="24"/>
                <w:szCs w:val="24"/>
                <w:highlight w:val="none"/>
                <w:u w:val="none" w:color="auto"/>
                <w:lang w:val="en-US" w:eastAsia="zh-CN"/>
              </w:rPr>
              <w:t>t/h的生物质</w:t>
            </w:r>
            <w:r>
              <w:rPr>
                <w:rFonts w:hint="eastAsia" w:cs="Times New Roman"/>
                <w:color w:val="auto"/>
                <w:kern w:val="0"/>
                <w:sz w:val="24"/>
                <w:szCs w:val="24"/>
                <w:highlight w:val="none"/>
                <w:u w:val="none" w:color="auto"/>
                <w:lang w:val="en-US" w:eastAsia="zh-CN"/>
              </w:rPr>
              <w:t>导热油炉</w:t>
            </w:r>
            <w:r>
              <w:rPr>
                <w:rFonts w:hint="default" w:ascii="Times New Roman" w:hAnsi="Times New Roman" w:eastAsia="宋体" w:cs="Times New Roman"/>
                <w:color w:val="auto"/>
                <w:kern w:val="0"/>
                <w:sz w:val="24"/>
                <w:szCs w:val="24"/>
                <w:highlight w:val="none"/>
                <w:u w:val="none" w:color="auto"/>
                <w:lang w:val="en-US" w:eastAsia="zh-CN"/>
              </w:rPr>
              <w:t>，不新增用地，</w:t>
            </w:r>
            <w:r>
              <w:rPr>
                <w:rFonts w:hint="default" w:ascii="Times New Roman" w:hAnsi="Times New Roman" w:eastAsia="宋体" w:cs="Times New Roman"/>
                <w:color w:val="auto"/>
                <w:kern w:val="0"/>
                <w:sz w:val="24"/>
                <w:szCs w:val="24"/>
                <w:highlight w:val="none"/>
                <w:u w:val="none" w:color="auto"/>
              </w:rPr>
              <w:t>且位于园区内，项目位于</w:t>
            </w:r>
            <w:r>
              <w:rPr>
                <w:rFonts w:hint="default" w:ascii="Times New Roman" w:hAnsi="Times New Roman" w:eastAsia="宋体" w:cs="Times New Roman"/>
                <w:bCs/>
                <w:sz w:val="24"/>
                <w:u w:val="none" w:color="auto"/>
              </w:rPr>
              <w:t>岳阳宝丽纺织品有限</w:t>
            </w:r>
            <w:r>
              <w:rPr>
                <w:rFonts w:hint="default" w:ascii="Times New Roman" w:hAnsi="Times New Roman" w:eastAsia="宋体" w:cs="Times New Roman"/>
                <w:color w:val="auto"/>
                <w:kern w:val="0"/>
                <w:sz w:val="24"/>
                <w:szCs w:val="24"/>
                <w:highlight w:val="none"/>
                <w:u w:val="none" w:color="auto"/>
              </w:rPr>
              <w:t>公司现有厂区内，</w:t>
            </w:r>
            <w:r>
              <w:rPr>
                <w:rFonts w:hint="default" w:ascii="Times New Roman" w:hAnsi="Times New Roman" w:eastAsia="宋体" w:cs="Times New Roman"/>
                <w:color w:val="auto"/>
                <w:kern w:val="0"/>
                <w:sz w:val="24"/>
                <w:szCs w:val="24"/>
                <w:highlight w:val="none"/>
                <w:u w:val="none" w:color="auto"/>
                <w:lang w:val="en-US" w:eastAsia="zh-CN"/>
              </w:rPr>
              <w:t>本项目建成后，现有1台15t/h的生物质锅炉备用，另外现有1台6t/h的生物质锅炉拆除，不再使用。本项目周边主要为纺织企业和</w:t>
            </w:r>
            <w:r>
              <w:rPr>
                <w:rFonts w:hint="default" w:ascii="Times New Roman" w:hAnsi="Times New Roman" w:eastAsia="宋体" w:cs="Times New Roman"/>
                <w:color w:val="auto"/>
                <w:kern w:val="0"/>
                <w:sz w:val="24"/>
                <w:szCs w:val="24"/>
                <w:highlight w:val="none"/>
                <w:u w:val="none" w:color="auto"/>
              </w:rPr>
              <w:t>通用设备制造</w:t>
            </w:r>
            <w:r>
              <w:rPr>
                <w:rFonts w:hint="default" w:ascii="Times New Roman" w:hAnsi="Times New Roman" w:eastAsia="宋体" w:cs="Times New Roman"/>
                <w:color w:val="auto"/>
                <w:kern w:val="0"/>
                <w:sz w:val="24"/>
                <w:szCs w:val="24"/>
                <w:highlight w:val="none"/>
                <w:u w:val="none" w:color="auto"/>
                <w:lang w:val="en-US" w:eastAsia="zh-CN"/>
              </w:rPr>
              <w:t>企业，与周围环境相容</w:t>
            </w:r>
            <w:r>
              <w:rPr>
                <w:rFonts w:hint="default" w:ascii="Times New Roman" w:hAnsi="Times New Roman" w:eastAsia="宋体" w:cs="Times New Roman"/>
                <w:color w:val="auto"/>
                <w:kern w:val="0"/>
                <w:sz w:val="24"/>
                <w:szCs w:val="24"/>
                <w:highlight w:val="none"/>
                <w:u w:val="none" w:color="auto"/>
                <w:lang w:eastAsia="zh-CN"/>
              </w:rPr>
              <w:t>。</w:t>
            </w:r>
            <w:r>
              <w:rPr>
                <w:rFonts w:hint="default" w:ascii="Times New Roman" w:hAnsi="Times New Roman" w:eastAsia="宋体" w:cs="Times New Roman"/>
                <w:color w:val="auto"/>
                <w:kern w:val="0"/>
                <w:sz w:val="24"/>
                <w:szCs w:val="24"/>
                <w:highlight w:val="none"/>
                <w:u w:val="none" w:color="auto"/>
              </w:rPr>
              <w:t>项目建设及运营对周围环境影响不大。</w:t>
            </w:r>
          </w:p>
        </w:tc>
      </w:tr>
    </w:tbl>
    <w:p w14:paraId="37ADC559">
      <w:pPr>
        <w:pStyle w:val="22"/>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宋体" w:cs="Times New Roman"/>
          <w:snapToGrid w:val="0"/>
          <w:color w:val="auto"/>
          <w:sz w:val="30"/>
          <w:szCs w:val="30"/>
          <w:u w:val="none" w:color="auto"/>
        </w:rPr>
        <w:sectPr>
          <w:footerReference r:id="rId6" w:type="default"/>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bookmarkStart w:id="4" w:name="_Toc30754"/>
    </w:p>
    <w:p w14:paraId="3679B9C8">
      <w:pPr>
        <w:pStyle w:val="22"/>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宋体" w:cs="Times New Roman"/>
          <w:snapToGrid w:val="0"/>
          <w:color w:val="auto"/>
          <w:sz w:val="30"/>
          <w:szCs w:val="30"/>
          <w:u w:val="none" w:color="auto"/>
        </w:rPr>
      </w:pPr>
      <w:r>
        <w:rPr>
          <w:rFonts w:hint="default" w:ascii="Times New Roman" w:hAnsi="Times New Roman" w:eastAsia="宋体" w:cs="Times New Roman"/>
          <w:snapToGrid w:val="0"/>
          <w:color w:val="auto"/>
          <w:sz w:val="30"/>
          <w:szCs w:val="30"/>
          <w:u w:val="none" w:color="auto"/>
        </w:rPr>
        <w:t>二、建设项目工程分析</w:t>
      </w:r>
      <w:bookmarkEnd w:id="4"/>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972"/>
      </w:tblGrid>
      <w:tr w14:paraId="5D047E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12" w:type="dxa"/>
            <w:noWrap w:val="0"/>
            <w:vAlign w:val="center"/>
          </w:tcPr>
          <w:p w14:paraId="20721421">
            <w:pPr>
              <w:pStyle w:val="22"/>
              <w:keepNext w:val="0"/>
              <w:keepLines w:val="0"/>
              <w:pageBreakBefore w:val="0"/>
              <w:kinsoku/>
              <w:wordWrap/>
              <w:overflowPunct/>
              <w:topLinePunct w:val="0"/>
              <w:bidi w:val="0"/>
              <w:adjustRightInd/>
              <w:snapToGrid/>
              <w:spacing w:before="0" w:beforeAutospacing="0" w:after="0" w:afterAutospacing="0" w:line="360" w:lineRule="auto"/>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建设内容</w:t>
            </w:r>
          </w:p>
        </w:tc>
        <w:tc>
          <w:tcPr>
            <w:tcW w:w="7972" w:type="dxa"/>
            <w:noWrap w:val="0"/>
            <w:vAlign w:val="top"/>
          </w:tcPr>
          <w:p w14:paraId="2C82D30C">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1、建设内容</w:t>
            </w:r>
          </w:p>
          <w:p w14:paraId="59E3E2D7">
            <w:pPr>
              <w:adjustRightInd w:val="0"/>
              <w:snapToGrid w:val="0"/>
              <w:spacing w:line="360" w:lineRule="auto"/>
              <w:ind w:firstLine="480" w:firstLineChars="200"/>
              <w:rPr>
                <w:rFonts w:hint="default" w:ascii="Times New Roman" w:hAnsi="Times New Roman" w:eastAsia="宋体" w:cs="Times New Roman"/>
                <w:bCs/>
                <w:sz w:val="24"/>
                <w:highlight w:val="none"/>
                <w:u w:val="none" w:color="auto"/>
                <w:lang w:val="en-US" w:eastAsia="zh-CN"/>
              </w:rPr>
            </w:pPr>
            <w:r>
              <w:rPr>
                <w:rFonts w:hint="default" w:ascii="Times New Roman" w:hAnsi="Times New Roman" w:eastAsia="宋体" w:cs="Times New Roman"/>
                <w:bCs/>
                <w:sz w:val="24"/>
                <w:highlight w:val="none"/>
                <w:u w:val="none" w:color="auto"/>
              </w:rPr>
              <w:t>岳阳宝丽纺织品有限公司位于</w:t>
            </w:r>
            <w:r>
              <w:rPr>
                <w:rFonts w:hint="eastAsia" w:cs="Times New Roman"/>
                <w:snapToGrid w:val="0"/>
                <w:kern w:val="0"/>
                <w:sz w:val="24"/>
                <w:szCs w:val="24"/>
                <w:highlight w:val="none"/>
                <w:u w:val="none" w:color="auto"/>
                <w:lang w:eastAsia="zh-CN"/>
              </w:rPr>
              <w:t>华容县章华镇（华容高新区石伏工业园）</w:t>
            </w:r>
            <w:r>
              <w:rPr>
                <w:rFonts w:hint="default" w:ascii="Times New Roman" w:hAnsi="Times New Roman" w:eastAsia="宋体" w:cs="Times New Roman"/>
                <w:snapToGrid w:val="0"/>
                <w:kern w:val="0"/>
                <w:sz w:val="24"/>
                <w:szCs w:val="24"/>
                <w:highlight w:val="none"/>
                <w:u w:val="none" w:color="auto"/>
              </w:rPr>
              <w:t>，</w:t>
            </w:r>
            <w:r>
              <w:rPr>
                <w:rFonts w:hint="default" w:ascii="Times New Roman" w:hAnsi="Times New Roman" w:eastAsia="宋体" w:cs="Times New Roman"/>
                <w:bCs/>
                <w:sz w:val="24"/>
                <w:highlight w:val="none"/>
                <w:u w:val="none" w:color="auto"/>
              </w:rPr>
              <w:t>岳阳宝丽纺织品有限公司于2004年12月27日取得岳阳市环境保护局“关于岳阳宝丽纺织品有限公司毛巾全自动磁棒印花项目环境影响报告书的批复”（岳环函[2004]52号）；2005年11月16日取得岳阳市环境保护局“关于岳阳宝丽纺织品有限公司毛巾全自动磁棒印花项目竣工环境保护验收的批复”（岳环函[2005]49号）</w:t>
            </w:r>
            <w:r>
              <w:rPr>
                <w:rFonts w:hint="default" w:ascii="Times New Roman" w:hAnsi="Times New Roman" w:eastAsia="宋体" w:cs="Times New Roman"/>
                <w:bCs/>
                <w:sz w:val="24"/>
                <w:highlight w:val="none"/>
                <w:u w:val="none" w:color="auto"/>
                <w:lang w:eastAsia="zh-CN"/>
              </w:rPr>
              <w:t>，</w:t>
            </w:r>
            <w:r>
              <w:rPr>
                <w:rFonts w:hint="default" w:ascii="Times New Roman" w:hAnsi="Times New Roman" w:eastAsia="宋体" w:cs="Times New Roman"/>
                <w:bCs/>
                <w:sz w:val="24"/>
                <w:highlight w:val="none"/>
                <w:u w:val="none" w:color="auto"/>
                <w:lang w:val="en-US" w:eastAsia="zh-CN"/>
              </w:rPr>
              <w:t>于2018年6月8日取得华容县环境保护局“关于岳阳宝丽纺织品有限公司新增15t/h生物质锅炉项目环境影响报告表的批复”</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华</w:t>
            </w:r>
            <w:r>
              <w:rPr>
                <w:rFonts w:hint="default" w:ascii="Times New Roman" w:hAnsi="Times New Roman" w:eastAsia="宋体" w:cs="Times New Roman"/>
                <w:bCs/>
                <w:sz w:val="24"/>
                <w:highlight w:val="none"/>
                <w:u w:val="none" w:color="auto"/>
              </w:rPr>
              <w:t>环</w:t>
            </w:r>
            <w:r>
              <w:rPr>
                <w:rFonts w:hint="default" w:ascii="Times New Roman" w:hAnsi="Times New Roman" w:eastAsia="宋体" w:cs="Times New Roman"/>
                <w:bCs/>
                <w:sz w:val="24"/>
                <w:highlight w:val="none"/>
                <w:u w:val="none" w:color="auto"/>
                <w:lang w:val="en-US" w:eastAsia="zh-CN"/>
              </w:rPr>
              <w:t>评</w:t>
            </w:r>
            <w:r>
              <w:rPr>
                <w:rFonts w:hint="default" w:ascii="Times New Roman" w:hAnsi="Times New Roman" w:eastAsia="宋体" w:cs="Times New Roman"/>
                <w:bCs/>
                <w:sz w:val="24"/>
                <w:highlight w:val="none"/>
                <w:u w:val="none" w:color="auto"/>
              </w:rPr>
              <w:t>[20</w:t>
            </w:r>
            <w:r>
              <w:rPr>
                <w:rFonts w:hint="default" w:ascii="Times New Roman" w:hAnsi="Times New Roman" w:eastAsia="宋体" w:cs="Times New Roman"/>
                <w:bCs/>
                <w:sz w:val="24"/>
                <w:highlight w:val="none"/>
                <w:u w:val="none" w:color="auto"/>
                <w:lang w:val="en-US" w:eastAsia="zh-CN"/>
              </w:rPr>
              <w:t>18</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04</w:t>
            </w:r>
            <w:r>
              <w:rPr>
                <w:rFonts w:hint="default" w:ascii="Times New Roman" w:hAnsi="Times New Roman" w:eastAsia="宋体" w:cs="Times New Roman"/>
                <w:bCs/>
                <w:sz w:val="24"/>
                <w:highlight w:val="none"/>
                <w:u w:val="none" w:color="auto"/>
              </w:rPr>
              <w:t>号）</w:t>
            </w:r>
            <w:r>
              <w:rPr>
                <w:rFonts w:hint="default" w:ascii="Times New Roman" w:hAnsi="Times New Roman" w:eastAsia="宋体" w:cs="Times New Roman"/>
                <w:bCs/>
                <w:sz w:val="24"/>
                <w:highlight w:val="none"/>
                <w:u w:val="none" w:color="auto"/>
                <w:lang w:eastAsia="zh-CN"/>
              </w:rPr>
              <w:t>，</w:t>
            </w:r>
            <w:r>
              <w:rPr>
                <w:rFonts w:hint="default" w:ascii="Times New Roman" w:hAnsi="Times New Roman" w:eastAsia="宋体" w:cs="Times New Roman"/>
                <w:bCs/>
                <w:sz w:val="24"/>
                <w:highlight w:val="none"/>
                <w:u w:val="none" w:color="auto"/>
                <w:lang w:val="en-US" w:eastAsia="zh-CN"/>
              </w:rPr>
              <w:t>于2019年1月9日取得华容县环境保护局“关于岳阳宝丽纺织品有限公司新增15t/h生物质锅炉项目固体废物污染防治设施竣工环境保护验收意见的函”（华环评验</w:t>
            </w:r>
            <w:r>
              <w:rPr>
                <w:rFonts w:hint="default" w:ascii="Times New Roman" w:hAnsi="Times New Roman" w:eastAsia="宋体" w:cs="Times New Roman"/>
                <w:bCs/>
                <w:sz w:val="24"/>
                <w:highlight w:val="none"/>
                <w:u w:val="none" w:color="auto"/>
              </w:rPr>
              <w:t>[20</w:t>
            </w:r>
            <w:r>
              <w:rPr>
                <w:rFonts w:hint="default" w:ascii="Times New Roman" w:hAnsi="Times New Roman" w:eastAsia="宋体" w:cs="Times New Roman"/>
                <w:bCs/>
                <w:sz w:val="24"/>
                <w:highlight w:val="none"/>
                <w:u w:val="none" w:color="auto"/>
                <w:lang w:val="en-US" w:eastAsia="zh-CN"/>
              </w:rPr>
              <w:t>19</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01</w:t>
            </w:r>
            <w:r>
              <w:rPr>
                <w:rFonts w:hint="default" w:ascii="Times New Roman" w:hAnsi="Times New Roman" w:eastAsia="宋体" w:cs="Times New Roman"/>
                <w:bCs/>
                <w:sz w:val="24"/>
                <w:highlight w:val="none"/>
                <w:u w:val="none" w:color="auto"/>
              </w:rPr>
              <w:t>号</w:t>
            </w:r>
            <w:r>
              <w:rPr>
                <w:rFonts w:hint="default" w:ascii="Times New Roman" w:hAnsi="Times New Roman" w:eastAsia="宋体" w:cs="Times New Roman"/>
                <w:bCs/>
                <w:sz w:val="24"/>
                <w:highlight w:val="none"/>
                <w:u w:val="none" w:color="auto"/>
                <w:lang w:val="en-US" w:eastAsia="zh-CN"/>
              </w:rPr>
              <w:t>）；</w:t>
            </w:r>
            <w:r>
              <w:rPr>
                <w:rFonts w:hint="default" w:ascii="Times New Roman" w:hAnsi="Times New Roman" w:eastAsia="宋体" w:cs="Times New Roman"/>
                <w:b w:val="0"/>
                <w:bCs w:val="0"/>
                <w:color w:val="000000"/>
                <w:kern w:val="2"/>
                <w:sz w:val="24"/>
                <w:szCs w:val="24"/>
                <w:highlight w:val="none"/>
                <w:u w:val="none" w:color="auto"/>
                <w:lang w:val="en-US" w:eastAsia="zh-CN" w:bidi="ar-SA"/>
              </w:rPr>
              <w:t>于2017年12月21日取得了排污许可证（排污许可证编号：</w:t>
            </w:r>
            <w:r>
              <w:rPr>
                <w:rFonts w:hint="default" w:ascii="Times New Roman" w:hAnsi="Times New Roman" w:eastAsia="宋体" w:cs="Times New Roman"/>
                <w:sz w:val="24"/>
                <w:szCs w:val="24"/>
                <w:highlight w:val="none"/>
                <w:u w:val="none" w:color="auto"/>
              </w:rPr>
              <w:t>9143062376564342XM001P</w:t>
            </w:r>
            <w:r>
              <w:rPr>
                <w:rFonts w:hint="default" w:ascii="Times New Roman" w:hAnsi="Times New Roman" w:eastAsia="宋体" w:cs="Times New Roman"/>
                <w:b w:val="0"/>
                <w:bCs w:val="0"/>
                <w:color w:val="000000"/>
                <w:kern w:val="2"/>
                <w:sz w:val="24"/>
                <w:szCs w:val="24"/>
                <w:highlight w:val="none"/>
                <w:u w:val="none" w:color="auto"/>
                <w:lang w:val="en-US" w:eastAsia="zh-CN" w:bidi="ar-SA"/>
              </w:rPr>
              <w:t>）；</w:t>
            </w:r>
            <w:r>
              <w:rPr>
                <w:rFonts w:hint="default" w:ascii="Times New Roman" w:hAnsi="Times New Roman" w:eastAsia="宋体" w:cs="Times New Roman"/>
                <w:bCs/>
                <w:sz w:val="24"/>
                <w:highlight w:val="none"/>
                <w:u w:val="none" w:color="auto"/>
                <w:lang w:val="en-US" w:eastAsia="zh-CN"/>
              </w:rPr>
              <w:t>于</w:t>
            </w:r>
            <w:r>
              <w:rPr>
                <w:rFonts w:hint="default" w:ascii="Times New Roman" w:hAnsi="Times New Roman" w:eastAsia="宋体" w:cs="Times New Roman"/>
                <w:b w:val="0"/>
                <w:bCs w:val="0"/>
                <w:color w:val="000000"/>
                <w:kern w:val="2"/>
                <w:sz w:val="24"/>
                <w:szCs w:val="24"/>
                <w:highlight w:val="none"/>
                <w:u w:val="none" w:color="auto"/>
                <w:lang w:val="en-US" w:eastAsia="zh-CN" w:bidi="ar-SA"/>
              </w:rPr>
              <w:t>2024年4月22日取得了《岳阳宝丽纺织品有限公司突发环境事件应急预案》备案表（备案编号：430623-2024-008-L）。</w:t>
            </w:r>
          </w:p>
          <w:p w14:paraId="045DD357">
            <w:pPr>
              <w:pStyle w:val="4"/>
              <w:adjustRightInd w:val="0"/>
              <w:snapToGrid w:val="0"/>
              <w:spacing w:before="0" w:after="0" w:line="360" w:lineRule="auto"/>
              <w:ind w:firstLine="480" w:firstLineChars="200"/>
              <w:rPr>
                <w:rFonts w:hint="default" w:ascii="Times New Roman" w:hAnsi="Times New Roman" w:eastAsia="宋体" w:cs="Times New Roman"/>
                <w:b w:val="0"/>
                <w:bCs w:val="0"/>
                <w:sz w:val="24"/>
                <w:szCs w:val="24"/>
                <w:u w:val="none" w:color="auto"/>
                <w:lang w:val="en-US" w:eastAsia="zh-CN"/>
              </w:rPr>
            </w:pPr>
            <w:r>
              <w:rPr>
                <w:rFonts w:hint="default" w:ascii="Times New Roman" w:hAnsi="Times New Roman" w:eastAsia="宋体" w:cs="Times New Roman"/>
                <w:b w:val="0"/>
                <w:bCs w:val="0"/>
                <w:sz w:val="24"/>
                <w:szCs w:val="24"/>
                <w:u w:val="none" w:color="auto"/>
                <w:lang w:val="en-US" w:eastAsia="zh-CN"/>
              </w:rPr>
              <w:t>经业主介绍，</w:t>
            </w:r>
            <w:r>
              <w:rPr>
                <w:rFonts w:hint="default" w:ascii="Times New Roman" w:hAnsi="Times New Roman" w:eastAsia="宋体" w:cs="Times New Roman"/>
                <w:b w:val="0"/>
                <w:bCs w:val="0"/>
                <w:sz w:val="24"/>
                <w:szCs w:val="24"/>
                <w:u w:val="none" w:color="auto"/>
              </w:rPr>
              <w:t>现有项目锅炉房现有的一台6t/h锅炉和一台</w:t>
            </w:r>
            <w:r>
              <w:rPr>
                <w:rFonts w:hint="default" w:ascii="Times New Roman" w:hAnsi="Times New Roman" w:eastAsia="宋体" w:cs="Times New Roman"/>
                <w:b w:val="0"/>
                <w:bCs w:val="0"/>
                <w:sz w:val="24"/>
                <w:szCs w:val="24"/>
                <w:u w:val="none" w:color="auto"/>
                <w:lang w:val="en-US" w:eastAsia="zh-CN"/>
              </w:rPr>
              <w:t>15</w:t>
            </w:r>
            <w:r>
              <w:rPr>
                <w:rFonts w:hint="default" w:ascii="Times New Roman" w:hAnsi="Times New Roman" w:eastAsia="宋体" w:cs="Times New Roman"/>
                <w:b w:val="0"/>
                <w:bCs w:val="0"/>
                <w:sz w:val="24"/>
                <w:szCs w:val="24"/>
                <w:u w:val="none" w:color="auto"/>
              </w:rPr>
              <w:t>t/h锅炉使用</w:t>
            </w:r>
            <w:r>
              <w:rPr>
                <w:rFonts w:hint="default" w:ascii="Times New Roman" w:hAnsi="Times New Roman" w:eastAsia="宋体" w:cs="Times New Roman"/>
                <w:b w:val="0"/>
                <w:bCs w:val="0"/>
                <w:sz w:val="24"/>
                <w:szCs w:val="24"/>
                <w:u w:val="none" w:color="auto"/>
                <w:lang w:val="en-US" w:eastAsia="zh-CN"/>
              </w:rPr>
              <w:t>生物质成型</w:t>
            </w:r>
            <w:r>
              <w:rPr>
                <w:rFonts w:hint="default" w:ascii="Times New Roman" w:hAnsi="Times New Roman" w:eastAsia="宋体" w:cs="Times New Roman"/>
                <w:b w:val="0"/>
                <w:bCs w:val="0"/>
                <w:sz w:val="24"/>
                <w:szCs w:val="24"/>
                <w:u w:val="none" w:color="auto"/>
              </w:rPr>
              <w:t>燃料</w:t>
            </w:r>
            <w:r>
              <w:rPr>
                <w:rFonts w:hint="default" w:ascii="Times New Roman" w:hAnsi="Times New Roman" w:eastAsia="宋体" w:cs="Times New Roman"/>
                <w:b w:val="0"/>
                <w:bCs w:val="0"/>
                <w:sz w:val="24"/>
                <w:szCs w:val="24"/>
                <w:u w:val="none" w:color="auto"/>
                <w:lang w:val="en-US" w:eastAsia="zh-CN"/>
              </w:rPr>
              <w:t>为现有工程提供蒸汽</w:t>
            </w:r>
            <w:r>
              <w:rPr>
                <w:rFonts w:hint="default" w:ascii="Times New Roman" w:hAnsi="Times New Roman" w:eastAsia="宋体" w:cs="Times New Roman"/>
                <w:b w:val="0"/>
                <w:bCs w:val="0"/>
                <w:sz w:val="24"/>
                <w:szCs w:val="24"/>
                <w:u w:val="none" w:color="auto"/>
              </w:rPr>
              <w:t>，</w:t>
            </w:r>
            <w:r>
              <w:rPr>
                <w:rFonts w:hint="default" w:ascii="Times New Roman" w:hAnsi="Times New Roman" w:eastAsia="宋体" w:cs="Times New Roman"/>
                <w:b w:val="0"/>
                <w:bCs w:val="0"/>
                <w:sz w:val="24"/>
                <w:szCs w:val="24"/>
                <w:u w:val="none" w:color="auto"/>
                <w:lang w:val="en-US" w:eastAsia="zh-CN"/>
              </w:rPr>
              <w:t>现为了响应华容县政府号召，本项目作为秸秆燃烧点，生物质成型燃料改为木屑、树枝、树皮、稻壳、秸秆、芦苇秆、锯末、甘蔗渣等生物质燃料，同时增加一台15t/h生物质锅炉</w:t>
            </w:r>
            <w:r>
              <w:rPr>
                <w:rFonts w:hint="eastAsia" w:ascii="Times New Roman" w:hAnsi="Times New Roman" w:eastAsia="宋体" w:cs="Times New Roman"/>
                <w:b w:val="0"/>
                <w:bCs w:val="0"/>
                <w:sz w:val="24"/>
                <w:szCs w:val="24"/>
                <w:u w:val="none" w:color="auto"/>
                <w:lang w:val="en-US" w:eastAsia="zh-CN"/>
              </w:rPr>
              <w:t>及其配套的</w:t>
            </w:r>
            <w:r>
              <w:rPr>
                <w:rFonts w:hint="default" w:ascii="Times New Roman" w:hAnsi="Times New Roman" w:eastAsia="宋体" w:cs="Times New Roman"/>
                <w:b w:val="0"/>
                <w:bCs w:val="0"/>
                <w:sz w:val="24"/>
                <w:szCs w:val="24"/>
                <w:u w:val="none" w:color="auto"/>
                <w:lang w:val="en-US" w:eastAsia="zh-CN"/>
              </w:rPr>
              <w:t>SNCR+多管旋风除尘+布袋除尘+脱硫塔</w:t>
            </w:r>
            <w:r>
              <w:rPr>
                <w:rFonts w:hint="eastAsia" w:ascii="Times New Roman" w:hAnsi="Times New Roman" w:eastAsia="宋体" w:cs="Times New Roman"/>
                <w:b w:val="0"/>
                <w:bCs w:val="0"/>
                <w:sz w:val="24"/>
                <w:szCs w:val="24"/>
                <w:u w:val="none" w:color="auto"/>
                <w:lang w:val="en-US" w:eastAsia="zh-CN"/>
              </w:rPr>
              <w:t>废气处理设施</w:t>
            </w:r>
            <w:r>
              <w:rPr>
                <w:rFonts w:hint="eastAsia" w:cs="Times New Roman"/>
                <w:b w:val="0"/>
                <w:bCs w:val="0"/>
                <w:sz w:val="24"/>
                <w:szCs w:val="24"/>
                <w:u w:val="none" w:color="auto"/>
                <w:lang w:val="en-US" w:eastAsia="zh-CN"/>
              </w:rPr>
              <w:t>+一根43m排气筒（DA001）</w:t>
            </w:r>
            <w:r>
              <w:rPr>
                <w:rFonts w:hint="default" w:ascii="Times New Roman" w:hAnsi="Times New Roman" w:eastAsia="宋体" w:cs="Times New Roman"/>
                <w:b w:val="0"/>
                <w:bCs w:val="0"/>
                <w:sz w:val="24"/>
                <w:szCs w:val="24"/>
                <w:u w:val="none" w:color="auto"/>
                <w:lang w:val="en-US" w:eastAsia="zh-CN"/>
              </w:rPr>
              <w:t>，现有的一台15</w:t>
            </w:r>
            <w:r>
              <w:rPr>
                <w:rFonts w:hint="default" w:ascii="Times New Roman" w:hAnsi="Times New Roman" w:eastAsia="宋体" w:cs="Times New Roman"/>
                <w:b w:val="0"/>
                <w:bCs w:val="0"/>
                <w:sz w:val="24"/>
                <w:szCs w:val="24"/>
                <w:u w:val="none" w:color="auto"/>
              </w:rPr>
              <w:t>t/h锅炉</w:t>
            </w:r>
            <w:r>
              <w:rPr>
                <w:rFonts w:hint="default" w:ascii="Times New Roman" w:hAnsi="Times New Roman" w:eastAsia="宋体" w:cs="Times New Roman"/>
                <w:b w:val="0"/>
                <w:bCs w:val="0"/>
                <w:sz w:val="24"/>
                <w:szCs w:val="24"/>
                <w:u w:val="none" w:color="auto"/>
                <w:lang w:val="en-US" w:eastAsia="zh-CN"/>
              </w:rPr>
              <w:t>及其配套的多管旋风除尘+布袋除尘+水膜除尘设施</w:t>
            </w:r>
            <w:r>
              <w:rPr>
                <w:rFonts w:hint="eastAsia" w:cs="Times New Roman"/>
                <w:b w:val="0"/>
                <w:bCs w:val="0"/>
                <w:sz w:val="24"/>
                <w:szCs w:val="24"/>
                <w:u w:val="none" w:color="auto"/>
                <w:lang w:val="en-US" w:eastAsia="zh-CN"/>
              </w:rPr>
              <w:t>+一根43m排气筒（DA001）</w:t>
            </w:r>
            <w:r>
              <w:rPr>
                <w:rFonts w:hint="default" w:ascii="Times New Roman" w:hAnsi="Times New Roman" w:eastAsia="宋体" w:cs="Times New Roman"/>
                <w:b w:val="0"/>
                <w:bCs w:val="0"/>
                <w:sz w:val="24"/>
                <w:szCs w:val="24"/>
                <w:u w:val="none" w:color="auto"/>
                <w:lang w:val="en-US" w:eastAsia="zh-CN"/>
              </w:rPr>
              <w:t>作为备用，</w:t>
            </w:r>
            <w:r>
              <w:rPr>
                <w:rFonts w:hint="eastAsia" w:cs="Times New Roman"/>
                <w:b w:val="0"/>
                <w:bCs w:val="0"/>
                <w:sz w:val="24"/>
                <w:szCs w:val="24"/>
                <w:u w:val="none" w:color="auto"/>
                <w:lang w:val="en-US" w:eastAsia="zh-CN"/>
              </w:rPr>
              <w:t>由于考虑到现有工程蒸汽供热对半成品进行烘干效率不高，达不到客户的质量要求，本次环评拟</w:t>
            </w:r>
            <w:r>
              <w:rPr>
                <w:rFonts w:hint="default" w:ascii="Times New Roman" w:hAnsi="Times New Roman" w:eastAsia="宋体" w:cs="Times New Roman"/>
                <w:b w:val="0"/>
                <w:bCs w:val="0"/>
                <w:sz w:val="24"/>
                <w:szCs w:val="24"/>
                <w:u w:val="none" w:color="auto"/>
                <w:lang w:val="en-US" w:eastAsia="zh-CN"/>
              </w:rPr>
              <w:t>拆除</w:t>
            </w:r>
            <w:r>
              <w:rPr>
                <w:rFonts w:hint="default" w:ascii="Times New Roman" w:hAnsi="Times New Roman" w:eastAsia="宋体" w:cs="Times New Roman"/>
                <w:b w:val="0"/>
                <w:bCs w:val="0"/>
                <w:sz w:val="24"/>
                <w:szCs w:val="24"/>
                <w:u w:val="none" w:color="auto"/>
              </w:rPr>
              <w:t>现有的一台6t/h锅炉</w:t>
            </w:r>
            <w:r>
              <w:rPr>
                <w:rFonts w:hint="eastAsia" w:cs="Times New Roman"/>
                <w:b w:val="0"/>
                <w:bCs w:val="0"/>
                <w:sz w:val="24"/>
                <w:szCs w:val="24"/>
                <w:u w:val="none" w:color="auto"/>
                <w:lang w:val="en-US" w:eastAsia="zh-CN"/>
              </w:rPr>
              <w:t>原</w:t>
            </w:r>
            <w:r>
              <w:rPr>
                <w:rFonts w:hint="default" w:ascii="Times New Roman" w:hAnsi="Times New Roman" w:eastAsia="宋体" w:cs="Times New Roman"/>
                <w:b w:val="0"/>
                <w:bCs w:val="0"/>
                <w:sz w:val="24"/>
                <w:szCs w:val="24"/>
                <w:u w:val="none" w:color="auto"/>
                <w:lang w:val="en-US" w:eastAsia="zh-CN"/>
              </w:rPr>
              <w:t>及其配套的除尘设施和排气筒</w:t>
            </w:r>
            <w:r>
              <w:rPr>
                <w:rFonts w:hint="eastAsia" w:cs="Times New Roman"/>
                <w:b w:val="0"/>
                <w:bCs w:val="0"/>
                <w:sz w:val="24"/>
                <w:szCs w:val="24"/>
                <w:u w:val="none" w:color="auto"/>
                <w:lang w:eastAsia="zh-CN"/>
              </w:rPr>
              <w:t>，</w:t>
            </w:r>
            <w:r>
              <w:rPr>
                <w:rFonts w:hint="eastAsia" w:cs="Times New Roman"/>
                <w:b w:val="0"/>
                <w:bCs w:val="0"/>
                <w:sz w:val="24"/>
                <w:szCs w:val="24"/>
                <w:u w:val="none" w:color="auto"/>
                <w:lang w:val="en-US" w:eastAsia="zh-CN"/>
              </w:rPr>
              <w:t>新建一台4t的导热油炉</w:t>
            </w:r>
            <w:r>
              <w:rPr>
                <w:rFonts w:hint="eastAsia" w:ascii="Times New Roman" w:hAnsi="Times New Roman" w:eastAsia="宋体" w:cs="Times New Roman"/>
                <w:b w:val="0"/>
                <w:bCs w:val="0"/>
                <w:sz w:val="24"/>
                <w:szCs w:val="24"/>
                <w:u w:val="none" w:color="auto"/>
                <w:lang w:val="en-US" w:eastAsia="zh-CN"/>
              </w:rPr>
              <w:t>及其配套的</w:t>
            </w:r>
            <w:r>
              <w:rPr>
                <w:rFonts w:hint="default" w:ascii="Times New Roman" w:hAnsi="Times New Roman" w:eastAsia="宋体" w:cs="Times New Roman"/>
                <w:b w:val="0"/>
                <w:bCs w:val="0"/>
                <w:sz w:val="24"/>
                <w:szCs w:val="24"/>
                <w:u w:val="none" w:color="auto"/>
                <w:lang w:val="en-US" w:eastAsia="zh-CN"/>
              </w:rPr>
              <w:t>多管旋风除尘+布袋除尘+脱硫塔</w:t>
            </w:r>
            <w:r>
              <w:rPr>
                <w:rFonts w:hint="eastAsia" w:ascii="Times New Roman" w:hAnsi="Times New Roman" w:eastAsia="宋体" w:cs="Times New Roman"/>
                <w:b w:val="0"/>
                <w:bCs w:val="0"/>
                <w:sz w:val="24"/>
                <w:szCs w:val="24"/>
                <w:u w:val="none" w:color="auto"/>
                <w:lang w:val="en-US" w:eastAsia="zh-CN"/>
              </w:rPr>
              <w:t>废气处理设施</w:t>
            </w:r>
            <w:r>
              <w:rPr>
                <w:rFonts w:hint="eastAsia" w:cs="Times New Roman"/>
                <w:b w:val="0"/>
                <w:bCs w:val="0"/>
                <w:sz w:val="24"/>
                <w:szCs w:val="24"/>
                <w:u w:val="none" w:color="auto"/>
                <w:lang w:val="en-US" w:eastAsia="zh-CN"/>
              </w:rPr>
              <w:t>+一根38m排气筒（DA002）</w:t>
            </w:r>
            <w:r>
              <w:rPr>
                <w:rFonts w:hint="default" w:ascii="Times New Roman" w:hAnsi="Times New Roman" w:eastAsia="宋体" w:cs="Times New Roman"/>
                <w:b w:val="0"/>
                <w:bCs w:val="0"/>
                <w:sz w:val="24"/>
                <w:szCs w:val="24"/>
                <w:u w:val="none" w:color="auto"/>
                <w:lang w:eastAsia="zh-CN"/>
              </w:rPr>
              <w:t>。</w:t>
            </w:r>
          </w:p>
          <w:p w14:paraId="1B70E90F">
            <w:pPr>
              <w:pStyle w:val="34"/>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根据</w:t>
            </w:r>
            <w:r>
              <w:rPr>
                <w:rFonts w:hint="default" w:ascii="Times New Roman" w:hAnsi="Times New Roman" w:eastAsia="宋体" w:cs="Times New Roman"/>
                <w:color w:val="auto"/>
                <w:u w:val="none" w:color="auto"/>
                <w:lang w:eastAsia="zh-CN"/>
              </w:rPr>
              <w:t>《建设项目环境影响评价分类管理名录（2021年版）》中“四十一、电力、热力生产和供应业 91.热力生产和供应工程(包括建设单位自建自用的供热工程)</w:t>
            </w:r>
            <w:r>
              <w:rPr>
                <w:rFonts w:hint="default" w:ascii="Times New Roman" w:hAnsi="Times New Roman" w:eastAsia="宋体" w:cs="Times New Roman"/>
                <w:color w:val="auto"/>
                <w:u w:val="none" w:color="auto"/>
                <w:lang w:val="en-US" w:eastAsia="zh-CN"/>
              </w:rPr>
              <w:t xml:space="preserve"> 使用其他高污染燃料的(高污染燃料指国环规大气(2017〕2号《高污染燃料目录》中规定的燃料)</w:t>
            </w:r>
            <w:r>
              <w:rPr>
                <w:rFonts w:hint="default" w:ascii="Times New Roman" w:hAnsi="Times New Roman" w:eastAsia="宋体" w:cs="Times New Roman"/>
                <w:color w:val="auto"/>
                <w:u w:val="none" w:color="auto"/>
                <w:lang w:eastAsia="zh-CN"/>
              </w:rPr>
              <w:t>”，</w:t>
            </w:r>
            <w:r>
              <w:rPr>
                <w:rFonts w:hint="default" w:ascii="Times New Roman" w:hAnsi="Times New Roman" w:eastAsia="宋体" w:cs="Times New Roman"/>
                <w:color w:val="auto"/>
                <w:u w:val="none" w:color="auto"/>
                <w:lang w:val="en-US" w:eastAsia="zh-CN"/>
              </w:rPr>
              <w:t>本项目编制环境影响报告表。</w:t>
            </w:r>
          </w:p>
          <w:p w14:paraId="1CE64C75">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bCs/>
                <w:sz w:val="24"/>
                <w:u w:val="none" w:color="auto"/>
              </w:rPr>
              <w:t>本次在岳阳宝丽纺织品有限公司厂区内新建一台15t/h生物质锅炉</w:t>
            </w:r>
            <w:r>
              <w:rPr>
                <w:rFonts w:hint="default" w:ascii="Times New Roman" w:hAnsi="Times New Roman" w:eastAsia="宋体" w:cs="Times New Roman"/>
                <w:bCs/>
                <w:sz w:val="24"/>
                <w:u w:val="none" w:color="auto"/>
                <w:lang w:val="en-US" w:eastAsia="zh-CN"/>
              </w:rPr>
              <w:t>及其配套的废气处理设施</w:t>
            </w:r>
            <w:r>
              <w:rPr>
                <w:rFonts w:hint="eastAsia" w:cs="Times New Roman"/>
                <w:bCs/>
                <w:sz w:val="24"/>
                <w:u w:val="none" w:color="auto"/>
                <w:lang w:val="en-US" w:eastAsia="zh-CN"/>
              </w:rPr>
              <w:t>和一台4t/h</w:t>
            </w:r>
            <w:r>
              <w:rPr>
                <w:rFonts w:hint="eastAsia" w:cs="Times New Roman"/>
                <w:b w:val="0"/>
                <w:bCs w:val="0"/>
                <w:sz w:val="24"/>
                <w:szCs w:val="24"/>
                <w:u w:val="none" w:color="auto"/>
                <w:lang w:val="en-US" w:eastAsia="zh-CN"/>
              </w:rPr>
              <w:t>导热油炉</w:t>
            </w:r>
            <w:r>
              <w:rPr>
                <w:rFonts w:hint="default" w:ascii="Times New Roman" w:hAnsi="Times New Roman" w:eastAsia="宋体" w:cs="Times New Roman"/>
                <w:bCs/>
                <w:sz w:val="24"/>
                <w:u w:val="none" w:color="auto"/>
                <w:lang w:val="en-US" w:eastAsia="zh-CN"/>
              </w:rPr>
              <w:t>及其配套的废气处理设施</w:t>
            </w:r>
            <w:r>
              <w:rPr>
                <w:rFonts w:hint="default" w:ascii="Times New Roman" w:hAnsi="Times New Roman" w:eastAsia="宋体" w:cs="Times New Roman"/>
                <w:bCs/>
                <w:sz w:val="24"/>
                <w:u w:val="none" w:color="auto"/>
              </w:rPr>
              <w:t>，拟建锅炉房中心点坐标</w:t>
            </w:r>
            <w:r>
              <w:rPr>
                <w:rFonts w:hint="default" w:ascii="Times New Roman" w:hAnsi="Times New Roman" w:eastAsia="宋体" w:cs="Times New Roman"/>
                <w:bCs/>
                <w:sz w:val="24"/>
                <w:highlight w:val="none"/>
                <w:u w:val="none" w:color="auto"/>
              </w:rPr>
              <w:t>为：东经112.61918358，北纬：29.53659413</w:t>
            </w:r>
            <w:r>
              <w:rPr>
                <w:rFonts w:hint="eastAsia" w:cs="Times New Roman"/>
                <w:bCs/>
                <w:sz w:val="24"/>
                <w:highlight w:val="none"/>
                <w:u w:val="none" w:color="auto"/>
                <w:lang w:eastAsia="zh-CN"/>
              </w:rPr>
              <w:t>，</w:t>
            </w:r>
            <w:r>
              <w:rPr>
                <w:rFonts w:hint="eastAsia" w:cs="Times New Roman"/>
                <w:bCs/>
                <w:sz w:val="24"/>
                <w:highlight w:val="none"/>
                <w:u w:val="none" w:color="auto"/>
                <w:lang w:val="en-US" w:eastAsia="zh-CN"/>
              </w:rPr>
              <w:t>拟建的导热油炉中心点坐标（</w:t>
            </w:r>
            <w:r>
              <w:rPr>
                <w:rFonts w:hint="default" w:ascii="Times New Roman" w:hAnsi="Times New Roman" w:eastAsia="宋体" w:cs="Times New Roman"/>
                <w:b w:val="0"/>
                <w:bCs w:val="0"/>
                <w:sz w:val="24"/>
                <w:szCs w:val="24"/>
                <w:u w:val="none" w:color="auto"/>
              </w:rPr>
              <w:t>现有</w:t>
            </w:r>
            <w:r>
              <w:rPr>
                <w:rFonts w:hint="default" w:ascii="Times New Roman" w:hAnsi="Times New Roman" w:eastAsia="宋体" w:cs="Times New Roman"/>
                <w:b w:val="0"/>
                <w:bCs w:val="0"/>
                <w:sz w:val="24"/>
                <w:szCs w:val="24"/>
                <w:highlight w:val="none"/>
                <w:u w:val="none" w:color="auto"/>
              </w:rPr>
              <w:t>的一台6t/h锅炉</w:t>
            </w:r>
            <w:r>
              <w:rPr>
                <w:rFonts w:hint="eastAsia" w:cs="Times New Roman"/>
                <w:b w:val="0"/>
                <w:bCs w:val="0"/>
                <w:sz w:val="24"/>
                <w:szCs w:val="24"/>
                <w:highlight w:val="none"/>
                <w:u w:val="none" w:color="auto"/>
                <w:lang w:val="en-US" w:eastAsia="zh-CN"/>
              </w:rPr>
              <w:t>所在地</w:t>
            </w:r>
            <w:r>
              <w:rPr>
                <w:rFonts w:hint="eastAsia" w:cs="Times New Roman"/>
                <w:bCs/>
                <w:sz w:val="24"/>
                <w:highlight w:val="none"/>
                <w:u w:val="none" w:color="auto"/>
                <w:lang w:val="en-US" w:eastAsia="zh-CN"/>
              </w:rPr>
              <w:t>）为</w:t>
            </w:r>
            <w:r>
              <w:rPr>
                <w:rFonts w:hint="default" w:ascii="Times New Roman" w:hAnsi="Times New Roman" w:eastAsia="宋体" w:cs="Times New Roman"/>
                <w:bCs/>
                <w:sz w:val="24"/>
                <w:highlight w:val="none"/>
                <w:u w:val="none" w:color="auto"/>
              </w:rPr>
              <w:t>东经112.61778762，北纬：29.53709747。</w:t>
            </w:r>
            <w:r>
              <w:rPr>
                <w:rFonts w:hint="default" w:ascii="Times New Roman" w:hAnsi="Times New Roman" w:eastAsia="宋体" w:cs="Times New Roman"/>
                <w:sz w:val="24"/>
                <w:szCs w:val="24"/>
                <w:highlight w:val="none"/>
                <w:u w:val="none" w:color="auto"/>
              </w:rPr>
              <w:t>本次</w:t>
            </w:r>
            <w:r>
              <w:rPr>
                <w:rFonts w:hint="default" w:ascii="Times New Roman" w:hAnsi="Times New Roman" w:eastAsia="宋体" w:cs="Times New Roman"/>
                <w:snapToGrid w:val="0"/>
                <w:kern w:val="0"/>
                <w:sz w:val="24"/>
                <w:szCs w:val="24"/>
                <w:highlight w:val="none"/>
                <w:u w:val="none" w:color="auto"/>
              </w:rPr>
              <w:t>新建的一</w:t>
            </w:r>
            <w:r>
              <w:rPr>
                <w:rFonts w:hint="default" w:ascii="Times New Roman" w:hAnsi="Times New Roman" w:eastAsia="宋体" w:cs="Times New Roman"/>
                <w:bCs/>
                <w:sz w:val="24"/>
                <w:u w:val="none" w:color="auto"/>
              </w:rPr>
              <w:t>台15t/h</w:t>
            </w:r>
            <w:r>
              <w:rPr>
                <w:rFonts w:hint="default" w:ascii="Times New Roman" w:hAnsi="Times New Roman" w:eastAsia="宋体" w:cs="Times New Roman"/>
                <w:snapToGrid w:val="0"/>
                <w:kern w:val="0"/>
                <w:sz w:val="24"/>
                <w:szCs w:val="24"/>
                <w:highlight w:val="none"/>
                <w:u w:val="none" w:color="auto"/>
              </w:rPr>
              <w:t>生</w:t>
            </w:r>
            <w:r>
              <w:rPr>
                <w:rFonts w:hint="default" w:ascii="Times New Roman" w:hAnsi="Times New Roman" w:eastAsia="宋体" w:cs="Times New Roman"/>
                <w:snapToGrid w:val="0"/>
                <w:kern w:val="0"/>
                <w:sz w:val="24"/>
                <w:szCs w:val="24"/>
                <w:u w:val="none" w:color="auto"/>
              </w:rPr>
              <w:t>物质锅炉房用于企业蒸汽供给</w:t>
            </w:r>
            <w:r>
              <w:rPr>
                <w:rFonts w:hint="default" w:ascii="Times New Roman" w:hAnsi="Times New Roman" w:eastAsia="宋体" w:cs="Times New Roman"/>
                <w:snapToGrid w:val="0"/>
                <w:kern w:val="0"/>
                <w:sz w:val="24"/>
                <w:szCs w:val="24"/>
                <w:u w:val="none" w:color="auto"/>
                <w:lang w:eastAsia="zh-CN"/>
              </w:rPr>
              <w:t>，</w:t>
            </w:r>
            <w:r>
              <w:rPr>
                <w:rFonts w:hint="default" w:ascii="Times New Roman" w:hAnsi="Times New Roman" w:eastAsia="宋体" w:cs="Times New Roman"/>
                <w:b w:val="0"/>
                <w:bCs w:val="0"/>
                <w:sz w:val="24"/>
                <w:szCs w:val="24"/>
                <w:u w:val="none" w:color="auto"/>
                <w:lang w:val="en-US" w:eastAsia="zh-CN"/>
              </w:rPr>
              <w:t>现有的一台15</w:t>
            </w:r>
            <w:r>
              <w:rPr>
                <w:rFonts w:hint="default" w:ascii="Times New Roman" w:hAnsi="Times New Roman" w:eastAsia="宋体" w:cs="Times New Roman"/>
                <w:b w:val="0"/>
                <w:bCs w:val="0"/>
                <w:sz w:val="24"/>
                <w:szCs w:val="24"/>
                <w:u w:val="none" w:color="auto"/>
              </w:rPr>
              <w:t>t/h锅炉</w:t>
            </w:r>
            <w:r>
              <w:rPr>
                <w:rFonts w:hint="default" w:ascii="Times New Roman" w:hAnsi="Times New Roman" w:eastAsia="宋体" w:cs="Times New Roman"/>
                <w:b w:val="0"/>
                <w:bCs w:val="0"/>
                <w:sz w:val="24"/>
                <w:szCs w:val="24"/>
                <w:u w:val="none" w:color="auto"/>
                <w:lang w:val="en-US" w:eastAsia="zh-CN"/>
              </w:rPr>
              <w:t>作为备用（新建锅炉每年都要进行内外检测（内检2年一次，外检每年一次），日常也要进行必要的维护，一旦出现故障就要停炉检修），</w:t>
            </w:r>
            <w:r>
              <w:rPr>
                <w:rFonts w:hint="eastAsia" w:ascii="Times New Roman" w:hAnsi="Times New Roman" w:eastAsia="宋体" w:cs="Times New Roman"/>
                <w:b w:val="0"/>
                <w:bCs w:val="0"/>
                <w:sz w:val="24"/>
                <w:szCs w:val="24"/>
                <w:u w:val="none" w:color="auto"/>
                <w:lang w:val="en-US" w:eastAsia="zh-CN"/>
              </w:rPr>
              <w:t>新增一台4</w:t>
            </w:r>
            <w:r>
              <w:rPr>
                <w:rFonts w:hint="default" w:ascii="Times New Roman" w:hAnsi="Times New Roman" w:eastAsia="宋体" w:cs="Times New Roman"/>
                <w:b w:val="0"/>
                <w:bCs w:val="0"/>
                <w:sz w:val="24"/>
                <w:szCs w:val="24"/>
                <w:u w:val="none" w:color="auto"/>
                <w:lang w:val="en-US" w:eastAsia="zh-CN"/>
              </w:rPr>
              <w:t>t/h</w:t>
            </w:r>
            <w:r>
              <w:rPr>
                <w:rFonts w:hint="eastAsia" w:ascii="Times New Roman" w:hAnsi="Times New Roman" w:eastAsia="宋体" w:cs="Times New Roman"/>
                <w:b w:val="0"/>
                <w:bCs w:val="0"/>
                <w:sz w:val="24"/>
                <w:szCs w:val="24"/>
                <w:u w:val="none" w:color="auto"/>
                <w:lang w:val="en-US" w:eastAsia="zh-CN"/>
              </w:rPr>
              <w:t>导热油炉</w:t>
            </w:r>
            <w:r>
              <w:rPr>
                <w:rFonts w:hint="default" w:ascii="Times New Roman" w:hAnsi="Times New Roman" w:eastAsia="宋体" w:cs="Times New Roman"/>
                <w:b w:val="0"/>
                <w:bCs w:val="0"/>
                <w:sz w:val="24"/>
                <w:szCs w:val="24"/>
                <w:u w:val="none" w:color="auto"/>
                <w:lang w:val="en-US" w:eastAsia="zh-CN"/>
              </w:rPr>
              <w:t>并拆除</w:t>
            </w:r>
            <w:r>
              <w:rPr>
                <w:rFonts w:hint="default" w:ascii="Times New Roman" w:hAnsi="Times New Roman" w:eastAsia="宋体" w:cs="Times New Roman"/>
                <w:b w:val="0"/>
                <w:bCs w:val="0"/>
                <w:sz w:val="24"/>
                <w:szCs w:val="24"/>
                <w:u w:val="none" w:color="auto"/>
              </w:rPr>
              <w:t>现有的一台6t/h锅炉</w:t>
            </w:r>
            <w:r>
              <w:rPr>
                <w:rFonts w:hint="default" w:ascii="Times New Roman" w:hAnsi="Times New Roman" w:eastAsia="宋体" w:cs="Times New Roman"/>
                <w:sz w:val="24"/>
                <w:szCs w:val="24"/>
                <w:u w:val="none" w:color="auto"/>
              </w:rPr>
              <w:t>。</w:t>
            </w:r>
            <w:r>
              <w:rPr>
                <w:rFonts w:hint="default" w:ascii="Times New Roman" w:hAnsi="Times New Roman" w:eastAsia="宋体" w:cs="Times New Roman"/>
                <w:color w:val="auto"/>
                <w:kern w:val="0"/>
                <w:sz w:val="24"/>
                <w:szCs w:val="24"/>
                <w:u w:val="none" w:color="auto"/>
              </w:rPr>
              <w:t>项目具体工程建设见表2-1。</w:t>
            </w:r>
          </w:p>
          <w:p w14:paraId="2DFACA03">
            <w:pPr>
              <w:tabs>
                <w:tab w:val="left" w:pos="417"/>
              </w:tabs>
              <w:adjustRightInd w:val="0"/>
              <w:snapToGrid w:val="0"/>
              <w:spacing w:line="271" w:lineRule="auto"/>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bCs/>
                <w:szCs w:val="21"/>
                <w:u w:val="none" w:color="auto"/>
              </w:rPr>
              <w:t>表</w:t>
            </w:r>
            <w:r>
              <w:rPr>
                <w:rFonts w:hint="eastAsia" w:ascii="Times New Roman" w:hAnsi="Times New Roman" w:eastAsia="宋体" w:cs="Times New Roman"/>
                <w:b/>
                <w:bCs/>
                <w:szCs w:val="21"/>
                <w:u w:val="none" w:color="auto"/>
                <w:lang w:val="en-US" w:eastAsia="zh-CN"/>
              </w:rPr>
              <w:t>2</w:t>
            </w:r>
            <w:r>
              <w:rPr>
                <w:rFonts w:hint="default" w:ascii="Times New Roman" w:hAnsi="Times New Roman" w:eastAsia="宋体" w:cs="Times New Roman"/>
                <w:b/>
                <w:bCs/>
                <w:szCs w:val="21"/>
                <w:u w:val="none" w:color="auto"/>
              </w:rPr>
              <w:t xml:space="preserve">-1   </w:t>
            </w:r>
            <w:r>
              <w:rPr>
                <w:rFonts w:hint="default" w:ascii="Times New Roman" w:hAnsi="Times New Roman" w:eastAsia="宋体" w:cs="Times New Roman"/>
                <w:b/>
                <w:szCs w:val="21"/>
                <w:u w:val="none" w:color="auto"/>
              </w:rPr>
              <w:t>新建工程和现有工程的依托关系</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116"/>
              <w:gridCol w:w="4367"/>
              <w:gridCol w:w="1158"/>
            </w:tblGrid>
            <w:tr w14:paraId="281C4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1078" w:type="dxa"/>
                  <w:noWrap w:val="0"/>
                  <w:vAlign w:val="center"/>
                </w:tcPr>
                <w:p w14:paraId="7A23353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工程类别</w:t>
                  </w:r>
                </w:p>
              </w:tc>
              <w:tc>
                <w:tcPr>
                  <w:tcW w:w="1116" w:type="dxa"/>
                  <w:noWrap w:val="0"/>
                  <w:vAlign w:val="center"/>
                </w:tcPr>
                <w:p w14:paraId="270F61A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工程名称</w:t>
                  </w:r>
                </w:p>
              </w:tc>
              <w:tc>
                <w:tcPr>
                  <w:tcW w:w="4367" w:type="dxa"/>
                  <w:noWrap w:val="0"/>
                  <w:vAlign w:val="center"/>
                </w:tcPr>
                <w:p w14:paraId="62C481C9">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建设内容</w:t>
                  </w:r>
                </w:p>
              </w:tc>
              <w:tc>
                <w:tcPr>
                  <w:tcW w:w="1158" w:type="dxa"/>
                  <w:noWrap w:val="0"/>
                  <w:vAlign w:val="center"/>
                </w:tcPr>
                <w:p w14:paraId="6BC703A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备注</w:t>
                  </w:r>
                </w:p>
              </w:tc>
            </w:tr>
            <w:tr w14:paraId="3A0BF0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restart"/>
                  <w:noWrap w:val="0"/>
                  <w:vAlign w:val="center"/>
                </w:tcPr>
                <w:p w14:paraId="4B3253C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主体工程</w:t>
                  </w:r>
                </w:p>
              </w:tc>
              <w:tc>
                <w:tcPr>
                  <w:tcW w:w="1116" w:type="dxa"/>
                  <w:noWrap w:val="0"/>
                  <w:vAlign w:val="center"/>
                </w:tcPr>
                <w:p w14:paraId="16BEF120">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锅炉系统</w:t>
                  </w:r>
                </w:p>
              </w:tc>
              <w:tc>
                <w:tcPr>
                  <w:tcW w:w="4367" w:type="dxa"/>
                  <w:noWrap w:val="0"/>
                  <w:vAlign w:val="center"/>
                </w:tcPr>
                <w:p w14:paraId="4F165FB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1台15t/h生物质锅炉</w:t>
                  </w:r>
                </w:p>
              </w:tc>
              <w:tc>
                <w:tcPr>
                  <w:tcW w:w="1158" w:type="dxa"/>
                  <w:noWrap w:val="0"/>
                  <w:vAlign w:val="center"/>
                </w:tcPr>
                <w:p w14:paraId="0B552FA5">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新建</w:t>
                  </w:r>
                </w:p>
              </w:tc>
            </w:tr>
            <w:tr w14:paraId="07857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continue"/>
                  <w:noWrap w:val="0"/>
                  <w:vAlign w:val="center"/>
                </w:tcPr>
                <w:p w14:paraId="108F61BD">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1A91438C">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导热油炉系统</w:t>
                  </w:r>
                </w:p>
              </w:tc>
              <w:tc>
                <w:tcPr>
                  <w:tcW w:w="4367" w:type="dxa"/>
                  <w:noWrap w:val="0"/>
                  <w:vAlign w:val="center"/>
                </w:tcPr>
                <w:p w14:paraId="2E0C6177">
                  <w:pPr>
                    <w:adjustRightInd w:val="0"/>
                    <w:snapToGrid w:val="0"/>
                    <w:jc w:val="center"/>
                    <w:rPr>
                      <w:rFonts w:hint="default" w:ascii="Times New Roman" w:hAnsi="Times New Roman" w:eastAsia="宋体" w:cs="Times New Roman"/>
                      <w:bCs/>
                      <w:szCs w:val="21"/>
                      <w:u w:val="none" w:color="auto"/>
                    </w:rPr>
                  </w:pPr>
                  <w:r>
                    <w:rPr>
                      <w:rFonts w:hint="eastAsia" w:ascii="Times New Roman" w:hAnsi="Times New Roman" w:eastAsia="宋体" w:cs="Times New Roman"/>
                      <w:bCs/>
                      <w:szCs w:val="21"/>
                      <w:u w:val="none" w:color="auto"/>
                      <w:lang w:val="en-US" w:eastAsia="zh-CN"/>
                    </w:rPr>
                    <w:t>一台4</w:t>
                  </w:r>
                  <w:r>
                    <w:rPr>
                      <w:rFonts w:hint="default" w:ascii="Times New Roman" w:hAnsi="Times New Roman" w:eastAsia="宋体" w:cs="Times New Roman"/>
                      <w:bCs/>
                      <w:szCs w:val="21"/>
                      <w:u w:val="none" w:color="auto"/>
                    </w:rPr>
                    <w:t>t/h</w:t>
                  </w:r>
                  <w:r>
                    <w:rPr>
                      <w:rFonts w:hint="eastAsia" w:ascii="Times New Roman" w:hAnsi="Times New Roman" w:eastAsia="宋体" w:cs="Times New Roman"/>
                      <w:bCs/>
                      <w:szCs w:val="21"/>
                      <w:u w:val="none" w:color="auto"/>
                      <w:lang w:val="en-US" w:eastAsia="zh-CN"/>
                    </w:rPr>
                    <w:t>导热油炉</w:t>
                  </w:r>
                </w:p>
              </w:tc>
              <w:tc>
                <w:tcPr>
                  <w:tcW w:w="1158" w:type="dxa"/>
                  <w:noWrap w:val="0"/>
                  <w:vAlign w:val="center"/>
                </w:tcPr>
                <w:p w14:paraId="06A6E979">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新建</w:t>
                  </w:r>
                </w:p>
              </w:tc>
            </w:tr>
            <w:tr w14:paraId="5320D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restart"/>
                  <w:noWrap w:val="0"/>
                  <w:vAlign w:val="center"/>
                </w:tcPr>
                <w:p w14:paraId="5CCF4F33">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辅助工程</w:t>
                  </w:r>
                </w:p>
              </w:tc>
              <w:tc>
                <w:tcPr>
                  <w:tcW w:w="1116" w:type="dxa"/>
                  <w:vMerge w:val="restart"/>
                  <w:noWrap w:val="0"/>
                  <w:vAlign w:val="center"/>
                </w:tcPr>
                <w:p w14:paraId="16D704AE">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除尘系统</w:t>
                  </w:r>
                  <w:r>
                    <w:rPr>
                      <w:rFonts w:hint="eastAsia" w:cs="Times New Roman"/>
                      <w:bCs/>
                      <w:szCs w:val="21"/>
                      <w:u w:val="none" w:color="auto"/>
                      <w:lang w:val="en-US" w:eastAsia="zh-CN"/>
                    </w:rPr>
                    <w:t>+烟囱</w:t>
                  </w:r>
                </w:p>
              </w:tc>
              <w:tc>
                <w:tcPr>
                  <w:tcW w:w="4367" w:type="dxa"/>
                  <w:noWrap w:val="0"/>
                  <w:vAlign w:val="center"/>
                </w:tcPr>
                <w:p w14:paraId="2CB59F68">
                  <w:pPr>
                    <w:adjustRightInd w:val="0"/>
                    <w:snapToGrid w:val="0"/>
                    <w:jc w:val="center"/>
                    <w:rPr>
                      <w:rFonts w:hint="default" w:ascii="Times New Roman" w:hAnsi="Times New Roman" w:eastAsia="宋体" w:cs="Times New Roman"/>
                      <w:bCs/>
                      <w:szCs w:val="21"/>
                      <w:u w:val="none" w:color="auto"/>
                      <w:lang w:val="en-US"/>
                    </w:rPr>
                  </w:pPr>
                  <w:r>
                    <w:rPr>
                      <w:rFonts w:hint="default" w:ascii="Times New Roman" w:hAnsi="Times New Roman" w:eastAsia="宋体" w:cs="Times New Roman"/>
                      <w:color w:val="auto"/>
                      <w:sz w:val="21"/>
                      <w:szCs w:val="21"/>
                      <w:u w:val="none" w:color="auto"/>
                      <w:lang w:val="en-US" w:eastAsia="zh-CN"/>
                    </w:rPr>
                    <w:t>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eastAsia" w:cs="Times New Roman"/>
                      <w:color w:val="auto"/>
                      <w:sz w:val="21"/>
                      <w:szCs w:val="21"/>
                      <w:u w:val="none" w:color="auto"/>
                      <w:lang w:val="en-US" w:eastAsia="zh-CN"/>
                    </w:rPr>
                    <w:t>+</w:t>
                  </w:r>
                  <w:r>
                    <w:rPr>
                      <w:rFonts w:hint="default" w:ascii="Times New Roman" w:hAnsi="Times New Roman" w:eastAsia="宋体" w:cs="Times New Roman"/>
                      <w:bCs/>
                      <w:szCs w:val="21"/>
                      <w:u w:val="none" w:color="auto"/>
                    </w:rPr>
                    <w:t>1根</w:t>
                  </w:r>
                  <w:r>
                    <w:rPr>
                      <w:rFonts w:hint="default" w:ascii="Times New Roman" w:hAnsi="Times New Roman" w:eastAsia="宋体" w:cs="Times New Roman"/>
                      <w:bCs/>
                      <w:szCs w:val="21"/>
                      <w:u w:val="none" w:color="auto"/>
                      <w:lang w:val="en-US" w:eastAsia="zh-CN"/>
                    </w:rPr>
                    <w:t>43</w:t>
                  </w:r>
                  <w:r>
                    <w:rPr>
                      <w:rFonts w:hint="default" w:ascii="Times New Roman" w:hAnsi="Times New Roman" w:eastAsia="宋体" w:cs="Times New Roman"/>
                      <w:bCs/>
                      <w:szCs w:val="21"/>
                      <w:u w:val="none" w:color="auto"/>
                    </w:rPr>
                    <w:t>m高排气筒（DA00</w:t>
                  </w:r>
                  <w:r>
                    <w:rPr>
                      <w:rFonts w:hint="eastAsia" w:cs="Times New Roman"/>
                      <w:bCs/>
                      <w:szCs w:val="21"/>
                      <w:u w:val="none" w:color="auto"/>
                      <w:lang w:val="en-US" w:eastAsia="zh-CN"/>
                    </w:rPr>
                    <w:t>1</w:t>
                  </w:r>
                  <w:r>
                    <w:rPr>
                      <w:rFonts w:hint="default" w:ascii="Times New Roman" w:hAnsi="Times New Roman" w:eastAsia="宋体" w:cs="Times New Roman"/>
                      <w:bCs/>
                      <w:szCs w:val="21"/>
                      <w:u w:val="none" w:color="auto"/>
                    </w:rPr>
                    <w:t>）</w:t>
                  </w:r>
                </w:p>
              </w:tc>
              <w:tc>
                <w:tcPr>
                  <w:tcW w:w="1158" w:type="dxa"/>
                  <w:noWrap w:val="0"/>
                  <w:vAlign w:val="center"/>
                </w:tcPr>
                <w:p w14:paraId="02A5B09E">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新建</w:t>
                  </w:r>
                </w:p>
              </w:tc>
            </w:tr>
            <w:tr w14:paraId="3BFF9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continue"/>
                  <w:noWrap w:val="0"/>
                  <w:vAlign w:val="center"/>
                </w:tcPr>
                <w:p w14:paraId="7D3A8BC4">
                  <w:pPr>
                    <w:adjustRightInd w:val="0"/>
                    <w:snapToGrid w:val="0"/>
                    <w:jc w:val="center"/>
                    <w:rPr>
                      <w:rFonts w:hint="default" w:ascii="Times New Roman" w:hAnsi="Times New Roman" w:eastAsia="宋体" w:cs="Times New Roman"/>
                      <w:bCs/>
                      <w:szCs w:val="21"/>
                      <w:u w:val="none" w:color="auto"/>
                    </w:rPr>
                  </w:pPr>
                </w:p>
              </w:tc>
              <w:tc>
                <w:tcPr>
                  <w:tcW w:w="1116" w:type="dxa"/>
                  <w:vMerge w:val="continue"/>
                  <w:noWrap w:val="0"/>
                  <w:vAlign w:val="center"/>
                </w:tcPr>
                <w:p w14:paraId="62314C14">
                  <w:pPr>
                    <w:adjustRightInd w:val="0"/>
                    <w:snapToGrid w:val="0"/>
                    <w:jc w:val="center"/>
                    <w:rPr>
                      <w:rFonts w:hint="default" w:ascii="Times New Roman" w:hAnsi="Times New Roman" w:eastAsia="宋体" w:cs="Times New Roman"/>
                      <w:bCs/>
                      <w:szCs w:val="21"/>
                      <w:u w:val="none" w:color="auto"/>
                    </w:rPr>
                  </w:pPr>
                </w:p>
              </w:tc>
              <w:tc>
                <w:tcPr>
                  <w:tcW w:w="4367" w:type="dxa"/>
                  <w:noWrap w:val="0"/>
                  <w:vAlign w:val="center"/>
                </w:tcPr>
                <w:p w14:paraId="2CBD3565">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color w:val="auto"/>
                      <w:sz w:val="21"/>
                      <w:szCs w:val="21"/>
                      <w:u w:val="none" w:color="auto"/>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eastAsia" w:cs="Times New Roman"/>
                      <w:color w:val="auto"/>
                      <w:sz w:val="21"/>
                      <w:szCs w:val="21"/>
                      <w:u w:val="none" w:color="auto"/>
                      <w:lang w:val="en-US" w:eastAsia="zh-CN"/>
                    </w:rPr>
                    <w:t>+</w:t>
                  </w:r>
                  <w:r>
                    <w:rPr>
                      <w:rFonts w:hint="default" w:ascii="Times New Roman" w:hAnsi="Times New Roman" w:eastAsia="宋体" w:cs="Times New Roman"/>
                      <w:bCs/>
                      <w:szCs w:val="21"/>
                      <w:u w:val="none" w:color="auto"/>
                    </w:rPr>
                    <w:t>1根</w:t>
                  </w:r>
                  <w:r>
                    <w:rPr>
                      <w:rFonts w:hint="eastAsia" w:cs="Times New Roman"/>
                      <w:bCs/>
                      <w:szCs w:val="21"/>
                      <w:u w:val="none" w:color="auto"/>
                      <w:lang w:val="en-US" w:eastAsia="zh-CN"/>
                    </w:rPr>
                    <w:t>38m</w:t>
                  </w:r>
                  <w:r>
                    <w:rPr>
                      <w:rFonts w:hint="default" w:ascii="Times New Roman" w:hAnsi="Times New Roman" w:eastAsia="宋体" w:cs="Times New Roman"/>
                      <w:bCs/>
                      <w:szCs w:val="21"/>
                      <w:u w:val="none" w:color="auto"/>
                    </w:rPr>
                    <w:t>高排气筒（DA00</w:t>
                  </w:r>
                  <w:r>
                    <w:rPr>
                      <w:rFonts w:hint="eastAsia" w:cs="Times New Roman"/>
                      <w:bCs/>
                      <w:szCs w:val="21"/>
                      <w:u w:val="none" w:color="auto"/>
                      <w:lang w:val="en-US" w:eastAsia="zh-CN"/>
                    </w:rPr>
                    <w:t>2</w:t>
                  </w:r>
                  <w:r>
                    <w:rPr>
                      <w:rFonts w:hint="default" w:ascii="Times New Roman" w:hAnsi="Times New Roman" w:eastAsia="宋体" w:cs="Times New Roman"/>
                      <w:bCs/>
                      <w:szCs w:val="21"/>
                      <w:u w:val="none" w:color="auto"/>
                    </w:rPr>
                    <w:t>）</w:t>
                  </w:r>
                </w:p>
              </w:tc>
              <w:tc>
                <w:tcPr>
                  <w:tcW w:w="1158" w:type="dxa"/>
                  <w:noWrap w:val="0"/>
                  <w:vAlign w:val="center"/>
                </w:tcPr>
                <w:p w14:paraId="2B056718">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新建</w:t>
                  </w:r>
                </w:p>
              </w:tc>
            </w:tr>
            <w:tr w14:paraId="579FD2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rPr>
              <w:tc>
                <w:tcPr>
                  <w:tcW w:w="1078" w:type="dxa"/>
                  <w:vMerge w:val="continue"/>
                  <w:noWrap w:val="0"/>
                  <w:vAlign w:val="center"/>
                </w:tcPr>
                <w:p w14:paraId="4E374488">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1B584E4F">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供水工程</w:t>
                  </w:r>
                </w:p>
              </w:tc>
              <w:tc>
                <w:tcPr>
                  <w:tcW w:w="4367" w:type="dxa"/>
                  <w:noWrap w:val="0"/>
                  <w:vAlign w:val="center"/>
                </w:tcPr>
                <w:p w14:paraId="465AB0F8">
                  <w:pPr>
                    <w:adjustRightInd w:val="0"/>
                    <w:snapToGrid w:val="0"/>
                    <w:jc w:val="left"/>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项目生产和生活用水由岳阳宝丽纺织品有限公司自来水给水管网</w:t>
                  </w:r>
                </w:p>
              </w:tc>
              <w:tc>
                <w:tcPr>
                  <w:tcW w:w="1158" w:type="dxa"/>
                  <w:noWrap w:val="0"/>
                  <w:vAlign w:val="center"/>
                </w:tcPr>
                <w:p w14:paraId="3676785F">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依托现有</w:t>
                  </w:r>
                </w:p>
              </w:tc>
            </w:tr>
            <w:tr w14:paraId="2AD88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1078" w:type="dxa"/>
                  <w:vMerge w:val="continue"/>
                  <w:noWrap w:val="0"/>
                  <w:vAlign w:val="center"/>
                </w:tcPr>
                <w:p w14:paraId="6A118C5F">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24EE4B8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排水工程</w:t>
                  </w:r>
                </w:p>
              </w:tc>
              <w:tc>
                <w:tcPr>
                  <w:tcW w:w="4367" w:type="dxa"/>
                  <w:noWrap w:val="0"/>
                  <w:vAlign w:val="center"/>
                </w:tcPr>
                <w:p w14:paraId="36168112">
                  <w:pPr>
                    <w:adjustRightInd w:val="0"/>
                    <w:snapToGrid w:val="0"/>
                    <w:jc w:val="left"/>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厂区根据采取雨污分流方式，建设给排水系统，雨水由厂区雨水管网收集后，排入市政雨水管道；锅炉</w:t>
                  </w:r>
                  <w:r>
                    <w:rPr>
                      <w:rFonts w:hint="default" w:ascii="Times New Roman" w:hAnsi="Times New Roman" w:eastAsia="宋体" w:cs="Times New Roman"/>
                      <w:bCs/>
                      <w:szCs w:val="21"/>
                      <w:u w:val="none" w:color="auto"/>
                      <w:lang w:val="en-US" w:eastAsia="zh-CN"/>
                    </w:rPr>
                    <w:t>排污水</w:t>
                  </w:r>
                  <w:r>
                    <w:rPr>
                      <w:rFonts w:hint="default" w:ascii="Times New Roman" w:hAnsi="Times New Roman" w:eastAsia="宋体" w:cs="Times New Roman"/>
                      <w:bCs/>
                      <w:szCs w:val="21"/>
                      <w:u w:val="none" w:color="auto"/>
                    </w:rPr>
                    <w:t>进入岳阳宝丽纺织品有限公司现有的污水沉淀池沉淀后回用</w:t>
                  </w:r>
                  <w:r>
                    <w:rPr>
                      <w:rFonts w:hint="default" w:ascii="Times New Roman" w:hAnsi="Times New Roman" w:eastAsia="宋体" w:cs="Times New Roman"/>
                      <w:bCs/>
                      <w:szCs w:val="21"/>
                      <w:u w:val="none" w:color="auto"/>
                      <w:lang w:val="en-US" w:eastAsia="zh-CN"/>
                    </w:rPr>
                    <w:t>于</w:t>
                  </w:r>
                  <w:r>
                    <w:rPr>
                      <w:rFonts w:hint="default" w:ascii="Times New Roman" w:hAnsi="Times New Roman" w:eastAsia="宋体" w:cs="Times New Roman"/>
                      <w:bCs/>
                      <w:szCs w:val="21"/>
                      <w:u w:val="none" w:color="auto"/>
                    </w:rPr>
                    <w:t>除尘</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lang w:val="en-US" w:eastAsia="zh-CN"/>
                    </w:rPr>
                    <w:t>脱硫喷淋塔产生的废液循环使用，不外排</w:t>
                  </w:r>
                </w:p>
              </w:tc>
              <w:tc>
                <w:tcPr>
                  <w:tcW w:w="1158" w:type="dxa"/>
                  <w:noWrap w:val="0"/>
                  <w:vAlign w:val="center"/>
                </w:tcPr>
                <w:p w14:paraId="07ADBF6E">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依托现有</w:t>
                  </w:r>
                </w:p>
              </w:tc>
            </w:tr>
            <w:tr w14:paraId="1B075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continue"/>
                  <w:noWrap w:val="0"/>
                  <w:vAlign w:val="center"/>
                </w:tcPr>
                <w:p w14:paraId="1352B086">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2C863259">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供电系统</w:t>
                  </w:r>
                </w:p>
              </w:tc>
              <w:tc>
                <w:tcPr>
                  <w:tcW w:w="4367" w:type="dxa"/>
                  <w:noWrap w:val="0"/>
                  <w:vAlign w:val="center"/>
                </w:tcPr>
                <w:p w14:paraId="45527FC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由华容县供电网提供</w:t>
                  </w:r>
                </w:p>
              </w:tc>
              <w:tc>
                <w:tcPr>
                  <w:tcW w:w="1158" w:type="dxa"/>
                  <w:noWrap w:val="0"/>
                  <w:vAlign w:val="center"/>
                </w:tcPr>
                <w:p w14:paraId="177E79C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依托现有</w:t>
                  </w:r>
                </w:p>
              </w:tc>
            </w:tr>
            <w:tr w14:paraId="69654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noWrap w:val="0"/>
                  <w:vAlign w:val="center"/>
                </w:tcPr>
                <w:p w14:paraId="4E8205B4">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储运工程</w:t>
                  </w:r>
                </w:p>
              </w:tc>
              <w:tc>
                <w:tcPr>
                  <w:tcW w:w="1116" w:type="dxa"/>
                  <w:noWrap w:val="0"/>
                  <w:vAlign w:val="center"/>
                </w:tcPr>
                <w:p w14:paraId="24BA33B6">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燃料储运</w:t>
                  </w:r>
                </w:p>
              </w:tc>
              <w:tc>
                <w:tcPr>
                  <w:tcW w:w="4367" w:type="dxa"/>
                  <w:noWrap w:val="0"/>
                  <w:vAlign w:val="center"/>
                </w:tcPr>
                <w:p w14:paraId="3230C21E">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生物质暂存库</w:t>
                  </w:r>
                </w:p>
              </w:tc>
              <w:tc>
                <w:tcPr>
                  <w:tcW w:w="1158" w:type="dxa"/>
                  <w:noWrap w:val="0"/>
                  <w:vAlign w:val="center"/>
                </w:tcPr>
                <w:p w14:paraId="33D149F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依托现有</w:t>
                  </w:r>
                </w:p>
              </w:tc>
            </w:tr>
            <w:tr w14:paraId="0832D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1078" w:type="dxa"/>
                  <w:vMerge w:val="restart"/>
                  <w:noWrap w:val="0"/>
                  <w:vAlign w:val="center"/>
                </w:tcPr>
                <w:p w14:paraId="3E1655E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环保工程</w:t>
                  </w:r>
                </w:p>
              </w:tc>
              <w:tc>
                <w:tcPr>
                  <w:tcW w:w="1116" w:type="dxa"/>
                  <w:noWrap w:val="0"/>
                  <w:vAlign w:val="center"/>
                </w:tcPr>
                <w:p w14:paraId="2380272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废水治理</w:t>
                  </w:r>
                </w:p>
              </w:tc>
              <w:tc>
                <w:tcPr>
                  <w:tcW w:w="4367" w:type="dxa"/>
                  <w:noWrap w:val="0"/>
                  <w:vAlign w:val="center"/>
                </w:tcPr>
                <w:p w14:paraId="17E38EE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采用雨污分流系统，雨水进入雨水管网，锅炉</w:t>
                  </w:r>
                  <w:r>
                    <w:rPr>
                      <w:rFonts w:hint="default" w:ascii="Times New Roman" w:hAnsi="Times New Roman" w:eastAsia="宋体" w:cs="Times New Roman"/>
                      <w:bCs/>
                      <w:szCs w:val="21"/>
                      <w:u w:val="none" w:color="auto"/>
                      <w:lang w:val="en-US" w:eastAsia="zh-CN"/>
                    </w:rPr>
                    <w:t>排污水</w:t>
                  </w:r>
                  <w:r>
                    <w:rPr>
                      <w:rFonts w:hint="default" w:ascii="Times New Roman" w:hAnsi="Times New Roman" w:eastAsia="宋体" w:cs="Times New Roman"/>
                      <w:bCs/>
                      <w:szCs w:val="21"/>
                      <w:u w:val="none" w:color="auto"/>
                    </w:rPr>
                    <w:t>进入岳阳宝丽纺织品有限公司现有的污水沉淀池沉淀后回用</w:t>
                  </w:r>
                  <w:r>
                    <w:rPr>
                      <w:rFonts w:hint="default" w:ascii="Times New Roman" w:hAnsi="Times New Roman" w:eastAsia="宋体" w:cs="Times New Roman"/>
                      <w:bCs/>
                      <w:szCs w:val="21"/>
                      <w:u w:val="none" w:color="auto"/>
                      <w:lang w:val="en-US" w:eastAsia="zh-CN"/>
                    </w:rPr>
                    <w:t>于</w:t>
                  </w:r>
                  <w:r>
                    <w:rPr>
                      <w:rFonts w:hint="default" w:ascii="Times New Roman" w:hAnsi="Times New Roman" w:eastAsia="宋体" w:cs="Times New Roman"/>
                      <w:bCs/>
                      <w:szCs w:val="21"/>
                      <w:u w:val="none" w:color="auto"/>
                    </w:rPr>
                    <w:t>除尘</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lang w:val="en-US" w:eastAsia="zh-CN"/>
                    </w:rPr>
                    <w:t>脱硫塔产生的废液循环使用，不外排</w:t>
                  </w:r>
                </w:p>
              </w:tc>
              <w:tc>
                <w:tcPr>
                  <w:tcW w:w="1158" w:type="dxa"/>
                  <w:noWrap w:val="0"/>
                  <w:vAlign w:val="center"/>
                </w:tcPr>
                <w:p w14:paraId="3AA6778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lang w:val="en-US" w:eastAsia="zh-CN"/>
                    </w:rPr>
                    <w:t>沉淀池</w:t>
                  </w:r>
                  <w:r>
                    <w:rPr>
                      <w:rFonts w:hint="default" w:ascii="Times New Roman" w:hAnsi="Times New Roman" w:eastAsia="宋体" w:cs="Times New Roman"/>
                      <w:bCs/>
                      <w:szCs w:val="21"/>
                      <w:u w:val="none" w:color="auto"/>
                    </w:rPr>
                    <w:t>依托现有</w:t>
                  </w:r>
                </w:p>
              </w:tc>
            </w:tr>
            <w:tr w14:paraId="23DD15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 w:hRule="atLeast"/>
              </w:trPr>
              <w:tc>
                <w:tcPr>
                  <w:tcW w:w="1078" w:type="dxa"/>
                  <w:vMerge w:val="continue"/>
                  <w:noWrap w:val="0"/>
                  <w:vAlign w:val="center"/>
                </w:tcPr>
                <w:p w14:paraId="41552E70">
                  <w:pPr>
                    <w:adjustRightInd w:val="0"/>
                    <w:snapToGrid w:val="0"/>
                    <w:jc w:val="center"/>
                    <w:rPr>
                      <w:rFonts w:hint="default" w:ascii="Times New Roman" w:hAnsi="Times New Roman" w:eastAsia="宋体" w:cs="Times New Roman"/>
                      <w:bCs/>
                      <w:szCs w:val="21"/>
                      <w:u w:val="none" w:color="auto"/>
                    </w:rPr>
                  </w:pPr>
                </w:p>
              </w:tc>
              <w:tc>
                <w:tcPr>
                  <w:tcW w:w="1116" w:type="dxa"/>
                  <w:vMerge w:val="restart"/>
                  <w:noWrap w:val="0"/>
                  <w:vAlign w:val="center"/>
                </w:tcPr>
                <w:p w14:paraId="614AA96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废气治理</w:t>
                  </w:r>
                </w:p>
              </w:tc>
              <w:tc>
                <w:tcPr>
                  <w:tcW w:w="4367" w:type="dxa"/>
                  <w:noWrap w:val="0"/>
                  <w:vAlign w:val="center"/>
                </w:tcPr>
                <w:p w14:paraId="1C24C88D">
                  <w:pPr>
                    <w:adjustRightInd w:val="0"/>
                    <w:snapToGrid w:val="0"/>
                    <w:jc w:val="center"/>
                    <w:rPr>
                      <w:rFonts w:hint="default" w:ascii="Times New Roman" w:hAnsi="Times New Roman" w:eastAsia="宋体" w:cs="Times New Roman"/>
                      <w:bCs/>
                      <w:szCs w:val="21"/>
                      <w:u w:val="none" w:color="auto"/>
                    </w:rPr>
                  </w:pPr>
                  <w:r>
                    <w:rPr>
                      <w:rFonts w:hint="eastAsia" w:cs="Times New Roman"/>
                      <w:bCs/>
                      <w:szCs w:val="21"/>
                      <w:u w:val="none" w:color="auto"/>
                      <w:lang w:val="en-US" w:eastAsia="zh-CN"/>
                    </w:rPr>
                    <w:t>新增</w:t>
                  </w:r>
                  <w:r>
                    <w:rPr>
                      <w:rFonts w:hint="default" w:ascii="Times New Roman" w:hAnsi="Times New Roman" w:eastAsia="宋体" w:cs="Times New Roman"/>
                      <w:bCs/>
                      <w:szCs w:val="21"/>
                      <w:u w:val="none" w:color="auto"/>
                    </w:rPr>
                    <w:t>锅炉废气经过</w:t>
                  </w:r>
                  <w:r>
                    <w:rPr>
                      <w:rFonts w:hint="default" w:ascii="Times New Roman" w:hAnsi="Times New Roman" w:eastAsia="宋体" w:cs="Times New Roman"/>
                      <w:color w:val="auto"/>
                      <w:sz w:val="21"/>
                      <w:szCs w:val="21"/>
                      <w:u w:val="none" w:color="auto"/>
                      <w:lang w:val="en-US" w:eastAsia="zh-CN"/>
                    </w:rPr>
                    <w:t>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bCs/>
                      <w:szCs w:val="21"/>
                      <w:u w:val="none" w:color="auto"/>
                    </w:rPr>
                    <w:t>处理后通过一根4</w:t>
                  </w:r>
                  <w:r>
                    <w:rPr>
                      <w:rFonts w:hint="default" w:ascii="Times New Roman" w:hAnsi="Times New Roman" w:eastAsia="宋体" w:cs="Times New Roman"/>
                      <w:bCs/>
                      <w:szCs w:val="21"/>
                      <w:u w:val="none" w:color="auto"/>
                      <w:lang w:val="en-US" w:eastAsia="zh-CN"/>
                    </w:rPr>
                    <w:t>3</w:t>
                  </w:r>
                  <w:r>
                    <w:rPr>
                      <w:rFonts w:hint="default" w:ascii="Times New Roman" w:hAnsi="Times New Roman" w:eastAsia="宋体" w:cs="Times New Roman"/>
                      <w:bCs/>
                      <w:szCs w:val="21"/>
                      <w:u w:val="none" w:color="auto"/>
                    </w:rPr>
                    <w:t>m高排气筒</w:t>
                  </w:r>
                  <w:r>
                    <w:rPr>
                      <w:rFonts w:hint="eastAsia" w:cs="Times New Roman"/>
                      <w:bCs/>
                      <w:szCs w:val="21"/>
                      <w:u w:val="none" w:color="auto"/>
                      <w:lang w:eastAsia="zh-CN"/>
                    </w:rPr>
                    <w:t>（</w:t>
                  </w:r>
                  <w:r>
                    <w:rPr>
                      <w:rFonts w:hint="eastAsia" w:cs="Times New Roman"/>
                      <w:bCs/>
                      <w:szCs w:val="21"/>
                      <w:u w:val="none" w:color="auto"/>
                      <w:lang w:val="en-US" w:eastAsia="zh-CN"/>
                    </w:rPr>
                    <w:t>DA001</w:t>
                  </w:r>
                  <w:r>
                    <w:rPr>
                      <w:rFonts w:hint="eastAsia" w:cs="Times New Roman"/>
                      <w:bCs/>
                      <w:szCs w:val="21"/>
                      <w:u w:val="none" w:color="auto"/>
                      <w:lang w:eastAsia="zh-CN"/>
                    </w:rPr>
                    <w:t>）</w:t>
                  </w:r>
                  <w:r>
                    <w:rPr>
                      <w:rFonts w:hint="default" w:ascii="Times New Roman" w:hAnsi="Times New Roman" w:eastAsia="宋体" w:cs="Times New Roman"/>
                      <w:bCs/>
                      <w:szCs w:val="21"/>
                      <w:u w:val="none" w:color="auto"/>
                    </w:rPr>
                    <w:t>排放</w:t>
                  </w:r>
                </w:p>
              </w:tc>
              <w:tc>
                <w:tcPr>
                  <w:tcW w:w="1158" w:type="dxa"/>
                  <w:noWrap w:val="0"/>
                  <w:vAlign w:val="center"/>
                </w:tcPr>
                <w:p w14:paraId="4598B9FD">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新建</w:t>
                  </w:r>
                </w:p>
              </w:tc>
            </w:tr>
            <w:tr w14:paraId="2398C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 w:hRule="atLeast"/>
              </w:trPr>
              <w:tc>
                <w:tcPr>
                  <w:tcW w:w="1078" w:type="dxa"/>
                  <w:vMerge w:val="continue"/>
                  <w:noWrap w:val="0"/>
                  <w:vAlign w:val="center"/>
                </w:tcPr>
                <w:p w14:paraId="46102C55">
                  <w:pPr>
                    <w:adjustRightInd w:val="0"/>
                    <w:snapToGrid w:val="0"/>
                    <w:jc w:val="center"/>
                    <w:rPr>
                      <w:rFonts w:hint="default" w:ascii="Times New Roman" w:hAnsi="Times New Roman" w:eastAsia="宋体" w:cs="Times New Roman"/>
                      <w:bCs/>
                      <w:szCs w:val="21"/>
                      <w:u w:val="none" w:color="auto"/>
                    </w:rPr>
                  </w:pPr>
                </w:p>
              </w:tc>
              <w:tc>
                <w:tcPr>
                  <w:tcW w:w="1116" w:type="dxa"/>
                  <w:vMerge w:val="continue"/>
                  <w:noWrap w:val="0"/>
                  <w:vAlign w:val="center"/>
                </w:tcPr>
                <w:p w14:paraId="473A637B">
                  <w:pPr>
                    <w:adjustRightInd w:val="0"/>
                    <w:snapToGrid w:val="0"/>
                    <w:jc w:val="center"/>
                    <w:rPr>
                      <w:rFonts w:hint="default" w:ascii="Times New Roman" w:hAnsi="Times New Roman" w:eastAsia="宋体" w:cs="Times New Roman"/>
                      <w:bCs/>
                      <w:szCs w:val="21"/>
                      <w:u w:val="none" w:color="auto"/>
                    </w:rPr>
                  </w:pPr>
                </w:p>
              </w:tc>
              <w:tc>
                <w:tcPr>
                  <w:tcW w:w="4367" w:type="dxa"/>
                  <w:noWrap w:val="0"/>
                  <w:vAlign w:val="center"/>
                </w:tcPr>
                <w:p w14:paraId="313F4B8D">
                  <w:pPr>
                    <w:adjustRightInd w:val="0"/>
                    <w:snapToGrid w:val="0"/>
                    <w:jc w:val="center"/>
                    <w:rPr>
                      <w:rFonts w:hint="default" w:cs="Times New Roman"/>
                      <w:bCs/>
                      <w:szCs w:val="21"/>
                      <w:u w:val="none" w:color="auto"/>
                      <w:lang w:val="en-US" w:eastAsia="zh-CN"/>
                    </w:rPr>
                  </w:pPr>
                  <w:r>
                    <w:rPr>
                      <w:rFonts w:hint="eastAsia" w:cs="Times New Roman"/>
                      <w:bCs/>
                      <w:szCs w:val="21"/>
                      <w:u w:val="none" w:color="auto"/>
                      <w:lang w:val="en-US" w:eastAsia="zh-CN"/>
                    </w:rPr>
                    <w:t>备</w:t>
                  </w:r>
                  <w:r>
                    <w:rPr>
                      <w:rFonts w:hint="eastAsia" w:ascii="Times New Roman" w:hAnsi="Times New Roman" w:eastAsia="宋体" w:cs="Times New Roman"/>
                      <w:bCs/>
                      <w:szCs w:val="21"/>
                      <w:u w:val="none" w:color="auto"/>
                      <w:lang w:val="en-US" w:eastAsia="zh-CN"/>
                    </w:rPr>
                    <w:t>用锅炉</w:t>
                  </w:r>
                  <w:r>
                    <w:rPr>
                      <w:rFonts w:hint="default" w:ascii="Times New Roman" w:hAnsi="Times New Roman" w:eastAsia="宋体" w:cs="Times New Roman"/>
                      <w:bCs/>
                      <w:szCs w:val="21"/>
                      <w:u w:val="none" w:color="auto"/>
                    </w:rPr>
                    <w:t>废气经过</w:t>
                  </w:r>
                  <w:r>
                    <w:rPr>
                      <w:rFonts w:hint="default" w:ascii="Times New Roman" w:hAnsi="Times New Roman" w:eastAsia="宋体" w:cs="Times New Roman"/>
                      <w:bCs/>
                      <w:szCs w:val="21"/>
                      <w:u w:val="none" w:color="auto"/>
                      <w:lang w:val="en-US" w:eastAsia="zh-CN"/>
                    </w:rPr>
                    <w:t>布袋除尘和水膜除尘</w:t>
                  </w:r>
                  <w:r>
                    <w:rPr>
                      <w:rFonts w:hint="default" w:ascii="Times New Roman" w:hAnsi="Times New Roman" w:eastAsia="宋体" w:cs="Times New Roman"/>
                      <w:bCs/>
                      <w:szCs w:val="21"/>
                      <w:u w:val="none" w:color="auto"/>
                    </w:rPr>
                    <w:t>处理后通过一根4</w:t>
                  </w:r>
                  <w:r>
                    <w:rPr>
                      <w:rFonts w:hint="default" w:ascii="Times New Roman" w:hAnsi="Times New Roman" w:eastAsia="宋体" w:cs="Times New Roman"/>
                      <w:bCs/>
                      <w:szCs w:val="21"/>
                      <w:u w:val="none" w:color="auto"/>
                      <w:lang w:val="en-US" w:eastAsia="zh-CN"/>
                    </w:rPr>
                    <w:t>3</w:t>
                  </w:r>
                  <w:r>
                    <w:rPr>
                      <w:rFonts w:hint="default" w:ascii="Times New Roman" w:hAnsi="Times New Roman" w:eastAsia="宋体" w:cs="Times New Roman"/>
                      <w:bCs/>
                      <w:szCs w:val="21"/>
                      <w:u w:val="none" w:color="auto"/>
                    </w:rPr>
                    <w:t>m高排气筒</w:t>
                  </w:r>
                  <w:r>
                    <w:rPr>
                      <w:rFonts w:hint="eastAsia" w:cs="Times New Roman"/>
                      <w:bCs/>
                      <w:szCs w:val="21"/>
                      <w:u w:val="none" w:color="auto"/>
                      <w:lang w:eastAsia="zh-CN"/>
                    </w:rPr>
                    <w:t>（</w:t>
                  </w:r>
                  <w:r>
                    <w:rPr>
                      <w:rFonts w:hint="eastAsia" w:cs="Times New Roman"/>
                      <w:bCs/>
                      <w:szCs w:val="21"/>
                      <w:u w:val="none" w:color="auto"/>
                      <w:lang w:val="en-US" w:eastAsia="zh-CN"/>
                    </w:rPr>
                    <w:t>DA001</w:t>
                  </w:r>
                  <w:r>
                    <w:rPr>
                      <w:rFonts w:hint="eastAsia" w:cs="Times New Roman"/>
                      <w:bCs/>
                      <w:szCs w:val="21"/>
                      <w:u w:val="none" w:color="auto"/>
                      <w:lang w:eastAsia="zh-CN"/>
                    </w:rPr>
                    <w:t>）</w:t>
                  </w:r>
                  <w:r>
                    <w:rPr>
                      <w:rFonts w:hint="default" w:ascii="Times New Roman" w:hAnsi="Times New Roman" w:eastAsia="宋体" w:cs="Times New Roman"/>
                      <w:bCs/>
                      <w:szCs w:val="21"/>
                      <w:u w:val="none" w:color="auto"/>
                    </w:rPr>
                    <w:t>排放</w:t>
                  </w:r>
                </w:p>
              </w:tc>
              <w:tc>
                <w:tcPr>
                  <w:tcW w:w="1158" w:type="dxa"/>
                  <w:noWrap w:val="0"/>
                  <w:vAlign w:val="center"/>
                </w:tcPr>
                <w:p w14:paraId="10C759B9">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依托现有</w:t>
                  </w:r>
                </w:p>
              </w:tc>
            </w:tr>
            <w:tr w14:paraId="4C7CF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 w:hRule="atLeast"/>
              </w:trPr>
              <w:tc>
                <w:tcPr>
                  <w:tcW w:w="1078" w:type="dxa"/>
                  <w:vMerge w:val="continue"/>
                  <w:noWrap w:val="0"/>
                  <w:vAlign w:val="center"/>
                </w:tcPr>
                <w:p w14:paraId="605164AA">
                  <w:pPr>
                    <w:adjustRightInd w:val="0"/>
                    <w:snapToGrid w:val="0"/>
                    <w:jc w:val="center"/>
                    <w:rPr>
                      <w:rFonts w:hint="default" w:ascii="Times New Roman" w:hAnsi="Times New Roman" w:eastAsia="宋体" w:cs="Times New Roman"/>
                      <w:bCs/>
                      <w:szCs w:val="21"/>
                      <w:u w:val="none" w:color="auto"/>
                    </w:rPr>
                  </w:pPr>
                </w:p>
              </w:tc>
              <w:tc>
                <w:tcPr>
                  <w:tcW w:w="1116" w:type="dxa"/>
                  <w:vMerge w:val="continue"/>
                  <w:noWrap w:val="0"/>
                  <w:vAlign w:val="center"/>
                </w:tcPr>
                <w:p w14:paraId="7D4FAB81">
                  <w:pPr>
                    <w:adjustRightInd w:val="0"/>
                    <w:snapToGrid w:val="0"/>
                    <w:jc w:val="center"/>
                    <w:rPr>
                      <w:rFonts w:hint="default" w:ascii="Times New Roman" w:hAnsi="Times New Roman" w:eastAsia="宋体" w:cs="Times New Roman"/>
                      <w:bCs/>
                      <w:szCs w:val="21"/>
                      <w:u w:val="none" w:color="auto"/>
                    </w:rPr>
                  </w:pPr>
                </w:p>
              </w:tc>
              <w:tc>
                <w:tcPr>
                  <w:tcW w:w="4367" w:type="dxa"/>
                  <w:noWrap w:val="0"/>
                  <w:vAlign w:val="center"/>
                </w:tcPr>
                <w:p w14:paraId="06E32307">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新增导热油炉</w:t>
                  </w:r>
                  <w:r>
                    <w:rPr>
                      <w:rFonts w:hint="default" w:ascii="Times New Roman" w:hAnsi="Times New Roman" w:eastAsia="宋体" w:cs="Times New Roman"/>
                      <w:bCs/>
                      <w:szCs w:val="21"/>
                      <w:u w:val="none" w:color="auto"/>
                    </w:rPr>
                    <w:t>废气经过</w:t>
                  </w:r>
                  <w:r>
                    <w:rPr>
                      <w:rFonts w:hint="default" w:ascii="Times New Roman" w:hAnsi="Times New Roman" w:eastAsia="宋体" w:cs="Times New Roman"/>
                      <w:color w:val="auto"/>
                      <w:sz w:val="21"/>
                      <w:szCs w:val="21"/>
                      <w:u w:val="none" w:color="auto"/>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bCs/>
                      <w:szCs w:val="21"/>
                      <w:u w:val="none" w:color="auto"/>
                    </w:rPr>
                    <w:t>处理后通过一根</w:t>
                  </w:r>
                  <w:r>
                    <w:rPr>
                      <w:rFonts w:hint="eastAsia" w:cs="Times New Roman"/>
                      <w:bCs/>
                      <w:szCs w:val="21"/>
                      <w:u w:val="none" w:color="auto"/>
                      <w:lang w:val="en-US" w:eastAsia="zh-CN"/>
                    </w:rPr>
                    <w:t>38m</w:t>
                  </w:r>
                  <w:r>
                    <w:rPr>
                      <w:rFonts w:hint="default" w:ascii="Times New Roman" w:hAnsi="Times New Roman" w:eastAsia="宋体" w:cs="Times New Roman"/>
                      <w:bCs/>
                      <w:szCs w:val="21"/>
                      <w:u w:val="none" w:color="auto"/>
                    </w:rPr>
                    <w:t>高排气筒</w:t>
                  </w:r>
                  <w:r>
                    <w:rPr>
                      <w:rFonts w:hint="eastAsia" w:cs="Times New Roman"/>
                      <w:bCs/>
                      <w:szCs w:val="21"/>
                      <w:u w:val="none" w:color="auto"/>
                      <w:lang w:eastAsia="zh-CN"/>
                    </w:rPr>
                    <w:t>（</w:t>
                  </w:r>
                  <w:r>
                    <w:rPr>
                      <w:rFonts w:hint="eastAsia" w:cs="Times New Roman"/>
                      <w:bCs/>
                      <w:szCs w:val="21"/>
                      <w:u w:val="none" w:color="auto"/>
                      <w:lang w:val="en-US" w:eastAsia="zh-CN"/>
                    </w:rPr>
                    <w:t>DA002</w:t>
                  </w:r>
                  <w:r>
                    <w:rPr>
                      <w:rFonts w:hint="eastAsia" w:cs="Times New Roman"/>
                      <w:bCs/>
                      <w:szCs w:val="21"/>
                      <w:u w:val="none" w:color="auto"/>
                      <w:lang w:eastAsia="zh-CN"/>
                    </w:rPr>
                    <w:t>）</w:t>
                  </w:r>
                  <w:r>
                    <w:rPr>
                      <w:rFonts w:hint="default" w:ascii="Times New Roman" w:hAnsi="Times New Roman" w:eastAsia="宋体" w:cs="Times New Roman"/>
                      <w:bCs/>
                      <w:szCs w:val="21"/>
                      <w:u w:val="none" w:color="auto"/>
                    </w:rPr>
                    <w:t>排放</w:t>
                  </w:r>
                </w:p>
              </w:tc>
              <w:tc>
                <w:tcPr>
                  <w:tcW w:w="1158" w:type="dxa"/>
                  <w:noWrap w:val="0"/>
                  <w:vAlign w:val="center"/>
                </w:tcPr>
                <w:p w14:paraId="29F87A5F">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新建</w:t>
                  </w:r>
                </w:p>
              </w:tc>
            </w:tr>
            <w:tr w14:paraId="345B4D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1078" w:type="dxa"/>
                  <w:vMerge w:val="continue"/>
                  <w:noWrap w:val="0"/>
                  <w:vAlign w:val="center"/>
                </w:tcPr>
                <w:p w14:paraId="5CF76D18">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578A648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噪声治理</w:t>
                  </w:r>
                </w:p>
              </w:tc>
              <w:tc>
                <w:tcPr>
                  <w:tcW w:w="4367" w:type="dxa"/>
                  <w:noWrap w:val="0"/>
                  <w:vAlign w:val="center"/>
                </w:tcPr>
                <w:p w14:paraId="25F7B728">
                  <w:pPr>
                    <w:adjustRightInd w:val="0"/>
                    <w:snapToGrid w:val="0"/>
                    <w:jc w:val="left"/>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选用低噪声设备，对噪声源较强的设备采用隔</w:t>
                  </w:r>
                </w:p>
                <w:p w14:paraId="3A98B425">
                  <w:pPr>
                    <w:adjustRightInd w:val="0"/>
                    <w:snapToGrid w:val="0"/>
                    <w:jc w:val="left"/>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音、消声、减振等措施，降低设备运行噪声对</w:t>
                  </w:r>
                </w:p>
                <w:p w14:paraId="1C1100F4">
                  <w:pPr>
                    <w:adjustRightInd w:val="0"/>
                    <w:snapToGrid w:val="0"/>
                    <w:jc w:val="left"/>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周围环境的影响</w:t>
                  </w:r>
                </w:p>
              </w:tc>
              <w:tc>
                <w:tcPr>
                  <w:tcW w:w="1158" w:type="dxa"/>
                  <w:noWrap w:val="0"/>
                  <w:vAlign w:val="center"/>
                </w:tcPr>
                <w:p w14:paraId="5D8EAFA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新增</w:t>
                  </w:r>
                </w:p>
              </w:tc>
            </w:tr>
            <w:tr w14:paraId="06306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continue"/>
                  <w:noWrap w:val="0"/>
                  <w:vAlign w:val="center"/>
                </w:tcPr>
                <w:p w14:paraId="6AFE87C1">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636D0169">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固废处置</w:t>
                  </w:r>
                </w:p>
              </w:tc>
              <w:tc>
                <w:tcPr>
                  <w:tcW w:w="4367" w:type="dxa"/>
                  <w:noWrap w:val="0"/>
                  <w:vAlign w:val="center"/>
                </w:tcPr>
                <w:p w14:paraId="31EBAC7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锅炉灰渣</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lang w:val="en-US" w:eastAsia="zh-CN"/>
                    </w:rPr>
                    <w:t>除尘器收集的粉尘</w:t>
                  </w:r>
                  <w:r>
                    <w:rPr>
                      <w:rFonts w:hint="default" w:ascii="Times New Roman" w:hAnsi="Times New Roman" w:eastAsia="宋体" w:cs="Times New Roman"/>
                      <w:bCs/>
                      <w:szCs w:val="21"/>
                      <w:u w:val="none" w:color="auto"/>
                    </w:rPr>
                    <w:t>作为肥料外售</w:t>
                  </w:r>
                </w:p>
              </w:tc>
              <w:tc>
                <w:tcPr>
                  <w:tcW w:w="1158" w:type="dxa"/>
                  <w:noWrap w:val="0"/>
                  <w:vAlign w:val="center"/>
                </w:tcPr>
                <w:p w14:paraId="390ECBD0">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w:t>
                  </w:r>
                </w:p>
              </w:tc>
            </w:tr>
            <w:tr w14:paraId="4F19B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restart"/>
                  <w:noWrap w:val="0"/>
                  <w:vAlign w:val="center"/>
                </w:tcPr>
                <w:p w14:paraId="5EF64A6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其他</w:t>
                  </w:r>
                </w:p>
              </w:tc>
              <w:tc>
                <w:tcPr>
                  <w:tcW w:w="1116" w:type="dxa"/>
                  <w:noWrap w:val="0"/>
                  <w:vAlign w:val="center"/>
                </w:tcPr>
                <w:p w14:paraId="6885D58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燃料</w:t>
                  </w:r>
                </w:p>
              </w:tc>
              <w:tc>
                <w:tcPr>
                  <w:tcW w:w="4367" w:type="dxa"/>
                  <w:noWrap w:val="0"/>
                  <w:vAlign w:val="center"/>
                </w:tcPr>
                <w:p w14:paraId="19C37C77">
                  <w:pPr>
                    <w:adjustRightInd w:val="0"/>
                    <w:snapToGrid w:val="0"/>
                    <w:jc w:val="center"/>
                    <w:rPr>
                      <w:rFonts w:hint="default" w:ascii="Times New Roman" w:hAnsi="Times New Roman" w:eastAsia="宋体" w:cs="Times New Roman"/>
                      <w:bCs/>
                      <w:szCs w:val="21"/>
                      <w:u w:val="none" w:color="auto"/>
                      <w:lang w:eastAsia="zh-CN"/>
                    </w:rPr>
                  </w:pPr>
                  <w:r>
                    <w:rPr>
                      <w:rFonts w:hint="eastAsia" w:cs="Times New Roman"/>
                      <w:bCs/>
                      <w:szCs w:val="21"/>
                      <w:u w:val="none" w:color="auto"/>
                      <w:lang w:val="en-US" w:eastAsia="zh-CN"/>
                    </w:rPr>
                    <w:t>成型生物质、</w:t>
                  </w:r>
                  <w:r>
                    <w:rPr>
                      <w:rFonts w:hint="default" w:ascii="Times New Roman" w:hAnsi="Times New Roman" w:eastAsia="宋体" w:cs="Times New Roman"/>
                      <w:bCs/>
                      <w:szCs w:val="21"/>
                      <w:u w:val="none" w:color="auto"/>
                    </w:rPr>
                    <w:t>生物质燃料</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rPr>
                    <w:t>木屑、树枝、树皮、稻壳、秸秆、芦苇秆、锯末、甘蔗渣等</w:t>
                  </w:r>
                  <w:r>
                    <w:rPr>
                      <w:rFonts w:hint="default" w:ascii="Times New Roman" w:hAnsi="Times New Roman" w:eastAsia="宋体" w:cs="Times New Roman"/>
                      <w:bCs/>
                      <w:szCs w:val="21"/>
                      <w:u w:val="none" w:color="auto"/>
                      <w:lang w:eastAsia="zh-CN"/>
                    </w:rPr>
                    <w:t>）</w:t>
                  </w:r>
                </w:p>
              </w:tc>
              <w:tc>
                <w:tcPr>
                  <w:tcW w:w="1158" w:type="dxa"/>
                  <w:noWrap w:val="0"/>
                  <w:vAlign w:val="center"/>
                </w:tcPr>
                <w:p w14:paraId="3DFE977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w:t>
                  </w:r>
                </w:p>
              </w:tc>
            </w:tr>
            <w:tr w14:paraId="3A7EC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078" w:type="dxa"/>
                  <w:vMerge w:val="continue"/>
                  <w:noWrap w:val="0"/>
                  <w:vAlign w:val="center"/>
                </w:tcPr>
                <w:p w14:paraId="003926D4">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2B463F9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劳动定员</w:t>
                  </w:r>
                </w:p>
              </w:tc>
              <w:tc>
                <w:tcPr>
                  <w:tcW w:w="4367" w:type="dxa"/>
                  <w:noWrap w:val="0"/>
                  <w:vAlign w:val="center"/>
                </w:tcPr>
                <w:p w14:paraId="09DECE37">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不新增人员</w:t>
                  </w:r>
                </w:p>
              </w:tc>
              <w:tc>
                <w:tcPr>
                  <w:tcW w:w="1158" w:type="dxa"/>
                  <w:noWrap w:val="0"/>
                  <w:vAlign w:val="center"/>
                </w:tcPr>
                <w:p w14:paraId="1EB70580">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依托现有</w:t>
                  </w:r>
                </w:p>
              </w:tc>
            </w:tr>
            <w:tr w14:paraId="052D6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1078" w:type="dxa"/>
                  <w:vMerge w:val="continue"/>
                  <w:noWrap w:val="0"/>
                  <w:vAlign w:val="center"/>
                </w:tcPr>
                <w:p w14:paraId="364FCA6E">
                  <w:pPr>
                    <w:adjustRightInd w:val="0"/>
                    <w:snapToGrid w:val="0"/>
                    <w:jc w:val="center"/>
                    <w:rPr>
                      <w:rFonts w:hint="default" w:ascii="Times New Roman" w:hAnsi="Times New Roman" w:eastAsia="宋体" w:cs="Times New Roman"/>
                      <w:bCs/>
                      <w:szCs w:val="21"/>
                      <w:u w:val="none" w:color="auto"/>
                    </w:rPr>
                  </w:pPr>
                </w:p>
              </w:tc>
              <w:tc>
                <w:tcPr>
                  <w:tcW w:w="1116" w:type="dxa"/>
                  <w:noWrap w:val="0"/>
                  <w:vAlign w:val="center"/>
                </w:tcPr>
                <w:p w14:paraId="4C2F5D75">
                  <w:pPr>
                    <w:adjustRightInd w:val="0"/>
                    <w:snapToGrid w:val="0"/>
                    <w:jc w:val="center"/>
                    <w:rPr>
                      <w:rFonts w:hint="default" w:ascii="Times New Roman" w:hAnsi="Times New Roman" w:eastAsia="宋体" w:cs="Times New Roman"/>
                      <w:bCs/>
                      <w:szCs w:val="21"/>
                      <w:u w:val="none" w:color="auto"/>
                      <w:lang w:eastAsia="zh-CN"/>
                    </w:rPr>
                  </w:pPr>
                  <w:r>
                    <w:rPr>
                      <w:rFonts w:hint="default" w:ascii="Times New Roman" w:hAnsi="Times New Roman" w:eastAsia="宋体" w:cs="Times New Roman"/>
                      <w:bCs/>
                      <w:szCs w:val="21"/>
                      <w:u w:val="none" w:color="auto"/>
                    </w:rPr>
                    <w:t>工作</w:t>
                  </w:r>
                  <w:r>
                    <w:rPr>
                      <w:rFonts w:hint="default" w:ascii="Times New Roman" w:hAnsi="Times New Roman" w:eastAsia="宋体" w:cs="Times New Roman"/>
                      <w:bCs/>
                      <w:szCs w:val="21"/>
                      <w:u w:val="none" w:color="auto"/>
                      <w:lang w:val="en-US" w:eastAsia="zh-CN"/>
                    </w:rPr>
                    <w:t>制度</w:t>
                  </w:r>
                </w:p>
              </w:tc>
              <w:tc>
                <w:tcPr>
                  <w:tcW w:w="4367" w:type="dxa"/>
                  <w:noWrap w:val="0"/>
                  <w:vAlign w:val="center"/>
                </w:tcPr>
                <w:p w14:paraId="059B4D0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每天</w:t>
                  </w:r>
                  <w:r>
                    <w:rPr>
                      <w:rFonts w:hint="default" w:ascii="Times New Roman" w:hAnsi="Times New Roman" w:eastAsia="宋体" w:cs="Times New Roman"/>
                      <w:bCs/>
                      <w:szCs w:val="21"/>
                      <w:u w:val="none" w:color="auto"/>
                      <w:lang w:val="en-US" w:eastAsia="zh-CN"/>
                    </w:rPr>
                    <w:t>20</w:t>
                  </w:r>
                  <w:r>
                    <w:rPr>
                      <w:rFonts w:hint="default" w:ascii="Times New Roman" w:hAnsi="Times New Roman" w:eastAsia="宋体" w:cs="Times New Roman"/>
                      <w:bCs/>
                      <w:szCs w:val="21"/>
                      <w:u w:val="none" w:color="auto"/>
                    </w:rPr>
                    <w:t>小时，</w:t>
                  </w:r>
                  <w:r>
                    <w:rPr>
                      <w:rFonts w:hint="default" w:ascii="Times New Roman" w:hAnsi="Times New Roman" w:eastAsia="宋体" w:cs="Times New Roman"/>
                      <w:bCs/>
                      <w:szCs w:val="21"/>
                      <w:u w:val="none" w:color="auto"/>
                      <w:lang w:val="en-US" w:eastAsia="zh-CN"/>
                    </w:rPr>
                    <w:t>两班制，每班10小时，</w:t>
                  </w:r>
                  <w:r>
                    <w:rPr>
                      <w:rFonts w:hint="default" w:ascii="Times New Roman" w:hAnsi="Times New Roman" w:eastAsia="宋体" w:cs="Times New Roman"/>
                      <w:bCs/>
                      <w:szCs w:val="21"/>
                      <w:u w:val="none" w:color="auto"/>
                    </w:rPr>
                    <w:t>年工作天数300天</w:t>
                  </w:r>
                </w:p>
              </w:tc>
              <w:tc>
                <w:tcPr>
                  <w:tcW w:w="1158" w:type="dxa"/>
                  <w:noWrap w:val="0"/>
                  <w:vAlign w:val="center"/>
                </w:tcPr>
                <w:p w14:paraId="4FDE9447">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w:t>
                  </w:r>
                </w:p>
              </w:tc>
            </w:tr>
          </w:tbl>
          <w:p w14:paraId="6A0146CF">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3、主要设备</w:t>
            </w:r>
          </w:p>
          <w:p w14:paraId="29C2B936">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项目主要生产设备见下表2-</w:t>
            </w:r>
            <w:r>
              <w:rPr>
                <w:rFonts w:hint="eastAsia" w:ascii="Times New Roman" w:hAnsi="Times New Roman" w:eastAsia="宋体" w:cs="Times New Roman"/>
                <w:color w:val="auto"/>
                <w:kern w:val="0"/>
                <w:sz w:val="24"/>
                <w:szCs w:val="24"/>
                <w:u w:val="none" w:color="auto"/>
                <w:lang w:val="en-US" w:eastAsia="zh-CN"/>
              </w:rPr>
              <w:t>2</w:t>
            </w:r>
            <w:r>
              <w:rPr>
                <w:rFonts w:hint="default" w:ascii="Times New Roman" w:hAnsi="Times New Roman" w:eastAsia="宋体" w:cs="Times New Roman"/>
                <w:color w:val="auto"/>
                <w:kern w:val="0"/>
                <w:sz w:val="24"/>
                <w:szCs w:val="24"/>
                <w:u w:val="none" w:color="auto"/>
              </w:rPr>
              <w:t>。</w:t>
            </w:r>
          </w:p>
          <w:p w14:paraId="7F83C39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kern w:val="0"/>
                <w:sz w:val="22"/>
                <w:szCs w:val="22"/>
                <w:u w:val="none" w:color="auto"/>
              </w:rPr>
            </w:pPr>
            <w:r>
              <w:rPr>
                <w:rFonts w:hint="default" w:ascii="Times New Roman" w:hAnsi="Times New Roman" w:eastAsia="宋体" w:cs="Times New Roman"/>
                <w:b/>
                <w:bCs/>
                <w:color w:val="auto"/>
                <w:kern w:val="0"/>
                <w:sz w:val="22"/>
                <w:szCs w:val="22"/>
                <w:u w:val="none" w:color="auto"/>
              </w:rPr>
              <w:t>表2-</w:t>
            </w:r>
            <w:r>
              <w:rPr>
                <w:rFonts w:hint="eastAsia" w:ascii="Times New Roman" w:hAnsi="Times New Roman" w:eastAsia="宋体" w:cs="Times New Roman"/>
                <w:b/>
                <w:bCs/>
                <w:color w:val="auto"/>
                <w:kern w:val="0"/>
                <w:sz w:val="22"/>
                <w:szCs w:val="22"/>
                <w:u w:val="none" w:color="auto"/>
                <w:lang w:val="en-US" w:eastAsia="zh-CN"/>
              </w:rPr>
              <w:t>2</w:t>
            </w:r>
            <w:r>
              <w:rPr>
                <w:rFonts w:hint="default" w:ascii="Times New Roman" w:hAnsi="Times New Roman" w:eastAsia="宋体" w:cs="Times New Roman"/>
                <w:b/>
                <w:bCs/>
                <w:color w:val="auto"/>
                <w:kern w:val="0"/>
                <w:sz w:val="22"/>
                <w:szCs w:val="22"/>
                <w:u w:val="none" w:color="auto"/>
              </w:rPr>
              <w:t xml:space="preserve"> </w:t>
            </w:r>
            <w:r>
              <w:rPr>
                <w:rFonts w:hint="default" w:ascii="Times New Roman" w:hAnsi="Times New Roman" w:eastAsia="宋体" w:cs="Times New Roman"/>
                <w:b/>
                <w:bCs/>
                <w:szCs w:val="21"/>
                <w:u w:val="none" w:color="auto"/>
              </w:rPr>
              <w:t>拟建项目主要新增生产设备一栏表</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93"/>
              <w:gridCol w:w="4269"/>
              <w:gridCol w:w="2056"/>
            </w:tblGrid>
            <w:tr w14:paraId="662CB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1393" w:type="dxa"/>
                  <w:noWrap w:val="0"/>
                  <w:vAlign w:val="center"/>
                </w:tcPr>
                <w:p w14:paraId="4339143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序号</w:t>
                  </w:r>
                </w:p>
              </w:tc>
              <w:tc>
                <w:tcPr>
                  <w:tcW w:w="4269" w:type="dxa"/>
                  <w:noWrap w:val="0"/>
                  <w:vAlign w:val="center"/>
                </w:tcPr>
                <w:p w14:paraId="08FFEC25">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名称</w:t>
                  </w:r>
                </w:p>
              </w:tc>
              <w:tc>
                <w:tcPr>
                  <w:tcW w:w="2056" w:type="dxa"/>
                  <w:noWrap w:val="0"/>
                  <w:vAlign w:val="center"/>
                </w:tcPr>
                <w:p w14:paraId="011A258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数量</w:t>
                  </w:r>
                </w:p>
              </w:tc>
            </w:tr>
            <w:tr w14:paraId="7DB30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393" w:type="dxa"/>
                  <w:noWrap w:val="0"/>
                  <w:vAlign w:val="center"/>
                </w:tcPr>
                <w:p w14:paraId="4B8AA9A3">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w:t>
                  </w:r>
                </w:p>
              </w:tc>
              <w:tc>
                <w:tcPr>
                  <w:tcW w:w="4269" w:type="dxa"/>
                  <w:noWrap w:val="0"/>
                  <w:vAlign w:val="center"/>
                </w:tcPr>
                <w:p w14:paraId="31D7A235">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生物质锅炉房</w:t>
                  </w:r>
                </w:p>
              </w:tc>
              <w:tc>
                <w:tcPr>
                  <w:tcW w:w="2056" w:type="dxa"/>
                  <w:noWrap w:val="0"/>
                  <w:vAlign w:val="center"/>
                </w:tcPr>
                <w:p w14:paraId="51CACE7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1间</w:t>
                  </w:r>
                </w:p>
              </w:tc>
            </w:tr>
            <w:tr w14:paraId="5B127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1393" w:type="dxa"/>
                  <w:noWrap w:val="0"/>
                  <w:vAlign w:val="center"/>
                </w:tcPr>
                <w:p w14:paraId="1EBD6B35">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2</w:t>
                  </w:r>
                </w:p>
              </w:tc>
              <w:tc>
                <w:tcPr>
                  <w:tcW w:w="4269" w:type="dxa"/>
                  <w:noWrap w:val="0"/>
                  <w:vAlign w:val="center"/>
                </w:tcPr>
                <w:p w14:paraId="577D0DA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生物质锅炉</w:t>
                  </w:r>
                </w:p>
              </w:tc>
              <w:tc>
                <w:tcPr>
                  <w:tcW w:w="2056" w:type="dxa"/>
                  <w:noWrap w:val="0"/>
                  <w:vAlign w:val="center"/>
                </w:tcPr>
                <w:p w14:paraId="41AC5F00">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1台（15t/h）</w:t>
                  </w:r>
                </w:p>
              </w:tc>
            </w:tr>
            <w:tr w14:paraId="1A2F0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393" w:type="dxa"/>
                  <w:noWrap w:val="0"/>
                  <w:vAlign w:val="center"/>
                </w:tcPr>
                <w:p w14:paraId="41138C46">
                  <w:pPr>
                    <w:adjustRightInd w:val="0"/>
                    <w:snapToGrid w:val="0"/>
                    <w:jc w:val="center"/>
                    <w:rPr>
                      <w:rFonts w:hint="eastAsia"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3</w:t>
                  </w:r>
                </w:p>
              </w:tc>
              <w:tc>
                <w:tcPr>
                  <w:tcW w:w="4269" w:type="dxa"/>
                  <w:shd w:val="clear" w:color="auto" w:fill="auto"/>
                  <w:noWrap w:val="0"/>
                  <w:vAlign w:val="center"/>
                </w:tcPr>
                <w:p w14:paraId="04AFBACC">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rPr>
                    <w:t>引风机</w:t>
                  </w:r>
                </w:p>
              </w:tc>
              <w:tc>
                <w:tcPr>
                  <w:tcW w:w="2056" w:type="dxa"/>
                  <w:shd w:val="clear" w:color="auto" w:fill="auto"/>
                  <w:noWrap w:val="0"/>
                  <w:vAlign w:val="center"/>
                </w:tcPr>
                <w:p w14:paraId="27762166">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rPr>
                    <w:t>1台</w:t>
                  </w:r>
                </w:p>
              </w:tc>
            </w:tr>
            <w:tr w14:paraId="792F2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393" w:type="dxa"/>
                  <w:noWrap w:val="0"/>
                  <w:vAlign w:val="center"/>
                </w:tcPr>
                <w:p w14:paraId="19F64AD8">
                  <w:pPr>
                    <w:adjustRightInd w:val="0"/>
                    <w:snapToGrid w:val="0"/>
                    <w:jc w:val="center"/>
                    <w:rPr>
                      <w:rFonts w:hint="default" w:ascii="Times New Roman" w:hAnsi="Times New Roman" w:eastAsia="宋体" w:cs="Times New Roman"/>
                      <w:bCs/>
                      <w:szCs w:val="21"/>
                      <w:u w:val="none" w:color="auto"/>
                      <w:lang w:eastAsia="zh-CN"/>
                    </w:rPr>
                  </w:pPr>
                  <w:r>
                    <w:rPr>
                      <w:rFonts w:hint="default" w:ascii="Times New Roman" w:hAnsi="Times New Roman" w:eastAsia="宋体" w:cs="Times New Roman"/>
                      <w:bCs/>
                      <w:szCs w:val="21"/>
                      <w:u w:val="none" w:color="auto"/>
                      <w:lang w:val="en-US" w:eastAsia="zh-CN"/>
                    </w:rPr>
                    <w:t>4</w:t>
                  </w:r>
                </w:p>
              </w:tc>
              <w:tc>
                <w:tcPr>
                  <w:tcW w:w="4269" w:type="dxa"/>
                  <w:shd w:val="clear" w:color="auto" w:fill="auto"/>
                  <w:noWrap w:val="0"/>
                  <w:vAlign w:val="center"/>
                </w:tcPr>
                <w:p w14:paraId="29C22B0B">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rPr>
                    <w:t>鼓风机</w:t>
                  </w:r>
                </w:p>
              </w:tc>
              <w:tc>
                <w:tcPr>
                  <w:tcW w:w="2056" w:type="dxa"/>
                  <w:shd w:val="clear" w:color="auto" w:fill="auto"/>
                  <w:noWrap w:val="0"/>
                  <w:vAlign w:val="center"/>
                </w:tcPr>
                <w:p w14:paraId="65054439">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rPr>
                    <w:t>1台</w:t>
                  </w:r>
                </w:p>
              </w:tc>
            </w:tr>
            <w:tr w14:paraId="46845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2205043E">
                  <w:pPr>
                    <w:adjustRightInd w:val="0"/>
                    <w:snapToGrid w:val="0"/>
                    <w:jc w:val="center"/>
                    <w:rPr>
                      <w:rFonts w:hint="default" w:ascii="Times New Roman" w:hAnsi="Times New Roman" w:eastAsia="宋体" w:cs="Times New Roman"/>
                      <w:bCs/>
                      <w:szCs w:val="21"/>
                      <w:u w:val="none" w:color="auto"/>
                      <w:lang w:eastAsia="zh-CN"/>
                    </w:rPr>
                  </w:pPr>
                  <w:r>
                    <w:rPr>
                      <w:rFonts w:hint="default" w:ascii="Times New Roman" w:hAnsi="Times New Roman" w:eastAsia="宋体" w:cs="Times New Roman"/>
                      <w:bCs/>
                      <w:szCs w:val="21"/>
                      <w:u w:val="none" w:color="auto"/>
                      <w:lang w:val="en-US" w:eastAsia="zh-CN"/>
                    </w:rPr>
                    <w:t>5</w:t>
                  </w:r>
                </w:p>
              </w:tc>
              <w:tc>
                <w:tcPr>
                  <w:tcW w:w="4269" w:type="dxa"/>
                  <w:shd w:val="clear" w:color="auto" w:fill="auto"/>
                  <w:noWrap w:val="0"/>
                  <w:vAlign w:val="center"/>
                </w:tcPr>
                <w:p w14:paraId="18DC5276">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lang w:val="en-US" w:eastAsia="zh-CN"/>
                    </w:rPr>
                    <w:t>废气处理设施</w:t>
                  </w:r>
                  <w:r>
                    <w:rPr>
                      <w:rFonts w:hint="eastAsia" w:cs="Times New Roman"/>
                      <w:bCs/>
                      <w:szCs w:val="21"/>
                      <w:u w:val="none" w:color="auto"/>
                      <w:lang w:val="en-US" w:eastAsia="zh-CN"/>
                    </w:rPr>
                    <w:t>+烟囱</w:t>
                  </w:r>
                  <w:r>
                    <w:rPr>
                      <w:rFonts w:hint="default" w:ascii="Times New Roman" w:hAnsi="Times New Roman" w:eastAsia="宋体" w:cs="Times New Roman"/>
                      <w:bCs/>
                      <w:szCs w:val="21"/>
                      <w:u w:val="none" w:color="auto"/>
                      <w:lang w:val="en-US" w:eastAsia="zh-CN"/>
                    </w:rPr>
                    <w:t>（</w:t>
                  </w:r>
                  <w:r>
                    <w:rPr>
                      <w:rFonts w:hint="default" w:ascii="Times New Roman" w:hAnsi="Times New Roman" w:eastAsia="宋体" w:cs="Times New Roman"/>
                      <w:color w:val="auto"/>
                      <w:sz w:val="21"/>
                      <w:szCs w:val="21"/>
                      <w:u w:val="none" w:color="auto"/>
                      <w:lang w:val="en-US" w:eastAsia="zh-CN"/>
                    </w:rPr>
                    <w:t>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p>
              </w:tc>
              <w:tc>
                <w:tcPr>
                  <w:tcW w:w="2056" w:type="dxa"/>
                  <w:shd w:val="clear" w:color="auto" w:fill="auto"/>
                  <w:noWrap w:val="0"/>
                  <w:vAlign w:val="center"/>
                </w:tcPr>
                <w:p w14:paraId="47F5FF1D">
                  <w:pPr>
                    <w:adjustRightInd w:val="0"/>
                    <w:snapToGrid w:val="0"/>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szCs w:val="21"/>
                      <w:u w:val="none" w:color="auto"/>
                      <w:lang w:val="en-US" w:eastAsia="zh-CN"/>
                    </w:rPr>
                    <w:t>1套</w:t>
                  </w:r>
                </w:p>
              </w:tc>
            </w:tr>
            <w:tr w14:paraId="0E4EE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6DB4580F">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6</w:t>
                  </w:r>
                </w:p>
              </w:tc>
              <w:tc>
                <w:tcPr>
                  <w:tcW w:w="4269" w:type="dxa"/>
                  <w:noWrap w:val="0"/>
                  <w:vAlign w:val="center"/>
                </w:tcPr>
                <w:p w14:paraId="605F6D5D">
                  <w:pPr>
                    <w:adjustRightInd w:val="0"/>
                    <w:snapToGrid w:val="0"/>
                    <w:jc w:val="center"/>
                    <w:rPr>
                      <w:rFonts w:hint="eastAsia"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导热油炉</w:t>
                  </w:r>
                  <w:r>
                    <w:rPr>
                      <w:rFonts w:hint="default" w:ascii="Times New Roman" w:hAnsi="Times New Roman" w:eastAsia="宋体" w:cs="Times New Roman"/>
                      <w:bCs/>
                      <w:szCs w:val="21"/>
                      <w:u w:val="none" w:color="auto"/>
                    </w:rPr>
                    <w:t>房</w:t>
                  </w:r>
                </w:p>
              </w:tc>
              <w:tc>
                <w:tcPr>
                  <w:tcW w:w="2056" w:type="dxa"/>
                  <w:noWrap w:val="0"/>
                  <w:vAlign w:val="center"/>
                </w:tcPr>
                <w:p w14:paraId="3343DA5D">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1间</w:t>
                  </w:r>
                </w:p>
              </w:tc>
            </w:tr>
            <w:tr w14:paraId="11B86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0A3D2B9A">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7</w:t>
                  </w:r>
                </w:p>
              </w:tc>
              <w:tc>
                <w:tcPr>
                  <w:tcW w:w="4269" w:type="dxa"/>
                  <w:noWrap w:val="0"/>
                  <w:vAlign w:val="center"/>
                </w:tcPr>
                <w:p w14:paraId="09B5DA55">
                  <w:pPr>
                    <w:adjustRightInd w:val="0"/>
                    <w:snapToGrid w:val="0"/>
                    <w:jc w:val="center"/>
                    <w:rPr>
                      <w:rFonts w:hint="eastAsia"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导热油炉</w:t>
                  </w:r>
                </w:p>
              </w:tc>
              <w:tc>
                <w:tcPr>
                  <w:tcW w:w="2056" w:type="dxa"/>
                  <w:noWrap w:val="0"/>
                  <w:vAlign w:val="center"/>
                </w:tcPr>
                <w:p w14:paraId="5C66F9C6">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1台（</w:t>
                  </w:r>
                  <w:r>
                    <w:rPr>
                      <w:rFonts w:hint="eastAsia" w:cs="Times New Roman"/>
                      <w:bCs/>
                      <w:szCs w:val="21"/>
                      <w:u w:val="none" w:color="auto"/>
                      <w:lang w:val="en-US" w:eastAsia="zh-CN"/>
                    </w:rPr>
                    <w:t>4</w:t>
                  </w:r>
                  <w:r>
                    <w:rPr>
                      <w:rFonts w:hint="default" w:ascii="Times New Roman" w:hAnsi="Times New Roman" w:eastAsia="宋体" w:cs="Times New Roman"/>
                      <w:bCs/>
                      <w:szCs w:val="21"/>
                      <w:u w:val="none" w:color="auto"/>
                    </w:rPr>
                    <w:t>t）</w:t>
                  </w:r>
                </w:p>
              </w:tc>
            </w:tr>
            <w:tr w14:paraId="62F04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2E9EF5F0">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8</w:t>
                  </w:r>
                </w:p>
              </w:tc>
              <w:tc>
                <w:tcPr>
                  <w:tcW w:w="4269" w:type="dxa"/>
                  <w:noWrap w:val="0"/>
                  <w:vAlign w:val="center"/>
                </w:tcPr>
                <w:p w14:paraId="60387011">
                  <w:pPr>
                    <w:adjustRightInd w:val="0"/>
                    <w:snapToGrid w:val="0"/>
                    <w:jc w:val="center"/>
                    <w:rPr>
                      <w:rFonts w:hint="eastAsia"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引风机</w:t>
                  </w:r>
                </w:p>
              </w:tc>
              <w:tc>
                <w:tcPr>
                  <w:tcW w:w="2056" w:type="dxa"/>
                  <w:noWrap w:val="0"/>
                  <w:vAlign w:val="center"/>
                </w:tcPr>
                <w:p w14:paraId="44698E5D">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1台</w:t>
                  </w:r>
                </w:p>
              </w:tc>
            </w:tr>
            <w:tr w14:paraId="03D0E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54367361">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9</w:t>
                  </w:r>
                </w:p>
              </w:tc>
              <w:tc>
                <w:tcPr>
                  <w:tcW w:w="4269" w:type="dxa"/>
                  <w:noWrap w:val="0"/>
                  <w:vAlign w:val="center"/>
                </w:tcPr>
                <w:p w14:paraId="3613AF81">
                  <w:pPr>
                    <w:adjustRightInd w:val="0"/>
                    <w:snapToGrid w:val="0"/>
                    <w:jc w:val="center"/>
                    <w:rPr>
                      <w:rFonts w:hint="eastAsia"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鼓风机</w:t>
                  </w:r>
                </w:p>
              </w:tc>
              <w:tc>
                <w:tcPr>
                  <w:tcW w:w="2056" w:type="dxa"/>
                  <w:noWrap w:val="0"/>
                  <w:vAlign w:val="center"/>
                </w:tcPr>
                <w:p w14:paraId="1D24045C">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1台</w:t>
                  </w:r>
                </w:p>
              </w:tc>
            </w:tr>
            <w:tr w14:paraId="54FF4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393" w:type="dxa"/>
                  <w:noWrap w:val="0"/>
                  <w:vAlign w:val="center"/>
                </w:tcPr>
                <w:p w14:paraId="3D72AC5C">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10</w:t>
                  </w:r>
                </w:p>
              </w:tc>
              <w:tc>
                <w:tcPr>
                  <w:tcW w:w="4269" w:type="dxa"/>
                  <w:noWrap w:val="0"/>
                  <w:vAlign w:val="center"/>
                </w:tcPr>
                <w:p w14:paraId="3B45CCBB">
                  <w:pPr>
                    <w:adjustRightInd w:val="0"/>
                    <w:snapToGrid w:val="0"/>
                    <w:jc w:val="center"/>
                    <w:rPr>
                      <w:rFonts w:hint="eastAsia"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废气处理设施</w:t>
                  </w:r>
                  <w:r>
                    <w:rPr>
                      <w:rFonts w:hint="eastAsia" w:cs="Times New Roman"/>
                      <w:bCs/>
                      <w:szCs w:val="21"/>
                      <w:u w:val="none" w:color="auto"/>
                      <w:lang w:val="en-US" w:eastAsia="zh-CN"/>
                    </w:rPr>
                    <w:t>+烟囱</w:t>
                  </w:r>
                  <w:r>
                    <w:rPr>
                      <w:rFonts w:hint="default" w:ascii="Times New Roman" w:hAnsi="Times New Roman" w:eastAsia="宋体" w:cs="Times New Roman"/>
                      <w:bCs/>
                      <w:szCs w:val="21"/>
                      <w:u w:val="none" w:color="auto"/>
                      <w:lang w:val="en-US" w:eastAsia="zh-CN"/>
                    </w:rPr>
                    <w:t>（</w:t>
                  </w:r>
                  <w:r>
                    <w:rPr>
                      <w:rFonts w:hint="default" w:ascii="Times New Roman" w:hAnsi="Times New Roman" w:eastAsia="宋体" w:cs="Times New Roman"/>
                      <w:color w:val="auto"/>
                      <w:sz w:val="21"/>
                      <w:szCs w:val="21"/>
                      <w:u w:val="none" w:color="auto"/>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bCs/>
                      <w:szCs w:val="21"/>
                      <w:u w:val="none" w:color="auto"/>
                      <w:lang w:val="en-US" w:eastAsia="zh-CN"/>
                    </w:rPr>
                    <w:t>）</w:t>
                  </w:r>
                  <w:r>
                    <w:rPr>
                      <w:rFonts w:hint="eastAsia" w:cs="Times New Roman"/>
                      <w:bCs/>
                      <w:szCs w:val="21"/>
                      <w:u w:val="none" w:color="auto"/>
                      <w:lang w:val="en-US" w:eastAsia="zh-CN"/>
                    </w:rPr>
                    <w:t>+</w:t>
                  </w:r>
                  <w:r>
                    <w:rPr>
                      <w:rFonts w:hint="default" w:ascii="Times New Roman" w:hAnsi="Times New Roman" w:eastAsia="宋体" w:cs="Times New Roman"/>
                      <w:bCs/>
                      <w:szCs w:val="21"/>
                      <w:u w:val="none" w:color="auto"/>
                    </w:rPr>
                    <w:t>1根（</w:t>
                  </w:r>
                  <w:r>
                    <w:rPr>
                      <w:rFonts w:hint="eastAsia" w:cs="Times New Roman"/>
                      <w:bCs/>
                      <w:szCs w:val="21"/>
                      <w:u w:val="none" w:color="auto"/>
                      <w:lang w:val="en-US" w:eastAsia="zh-CN"/>
                    </w:rPr>
                    <w:t>38m</w:t>
                  </w:r>
                  <w:r>
                    <w:rPr>
                      <w:rFonts w:hint="default" w:ascii="Times New Roman" w:hAnsi="Times New Roman" w:eastAsia="宋体" w:cs="Times New Roman"/>
                      <w:bCs/>
                      <w:szCs w:val="21"/>
                      <w:u w:val="none" w:color="auto"/>
                    </w:rPr>
                    <w:t>）</w:t>
                  </w:r>
                  <w:r>
                    <w:rPr>
                      <w:rFonts w:hint="eastAsia" w:cs="Times New Roman"/>
                      <w:bCs/>
                      <w:szCs w:val="21"/>
                      <w:u w:val="none" w:color="auto"/>
                      <w:lang w:val="en-US" w:eastAsia="zh-CN"/>
                    </w:rPr>
                    <w:t>排气筒</w:t>
                  </w:r>
                </w:p>
              </w:tc>
              <w:tc>
                <w:tcPr>
                  <w:tcW w:w="2056" w:type="dxa"/>
                  <w:noWrap w:val="0"/>
                  <w:vAlign w:val="center"/>
                </w:tcPr>
                <w:p w14:paraId="591543D6">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1套</w:t>
                  </w:r>
                </w:p>
              </w:tc>
            </w:tr>
          </w:tbl>
          <w:p w14:paraId="4C9DFB34">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4、主要原辅材料消耗</w:t>
            </w:r>
          </w:p>
          <w:p w14:paraId="68332049">
            <w:pPr>
              <w:adjustRightInd w:val="0"/>
              <w:snapToGrid w:val="0"/>
              <w:spacing w:line="360" w:lineRule="auto"/>
              <w:ind w:firstLine="480" w:firstLineChars="200"/>
              <w:rPr>
                <w:rFonts w:hint="default" w:ascii="Times New Roman" w:hAnsi="Times New Roman" w:eastAsia="宋体" w:cs="Times New Roman"/>
                <w:bCs/>
                <w:sz w:val="24"/>
                <w:u w:val="none" w:color="auto"/>
              </w:rPr>
            </w:pPr>
            <w:r>
              <w:rPr>
                <w:rFonts w:hint="default" w:ascii="Times New Roman" w:hAnsi="Times New Roman" w:eastAsia="宋体" w:cs="Times New Roman"/>
                <w:bCs/>
                <w:sz w:val="24"/>
                <w:u w:val="none" w:color="auto"/>
              </w:rPr>
              <w:t>拟建项目主要原辅材料及动力消耗如表</w:t>
            </w:r>
            <w:r>
              <w:rPr>
                <w:rFonts w:hint="eastAsia" w:ascii="Times New Roman" w:hAnsi="Times New Roman" w:eastAsia="宋体" w:cs="Times New Roman"/>
                <w:bCs/>
                <w:sz w:val="24"/>
                <w:u w:val="none" w:color="auto"/>
                <w:lang w:val="en-US" w:eastAsia="zh-CN"/>
              </w:rPr>
              <w:t>2</w:t>
            </w:r>
            <w:r>
              <w:rPr>
                <w:rFonts w:hint="default" w:ascii="Times New Roman" w:hAnsi="Times New Roman" w:eastAsia="宋体" w:cs="Times New Roman"/>
                <w:bCs/>
                <w:sz w:val="24"/>
                <w:u w:val="none" w:color="auto"/>
              </w:rPr>
              <w:t>-3所示。</w:t>
            </w:r>
          </w:p>
          <w:p w14:paraId="7DE1D2CD">
            <w:pPr>
              <w:adjustRightInd w:val="0"/>
              <w:snapToGrid w:val="0"/>
              <w:spacing w:line="271" w:lineRule="auto"/>
              <w:jc w:val="center"/>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表</w:t>
            </w:r>
            <w:r>
              <w:rPr>
                <w:rFonts w:hint="eastAsia" w:ascii="Times New Roman" w:hAnsi="Times New Roman" w:eastAsia="宋体" w:cs="Times New Roman"/>
                <w:b/>
                <w:bCs/>
                <w:u w:val="none" w:color="auto"/>
                <w:lang w:val="en-US" w:eastAsia="zh-CN"/>
              </w:rPr>
              <w:t>2</w:t>
            </w:r>
            <w:r>
              <w:rPr>
                <w:rFonts w:hint="default" w:ascii="Times New Roman" w:hAnsi="Times New Roman" w:eastAsia="宋体" w:cs="Times New Roman"/>
                <w:b/>
                <w:bCs/>
                <w:u w:val="none" w:color="auto"/>
              </w:rPr>
              <w:t>-3   原辅材料及动力消耗一览表</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7"/>
              <w:gridCol w:w="1497"/>
              <w:gridCol w:w="1123"/>
              <w:gridCol w:w="1497"/>
              <w:gridCol w:w="2655"/>
            </w:tblGrid>
            <w:tr w14:paraId="7E4AC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947" w:type="dxa"/>
                  <w:noWrap w:val="0"/>
                  <w:vAlign w:val="center"/>
                </w:tcPr>
                <w:p w14:paraId="320D62BF">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序号</w:t>
                  </w:r>
                </w:p>
              </w:tc>
              <w:tc>
                <w:tcPr>
                  <w:tcW w:w="1497" w:type="dxa"/>
                  <w:noWrap w:val="0"/>
                  <w:vAlign w:val="center"/>
                </w:tcPr>
                <w:p w14:paraId="636ECAFF">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材料名称</w:t>
                  </w:r>
                </w:p>
              </w:tc>
              <w:tc>
                <w:tcPr>
                  <w:tcW w:w="1123" w:type="dxa"/>
                  <w:noWrap w:val="0"/>
                  <w:vAlign w:val="center"/>
                </w:tcPr>
                <w:p w14:paraId="53E0BDE4">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单位</w:t>
                  </w:r>
                </w:p>
              </w:tc>
              <w:tc>
                <w:tcPr>
                  <w:tcW w:w="1497" w:type="dxa"/>
                  <w:noWrap w:val="0"/>
                  <w:vAlign w:val="center"/>
                </w:tcPr>
                <w:p w14:paraId="3BC3309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消耗量</w:t>
                  </w:r>
                </w:p>
              </w:tc>
              <w:tc>
                <w:tcPr>
                  <w:tcW w:w="2655" w:type="dxa"/>
                  <w:noWrap w:val="0"/>
                  <w:vAlign w:val="center"/>
                </w:tcPr>
                <w:p w14:paraId="747527A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备注</w:t>
                  </w:r>
                </w:p>
              </w:tc>
            </w:tr>
            <w:tr w14:paraId="23E84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8" w:hRule="atLeast"/>
              </w:trPr>
              <w:tc>
                <w:tcPr>
                  <w:tcW w:w="947" w:type="dxa"/>
                  <w:noWrap w:val="0"/>
                  <w:vAlign w:val="center"/>
                </w:tcPr>
                <w:p w14:paraId="639D58D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w:t>
                  </w:r>
                </w:p>
              </w:tc>
              <w:tc>
                <w:tcPr>
                  <w:tcW w:w="1497" w:type="dxa"/>
                  <w:noWrap w:val="0"/>
                  <w:vAlign w:val="center"/>
                </w:tcPr>
                <w:p w14:paraId="7A86111F">
                  <w:pPr>
                    <w:adjustRightInd w:val="0"/>
                    <w:snapToGrid w:val="0"/>
                    <w:jc w:val="center"/>
                    <w:rPr>
                      <w:rFonts w:hint="default" w:ascii="Times New Roman" w:hAnsi="Times New Roman" w:eastAsia="宋体" w:cs="Times New Roman"/>
                      <w:bCs/>
                      <w:szCs w:val="21"/>
                      <w:u w:val="none" w:color="auto"/>
                      <w:lang w:eastAsia="zh-CN"/>
                    </w:rPr>
                  </w:pPr>
                  <w:r>
                    <w:rPr>
                      <w:rFonts w:hint="default" w:ascii="Times New Roman" w:hAnsi="Times New Roman" w:eastAsia="宋体" w:cs="Times New Roman"/>
                      <w:bCs/>
                      <w:szCs w:val="21"/>
                      <w:u w:val="none" w:color="auto"/>
                    </w:rPr>
                    <w:t>生物质</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rPr>
                    <w:t>木屑、树枝、树皮、稻壳、秸秆、芦苇秆、锯末、甘蔗渣等</w:t>
                  </w:r>
                  <w:r>
                    <w:rPr>
                      <w:rFonts w:hint="default" w:ascii="Times New Roman" w:hAnsi="Times New Roman" w:eastAsia="宋体" w:cs="Times New Roman"/>
                      <w:bCs/>
                      <w:szCs w:val="21"/>
                      <w:u w:val="none" w:color="auto"/>
                      <w:lang w:eastAsia="zh-CN"/>
                    </w:rPr>
                    <w:t>）</w:t>
                  </w:r>
                  <w:r>
                    <w:rPr>
                      <w:rFonts w:hint="eastAsia" w:cs="Times New Roman"/>
                      <w:bCs/>
                      <w:szCs w:val="21"/>
                      <w:u w:val="none" w:color="auto"/>
                      <w:lang w:eastAsia="zh-CN"/>
                    </w:rPr>
                    <w:t>（</w:t>
                  </w:r>
                  <w:r>
                    <w:rPr>
                      <w:rFonts w:hint="eastAsia" w:cs="Times New Roman"/>
                      <w:bCs/>
                      <w:szCs w:val="21"/>
                      <w:u w:val="none" w:color="auto"/>
                      <w:lang w:val="en-US" w:eastAsia="zh-CN"/>
                    </w:rPr>
                    <w:t>用于15t/h锅炉使用</w:t>
                  </w:r>
                  <w:r>
                    <w:rPr>
                      <w:rFonts w:hint="eastAsia" w:cs="Times New Roman"/>
                      <w:bCs/>
                      <w:szCs w:val="21"/>
                      <w:u w:val="none" w:color="auto"/>
                      <w:lang w:eastAsia="zh-CN"/>
                    </w:rPr>
                    <w:t>）</w:t>
                  </w:r>
                </w:p>
              </w:tc>
              <w:tc>
                <w:tcPr>
                  <w:tcW w:w="1123" w:type="dxa"/>
                  <w:noWrap w:val="0"/>
                  <w:vAlign w:val="center"/>
                </w:tcPr>
                <w:p w14:paraId="64EF5929">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t/a</w:t>
                  </w:r>
                </w:p>
              </w:tc>
              <w:tc>
                <w:tcPr>
                  <w:tcW w:w="1497" w:type="dxa"/>
                  <w:noWrap w:val="0"/>
                  <w:vAlign w:val="center"/>
                </w:tcPr>
                <w:p w14:paraId="12024692">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10000</w:t>
                  </w:r>
                </w:p>
              </w:tc>
              <w:tc>
                <w:tcPr>
                  <w:tcW w:w="2655" w:type="dxa"/>
                  <w:noWrap w:val="0"/>
                  <w:vAlign w:val="center"/>
                </w:tcPr>
                <w:p w14:paraId="408A6A5B">
                  <w:pPr>
                    <w:adjustRightInd w:val="0"/>
                    <w:snapToGrid w:val="0"/>
                    <w:jc w:val="left"/>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rPr>
                    <w:t>生物质最大贮存量为100t，采用汽车运输，来源为华容县周边</w:t>
                  </w:r>
                  <w:r>
                    <w:rPr>
                      <w:rFonts w:hint="default" w:ascii="Times New Roman" w:hAnsi="Times New Roman" w:eastAsia="宋体" w:cs="Times New Roman"/>
                      <w:bCs/>
                      <w:szCs w:val="21"/>
                      <w:u w:val="none" w:color="auto"/>
                      <w:lang w:val="en-US" w:eastAsia="zh-CN"/>
                    </w:rPr>
                    <w:t>农村地区，目前实际使用生物质成型燃料为8500</w:t>
                  </w:r>
                  <w:r>
                    <w:rPr>
                      <w:rFonts w:hint="default" w:ascii="Times New Roman" w:hAnsi="Times New Roman" w:eastAsia="宋体" w:cs="Times New Roman"/>
                      <w:bCs/>
                      <w:szCs w:val="21"/>
                      <w:u w:val="none" w:color="auto"/>
                    </w:rPr>
                    <w:t>t/a</w:t>
                  </w:r>
                  <w:r>
                    <w:rPr>
                      <w:rFonts w:hint="default" w:ascii="Times New Roman" w:hAnsi="Times New Roman" w:eastAsia="宋体" w:cs="Times New Roman"/>
                      <w:bCs/>
                      <w:szCs w:val="21"/>
                      <w:u w:val="none" w:color="auto"/>
                      <w:lang w:eastAsia="zh-CN"/>
                    </w:rPr>
                    <w:t>，</w:t>
                  </w:r>
                  <w:r>
                    <w:rPr>
                      <w:rFonts w:hint="default" w:ascii="Times New Roman" w:hAnsi="Times New Roman" w:eastAsia="宋体" w:cs="Times New Roman"/>
                      <w:bCs/>
                      <w:szCs w:val="21"/>
                      <w:u w:val="none" w:color="auto"/>
                      <w:lang w:val="en-US" w:eastAsia="zh-CN"/>
                    </w:rPr>
                    <w:t>由于本项目新增锅炉燃烧木屑、树枝、树皮、稻壳、秸秆、芦苇秆、锯末、甘蔗渣等生物质燃料，热值低于生物质成型燃料，故本次生物质燃料较实际燃料增加了1500t/a</w:t>
                  </w:r>
                </w:p>
              </w:tc>
            </w:tr>
            <w:tr w14:paraId="28204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trPr>
              <w:tc>
                <w:tcPr>
                  <w:tcW w:w="947" w:type="dxa"/>
                  <w:noWrap w:val="0"/>
                  <w:vAlign w:val="center"/>
                </w:tcPr>
                <w:p w14:paraId="7A0DAE8B">
                  <w:pPr>
                    <w:adjustRightInd w:val="0"/>
                    <w:snapToGrid w:val="0"/>
                    <w:jc w:val="center"/>
                    <w:rPr>
                      <w:rFonts w:hint="eastAsia"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2</w:t>
                  </w:r>
                </w:p>
              </w:tc>
              <w:tc>
                <w:tcPr>
                  <w:tcW w:w="1497" w:type="dxa"/>
                  <w:noWrap w:val="0"/>
                  <w:vAlign w:val="center"/>
                </w:tcPr>
                <w:p w14:paraId="4F9A7305">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成型生物质</w:t>
                  </w:r>
                  <w:r>
                    <w:rPr>
                      <w:rFonts w:hint="eastAsia" w:cs="Times New Roman"/>
                      <w:bCs/>
                      <w:szCs w:val="21"/>
                      <w:u w:val="none" w:color="auto"/>
                      <w:lang w:eastAsia="zh-CN"/>
                    </w:rPr>
                    <w:t>（</w:t>
                  </w:r>
                  <w:r>
                    <w:rPr>
                      <w:rFonts w:hint="eastAsia" w:cs="Times New Roman"/>
                      <w:bCs/>
                      <w:szCs w:val="21"/>
                      <w:u w:val="none" w:color="auto"/>
                      <w:lang w:val="en-US" w:eastAsia="zh-CN"/>
                    </w:rPr>
                    <w:t>用于4t/h导热油炉使用</w:t>
                  </w:r>
                  <w:r>
                    <w:rPr>
                      <w:rFonts w:hint="eastAsia" w:cs="Times New Roman"/>
                      <w:bCs/>
                      <w:szCs w:val="21"/>
                      <w:u w:val="none" w:color="auto"/>
                      <w:lang w:eastAsia="zh-CN"/>
                    </w:rPr>
                    <w:t>）</w:t>
                  </w:r>
                </w:p>
              </w:tc>
              <w:tc>
                <w:tcPr>
                  <w:tcW w:w="1123" w:type="dxa"/>
                  <w:noWrap w:val="0"/>
                  <w:vAlign w:val="center"/>
                </w:tcPr>
                <w:p w14:paraId="012DE5D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t/a</w:t>
                  </w:r>
                </w:p>
              </w:tc>
              <w:tc>
                <w:tcPr>
                  <w:tcW w:w="1497" w:type="dxa"/>
                  <w:noWrap w:val="0"/>
                  <w:vAlign w:val="center"/>
                </w:tcPr>
                <w:p w14:paraId="296692E6">
                  <w:pPr>
                    <w:adjustRightInd w:val="0"/>
                    <w:snapToGrid w:val="0"/>
                    <w:jc w:val="center"/>
                    <w:rPr>
                      <w:rFonts w:hint="default" w:ascii="Times New Roman" w:hAnsi="Times New Roman" w:eastAsia="宋体" w:cs="Times New Roman"/>
                      <w:bCs/>
                      <w:szCs w:val="21"/>
                      <w:u w:val="none" w:color="auto"/>
                      <w:lang w:val="en-US" w:eastAsia="zh-CN"/>
                    </w:rPr>
                  </w:pPr>
                  <w:r>
                    <w:rPr>
                      <w:rFonts w:hint="eastAsia" w:cs="Times New Roman"/>
                      <w:bCs/>
                      <w:szCs w:val="21"/>
                      <w:u w:val="none" w:color="auto"/>
                      <w:lang w:val="en-US" w:eastAsia="zh-CN"/>
                    </w:rPr>
                    <w:t>1700</w:t>
                  </w:r>
                </w:p>
              </w:tc>
              <w:tc>
                <w:tcPr>
                  <w:tcW w:w="2655" w:type="dxa"/>
                  <w:noWrap w:val="0"/>
                  <w:vAlign w:val="center"/>
                </w:tcPr>
                <w:p w14:paraId="40717FC4">
                  <w:pPr>
                    <w:adjustRightInd w:val="0"/>
                    <w:snapToGrid w:val="0"/>
                    <w:jc w:val="left"/>
                    <w:rPr>
                      <w:rFonts w:hint="default" w:ascii="Times New Roman" w:hAnsi="Times New Roman" w:eastAsia="宋体" w:cs="Times New Roman"/>
                      <w:bCs/>
                      <w:szCs w:val="21"/>
                      <w:u w:val="none" w:color="auto"/>
                    </w:rPr>
                  </w:pPr>
                  <w:r>
                    <w:rPr>
                      <w:rFonts w:hint="eastAsia" w:hAnsi="宋体"/>
                      <w:bCs/>
                      <w:szCs w:val="21"/>
                    </w:rPr>
                    <w:t>采用汽车运输，来源为华容县周边地区</w:t>
                  </w:r>
                </w:p>
              </w:tc>
            </w:tr>
            <w:tr w14:paraId="351B5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947" w:type="dxa"/>
                  <w:noWrap w:val="0"/>
                  <w:vAlign w:val="center"/>
                </w:tcPr>
                <w:p w14:paraId="08D06D88">
                  <w:pPr>
                    <w:adjustRightInd w:val="0"/>
                    <w:snapToGrid w:val="0"/>
                    <w:jc w:val="center"/>
                    <w:rPr>
                      <w:rFonts w:hint="eastAsia" w:ascii="Times New Roman" w:hAnsi="Times New Roman" w:eastAsia="宋体" w:cs="Times New Roman"/>
                      <w:bCs/>
                      <w:szCs w:val="21"/>
                      <w:u w:val="none" w:color="auto"/>
                      <w:lang w:eastAsia="zh-CN"/>
                    </w:rPr>
                  </w:pPr>
                  <w:r>
                    <w:rPr>
                      <w:rFonts w:hint="eastAsia" w:cs="Times New Roman"/>
                      <w:bCs/>
                      <w:szCs w:val="21"/>
                      <w:u w:val="none" w:color="auto"/>
                      <w:lang w:val="en-US" w:eastAsia="zh-CN"/>
                    </w:rPr>
                    <w:t>3</w:t>
                  </w:r>
                </w:p>
              </w:tc>
              <w:tc>
                <w:tcPr>
                  <w:tcW w:w="1497" w:type="dxa"/>
                  <w:noWrap w:val="0"/>
                  <w:vAlign w:val="center"/>
                </w:tcPr>
                <w:p w14:paraId="1182FC5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水</w:t>
                  </w:r>
                </w:p>
              </w:tc>
              <w:tc>
                <w:tcPr>
                  <w:tcW w:w="1123" w:type="dxa"/>
                  <w:noWrap w:val="0"/>
                  <w:vAlign w:val="center"/>
                </w:tcPr>
                <w:p w14:paraId="3AEAF076">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m</w:t>
                  </w:r>
                  <w:r>
                    <w:rPr>
                      <w:rFonts w:hint="default" w:ascii="Times New Roman" w:hAnsi="Times New Roman" w:eastAsia="宋体" w:cs="Times New Roman"/>
                      <w:bCs/>
                      <w:szCs w:val="21"/>
                      <w:u w:val="none" w:color="auto"/>
                      <w:vertAlign w:val="superscript"/>
                    </w:rPr>
                    <w:t>3</w:t>
                  </w:r>
                  <w:r>
                    <w:rPr>
                      <w:rFonts w:hint="default" w:ascii="Times New Roman" w:hAnsi="Times New Roman" w:eastAsia="宋体" w:cs="Times New Roman"/>
                      <w:bCs/>
                      <w:szCs w:val="21"/>
                      <w:u w:val="none" w:color="auto"/>
                    </w:rPr>
                    <w:t>/d</w:t>
                  </w:r>
                </w:p>
              </w:tc>
              <w:tc>
                <w:tcPr>
                  <w:tcW w:w="1497" w:type="dxa"/>
                  <w:noWrap w:val="0"/>
                  <w:vAlign w:val="center"/>
                </w:tcPr>
                <w:p w14:paraId="7FA55BEF">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115200</w:t>
                  </w:r>
                </w:p>
              </w:tc>
              <w:tc>
                <w:tcPr>
                  <w:tcW w:w="2655" w:type="dxa"/>
                  <w:noWrap w:val="0"/>
                  <w:vAlign w:val="center"/>
                </w:tcPr>
                <w:p w14:paraId="7154562E">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w:t>
                  </w:r>
                </w:p>
              </w:tc>
            </w:tr>
            <w:tr w14:paraId="336215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947" w:type="dxa"/>
                  <w:noWrap w:val="0"/>
                  <w:vAlign w:val="center"/>
                </w:tcPr>
                <w:p w14:paraId="7EFDF378">
                  <w:pPr>
                    <w:adjustRightInd w:val="0"/>
                    <w:snapToGrid w:val="0"/>
                    <w:jc w:val="center"/>
                    <w:rPr>
                      <w:rFonts w:hint="eastAsia" w:ascii="Times New Roman" w:hAnsi="Times New Roman" w:eastAsia="宋体" w:cs="Times New Roman"/>
                      <w:bCs/>
                      <w:szCs w:val="21"/>
                      <w:u w:val="none" w:color="auto"/>
                      <w:lang w:eastAsia="zh-CN"/>
                    </w:rPr>
                  </w:pPr>
                  <w:r>
                    <w:rPr>
                      <w:rFonts w:hint="eastAsia" w:cs="Times New Roman"/>
                      <w:bCs/>
                      <w:szCs w:val="21"/>
                      <w:u w:val="none" w:color="auto"/>
                      <w:lang w:val="en-US" w:eastAsia="zh-CN"/>
                    </w:rPr>
                    <w:t>4</w:t>
                  </w:r>
                </w:p>
              </w:tc>
              <w:tc>
                <w:tcPr>
                  <w:tcW w:w="1497" w:type="dxa"/>
                  <w:noWrap w:val="0"/>
                  <w:vAlign w:val="center"/>
                </w:tcPr>
                <w:p w14:paraId="3332EE07">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电</w:t>
                  </w:r>
                </w:p>
              </w:tc>
              <w:tc>
                <w:tcPr>
                  <w:tcW w:w="1123" w:type="dxa"/>
                  <w:noWrap w:val="0"/>
                  <w:vAlign w:val="center"/>
                </w:tcPr>
                <w:p w14:paraId="0874D112">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KVA</w:t>
                  </w:r>
                </w:p>
              </w:tc>
              <w:tc>
                <w:tcPr>
                  <w:tcW w:w="1497" w:type="dxa"/>
                  <w:noWrap w:val="0"/>
                  <w:vAlign w:val="center"/>
                </w:tcPr>
                <w:p w14:paraId="03A952E1">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3000</w:t>
                  </w:r>
                </w:p>
              </w:tc>
              <w:tc>
                <w:tcPr>
                  <w:tcW w:w="2655" w:type="dxa"/>
                  <w:noWrap w:val="0"/>
                  <w:vAlign w:val="center"/>
                </w:tcPr>
                <w:p w14:paraId="1357662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w:t>
                  </w:r>
                </w:p>
              </w:tc>
            </w:tr>
          </w:tbl>
          <w:p w14:paraId="670F3CBD">
            <w:pPr>
              <w:adjustRightInd w:val="0"/>
              <w:snapToGrid w:val="0"/>
              <w:spacing w:before="156" w:beforeLines="50" w:line="360" w:lineRule="auto"/>
              <w:ind w:firstLine="482" w:firstLineChars="200"/>
              <w:rPr>
                <w:rFonts w:hint="default" w:ascii="Times New Roman" w:hAnsi="Times New Roman" w:eastAsia="宋体" w:cs="Times New Roman"/>
                <w:b/>
                <w:bCs/>
                <w:sz w:val="24"/>
                <w:u w:val="none" w:color="auto"/>
              </w:rPr>
            </w:pPr>
            <w:r>
              <w:rPr>
                <w:rFonts w:hint="default" w:ascii="Times New Roman" w:hAnsi="Times New Roman" w:eastAsia="宋体" w:cs="Times New Roman"/>
                <w:b/>
                <w:bCs/>
                <w:sz w:val="24"/>
                <w:u w:val="none" w:color="auto"/>
                <w:lang w:val="en-US" w:eastAsia="zh-CN"/>
              </w:rPr>
              <w:t>本次所用的</w:t>
            </w:r>
            <w:r>
              <w:rPr>
                <w:rFonts w:hint="eastAsia" w:cs="Times New Roman"/>
                <w:b/>
                <w:bCs/>
                <w:sz w:val="24"/>
                <w:u w:val="none" w:color="auto"/>
                <w:lang w:val="en-US" w:eastAsia="zh-CN"/>
              </w:rPr>
              <w:t>成型</w:t>
            </w:r>
            <w:r>
              <w:rPr>
                <w:rFonts w:hint="default" w:ascii="Times New Roman" w:hAnsi="Times New Roman" w:eastAsia="宋体" w:cs="Times New Roman"/>
                <w:b/>
                <w:bCs/>
                <w:sz w:val="24"/>
                <w:u w:val="none" w:color="auto"/>
                <w:lang w:val="en-US" w:eastAsia="zh-CN"/>
              </w:rPr>
              <w:t>生物质成分参照</w:t>
            </w:r>
            <w:r>
              <w:rPr>
                <w:rFonts w:hint="default" w:ascii="Times New Roman" w:hAnsi="Times New Roman" w:eastAsia="宋体" w:cs="Times New Roman"/>
                <w:b/>
                <w:bCs/>
                <w:sz w:val="24"/>
                <w:u w:val="none" w:color="auto"/>
              </w:rPr>
              <w:t>本项目所在区域使用的</w:t>
            </w:r>
            <w:r>
              <w:rPr>
                <w:rFonts w:hint="eastAsia" w:cs="Times New Roman"/>
                <w:b/>
                <w:bCs/>
                <w:sz w:val="24"/>
                <w:u w:val="none" w:color="auto"/>
                <w:lang w:val="en-US" w:eastAsia="zh-CN"/>
              </w:rPr>
              <w:t>成型</w:t>
            </w:r>
            <w:r>
              <w:rPr>
                <w:rFonts w:hint="default" w:ascii="Times New Roman" w:hAnsi="Times New Roman" w:eastAsia="宋体" w:cs="Times New Roman"/>
                <w:b/>
                <w:bCs/>
                <w:sz w:val="24"/>
                <w:u w:val="none" w:color="auto"/>
              </w:rPr>
              <w:t>生物质</w:t>
            </w:r>
            <w:r>
              <w:rPr>
                <w:rFonts w:hint="default" w:ascii="Times New Roman" w:hAnsi="Times New Roman" w:eastAsia="宋体" w:cs="Times New Roman"/>
                <w:b/>
                <w:bCs/>
                <w:sz w:val="24"/>
                <w:u w:val="none" w:color="auto"/>
                <w:lang w:eastAsia="zh-CN"/>
              </w:rPr>
              <w:t>，</w:t>
            </w:r>
            <w:r>
              <w:rPr>
                <w:rFonts w:hint="default" w:ascii="Times New Roman" w:hAnsi="Times New Roman" w:eastAsia="宋体" w:cs="Times New Roman"/>
                <w:b/>
                <w:bCs/>
                <w:sz w:val="24"/>
                <w:u w:val="none" w:color="auto"/>
              </w:rPr>
              <w:t>基本情况见表</w:t>
            </w:r>
            <w:r>
              <w:rPr>
                <w:rFonts w:hint="eastAsia" w:ascii="Times New Roman" w:hAnsi="Times New Roman" w:eastAsia="宋体" w:cs="Times New Roman"/>
                <w:b/>
                <w:bCs/>
                <w:sz w:val="24"/>
                <w:u w:val="none" w:color="auto"/>
                <w:lang w:val="en-US" w:eastAsia="zh-CN"/>
              </w:rPr>
              <w:t>2</w:t>
            </w:r>
            <w:r>
              <w:rPr>
                <w:rFonts w:hint="default" w:ascii="Times New Roman" w:hAnsi="Times New Roman" w:eastAsia="宋体" w:cs="Times New Roman"/>
                <w:b/>
                <w:bCs/>
                <w:sz w:val="24"/>
                <w:u w:val="none" w:color="auto"/>
              </w:rPr>
              <w:t>-4。</w:t>
            </w:r>
          </w:p>
          <w:p w14:paraId="7937EC93">
            <w:pPr>
              <w:pStyle w:val="94"/>
              <w:adjustRightInd w:val="0"/>
              <w:snapToGrid w:val="0"/>
              <w:spacing w:before="0" w:beforeLines="0"/>
              <w:rPr>
                <w:rFonts w:hint="default" w:ascii="Times New Roman" w:hAnsi="Times New Roman" w:eastAsia="宋体" w:cs="Times New Roman"/>
                <w:snapToGrid w:val="0"/>
                <w:kern w:val="0"/>
                <w:u w:val="none" w:color="auto"/>
              </w:rPr>
            </w:pPr>
            <w:r>
              <w:rPr>
                <w:rFonts w:hint="default" w:ascii="Times New Roman" w:hAnsi="Times New Roman" w:eastAsia="宋体" w:cs="Times New Roman"/>
                <w:snapToGrid w:val="0"/>
                <w:kern w:val="0"/>
                <w:u w:val="none" w:color="auto"/>
              </w:rPr>
              <w:t>表</w:t>
            </w:r>
            <w:r>
              <w:rPr>
                <w:rFonts w:hint="eastAsia" w:ascii="Times New Roman" w:hAnsi="Times New Roman" w:eastAsia="宋体" w:cs="Times New Roman"/>
                <w:snapToGrid w:val="0"/>
                <w:kern w:val="0"/>
                <w:u w:val="none" w:color="auto"/>
                <w:lang w:val="en-US" w:eastAsia="zh-CN"/>
              </w:rPr>
              <w:t>2</w:t>
            </w:r>
            <w:r>
              <w:rPr>
                <w:rFonts w:hint="default" w:ascii="Times New Roman" w:hAnsi="Times New Roman" w:eastAsia="宋体" w:cs="Times New Roman"/>
                <w:snapToGrid w:val="0"/>
                <w:kern w:val="0"/>
                <w:u w:val="none" w:color="auto"/>
              </w:rPr>
              <w:t>-4   生物质燃料情况一览表</w:t>
            </w:r>
          </w:p>
          <w:tbl>
            <w:tblPr>
              <w:tblStyle w:val="26"/>
              <w:tblW w:w="7738"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54"/>
              <w:gridCol w:w="862"/>
              <w:gridCol w:w="2222"/>
              <w:gridCol w:w="1726"/>
              <w:gridCol w:w="1974"/>
            </w:tblGrid>
            <w:tr w14:paraId="323ABD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54" w:type="dxa"/>
                  <w:noWrap w:val="0"/>
                  <w:vAlign w:val="center"/>
                </w:tcPr>
                <w:p w14:paraId="6D5B738A">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序号</w:t>
                  </w:r>
                </w:p>
              </w:tc>
              <w:tc>
                <w:tcPr>
                  <w:tcW w:w="3084" w:type="dxa"/>
                  <w:gridSpan w:val="2"/>
                  <w:noWrap w:val="0"/>
                  <w:vAlign w:val="center"/>
                </w:tcPr>
                <w:p w14:paraId="697C68B3">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指标</w:t>
                  </w:r>
                </w:p>
              </w:tc>
              <w:tc>
                <w:tcPr>
                  <w:tcW w:w="1726" w:type="dxa"/>
                  <w:noWrap w:val="0"/>
                  <w:vAlign w:val="center"/>
                </w:tcPr>
                <w:p w14:paraId="782D1793">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数值</w:t>
                  </w:r>
                </w:p>
              </w:tc>
              <w:tc>
                <w:tcPr>
                  <w:tcW w:w="1974" w:type="dxa"/>
                  <w:noWrap w:val="0"/>
                  <w:vAlign w:val="center"/>
                </w:tcPr>
                <w:p w14:paraId="2C462335">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单位</w:t>
                  </w:r>
                </w:p>
              </w:tc>
            </w:tr>
            <w:tr w14:paraId="5F28D6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vMerge w:val="restart"/>
                  <w:noWrap w:val="0"/>
                  <w:vAlign w:val="center"/>
                </w:tcPr>
                <w:p w14:paraId="6B92B39C">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1</w:t>
                  </w:r>
                </w:p>
              </w:tc>
              <w:tc>
                <w:tcPr>
                  <w:tcW w:w="862" w:type="dxa"/>
                  <w:vMerge w:val="restart"/>
                  <w:noWrap w:val="0"/>
                  <w:vAlign w:val="center"/>
                </w:tcPr>
                <w:p w14:paraId="4BBF5B3B">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发热量</w:t>
                  </w:r>
                </w:p>
              </w:tc>
              <w:tc>
                <w:tcPr>
                  <w:tcW w:w="2222" w:type="dxa"/>
                  <w:noWrap w:val="0"/>
                  <w:vAlign w:val="center"/>
                </w:tcPr>
                <w:p w14:paraId="36886B0A">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（空+基高位）Qgr.ad</w:t>
                  </w:r>
                </w:p>
              </w:tc>
              <w:tc>
                <w:tcPr>
                  <w:tcW w:w="1726" w:type="dxa"/>
                  <w:noWrap w:val="0"/>
                  <w:vAlign w:val="center"/>
                </w:tcPr>
                <w:p w14:paraId="028B3E6E">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17.97</w:t>
                  </w:r>
                </w:p>
              </w:tc>
              <w:tc>
                <w:tcPr>
                  <w:tcW w:w="1974" w:type="dxa"/>
                  <w:noWrap w:val="0"/>
                  <w:vAlign w:val="center"/>
                </w:tcPr>
                <w:p w14:paraId="3B4BB9CD">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MJ/kg</w:t>
                  </w:r>
                </w:p>
              </w:tc>
            </w:tr>
            <w:tr w14:paraId="64555E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vMerge w:val="continue"/>
                  <w:noWrap w:val="0"/>
                  <w:vAlign w:val="center"/>
                </w:tcPr>
                <w:p w14:paraId="4DC82E4F">
                  <w:pPr>
                    <w:pStyle w:val="52"/>
                    <w:rPr>
                      <w:rFonts w:hint="default" w:ascii="Times New Roman" w:hAnsi="Times New Roman" w:eastAsia="宋体" w:cs="Times New Roman"/>
                      <w:u w:val="none" w:color="auto"/>
                    </w:rPr>
                  </w:pPr>
                </w:p>
              </w:tc>
              <w:tc>
                <w:tcPr>
                  <w:tcW w:w="862" w:type="dxa"/>
                  <w:vMerge w:val="continue"/>
                  <w:noWrap w:val="0"/>
                  <w:vAlign w:val="center"/>
                </w:tcPr>
                <w:p w14:paraId="636F0E25">
                  <w:pPr>
                    <w:pStyle w:val="52"/>
                    <w:rPr>
                      <w:rFonts w:hint="default" w:ascii="Times New Roman" w:hAnsi="Times New Roman" w:eastAsia="宋体" w:cs="Times New Roman"/>
                      <w:u w:val="none" w:color="auto"/>
                    </w:rPr>
                  </w:pPr>
                </w:p>
              </w:tc>
              <w:tc>
                <w:tcPr>
                  <w:tcW w:w="2222" w:type="dxa"/>
                  <w:noWrap w:val="0"/>
                  <w:vAlign w:val="center"/>
                </w:tcPr>
                <w:p w14:paraId="4C8065D5">
                  <w:pPr>
                    <w:pStyle w:val="52"/>
                    <w:rPr>
                      <w:rFonts w:hint="default" w:ascii="Times New Roman" w:hAnsi="Times New Roman" w:eastAsia="宋体" w:cs="Times New Roman"/>
                      <w:u w:val="none" w:color="auto"/>
                      <w:lang w:val="en-US"/>
                    </w:rPr>
                  </w:pP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收到基低位</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val="en-US"/>
                    </w:rPr>
                    <w:t>Qgr</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val="en-US"/>
                    </w:rPr>
                    <w:t>ad</w:t>
                  </w:r>
                </w:p>
              </w:tc>
              <w:tc>
                <w:tcPr>
                  <w:tcW w:w="1726" w:type="dxa"/>
                  <w:noWrap w:val="0"/>
                  <w:vAlign w:val="center"/>
                </w:tcPr>
                <w:p w14:paraId="0CEF3FC8">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16.70</w:t>
                  </w:r>
                </w:p>
              </w:tc>
              <w:tc>
                <w:tcPr>
                  <w:tcW w:w="1974" w:type="dxa"/>
                  <w:noWrap w:val="0"/>
                  <w:vAlign w:val="center"/>
                </w:tcPr>
                <w:p w14:paraId="0783B4E1">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lang w:eastAsia="zh-CN"/>
                    </w:rPr>
                    <w:t>MJ/kg</w:t>
                  </w:r>
                </w:p>
              </w:tc>
            </w:tr>
            <w:tr w14:paraId="62C935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2C8F1AC9">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2</w:t>
                  </w:r>
                </w:p>
              </w:tc>
              <w:tc>
                <w:tcPr>
                  <w:tcW w:w="3084" w:type="dxa"/>
                  <w:gridSpan w:val="2"/>
                  <w:noWrap w:val="0"/>
                  <w:vAlign w:val="center"/>
                </w:tcPr>
                <w:p w14:paraId="13F9D6BF">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rPr>
                    <w:t>水分</w:t>
                  </w:r>
                  <w:r>
                    <w:rPr>
                      <w:rFonts w:hint="default" w:ascii="Times New Roman" w:hAnsi="Times New Roman" w:eastAsia="宋体" w:cs="Times New Roman"/>
                      <w:u w:val="none" w:color="auto"/>
                      <w:lang w:eastAsia="zh-CN"/>
                    </w:rPr>
                    <w:t>（空气+燥基）Mad</w:t>
                  </w:r>
                </w:p>
              </w:tc>
              <w:tc>
                <w:tcPr>
                  <w:tcW w:w="1726" w:type="dxa"/>
                  <w:noWrap w:val="0"/>
                  <w:vAlign w:val="center"/>
                </w:tcPr>
                <w:p w14:paraId="481D70CA">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6.81</w:t>
                  </w:r>
                </w:p>
              </w:tc>
              <w:tc>
                <w:tcPr>
                  <w:tcW w:w="1974" w:type="dxa"/>
                  <w:noWrap w:val="0"/>
                  <w:vAlign w:val="center"/>
                </w:tcPr>
                <w:p w14:paraId="479EC758">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35C5C6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2E038E70">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3</w:t>
                  </w:r>
                </w:p>
              </w:tc>
              <w:tc>
                <w:tcPr>
                  <w:tcW w:w="3084" w:type="dxa"/>
                  <w:gridSpan w:val="2"/>
                  <w:noWrap w:val="0"/>
                  <w:vAlign w:val="center"/>
                </w:tcPr>
                <w:p w14:paraId="6B93F153">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灰分</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Aad</w:t>
                  </w:r>
                </w:p>
              </w:tc>
              <w:tc>
                <w:tcPr>
                  <w:tcW w:w="1726" w:type="dxa"/>
                  <w:noWrap w:val="0"/>
                  <w:vAlign w:val="center"/>
                </w:tcPr>
                <w:p w14:paraId="0D6E03A3">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1.74</w:t>
                  </w:r>
                </w:p>
              </w:tc>
              <w:tc>
                <w:tcPr>
                  <w:tcW w:w="1974" w:type="dxa"/>
                  <w:noWrap w:val="0"/>
                  <w:vAlign w:val="center"/>
                </w:tcPr>
                <w:p w14:paraId="2EAB746E">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48C732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1D04D16E">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4</w:t>
                  </w:r>
                </w:p>
              </w:tc>
              <w:tc>
                <w:tcPr>
                  <w:tcW w:w="3084" w:type="dxa"/>
                  <w:gridSpan w:val="2"/>
                  <w:noWrap w:val="0"/>
                  <w:vAlign w:val="center"/>
                </w:tcPr>
                <w:p w14:paraId="6FF3F3F8">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挥发分</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Vad</w:t>
                  </w:r>
                </w:p>
              </w:tc>
              <w:tc>
                <w:tcPr>
                  <w:tcW w:w="1726" w:type="dxa"/>
                  <w:noWrap w:val="0"/>
                  <w:vAlign w:val="center"/>
                </w:tcPr>
                <w:p w14:paraId="542EA074">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75.88</w:t>
                  </w:r>
                </w:p>
              </w:tc>
              <w:tc>
                <w:tcPr>
                  <w:tcW w:w="1974" w:type="dxa"/>
                  <w:noWrap w:val="0"/>
                  <w:vAlign w:val="center"/>
                </w:tcPr>
                <w:p w14:paraId="2573AEE6">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136FE6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3F604084">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5</w:t>
                  </w:r>
                </w:p>
              </w:tc>
              <w:tc>
                <w:tcPr>
                  <w:tcW w:w="3084" w:type="dxa"/>
                  <w:gridSpan w:val="2"/>
                  <w:noWrap w:val="0"/>
                  <w:vAlign w:val="center"/>
                </w:tcPr>
                <w:p w14:paraId="199F6ABD">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固定碳</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F</w:t>
                  </w:r>
                  <w:r>
                    <w:rPr>
                      <w:rFonts w:hint="default" w:ascii="Times New Roman" w:hAnsi="Times New Roman" w:eastAsia="宋体" w:cs="Times New Roman"/>
                      <w:u w:val="none" w:color="auto"/>
                      <w:lang w:eastAsia="zh-CN"/>
                    </w:rPr>
                    <w:t>C</w:t>
                  </w:r>
                  <w:r>
                    <w:rPr>
                      <w:rFonts w:hint="default" w:ascii="Times New Roman" w:hAnsi="Times New Roman" w:eastAsia="宋体" w:cs="Times New Roman"/>
                      <w:u w:val="none" w:color="auto"/>
                    </w:rPr>
                    <w:t>d</w:t>
                  </w:r>
                </w:p>
              </w:tc>
              <w:tc>
                <w:tcPr>
                  <w:tcW w:w="1726" w:type="dxa"/>
                  <w:noWrap w:val="0"/>
                  <w:vAlign w:val="center"/>
                </w:tcPr>
                <w:p w14:paraId="577418D3">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15.57</w:t>
                  </w:r>
                </w:p>
              </w:tc>
              <w:tc>
                <w:tcPr>
                  <w:tcW w:w="1974" w:type="dxa"/>
                  <w:noWrap w:val="0"/>
                  <w:vAlign w:val="center"/>
                </w:tcPr>
                <w:p w14:paraId="1326C0A2">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6F1D51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954" w:type="dxa"/>
                  <w:noWrap w:val="0"/>
                  <w:vAlign w:val="center"/>
                </w:tcPr>
                <w:p w14:paraId="6CBF8765">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6</w:t>
                  </w:r>
                </w:p>
              </w:tc>
              <w:tc>
                <w:tcPr>
                  <w:tcW w:w="3084" w:type="dxa"/>
                  <w:gridSpan w:val="2"/>
                  <w:noWrap w:val="0"/>
                  <w:vAlign w:val="center"/>
                </w:tcPr>
                <w:p w14:paraId="4D6BD0AC">
                  <w:pPr>
                    <w:pStyle w:val="52"/>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eastAsia="zh-CN"/>
                    </w:rPr>
                    <w:t>全硫</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空气</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燥基</w:t>
                  </w:r>
                  <w:r>
                    <w:rPr>
                      <w:rFonts w:hint="default" w:ascii="Times New Roman" w:hAnsi="Times New Roman" w:eastAsia="宋体" w:cs="Times New Roman"/>
                      <w:u w:val="none" w:color="auto"/>
                      <w:lang w:val="en-US" w:eastAsia="zh-CN"/>
                    </w:rPr>
                    <w:t>）St,ad</w:t>
                  </w:r>
                </w:p>
              </w:tc>
              <w:tc>
                <w:tcPr>
                  <w:tcW w:w="1726" w:type="dxa"/>
                  <w:noWrap w:val="0"/>
                  <w:vAlign w:val="center"/>
                </w:tcPr>
                <w:p w14:paraId="5E052892">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0.05</w:t>
                  </w:r>
                </w:p>
              </w:tc>
              <w:tc>
                <w:tcPr>
                  <w:tcW w:w="1974" w:type="dxa"/>
                  <w:noWrap w:val="0"/>
                  <w:vAlign w:val="center"/>
                </w:tcPr>
                <w:p w14:paraId="341ADB9B">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bl>
          <w:p w14:paraId="0A47ACA8">
            <w:pPr>
              <w:adjustRightInd w:val="0"/>
              <w:snapToGrid w:val="0"/>
              <w:spacing w:before="156" w:beforeLines="50" w:line="360" w:lineRule="auto"/>
              <w:ind w:firstLine="482" w:firstLineChars="200"/>
              <w:rPr>
                <w:rFonts w:hint="default" w:ascii="Times New Roman" w:hAnsi="Times New Roman" w:eastAsia="宋体" w:cs="Times New Roman"/>
                <w:b/>
                <w:bCs/>
                <w:sz w:val="24"/>
                <w:u w:val="none" w:color="auto"/>
              </w:rPr>
            </w:pPr>
            <w:r>
              <w:rPr>
                <w:rFonts w:hint="default" w:ascii="Times New Roman" w:hAnsi="Times New Roman" w:eastAsia="宋体" w:cs="Times New Roman"/>
                <w:b/>
                <w:bCs/>
                <w:sz w:val="24"/>
                <w:u w:val="none" w:color="auto"/>
                <w:lang w:val="en-US" w:eastAsia="zh-CN"/>
              </w:rPr>
              <w:t>本次所用的生物质（</w:t>
            </w:r>
            <w:r>
              <w:rPr>
                <w:rFonts w:hint="default" w:ascii="Times New Roman" w:hAnsi="Times New Roman" w:eastAsia="宋体" w:cs="Times New Roman"/>
                <w:b/>
                <w:bCs/>
                <w:sz w:val="24"/>
                <w:u w:val="none" w:color="auto"/>
              </w:rPr>
              <w:t>木屑、树枝、树皮、稻壳、秸秆、芦苇秆、锯末、甘蔗渣等</w:t>
            </w:r>
            <w:r>
              <w:rPr>
                <w:rFonts w:hint="default" w:ascii="Times New Roman" w:hAnsi="Times New Roman" w:eastAsia="宋体" w:cs="Times New Roman"/>
                <w:b/>
                <w:bCs/>
                <w:sz w:val="24"/>
                <w:u w:val="none" w:color="auto"/>
                <w:lang w:val="en-US" w:eastAsia="zh-CN"/>
              </w:rPr>
              <w:t>）成分参照</w:t>
            </w:r>
            <w:r>
              <w:rPr>
                <w:rFonts w:hint="default" w:ascii="Times New Roman" w:hAnsi="Times New Roman" w:eastAsia="宋体" w:cs="Times New Roman"/>
                <w:b/>
                <w:bCs/>
                <w:sz w:val="24"/>
                <w:u w:val="none" w:color="auto"/>
              </w:rPr>
              <w:t>本项目所在区域使用的生物质</w:t>
            </w:r>
            <w:r>
              <w:rPr>
                <w:rFonts w:hint="default" w:ascii="Times New Roman" w:hAnsi="Times New Roman" w:eastAsia="宋体" w:cs="Times New Roman"/>
                <w:b/>
                <w:bCs/>
                <w:sz w:val="24"/>
                <w:u w:val="none" w:color="auto"/>
                <w:lang w:eastAsia="zh-CN"/>
              </w:rPr>
              <w:t>，</w:t>
            </w:r>
            <w:r>
              <w:rPr>
                <w:rFonts w:hint="default" w:ascii="Times New Roman" w:hAnsi="Times New Roman" w:eastAsia="宋体" w:cs="Times New Roman"/>
                <w:b/>
                <w:bCs/>
                <w:sz w:val="24"/>
                <w:u w:val="none" w:color="auto"/>
              </w:rPr>
              <w:t>基本情况见表</w:t>
            </w:r>
            <w:r>
              <w:rPr>
                <w:rFonts w:hint="eastAsia" w:ascii="Times New Roman" w:hAnsi="Times New Roman" w:eastAsia="宋体" w:cs="Times New Roman"/>
                <w:b/>
                <w:bCs/>
                <w:sz w:val="24"/>
                <w:u w:val="none" w:color="auto"/>
                <w:lang w:val="en-US" w:eastAsia="zh-CN"/>
              </w:rPr>
              <w:t>2</w:t>
            </w:r>
            <w:r>
              <w:rPr>
                <w:rFonts w:hint="default" w:ascii="Times New Roman" w:hAnsi="Times New Roman" w:eastAsia="宋体" w:cs="Times New Roman"/>
                <w:b/>
                <w:bCs/>
                <w:sz w:val="24"/>
                <w:u w:val="none" w:color="auto"/>
              </w:rPr>
              <w:t>-4。</w:t>
            </w:r>
          </w:p>
          <w:p w14:paraId="66E8E61E">
            <w:pPr>
              <w:pStyle w:val="94"/>
              <w:adjustRightInd w:val="0"/>
              <w:snapToGrid w:val="0"/>
              <w:spacing w:before="0" w:beforeLines="0"/>
              <w:rPr>
                <w:rFonts w:hint="default" w:ascii="Times New Roman" w:hAnsi="Times New Roman" w:eastAsia="宋体" w:cs="Times New Roman"/>
                <w:snapToGrid w:val="0"/>
                <w:kern w:val="0"/>
                <w:u w:val="none" w:color="auto"/>
              </w:rPr>
            </w:pPr>
            <w:r>
              <w:rPr>
                <w:rFonts w:hint="default" w:ascii="Times New Roman" w:hAnsi="Times New Roman" w:eastAsia="宋体" w:cs="Times New Roman"/>
                <w:snapToGrid w:val="0"/>
                <w:kern w:val="0"/>
                <w:u w:val="none" w:color="auto"/>
              </w:rPr>
              <w:t>表</w:t>
            </w:r>
            <w:r>
              <w:rPr>
                <w:rFonts w:hint="eastAsia" w:ascii="Times New Roman" w:hAnsi="Times New Roman" w:eastAsia="宋体" w:cs="Times New Roman"/>
                <w:snapToGrid w:val="0"/>
                <w:kern w:val="0"/>
                <w:u w:val="none" w:color="auto"/>
                <w:lang w:val="en-US" w:eastAsia="zh-CN"/>
              </w:rPr>
              <w:t>2</w:t>
            </w:r>
            <w:r>
              <w:rPr>
                <w:rFonts w:hint="default" w:ascii="Times New Roman" w:hAnsi="Times New Roman" w:eastAsia="宋体" w:cs="Times New Roman"/>
                <w:snapToGrid w:val="0"/>
                <w:kern w:val="0"/>
                <w:u w:val="none" w:color="auto"/>
              </w:rPr>
              <w:t>-4   生物质燃料情况一览表</w:t>
            </w:r>
          </w:p>
          <w:tbl>
            <w:tblPr>
              <w:tblStyle w:val="26"/>
              <w:tblW w:w="7738"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54"/>
              <w:gridCol w:w="862"/>
              <w:gridCol w:w="2222"/>
              <w:gridCol w:w="1726"/>
              <w:gridCol w:w="1974"/>
            </w:tblGrid>
            <w:tr w14:paraId="491239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54" w:type="dxa"/>
                  <w:noWrap w:val="0"/>
                  <w:vAlign w:val="center"/>
                </w:tcPr>
                <w:p w14:paraId="10583AC1">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序号</w:t>
                  </w:r>
                </w:p>
              </w:tc>
              <w:tc>
                <w:tcPr>
                  <w:tcW w:w="3084" w:type="dxa"/>
                  <w:gridSpan w:val="2"/>
                  <w:noWrap w:val="0"/>
                  <w:vAlign w:val="center"/>
                </w:tcPr>
                <w:p w14:paraId="26FC3E01">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指标</w:t>
                  </w:r>
                </w:p>
              </w:tc>
              <w:tc>
                <w:tcPr>
                  <w:tcW w:w="1726" w:type="dxa"/>
                  <w:noWrap w:val="0"/>
                  <w:vAlign w:val="center"/>
                </w:tcPr>
                <w:p w14:paraId="1CD9EDAF">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数值</w:t>
                  </w:r>
                </w:p>
              </w:tc>
              <w:tc>
                <w:tcPr>
                  <w:tcW w:w="1974" w:type="dxa"/>
                  <w:noWrap w:val="0"/>
                  <w:vAlign w:val="center"/>
                </w:tcPr>
                <w:p w14:paraId="59FC9134">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单位</w:t>
                  </w:r>
                </w:p>
              </w:tc>
            </w:tr>
            <w:tr w14:paraId="1CC7BE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vMerge w:val="restart"/>
                  <w:noWrap w:val="0"/>
                  <w:vAlign w:val="center"/>
                </w:tcPr>
                <w:p w14:paraId="154C31A9">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1</w:t>
                  </w:r>
                </w:p>
              </w:tc>
              <w:tc>
                <w:tcPr>
                  <w:tcW w:w="862" w:type="dxa"/>
                  <w:vMerge w:val="restart"/>
                  <w:noWrap w:val="0"/>
                  <w:vAlign w:val="center"/>
                </w:tcPr>
                <w:p w14:paraId="6FB785AB">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发热量</w:t>
                  </w:r>
                </w:p>
              </w:tc>
              <w:tc>
                <w:tcPr>
                  <w:tcW w:w="2222" w:type="dxa"/>
                  <w:noWrap w:val="0"/>
                  <w:vAlign w:val="center"/>
                </w:tcPr>
                <w:p w14:paraId="0E2CD757">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（空+基高位）Qgr.ad</w:t>
                  </w:r>
                </w:p>
              </w:tc>
              <w:tc>
                <w:tcPr>
                  <w:tcW w:w="1726" w:type="dxa"/>
                  <w:noWrap w:val="0"/>
                  <w:vAlign w:val="center"/>
                </w:tcPr>
                <w:p w14:paraId="2ACC01F5">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20</w:t>
                  </w:r>
                </w:p>
              </w:tc>
              <w:tc>
                <w:tcPr>
                  <w:tcW w:w="1974" w:type="dxa"/>
                  <w:noWrap w:val="0"/>
                  <w:vAlign w:val="center"/>
                </w:tcPr>
                <w:p w14:paraId="5709FA71">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MJ/kg</w:t>
                  </w:r>
                </w:p>
              </w:tc>
            </w:tr>
            <w:tr w14:paraId="650979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vMerge w:val="continue"/>
                  <w:noWrap w:val="0"/>
                  <w:vAlign w:val="center"/>
                </w:tcPr>
                <w:p w14:paraId="13E4C97A">
                  <w:pPr>
                    <w:pStyle w:val="52"/>
                    <w:rPr>
                      <w:rFonts w:hint="default" w:ascii="Times New Roman" w:hAnsi="Times New Roman" w:eastAsia="宋体" w:cs="Times New Roman"/>
                      <w:u w:val="none" w:color="auto"/>
                    </w:rPr>
                  </w:pPr>
                </w:p>
              </w:tc>
              <w:tc>
                <w:tcPr>
                  <w:tcW w:w="862" w:type="dxa"/>
                  <w:vMerge w:val="continue"/>
                  <w:noWrap w:val="0"/>
                  <w:vAlign w:val="center"/>
                </w:tcPr>
                <w:p w14:paraId="33890D1F">
                  <w:pPr>
                    <w:pStyle w:val="52"/>
                    <w:rPr>
                      <w:rFonts w:hint="default" w:ascii="Times New Roman" w:hAnsi="Times New Roman" w:eastAsia="宋体" w:cs="Times New Roman"/>
                      <w:u w:val="none" w:color="auto"/>
                    </w:rPr>
                  </w:pPr>
                </w:p>
              </w:tc>
              <w:tc>
                <w:tcPr>
                  <w:tcW w:w="2222" w:type="dxa"/>
                  <w:noWrap w:val="0"/>
                  <w:vAlign w:val="center"/>
                </w:tcPr>
                <w:p w14:paraId="2BF28B0A">
                  <w:pPr>
                    <w:pStyle w:val="52"/>
                    <w:rPr>
                      <w:rFonts w:hint="default" w:ascii="Times New Roman" w:hAnsi="Times New Roman" w:eastAsia="宋体" w:cs="Times New Roman"/>
                      <w:u w:val="none" w:color="auto"/>
                      <w:lang w:val="en-US"/>
                    </w:rPr>
                  </w:pP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收到基低位</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val="en-US"/>
                    </w:rPr>
                    <w:t>Qgr</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val="en-US"/>
                    </w:rPr>
                    <w:t>ad</w:t>
                  </w:r>
                </w:p>
              </w:tc>
              <w:tc>
                <w:tcPr>
                  <w:tcW w:w="1726" w:type="dxa"/>
                  <w:noWrap w:val="0"/>
                  <w:vAlign w:val="center"/>
                </w:tcPr>
                <w:p w14:paraId="169E49D2">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18</w:t>
                  </w:r>
                </w:p>
              </w:tc>
              <w:tc>
                <w:tcPr>
                  <w:tcW w:w="1974" w:type="dxa"/>
                  <w:noWrap w:val="0"/>
                  <w:vAlign w:val="center"/>
                </w:tcPr>
                <w:p w14:paraId="1AD3C57C">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lang w:eastAsia="zh-CN"/>
                    </w:rPr>
                    <w:t>MJ/kg</w:t>
                  </w:r>
                </w:p>
              </w:tc>
            </w:tr>
            <w:tr w14:paraId="376FCA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3385BF7E">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2</w:t>
                  </w:r>
                </w:p>
              </w:tc>
              <w:tc>
                <w:tcPr>
                  <w:tcW w:w="3084" w:type="dxa"/>
                  <w:gridSpan w:val="2"/>
                  <w:noWrap w:val="0"/>
                  <w:vAlign w:val="center"/>
                </w:tcPr>
                <w:p w14:paraId="503363D4">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rPr>
                    <w:t>水分</w:t>
                  </w:r>
                  <w:r>
                    <w:rPr>
                      <w:rFonts w:hint="default" w:ascii="Times New Roman" w:hAnsi="Times New Roman" w:eastAsia="宋体" w:cs="Times New Roman"/>
                      <w:u w:val="none" w:color="auto"/>
                      <w:lang w:eastAsia="zh-CN"/>
                    </w:rPr>
                    <w:t>（空气+燥基）Mad</w:t>
                  </w:r>
                </w:p>
              </w:tc>
              <w:tc>
                <w:tcPr>
                  <w:tcW w:w="1726" w:type="dxa"/>
                  <w:noWrap w:val="0"/>
                  <w:vAlign w:val="center"/>
                </w:tcPr>
                <w:p w14:paraId="120FF150">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15</w:t>
                  </w:r>
                </w:p>
              </w:tc>
              <w:tc>
                <w:tcPr>
                  <w:tcW w:w="1974" w:type="dxa"/>
                  <w:noWrap w:val="0"/>
                  <w:vAlign w:val="center"/>
                </w:tcPr>
                <w:p w14:paraId="2992678A">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5D4C1F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2F1CF983">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3</w:t>
                  </w:r>
                </w:p>
              </w:tc>
              <w:tc>
                <w:tcPr>
                  <w:tcW w:w="3084" w:type="dxa"/>
                  <w:gridSpan w:val="2"/>
                  <w:noWrap w:val="0"/>
                  <w:vAlign w:val="center"/>
                </w:tcPr>
                <w:p w14:paraId="5810ED07">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灰分</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Aad</w:t>
                  </w:r>
                </w:p>
              </w:tc>
              <w:tc>
                <w:tcPr>
                  <w:tcW w:w="1726" w:type="dxa"/>
                  <w:noWrap w:val="0"/>
                  <w:vAlign w:val="center"/>
                </w:tcPr>
                <w:p w14:paraId="2F7EE69E">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10</w:t>
                  </w:r>
                </w:p>
              </w:tc>
              <w:tc>
                <w:tcPr>
                  <w:tcW w:w="1974" w:type="dxa"/>
                  <w:noWrap w:val="0"/>
                  <w:vAlign w:val="center"/>
                </w:tcPr>
                <w:p w14:paraId="092F71C2">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232EFC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40771142">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4</w:t>
                  </w:r>
                </w:p>
              </w:tc>
              <w:tc>
                <w:tcPr>
                  <w:tcW w:w="3084" w:type="dxa"/>
                  <w:gridSpan w:val="2"/>
                  <w:noWrap w:val="0"/>
                  <w:vAlign w:val="center"/>
                </w:tcPr>
                <w:p w14:paraId="0123272B">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挥发分</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Vad</w:t>
                  </w:r>
                </w:p>
              </w:tc>
              <w:tc>
                <w:tcPr>
                  <w:tcW w:w="1726" w:type="dxa"/>
                  <w:noWrap w:val="0"/>
                  <w:vAlign w:val="center"/>
                </w:tcPr>
                <w:p w14:paraId="5F78926B">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60</w:t>
                  </w:r>
                </w:p>
              </w:tc>
              <w:tc>
                <w:tcPr>
                  <w:tcW w:w="1974" w:type="dxa"/>
                  <w:noWrap w:val="0"/>
                  <w:vAlign w:val="center"/>
                </w:tcPr>
                <w:p w14:paraId="61825C57">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5E4954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4" w:type="dxa"/>
                  <w:noWrap w:val="0"/>
                  <w:vAlign w:val="center"/>
                </w:tcPr>
                <w:p w14:paraId="4FC6D563">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5</w:t>
                  </w:r>
                </w:p>
              </w:tc>
              <w:tc>
                <w:tcPr>
                  <w:tcW w:w="3084" w:type="dxa"/>
                  <w:gridSpan w:val="2"/>
                  <w:noWrap w:val="0"/>
                  <w:vAlign w:val="center"/>
                </w:tcPr>
                <w:p w14:paraId="48F3518B">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固定碳</w:t>
                  </w:r>
                  <w:r>
                    <w:rPr>
                      <w:rFonts w:hint="default" w:ascii="Times New Roman" w:hAnsi="Times New Roman" w:eastAsia="宋体" w:cs="Times New Roman"/>
                      <w:u w:val="none" w:color="auto"/>
                      <w:lang w:eastAsia="zh-CN"/>
                    </w:rPr>
                    <w:t>（空气+燥基）</w:t>
                  </w:r>
                  <w:r>
                    <w:rPr>
                      <w:rFonts w:hint="default" w:ascii="Times New Roman" w:hAnsi="Times New Roman" w:eastAsia="宋体" w:cs="Times New Roman"/>
                      <w:u w:val="none" w:color="auto"/>
                    </w:rPr>
                    <w:t>F</w:t>
                  </w:r>
                  <w:r>
                    <w:rPr>
                      <w:rFonts w:hint="default" w:ascii="Times New Roman" w:hAnsi="Times New Roman" w:eastAsia="宋体" w:cs="Times New Roman"/>
                      <w:u w:val="none" w:color="auto"/>
                      <w:lang w:eastAsia="zh-CN"/>
                    </w:rPr>
                    <w:t>C</w:t>
                  </w:r>
                  <w:r>
                    <w:rPr>
                      <w:rFonts w:hint="default" w:ascii="Times New Roman" w:hAnsi="Times New Roman" w:eastAsia="宋体" w:cs="Times New Roman"/>
                      <w:u w:val="none" w:color="auto"/>
                    </w:rPr>
                    <w:t>d</w:t>
                  </w:r>
                </w:p>
              </w:tc>
              <w:tc>
                <w:tcPr>
                  <w:tcW w:w="1726" w:type="dxa"/>
                  <w:noWrap w:val="0"/>
                  <w:vAlign w:val="center"/>
                </w:tcPr>
                <w:p w14:paraId="2674A01B">
                  <w:pPr>
                    <w:pStyle w:val="52"/>
                    <w:rPr>
                      <w:rFonts w:hint="default" w:ascii="Times New Roman" w:hAnsi="Times New Roman" w:eastAsia="宋体" w:cs="Times New Roman"/>
                      <w:u w:val="none" w:color="auto"/>
                      <w:lang w:val="en-US" w:eastAsia="zh-CN"/>
                    </w:rPr>
                  </w:pPr>
                  <w:r>
                    <w:rPr>
                      <w:rFonts w:hint="eastAsia" w:ascii="Times New Roman" w:cs="Times New Roman"/>
                      <w:u w:val="none" w:color="auto"/>
                      <w:lang w:val="en-US" w:eastAsia="zh-CN"/>
                    </w:rPr>
                    <w:t>14.9</w:t>
                  </w:r>
                </w:p>
              </w:tc>
              <w:tc>
                <w:tcPr>
                  <w:tcW w:w="1974" w:type="dxa"/>
                  <w:noWrap w:val="0"/>
                  <w:vAlign w:val="center"/>
                </w:tcPr>
                <w:p w14:paraId="2EB60507">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r w14:paraId="5A4AB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954" w:type="dxa"/>
                  <w:noWrap w:val="0"/>
                  <w:vAlign w:val="center"/>
                </w:tcPr>
                <w:p w14:paraId="16C081B6">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6</w:t>
                  </w:r>
                </w:p>
              </w:tc>
              <w:tc>
                <w:tcPr>
                  <w:tcW w:w="3084" w:type="dxa"/>
                  <w:gridSpan w:val="2"/>
                  <w:noWrap w:val="0"/>
                  <w:vAlign w:val="center"/>
                </w:tcPr>
                <w:p w14:paraId="2150072E">
                  <w:pPr>
                    <w:pStyle w:val="52"/>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eastAsia="zh-CN"/>
                    </w:rPr>
                    <w:t>全硫</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空气</w:t>
                  </w:r>
                  <w:r>
                    <w:rPr>
                      <w:rFonts w:hint="default" w:ascii="Times New Roman" w:hAnsi="Times New Roman" w:eastAsia="宋体" w:cs="Times New Roman"/>
                      <w:u w:val="none" w:color="auto"/>
                      <w:lang w:val="en-US" w:eastAsia="zh-CN"/>
                    </w:rPr>
                    <w:t>+</w:t>
                  </w:r>
                  <w:r>
                    <w:rPr>
                      <w:rFonts w:hint="default" w:ascii="Times New Roman" w:hAnsi="Times New Roman" w:eastAsia="宋体" w:cs="Times New Roman"/>
                      <w:u w:val="none" w:color="auto"/>
                      <w:lang w:eastAsia="zh-CN"/>
                    </w:rPr>
                    <w:t>燥基</w:t>
                  </w:r>
                  <w:r>
                    <w:rPr>
                      <w:rFonts w:hint="default" w:ascii="Times New Roman" w:hAnsi="Times New Roman" w:eastAsia="宋体" w:cs="Times New Roman"/>
                      <w:u w:val="none" w:color="auto"/>
                      <w:lang w:val="en-US" w:eastAsia="zh-CN"/>
                    </w:rPr>
                    <w:t>）St,ad</w:t>
                  </w:r>
                </w:p>
              </w:tc>
              <w:tc>
                <w:tcPr>
                  <w:tcW w:w="1726" w:type="dxa"/>
                  <w:noWrap w:val="0"/>
                  <w:vAlign w:val="center"/>
                </w:tcPr>
                <w:p w14:paraId="376E574B">
                  <w:pPr>
                    <w:pStyle w:val="52"/>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lang w:eastAsia="zh-CN"/>
                    </w:rPr>
                    <w:t>0.</w:t>
                  </w:r>
                  <w:r>
                    <w:rPr>
                      <w:rFonts w:hint="eastAsia" w:ascii="Times New Roman" w:cs="Times New Roman"/>
                      <w:u w:val="none" w:color="auto"/>
                      <w:lang w:val="en-US" w:eastAsia="zh-CN"/>
                    </w:rPr>
                    <w:t>1</w:t>
                  </w:r>
                </w:p>
              </w:tc>
              <w:tc>
                <w:tcPr>
                  <w:tcW w:w="1974" w:type="dxa"/>
                  <w:noWrap w:val="0"/>
                  <w:vAlign w:val="center"/>
                </w:tcPr>
                <w:p w14:paraId="43683D85">
                  <w:pPr>
                    <w:pStyle w:val="52"/>
                    <w:rPr>
                      <w:rFonts w:hint="default" w:ascii="Times New Roman" w:hAnsi="Times New Roman" w:eastAsia="宋体" w:cs="Times New Roman"/>
                      <w:u w:val="none" w:color="auto"/>
                    </w:rPr>
                  </w:pPr>
                  <w:r>
                    <w:rPr>
                      <w:rFonts w:hint="default" w:ascii="Times New Roman" w:hAnsi="Times New Roman" w:eastAsia="宋体" w:cs="Times New Roman"/>
                      <w:u w:val="none" w:color="auto"/>
                    </w:rPr>
                    <w:t>%</w:t>
                  </w:r>
                </w:p>
              </w:tc>
            </w:tr>
          </w:tbl>
          <w:p w14:paraId="43BE5984">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5、公用工程</w:t>
            </w:r>
          </w:p>
          <w:p w14:paraId="608CC9EE">
            <w:pPr>
              <w:keepNext w:val="0"/>
              <w:keepLines w:val="0"/>
              <w:pageBreakBefore w:val="0"/>
              <w:kinsoku/>
              <w:wordWrap/>
              <w:overflowPunct/>
              <w:topLinePunct w:val="0"/>
              <w:autoSpaceDE w:val="0"/>
              <w:autoSpaceDN w:val="0"/>
              <w:bidi w:val="0"/>
              <w:adjustRightInd/>
              <w:snapToGrid/>
              <w:spacing w:line="360" w:lineRule="auto"/>
              <w:ind w:firstLine="240" w:firstLineChars="1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（1）给排水工程</w:t>
            </w:r>
          </w:p>
          <w:p w14:paraId="7D51E878">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fldChar w:fldCharType="begin"/>
            </w:r>
            <w:r>
              <w:rPr>
                <w:rFonts w:hint="default" w:ascii="Times New Roman" w:hAnsi="Times New Roman" w:eastAsia="宋体" w:cs="Times New Roman"/>
                <w:color w:val="auto"/>
                <w:kern w:val="0"/>
                <w:sz w:val="24"/>
                <w:szCs w:val="24"/>
                <w:u w:val="none" w:color="auto"/>
              </w:rPr>
              <w:instrText xml:space="preserve"> = 1 \* GB3 \* MERGEFORMAT </w:instrText>
            </w:r>
            <w:r>
              <w:rPr>
                <w:rFonts w:hint="default" w:ascii="Times New Roman" w:hAnsi="Times New Roman" w:eastAsia="宋体" w:cs="Times New Roman"/>
                <w:color w:val="auto"/>
                <w:kern w:val="0"/>
                <w:sz w:val="24"/>
                <w:szCs w:val="24"/>
                <w:u w:val="none" w:color="auto"/>
              </w:rPr>
              <w:fldChar w:fldCharType="separate"/>
            </w:r>
            <w:r>
              <w:rPr>
                <w:rFonts w:hint="default" w:ascii="Times New Roman" w:hAnsi="Times New Roman" w:eastAsia="宋体" w:cs="Times New Roman"/>
                <w:color w:val="auto"/>
                <w:kern w:val="0"/>
                <w:sz w:val="24"/>
                <w:szCs w:val="24"/>
                <w:u w:val="none" w:color="auto"/>
              </w:rPr>
              <w:t>①</w:t>
            </w:r>
            <w:r>
              <w:rPr>
                <w:rFonts w:hint="default" w:ascii="Times New Roman" w:hAnsi="Times New Roman" w:eastAsia="宋体" w:cs="Times New Roman"/>
                <w:color w:val="auto"/>
                <w:kern w:val="0"/>
                <w:sz w:val="24"/>
                <w:szCs w:val="24"/>
                <w:u w:val="none" w:color="auto"/>
              </w:rPr>
              <w:fldChar w:fldCharType="end"/>
            </w:r>
            <w:r>
              <w:rPr>
                <w:rFonts w:hint="default" w:ascii="Times New Roman" w:hAnsi="Times New Roman" w:eastAsia="宋体" w:cs="Times New Roman"/>
                <w:color w:val="auto"/>
                <w:kern w:val="0"/>
                <w:sz w:val="24"/>
                <w:szCs w:val="24"/>
                <w:u w:val="none" w:color="auto"/>
              </w:rPr>
              <w:t>给水工程</w:t>
            </w:r>
          </w:p>
          <w:p w14:paraId="29D977AF">
            <w:pPr>
              <w:pStyle w:val="34"/>
              <w:keepNext w:val="0"/>
              <w:keepLines w:val="0"/>
              <w:pageBreakBefore w:val="0"/>
              <w:widowControl w:val="0"/>
              <w:kinsoku/>
              <w:wordWrap/>
              <w:topLinePunct w:val="0"/>
              <w:autoSpaceDE w:val="0"/>
              <w:autoSpaceDN w:val="0"/>
              <w:bidi w:val="0"/>
              <w:adjustRightInd w:val="0"/>
              <w:snapToGrid w:val="0"/>
              <w:spacing w:line="348" w:lineRule="auto"/>
              <w:ind w:firstLine="480"/>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bCs/>
                <w:sz w:val="24"/>
                <w:szCs w:val="24"/>
                <w:u w:val="none" w:color="auto"/>
              </w:rPr>
              <w:t>依托现有，由岳阳宝丽纺织品有限公司自来水给水管网供应。</w:t>
            </w:r>
          </w:p>
          <w:p w14:paraId="48F07C86">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fldChar w:fldCharType="begin"/>
            </w:r>
            <w:r>
              <w:rPr>
                <w:rFonts w:hint="default" w:ascii="Times New Roman" w:hAnsi="Times New Roman" w:eastAsia="宋体" w:cs="Times New Roman"/>
                <w:color w:val="auto"/>
                <w:kern w:val="0"/>
                <w:sz w:val="24"/>
                <w:szCs w:val="24"/>
                <w:u w:val="none" w:color="auto"/>
              </w:rPr>
              <w:instrText xml:space="preserve"> = 2 \* GB3 \* MERGEFORMAT </w:instrText>
            </w:r>
            <w:r>
              <w:rPr>
                <w:rFonts w:hint="default" w:ascii="Times New Roman" w:hAnsi="Times New Roman" w:eastAsia="宋体" w:cs="Times New Roman"/>
                <w:color w:val="auto"/>
                <w:kern w:val="0"/>
                <w:sz w:val="24"/>
                <w:szCs w:val="24"/>
                <w:u w:val="none" w:color="auto"/>
              </w:rPr>
              <w:fldChar w:fldCharType="separate"/>
            </w:r>
            <w:r>
              <w:rPr>
                <w:rFonts w:hint="default" w:ascii="Times New Roman" w:hAnsi="Times New Roman" w:eastAsia="宋体" w:cs="Times New Roman"/>
                <w:color w:val="auto"/>
                <w:kern w:val="0"/>
                <w:sz w:val="24"/>
                <w:szCs w:val="24"/>
                <w:u w:val="none" w:color="auto"/>
              </w:rPr>
              <w:t>②</w:t>
            </w:r>
            <w:r>
              <w:rPr>
                <w:rFonts w:hint="default" w:ascii="Times New Roman" w:hAnsi="Times New Roman" w:eastAsia="宋体" w:cs="Times New Roman"/>
                <w:color w:val="auto"/>
                <w:kern w:val="0"/>
                <w:sz w:val="24"/>
                <w:szCs w:val="24"/>
                <w:u w:val="none" w:color="auto"/>
              </w:rPr>
              <w:fldChar w:fldCharType="end"/>
            </w:r>
            <w:r>
              <w:rPr>
                <w:rFonts w:hint="default" w:ascii="Times New Roman" w:hAnsi="Times New Roman" w:eastAsia="宋体" w:cs="Times New Roman"/>
                <w:color w:val="auto"/>
                <w:kern w:val="0"/>
                <w:sz w:val="24"/>
                <w:szCs w:val="24"/>
                <w:u w:val="none" w:color="auto"/>
              </w:rPr>
              <w:t>排水工程</w:t>
            </w:r>
          </w:p>
          <w:p w14:paraId="619E268E">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highlight w:val="none"/>
                <w:u w:val="none" w:color="auto"/>
                <w:lang w:val="en-US" w:eastAsia="zh-CN" w:bidi="ar-SA"/>
              </w:rPr>
            </w:pPr>
            <w:r>
              <w:rPr>
                <w:rFonts w:hint="default" w:ascii="Times New Roman" w:hAnsi="Times New Roman" w:eastAsia="宋体" w:cs="Times New Roman"/>
                <w:bCs/>
                <w:sz w:val="24"/>
                <w:szCs w:val="24"/>
                <w:u w:val="none" w:color="auto"/>
              </w:rPr>
              <w:t>依托现有，项目雨污管网已建成，拟建项目无生产废水外排，</w:t>
            </w:r>
            <w:r>
              <w:rPr>
                <w:rFonts w:hint="default" w:ascii="Times New Roman" w:hAnsi="Times New Roman" w:eastAsia="宋体" w:cs="Times New Roman"/>
                <w:bCs/>
                <w:sz w:val="24"/>
                <w:szCs w:val="24"/>
                <w:u w:val="none" w:color="auto"/>
                <w:lang w:val="en-US" w:eastAsia="zh-CN"/>
              </w:rPr>
              <w:t>仅备用</w:t>
            </w:r>
            <w:r>
              <w:rPr>
                <w:rFonts w:hint="default" w:ascii="Times New Roman" w:hAnsi="Times New Roman" w:eastAsia="宋体" w:cs="Times New Roman"/>
                <w:bCs/>
                <w:sz w:val="24"/>
                <w:szCs w:val="24"/>
                <w:u w:val="none" w:color="auto"/>
              </w:rPr>
              <w:t>锅炉</w:t>
            </w:r>
            <w:r>
              <w:rPr>
                <w:rFonts w:hint="default" w:ascii="Times New Roman" w:hAnsi="Times New Roman" w:eastAsia="宋体" w:cs="Times New Roman"/>
                <w:bCs/>
                <w:sz w:val="24"/>
                <w:szCs w:val="24"/>
                <w:u w:val="none" w:color="auto"/>
                <w:lang w:val="en-US" w:eastAsia="zh-CN"/>
              </w:rPr>
              <w:t>使用时</w:t>
            </w:r>
            <w:r>
              <w:rPr>
                <w:rFonts w:hint="default" w:ascii="Times New Roman" w:hAnsi="Times New Roman" w:eastAsia="宋体" w:cs="Times New Roman"/>
                <w:bCs/>
                <w:sz w:val="24"/>
                <w:szCs w:val="24"/>
                <w:u w:val="none" w:color="auto"/>
              </w:rPr>
              <w:t>废气产生的水膜除尘废水进入岳阳宝丽纺织品有限公司厂区内现有的污水沉淀池沉淀后回用。</w:t>
            </w:r>
          </w:p>
          <w:p w14:paraId="63ABC193">
            <w:pPr>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（2）供电工程</w:t>
            </w:r>
          </w:p>
          <w:p w14:paraId="0B4B01D5">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bCs/>
                <w:sz w:val="24"/>
                <w:szCs w:val="24"/>
                <w:u w:val="none" w:color="auto"/>
              </w:rPr>
              <w:t>本项目用电由华容县供电网提供。</w:t>
            </w:r>
          </w:p>
          <w:p w14:paraId="40AF78B7">
            <w:pPr>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360" w:lineRule="auto"/>
              <w:ind w:firstLine="480"/>
              <w:textAlignment w:val="auto"/>
              <w:rPr>
                <w:rFonts w:hint="default" w:ascii="Times New Roman" w:hAnsi="Times New Roman" w:eastAsia="宋体" w:cs="Times New Roman"/>
                <w:bCs/>
                <w:sz w:val="24"/>
                <w:u w:val="none" w:color="auto"/>
              </w:rPr>
            </w:pPr>
            <w:r>
              <w:rPr>
                <w:rFonts w:hint="default" w:ascii="Times New Roman" w:hAnsi="Times New Roman" w:eastAsia="宋体" w:cs="Times New Roman"/>
                <w:bCs/>
                <w:sz w:val="24"/>
                <w:u w:val="none" w:color="auto"/>
              </w:rPr>
              <w:t>储运工程</w:t>
            </w:r>
          </w:p>
          <w:p w14:paraId="2E01B03B">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Cs/>
                <w:sz w:val="24"/>
                <w:szCs w:val="24"/>
                <w:u w:val="none" w:color="auto"/>
              </w:rPr>
            </w:pPr>
            <w:r>
              <w:rPr>
                <w:rFonts w:hint="default" w:ascii="Times New Roman" w:hAnsi="Times New Roman" w:eastAsia="宋体" w:cs="Times New Roman"/>
                <w:bCs/>
                <w:sz w:val="24"/>
                <w:szCs w:val="24"/>
                <w:u w:val="none" w:color="auto"/>
                <w:lang w:val="en-US" w:eastAsia="zh-CN"/>
              </w:rPr>
              <w:t>依托现有生物质仓库</w:t>
            </w:r>
            <w:r>
              <w:rPr>
                <w:rFonts w:hint="default" w:ascii="Times New Roman" w:hAnsi="Times New Roman" w:eastAsia="宋体" w:cs="Times New Roman"/>
                <w:bCs/>
                <w:sz w:val="24"/>
                <w:szCs w:val="24"/>
                <w:u w:val="none" w:color="auto"/>
              </w:rPr>
              <w:t>，生物质最大贮存量为100t，采用汽车运输。</w:t>
            </w:r>
          </w:p>
          <w:p w14:paraId="1DAF8384">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6、劳动定员及工作制度</w:t>
            </w:r>
          </w:p>
          <w:p w14:paraId="44E1C105">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Cs/>
                <w:sz w:val="24"/>
                <w:szCs w:val="24"/>
                <w:u w:val="none" w:color="auto"/>
              </w:rPr>
            </w:pPr>
            <w:r>
              <w:rPr>
                <w:rFonts w:hint="default" w:ascii="Times New Roman" w:hAnsi="Times New Roman" w:eastAsia="宋体" w:cs="Times New Roman"/>
                <w:bCs/>
                <w:sz w:val="24"/>
                <w:szCs w:val="24"/>
                <w:u w:val="none" w:color="auto"/>
              </w:rPr>
              <w:t>项目工作人员在岳阳宝丽纺织品有限公司调配，不新增员工，根据咨询业主，每天</w:t>
            </w:r>
            <w:r>
              <w:rPr>
                <w:rFonts w:hint="default" w:ascii="Times New Roman" w:hAnsi="Times New Roman" w:eastAsia="宋体" w:cs="Times New Roman"/>
                <w:bCs/>
                <w:sz w:val="24"/>
                <w:szCs w:val="24"/>
                <w:u w:val="none" w:color="auto"/>
                <w:lang w:val="en-US" w:eastAsia="zh-CN"/>
              </w:rPr>
              <w:t>20</w:t>
            </w:r>
            <w:r>
              <w:rPr>
                <w:rFonts w:hint="default" w:ascii="Times New Roman" w:hAnsi="Times New Roman" w:eastAsia="宋体" w:cs="Times New Roman"/>
                <w:bCs/>
                <w:sz w:val="24"/>
                <w:szCs w:val="24"/>
                <w:u w:val="none" w:color="auto"/>
              </w:rPr>
              <w:t>小时，</w:t>
            </w:r>
            <w:r>
              <w:rPr>
                <w:rFonts w:hint="default" w:ascii="Times New Roman" w:hAnsi="Times New Roman" w:eastAsia="宋体" w:cs="Times New Roman"/>
                <w:bCs/>
                <w:sz w:val="24"/>
                <w:szCs w:val="24"/>
                <w:u w:val="none" w:color="auto"/>
                <w:lang w:val="en-US" w:eastAsia="zh-CN"/>
              </w:rPr>
              <w:t>两班制，每班工作时长为10小时，</w:t>
            </w:r>
            <w:r>
              <w:rPr>
                <w:rFonts w:hint="default" w:ascii="Times New Roman" w:hAnsi="Times New Roman" w:eastAsia="宋体" w:cs="Times New Roman"/>
                <w:bCs/>
                <w:sz w:val="24"/>
                <w:szCs w:val="24"/>
                <w:u w:val="none" w:color="auto"/>
              </w:rPr>
              <w:t>年工作天数300天。</w:t>
            </w:r>
          </w:p>
          <w:p w14:paraId="7F26A31E">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7、厂区平面布置</w:t>
            </w:r>
          </w:p>
          <w:p w14:paraId="3660367D">
            <w:pPr>
              <w:autoSpaceDE w:val="0"/>
              <w:autoSpaceDN w:val="0"/>
              <w:adjustRightInd w:val="0"/>
              <w:snapToGrid w:val="0"/>
              <w:spacing w:line="360" w:lineRule="auto"/>
              <w:ind w:firstLine="480" w:firstLineChars="200"/>
              <w:rPr>
                <w:rFonts w:hint="default" w:ascii="Times New Roman" w:hAnsi="Times New Roman" w:eastAsia="宋体" w:cs="Times New Roman"/>
                <w:color w:val="auto"/>
                <w:u w:val="none" w:color="auto"/>
                <w:lang w:eastAsia="zh-CN"/>
              </w:rPr>
            </w:pPr>
            <w:r>
              <w:rPr>
                <w:rFonts w:hint="default" w:ascii="Times New Roman" w:hAnsi="Times New Roman" w:eastAsia="宋体" w:cs="Times New Roman"/>
                <w:bCs/>
                <w:sz w:val="24"/>
                <w:highlight w:val="none"/>
                <w:u w:val="none" w:color="auto"/>
                <w:lang w:val="en-US" w:eastAsia="zh-CN"/>
              </w:rPr>
              <w:t>本次新增锅炉房位于现有工程的锅炉房东侧（紧邻），</w:t>
            </w:r>
            <w:r>
              <w:rPr>
                <w:rFonts w:hint="default" w:ascii="Times New Roman" w:hAnsi="Times New Roman" w:eastAsia="宋体" w:cs="Times New Roman"/>
                <w:color w:val="auto"/>
                <w:kern w:val="0"/>
                <w:sz w:val="24"/>
                <w:szCs w:val="24"/>
                <w:highlight w:val="none"/>
                <w:u w:val="none" w:color="auto"/>
              </w:rPr>
              <w:t>项目平面布置基本保证了工艺流程的顺畅紧凑，同时最大限度地减少工艺输送流程和距离，有利于生产活动</w:t>
            </w:r>
            <w:r>
              <w:rPr>
                <w:rFonts w:hint="default" w:ascii="Times New Roman" w:hAnsi="Times New Roman" w:eastAsia="宋体" w:cs="Times New Roman"/>
                <w:color w:val="auto"/>
                <w:kern w:val="0"/>
                <w:sz w:val="24"/>
                <w:szCs w:val="24"/>
                <w:highlight w:val="none"/>
                <w:u w:val="none" w:color="auto"/>
                <w:lang w:eastAsia="zh-CN"/>
              </w:rPr>
              <w:t>。</w:t>
            </w:r>
          </w:p>
        </w:tc>
      </w:tr>
      <w:tr w14:paraId="4D105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2" w:type="dxa"/>
            <w:noWrap w:val="0"/>
            <w:vAlign w:val="center"/>
          </w:tcPr>
          <w:p w14:paraId="1BFAA135">
            <w:pPr>
              <w:pStyle w:val="22"/>
              <w:keepNext w:val="0"/>
              <w:keepLines w:val="0"/>
              <w:pageBreakBefore w:val="0"/>
              <w:kinsoku/>
              <w:wordWrap/>
              <w:overflowPunct/>
              <w:topLinePunct w:val="0"/>
              <w:bidi w:val="0"/>
              <w:adjustRightInd/>
              <w:snapToGrid/>
              <w:spacing w:before="0" w:beforeAutospacing="0" w:after="0" w:afterAutospacing="0" w:line="360" w:lineRule="auto"/>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工艺流程和产排污环节</w:t>
            </w:r>
          </w:p>
        </w:tc>
        <w:tc>
          <w:tcPr>
            <w:tcW w:w="7972" w:type="dxa"/>
            <w:noWrap w:val="0"/>
            <w:vAlign w:val="top"/>
          </w:tcPr>
          <w:p w14:paraId="26599479">
            <w:pPr>
              <w:keepNext w:val="0"/>
              <w:keepLines w:val="0"/>
              <w:pageBreakBefore w:val="0"/>
              <w:numPr>
                <w:ilvl w:val="0"/>
                <w:numId w:val="3"/>
              </w:numPr>
              <w:kinsoku/>
              <w:wordWrap/>
              <w:overflowPunct/>
              <w:topLinePunct w:val="0"/>
              <w:autoSpaceDE w:val="0"/>
              <w:autoSpaceDN w:val="0"/>
              <w:bidi w:val="0"/>
              <w:adjustRightInd/>
              <w:snapToGrid/>
              <w:spacing w:line="360" w:lineRule="auto"/>
              <w:ind w:firstLine="482" w:firstLineChars="200"/>
              <w:jc w:val="left"/>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施工期</w:t>
            </w:r>
          </w:p>
          <w:p w14:paraId="7B91B545">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u w:val="none" w:color="auto"/>
              </w:rPr>
            </w:pPr>
            <w:r>
              <w:rPr>
                <w:rFonts w:hint="default" w:ascii="Times New Roman" w:hAnsi="Times New Roman" w:eastAsia="宋体" w:cs="Times New Roman"/>
                <w:color w:val="auto"/>
                <w:kern w:val="0"/>
                <w:sz w:val="24"/>
                <w:szCs w:val="24"/>
                <w:highlight w:val="none"/>
                <w:u w:val="none" w:color="auto"/>
                <w:lang w:eastAsia="zh-CN"/>
              </w:rPr>
              <w:t>本项目</w:t>
            </w:r>
            <w:r>
              <w:rPr>
                <w:rFonts w:hint="default" w:ascii="Times New Roman" w:hAnsi="Times New Roman" w:eastAsia="宋体" w:cs="Times New Roman"/>
                <w:bCs/>
                <w:sz w:val="24"/>
                <w:u w:val="none" w:color="auto"/>
              </w:rPr>
              <w:t>岳阳宝丽纺织品有限公司现有厂区内</w:t>
            </w:r>
            <w:r>
              <w:rPr>
                <w:rFonts w:hint="default" w:ascii="Times New Roman" w:hAnsi="Times New Roman" w:eastAsia="宋体" w:cs="Times New Roman"/>
                <w:color w:val="auto"/>
                <w:kern w:val="0"/>
                <w:sz w:val="24"/>
                <w:szCs w:val="24"/>
                <w:highlight w:val="none"/>
                <w:u w:val="none" w:color="auto"/>
                <w:lang w:eastAsia="zh-CN"/>
              </w:rPr>
              <w:t>进行</w:t>
            </w:r>
            <w:r>
              <w:rPr>
                <w:rFonts w:hint="default" w:ascii="Times New Roman" w:hAnsi="Times New Roman" w:eastAsia="宋体" w:cs="Times New Roman"/>
                <w:color w:val="auto"/>
                <w:kern w:val="0"/>
                <w:sz w:val="24"/>
                <w:szCs w:val="24"/>
                <w:highlight w:val="none"/>
                <w:u w:val="none" w:color="auto"/>
                <w:lang w:val="en-US" w:eastAsia="zh-CN"/>
              </w:rPr>
              <w:t>建设</w:t>
            </w:r>
            <w:r>
              <w:rPr>
                <w:rFonts w:hint="default" w:ascii="Times New Roman" w:hAnsi="Times New Roman" w:eastAsia="宋体" w:cs="Times New Roman"/>
                <w:color w:val="auto"/>
                <w:kern w:val="0"/>
                <w:sz w:val="24"/>
                <w:szCs w:val="24"/>
                <w:highlight w:val="none"/>
                <w:u w:val="none" w:color="auto"/>
                <w:lang w:eastAsia="zh-CN"/>
              </w:rPr>
              <w:t>，施工期</w:t>
            </w:r>
            <w:r>
              <w:rPr>
                <w:rFonts w:hint="default" w:ascii="Times New Roman" w:hAnsi="Times New Roman" w:eastAsia="宋体" w:cs="Times New Roman"/>
                <w:color w:val="auto"/>
                <w:kern w:val="0"/>
                <w:sz w:val="24"/>
                <w:szCs w:val="24"/>
                <w:highlight w:val="none"/>
                <w:u w:val="none" w:color="auto"/>
                <w:lang w:val="en-US" w:eastAsia="zh-CN"/>
              </w:rPr>
              <w:t>锅炉房建设占地面积较小，仅涉及土地硬化</w:t>
            </w:r>
            <w:r>
              <w:rPr>
                <w:rFonts w:hint="default" w:ascii="Times New Roman" w:hAnsi="Times New Roman" w:eastAsia="宋体" w:cs="Times New Roman"/>
                <w:color w:val="auto"/>
                <w:kern w:val="0"/>
                <w:sz w:val="24"/>
                <w:szCs w:val="24"/>
                <w:highlight w:val="none"/>
                <w:u w:val="none" w:color="auto"/>
                <w:lang w:eastAsia="zh-CN"/>
              </w:rPr>
              <w:t>，主要为内部改造、设备安装和调试，污染物产生量较小，施工时间短，本次评价不作重点分析。</w:t>
            </w:r>
          </w:p>
          <w:p w14:paraId="2B088CE3">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二、运营期</w:t>
            </w:r>
          </w:p>
          <w:p w14:paraId="7F10F1AA">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工艺流程及产污环节分析</w:t>
            </w:r>
          </w:p>
          <w:p w14:paraId="342819C2">
            <w:pPr>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color w:val="auto"/>
                <w:sz w:val="24"/>
                <w:szCs w:val="24"/>
                <w:u w:val="none" w:color="auto"/>
                <w:lang w:val="en-US" w:eastAsia="zh-CN"/>
              </w:rPr>
            </w:pPr>
          </w:p>
          <w:p w14:paraId="54F3329B">
            <w:pPr>
              <w:pStyle w:val="12"/>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682816" behindDoc="0" locked="0" layoutInCell="1" allowOverlap="1">
                      <wp:simplePos x="0" y="0"/>
                      <wp:positionH relativeFrom="column">
                        <wp:posOffset>1804035</wp:posOffset>
                      </wp:positionH>
                      <wp:positionV relativeFrom="paragraph">
                        <wp:posOffset>179705</wp:posOffset>
                      </wp:positionV>
                      <wp:extent cx="875665" cy="29464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7B4DD">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05pt;margin-top:14.15pt;height:23.2pt;width:68.95pt;z-index:251682816;mso-width-relative:page;mso-height-relative:page;" filled="f" stroked="f" coordsize="21600,21600" o:gfxdata="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&#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2HiSK2gAAAAkBAAAPAAAAAAAAAAEAIAAAACIAAABk&#10;cnMvZG93bnJldi54bWxQSwECFAAUAAAACACHTuJA2Dg/nD0CAABnBAAADgAAAAAAAAABACAAAAAp&#10;AQAAZHJzL2Uyb0RvYy54bWxQSwUGAAAAAAYABgBZAQAA2AUAAAAA&#10;">
                      <v:fill on="f" focussize="0,0"/>
                      <v:stroke on="f" weight="0.5pt"/>
                      <v:imagedata o:title=""/>
                      <o:lock v:ext="edit" aspectratio="f"/>
                      <v:textbox>
                        <w:txbxContent>
                          <w:p w14:paraId="20A7B4DD">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84864" behindDoc="0" locked="0" layoutInCell="1" allowOverlap="1">
                      <wp:simplePos x="0" y="0"/>
                      <wp:positionH relativeFrom="column">
                        <wp:posOffset>4451985</wp:posOffset>
                      </wp:positionH>
                      <wp:positionV relativeFrom="paragraph">
                        <wp:posOffset>246380</wp:posOffset>
                      </wp:positionV>
                      <wp:extent cx="808990" cy="29464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80899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F13E9">
                                  <w:pPr>
                                    <w:rPr>
                                      <w:rFonts w:hint="default" w:eastAsia="宋体"/>
                                      <w:sz w:val="18"/>
                                      <w:szCs w:val="18"/>
                                      <w:lang w:val="en-US" w:eastAsia="zh-CN"/>
                                    </w:rPr>
                                  </w:pPr>
                                  <w:r>
                                    <w:rPr>
                                      <w:rFonts w:hint="eastAsia"/>
                                      <w:sz w:val="18"/>
                                      <w:szCs w:val="18"/>
                                      <w:lang w:val="en-US" w:eastAsia="zh-CN"/>
                                    </w:rPr>
                                    <w:t>G1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55pt;margin-top:19.4pt;height:23.2pt;width:63.7pt;z-index:251684864;mso-width-relative:page;mso-height-relative:page;" filled="f" stroked="f" coordsize="21600,21600" o:gfxdata="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0k/fT2QAAAAkBAAAPAAAAAAAAAAEAIAAAACIAAABkcnMv&#10;ZG93bnJldi54bWxQSwECFAAUAAAACACHTuJA90NnNjsCAABnBAAADgAAAAAAAAABACAAAAAoAQAA&#10;ZHJzL2Uyb0RvYy54bWxQSwUGAAAAAAYABgBZAQAA1QUAAAAA&#10;">
                      <v:fill on="f" focussize="0,0"/>
                      <v:stroke on="f" weight="0.5pt"/>
                      <v:imagedata o:title=""/>
                      <o:lock v:ext="edit" aspectratio="f"/>
                      <v:textbox>
                        <w:txbxContent>
                          <w:p w14:paraId="409F13E9">
                            <w:pPr>
                              <w:rPr>
                                <w:rFonts w:hint="default" w:eastAsia="宋体"/>
                                <w:sz w:val="18"/>
                                <w:szCs w:val="18"/>
                                <w:lang w:val="en-US" w:eastAsia="zh-CN"/>
                              </w:rPr>
                            </w:pPr>
                            <w:r>
                              <w:rPr>
                                <w:rFonts w:hint="eastAsia"/>
                                <w:sz w:val="18"/>
                                <w:szCs w:val="18"/>
                                <w:lang w:val="en-US" w:eastAsia="zh-CN"/>
                              </w:rPr>
                              <w:t>G1</w:t>
                            </w:r>
                          </w:p>
                        </w:txbxContent>
                      </v:textbox>
                    </v:shape>
                  </w:pict>
                </mc:Fallback>
              </mc:AlternateContent>
            </w:r>
          </w:p>
          <w:p w14:paraId="139D66A9">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683840" behindDoc="0" locked="0" layoutInCell="1" allowOverlap="1">
                      <wp:simplePos x="0" y="0"/>
                      <wp:positionH relativeFrom="column">
                        <wp:posOffset>3480435</wp:posOffset>
                      </wp:positionH>
                      <wp:positionV relativeFrom="paragraph">
                        <wp:posOffset>22225</wp:posOffset>
                      </wp:positionV>
                      <wp:extent cx="875665" cy="29464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D564A">
                                  <w:pPr>
                                    <w:rPr>
                                      <w:rFonts w:hint="default" w:eastAsia="宋体"/>
                                      <w:sz w:val="18"/>
                                      <w:szCs w:val="18"/>
                                      <w:lang w:val="en-US" w:eastAsia="zh-CN"/>
                                    </w:rPr>
                                  </w:pPr>
                                  <w:r>
                                    <w:rPr>
                                      <w:rFonts w:hint="eastAsia"/>
                                      <w:sz w:val="18"/>
                                      <w:szCs w:val="18"/>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05pt;margin-top:1.75pt;height:23.2pt;width:68.95pt;z-index:251683840;mso-width-relative:page;mso-height-relative:page;" filled="f" stroked="f" coordsize="21600,21600" o:gfxdata="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UdKuNoAAAAIAQAADwAAAAAAAAABACAAAAAiAAAA&#10;ZHJzL2Rvd25yZXYueG1sUEsBAhQAFAAAAAgAh07iQIJH/HQ+AgAAZwQAAA4AAAAAAAAAAQAgAAAA&#10;KQEAAGRycy9lMm9Eb2MueG1sUEsFBgAAAAAGAAYAWQEAANkFAAAAAA==&#10;">
                      <v:fill on="f" focussize="0,0"/>
                      <v:stroke on="f" weight="0.5pt"/>
                      <v:imagedata o:title=""/>
                      <o:lock v:ext="edit" aspectratio="f"/>
                      <v:textbox>
                        <w:txbxContent>
                          <w:p w14:paraId="357D564A">
                            <w:pPr>
                              <w:rPr>
                                <w:rFonts w:hint="default" w:eastAsia="宋体"/>
                                <w:sz w:val="18"/>
                                <w:szCs w:val="18"/>
                                <w:lang w:val="en-US" w:eastAsia="zh-CN"/>
                              </w:rPr>
                            </w:pPr>
                            <w:r>
                              <w:rPr>
                                <w:rFonts w:hint="eastAsia"/>
                                <w:sz w:val="18"/>
                                <w:szCs w:val="18"/>
                                <w:lang w:val="en-US" w:eastAsia="zh-CN"/>
                              </w:rPr>
                              <w:t>N</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81792" behindDoc="0" locked="0" layoutInCell="1" allowOverlap="1">
                      <wp:simplePos x="0" y="0"/>
                      <wp:positionH relativeFrom="column">
                        <wp:posOffset>327660</wp:posOffset>
                      </wp:positionH>
                      <wp:positionV relativeFrom="paragraph">
                        <wp:posOffset>3175</wp:posOffset>
                      </wp:positionV>
                      <wp:extent cx="875665" cy="29464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6E2B8">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0.25pt;height:23.2pt;width:68.95pt;z-index:251681792;mso-width-relative:page;mso-height-relative:page;" filled="f" stroked="f" coordsize="21600,21600" o:gfxdata="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f3DedcAAAAGAQAADwAAAAAAAAABACAAAAAiAAAAZHJz&#10;L2Rvd25yZXYueG1sUEsBAhQAFAAAAAgAh07iQEmtO0A+AgAAZwQAAA4AAAAAAAAAAQAgAAAAJgEA&#10;AGRycy9lMm9Eb2MueG1sUEsFBgAAAAAGAAYAWQEAANYFAAAAAA==&#10;">
                      <v:fill on="f" focussize="0,0"/>
                      <v:stroke on="f" weight="0.5pt"/>
                      <v:imagedata o:title=""/>
                      <o:lock v:ext="edit" aspectratio="f"/>
                      <v:textbox>
                        <w:txbxContent>
                          <w:p w14:paraId="3DC6E2B8">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8720" behindDoc="0" locked="0" layoutInCell="1" allowOverlap="1">
                      <wp:simplePos x="0" y="0"/>
                      <wp:positionH relativeFrom="column">
                        <wp:posOffset>4584700</wp:posOffset>
                      </wp:positionH>
                      <wp:positionV relativeFrom="paragraph">
                        <wp:posOffset>165100</wp:posOffset>
                      </wp:positionV>
                      <wp:extent cx="5080" cy="314325"/>
                      <wp:effectExtent l="36830" t="0" r="34290" b="9525"/>
                      <wp:wrapNone/>
                      <wp:docPr id="80" name="直接箭头连接符 80"/>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361pt;margin-top:13pt;height:24.75pt;width:0.4pt;z-index:251678720;mso-width-relative:page;mso-height-relative:page;" filled="f" stroked="t" coordsize="21600,21600" o:gfxdata="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&#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TTDj2gAAAAkBAAAPAAAAAAAAAAEAIAAAACIAAABk&#10;cnMvZG93bnJldi54bWxQSwECFAAUAAAACACHTuJAPs/dswQCAADfAwAADgAAAAAAAAABACAAAAAp&#10;AQAAZHJzL2Uyb0RvYy54bWxQSwUGAAAAAAYABgBZAQAAnwU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7696" behindDoc="0" locked="0" layoutInCell="1" allowOverlap="1">
                      <wp:simplePos x="0" y="0"/>
                      <wp:positionH relativeFrom="column">
                        <wp:posOffset>3641725</wp:posOffset>
                      </wp:positionH>
                      <wp:positionV relativeFrom="paragraph">
                        <wp:posOffset>184150</wp:posOffset>
                      </wp:positionV>
                      <wp:extent cx="5080" cy="314325"/>
                      <wp:effectExtent l="36830" t="0" r="34290" b="9525"/>
                      <wp:wrapNone/>
                      <wp:docPr id="79" name="直接箭头连接符 79"/>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86.75pt;margin-top:14.5pt;height:24.75pt;width:0.4pt;z-index:251677696;mso-width-relative:page;mso-height-relative:page;" filled="f" stroked="t" coordsize="21600,21600" o:gfxdata="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4ThS3dAAAACQEAAA8AAAAAAAAAAQAgAAAA&#10;IgAAAGRycy9kb3ducmV2LnhtbFBLAQIUABQAAAAIAIdO4kBwIHd6BgIAAN8DAAAOAAAAAAAAAAEA&#10;IAAAACwBAABkcnMvZTJvRG9jLnhtbFBLBQYAAAAABgAGAFkBAACkBQ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6672" behindDoc="0" locked="0" layoutInCell="1" allowOverlap="1">
                      <wp:simplePos x="0" y="0"/>
                      <wp:positionH relativeFrom="column">
                        <wp:posOffset>2127250</wp:posOffset>
                      </wp:positionH>
                      <wp:positionV relativeFrom="paragraph">
                        <wp:posOffset>69850</wp:posOffset>
                      </wp:positionV>
                      <wp:extent cx="5080" cy="314325"/>
                      <wp:effectExtent l="36830" t="0" r="34290" b="9525"/>
                      <wp:wrapNone/>
                      <wp:docPr id="78" name="直接箭头连接符 78"/>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67.5pt;margin-top:5.5pt;height:24.75pt;width:0.4pt;z-index:251676672;mso-width-relative:page;mso-height-relative:page;" filled="f" stroked="t" coordsize="21600,21600" o:gfxdata="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y0a2XbAAAACQEAAA8AAAAAAAAAAQAgAAAAIgAA&#10;AGRycy9kb3ducmV2LnhtbFBLAQIUABQAAAAIAIdO4kBhyKQcBQIAAN8DAAAOAAAAAAAAAAEAIAAA&#10;ACoBAABkcnMvZTJvRG9jLnhtbFBLBQYAAAAABgAGAFkBAAChBQ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5648" behindDoc="0" locked="0" layoutInCell="1" allowOverlap="1">
                      <wp:simplePos x="0" y="0"/>
                      <wp:positionH relativeFrom="column">
                        <wp:posOffset>631825</wp:posOffset>
                      </wp:positionH>
                      <wp:positionV relativeFrom="paragraph">
                        <wp:posOffset>184150</wp:posOffset>
                      </wp:positionV>
                      <wp:extent cx="5080" cy="314325"/>
                      <wp:effectExtent l="36830" t="0" r="34290" b="9525"/>
                      <wp:wrapNone/>
                      <wp:docPr id="76" name="直接箭头连接符 76"/>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49.75pt;margin-top:14.5pt;height:24.75pt;width:0.4pt;z-index:251675648;mso-width-relative:page;mso-height-relative:page;" filled="f" stroked="t" coordsize="21600,21600" o:gfxdata="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Wc70B2wAAAAgBAAAPAAAAAAAAAAEAIAAAACIA&#10;AABkcnMvZG93bnJldi54bWxQSwECFAAUAAAACACHTuJATPJAEQYCAADfAwAADgAAAAAAAAABACAA&#10;AAAqAQAAZHJzL2Uyb0RvYy54bWxQSwUGAAAAAAYABgBZAQAAogUAAAAA&#10;">
                      <v:fill on="f" focussize="0,0"/>
                      <v:stroke weight="0pt" color="#000000 [3213]" joinstyle="round" endarrow="block"/>
                      <v:imagedata o:title=""/>
                      <o:lock v:ext="edit" aspectratio="f"/>
                    </v:shape>
                  </w:pict>
                </mc:Fallback>
              </mc:AlternateContent>
            </w:r>
          </w:p>
          <w:p w14:paraId="4BB50B99">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667456" behindDoc="0" locked="0" layoutInCell="1" allowOverlap="1">
                      <wp:simplePos x="0" y="0"/>
                      <wp:positionH relativeFrom="column">
                        <wp:posOffset>1494155</wp:posOffset>
                      </wp:positionH>
                      <wp:positionV relativeFrom="paragraph">
                        <wp:posOffset>150495</wp:posOffset>
                      </wp:positionV>
                      <wp:extent cx="1509395" cy="466725"/>
                      <wp:effectExtent l="4445" t="4445" r="10160" b="5080"/>
                      <wp:wrapNone/>
                      <wp:docPr id="68" name="文本框 68"/>
                      <wp:cNvGraphicFramePr/>
                      <a:graphic xmlns:a="http://schemas.openxmlformats.org/drawingml/2006/main">
                        <a:graphicData uri="http://schemas.microsoft.com/office/word/2010/wordprocessingShape">
                          <wps:wsp>
                            <wps:cNvSpPr txBox="1"/>
                            <wps:spPr>
                              <a:xfrm>
                                <a:off x="0" y="0"/>
                                <a:ext cx="1509395" cy="466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398642">
                                  <w:pPr>
                                    <w:jc w:val="center"/>
                                    <w:rPr>
                                      <w:rFonts w:hint="eastAsia"/>
                                      <w:u w:val="none"/>
                                      <w:lang w:val="en-US" w:eastAsia="zh-CN"/>
                                    </w:rPr>
                                  </w:pPr>
                                  <w:r>
                                    <w:rPr>
                                      <w:rFonts w:hint="eastAsia" w:ascii="宋体" w:hAnsi="宋体" w:cs="宋体"/>
                                      <w:color w:val="auto"/>
                                      <w:sz w:val="21"/>
                                      <w:szCs w:val="21"/>
                                      <w:u w:val="none"/>
                                      <w:lang w:val="en-US" w:eastAsia="zh-CN"/>
                                    </w:rPr>
                                    <w:t>SNCR+多管旋风除尘+</w:t>
                                  </w:r>
                                  <w:r>
                                    <w:rPr>
                                      <w:rFonts w:hint="eastAsia" w:ascii="宋体" w:hAnsi="宋体" w:eastAsia="宋体" w:cs="宋体"/>
                                      <w:color w:val="auto"/>
                                      <w:sz w:val="21"/>
                                      <w:szCs w:val="21"/>
                                      <w:u w:val="none"/>
                                      <w:lang w:eastAsia="zh-CN"/>
                                    </w:rPr>
                                    <w:t>布袋除尘器+</w:t>
                                  </w:r>
                                  <w:r>
                                    <w:rPr>
                                      <w:rFonts w:hint="eastAsia" w:ascii="宋体" w:hAnsi="宋体" w:cs="宋体"/>
                                      <w:color w:val="auto"/>
                                      <w:sz w:val="21"/>
                                      <w:szCs w:val="21"/>
                                      <w:u w:val="none"/>
                                      <w:lang w:val="en-US" w:eastAsia="zh-CN"/>
                                    </w:rPr>
                                    <w:t>脱硫塔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65pt;margin-top:11.85pt;height:36.75pt;width:118.85pt;z-index:251667456;mso-width-relative:page;mso-height-relative:page;" fillcolor="#FFFFFF [3201]" filled="t" stroked="t" coordsize="21600,21600" o:gfxdata="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6DeXdYA&#10;AAAJAQAADwAAAAAAAAABACAAAAAiAAAAZHJzL2Rvd25yZXYueG1sUEsBAhQAFAAAAAgAh07iQCI/&#10;espaAgAAuQQAAA4AAAAAAAAAAQAgAAAAJQEAAGRycy9lMm9Eb2MueG1sUEsFBgAAAAAGAAYAWQEA&#10;APEFAAAAAA==&#10;">
                      <v:fill on="t" focussize="0,0"/>
                      <v:stroke weight="0.5pt" color="#000000 [3204]" joinstyle="round"/>
                      <v:imagedata o:title=""/>
                      <o:lock v:ext="edit" aspectratio="f"/>
                      <v:textbox>
                        <w:txbxContent>
                          <w:p w14:paraId="49398642">
                            <w:pPr>
                              <w:jc w:val="center"/>
                              <w:rPr>
                                <w:rFonts w:hint="eastAsia"/>
                                <w:u w:val="none"/>
                                <w:lang w:val="en-US" w:eastAsia="zh-CN"/>
                              </w:rPr>
                            </w:pPr>
                            <w:r>
                              <w:rPr>
                                <w:rFonts w:hint="eastAsia" w:ascii="宋体" w:hAnsi="宋体" w:cs="宋体"/>
                                <w:color w:val="auto"/>
                                <w:sz w:val="21"/>
                                <w:szCs w:val="21"/>
                                <w:u w:val="none"/>
                                <w:lang w:val="en-US" w:eastAsia="zh-CN"/>
                              </w:rPr>
                              <w:t>SNCR+多管旋风除尘+</w:t>
                            </w:r>
                            <w:r>
                              <w:rPr>
                                <w:rFonts w:hint="eastAsia" w:ascii="宋体" w:hAnsi="宋体" w:eastAsia="宋体" w:cs="宋体"/>
                                <w:color w:val="auto"/>
                                <w:sz w:val="21"/>
                                <w:szCs w:val="21"/>
                                <w:u w:val="none"/>
                                <w:lang w:eastAsia="zh-CN"/>
                              </w:rPr>
                              <w:t>布袋除尘器+</w:t>
                            </w:r>
                            <w:r>
                              <w:rPr>
                                <w:rFonts w:hint="eastAsia" w:ascii="宋体" w:hAnsi="宋体" w:cs="宋体"/>
                                <w:color w:val="auto"/>
                                <w:sz w:val="21"/>
                                <w:szCs w:val="21"/>
                                <w:u w:val="none"/>
                                <w:lang w:val="en-US" w:eastAsia="zh-CN"/>
                              </w:rPr>
                              <w:t>脱硫塔</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9744" behindDoc="0" locked="0" layoutInCell="1" allowOverlap="1">
                      <wp:simplePos x="0" y="0"/>
                      <wp:positionH relativeFrom="column">
                        <wp:posOffset>-73025</wp:posOffset>
                      </wp:positionH>
                      <wp:positionV relativeFrom="paragraph">
                        <wp:posOffset>133350</wp:posOffset>
                      </wp:positionV>
                      <wp:extent cx="595630" cy="294640"/>
                      <wp:effectExtent l="0" t="0" r="0" b="0"/>
                      <wp:wrapNone/>
                      <wp:docPr id="81" name="文本框 81"/>
                      <wp:cNvGraphicFramePr/>
                      <a:graphic xmlns:a="http://schemas.openxmlformats.org/drawingml/2006/main">
                        <a:graphicData uri="http://schemas.microsoft.com/office/word/2010/wordprocessingShape">
                          <wps:wsp>
                            <wps:cNvSpPr txBox="1"/>
                            <wps:spPr>
                              <a:xfrm>
                                <a:off x="3061335" y="4607560"/>
                                <a:ext cx="59563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04045">
                                  <w:pPr>
                                    <w:rPr>
                                      <w:rFonts w:hint="eastAsia" w:eastAsia="宋体"/>
                                      <w:sz w:val="18"/>
                                      <w:szCs w:val="18"/>
                                      <w:lang w:val="en-US" w:eastAsia="zh-CN"/>
                                    </w:rPr>
                                  </w:pPr>
                                  <w:r>
                                    <w:rPr>
                                      <w:rFonts w:hint="eastAsia"/>
                                      <w:sz w:val="18"/>
                                      <w:szCs w:val="18"/>
                                      <w:lang w:val="en-US" w:eastAsia="zh-CN"/>
                                    </w:rPr>
                                    <w:t>生物质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5pt;margin-top:10.5pt;height:23.2pt;width:46.9pt;z-index:251679744;mso-width-relative:page;mso-height-relative:page;" filled="f" stroked="f" coordsize="21600,21600" o:gfxdata="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BLGLjaAAAACAEAAA8AAAAAAAAA&#10;AQAgAAAAIgAAAGRycy9kb3ducmV2LnhtbFBLAQIUABQAAAAIAIdO4kBLnXBDSAIAAHMEAAAOAAAA&#10;AAAAAAEAIAAAACkBAABkcnMvZTJvRG9jLnhtbFBLBQYAAAAABgAGAFkBAADjBQAAAAA=&#10;">
                      <v:fill on="f" focussize="0,0"/>
                      <v:stroke on="f" weight="0.5pt"/>
                      <v:imagedata o:title=""/>
                      <o:lock v:ext="edit" aspectratio="f"/>
                      <v:textbox>
                        <w:txbxContent>
                          <w:p w14:paraId="10F04045">
                            <w:pPr>
                              <w:rPr>
                                <w:rFonts w:hint="eastAsia" w:eastAsia="宋体"/>
                                <w:sz w:val="18"/>
                                <w:szCs w:val="18"/>
                                <w:lang w:val="en-US" w:eastAsia="zh-CN"/>
                              </w:rPr>
                            </w:pPr>
                            <w:r>
                              <w:rPr>
                                <w:rFonts w:hint="eastAsia"/>
                                <w:sz w:val="18"/>
                                <w:szCs w:val="18"/>
                                <w:lang w:val="en-US" w:eastAsia="zh-CN"/>
                              </w:rPr>
                              <w:t>生物质</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69504" behindDoc="0" locked="0" layoutInCell="1" allowOverlap="1">
                      <wp:simplePos x="0" y="0"/>
                      <wp:positionH relativeFrom="column">
                        <wp:posOffset>4289425</wp:posOffset>
                      </wp:positionH>
                      <wp:positionV relativeFrom="paragraph">
                        <wp:posOffset>236220</wp:posOffset>
                      </wp:positionV>
                      <wp:extent cx="629285" cy="276225"/>
                      <wp:effectExtent l="4445" t="4445" r="13970" b="5080"/>
                      <wp:wrapNone/>
                      <wp:docPr id="70" name="文本框 70"/>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4E17A0">
                                  <w:pPr>
                                    <w:jc w:val="center"/>
                                    <w:rPr>
                                      <w:rFonts w:hint="default" w:eastAsia="宋体"/>
                                      <w:lang w:val="en-US" w:eastAsia="zh-CN"/>
                                    </w:rPr>
                                  </w:pPr>
                                  <w:r>
                                    <w:rPr>
                                      <w:rFonts w:hint="eastAsia"/>
                                      <w:lang w:val="en-US" w:eastAsia="zh-CN"/>
                                    </w:rPr>
                                    <w:t>排气筒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75pt;margin-top:18.6pt;height:21.75pt;width:49.55pt;z-index:251669504;mso-width-relative:page;mso-height-relative:page;" fillcolor="#FFFFFF [3201]" filled="t" stroked="t" coordsize="21600,21600" o:gfxdata="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d28gnXAAAA&#10;CQEAAA8AAAAAAAAAAQAgAAAAIgAAAGRycy9kb3ducmV2LnhtbFBLAQIUABQAAAAIAIdO4kBuTKMI&#10;VwIAALgEAAAOAAAAAAAAAAEAIAAAACYBAABkcnMvZTJvRG9jLnhtbFBLBQYAAAAABgAGAFkBAADv&#10;BQAAAAA=&#10;">
                      <v:fill on="t" focussize="0,0"/>
                      <v:stroke weight="0.5pt" color="#000000 [3204]" joinstyle="round"/>
                      <v:imagedata o:title=""/>
                      <o:lock v:ext="edit" aspectratio="f"/>
                      <v:textbox>
                        <w:txbxContent>
                          <w:p w14:paraId="3E4E17A0">
                            <w:pPr>
                              <w:jc w:val="center"/>
                              <w:rPr>
                                <w:rFonts w:hint="default" w:eastAsia="宋体"/>
                                <w:lang w:val="en-US" w:eastAsia="zh-CN"/>
                              </w:rPr>
                            </w:pPr>
                            <w:r>
                              <w:rPr>
                                <w:rFonts w:hint="eastAsia"/>
                                <w:lang w:val="en-US" w:eastAsia="zh-CN"/>
                              </w:rPr>
                              <w:t>排气筒</w:t>
                            </w:r>
                          </w:p>
                        </w:txbxContent>
                      </v:textbox>
                    </v:shape>
                  </w:pict>
                </mc:Fallback>
              </mc:AlternateContent>
            </w:r>
          </w:p>
          <w:p w14:paraId="4DCADB7F">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671552" behindDoc="0" locked="0" layoutInCell="1" allowOverlap="1">
                      <wp:simplePos x="0" y="0"/>
                      <wp:positionH relativeFrom="column">
                        <wp:posOffset>1163955</wp:posOffset>
                      </wp:positionH>
                      <wp:positionV relativeFrom="paragraph">
                        <wp:posOffset>132715</wp:posOffset>
                      </wp:positionV>
                      <wp:extent cx="318770" cy="0"/>
                      <wp:effectExtent l="0" t="38100" r="5080" b="38100"/>
                      <wp:wrapNone/>
                      <wp:docPr id="72" name="直接箭头连接符 72"/>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1.65pt;margin-top:10.45pt;height:0pt;width:25.1pt;z-index:251671552;mso-width-relative:page;mso-height-relative:page;" filled="f" stroked="t" coordsize="21600,21600" o:gfxdata="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A8Hol1wAAAAkBAAAPAAAAAAAAAAEAIAAAACIAAABkcnMvZG93bnJldi54bWxQSwEC&#10;FAAUAAAACACHTuJA4ZSj0/UBAADIAwAADgAAAAAAAAABACAAAAAmAQAAZHJzL2Uyb0RvYy54bWxQ&#10;SwUGAAAAAAYABgBZAQAAjQU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66432" behindDoc="0" locked="0" layoutInCell="1" allowOverlap="1">
                      <wp:simplePos x="0" y="0"/>
                      <wp:positionH relativeFrom="column">
                        <wp:posOffset>393700</wp:posOffset>
                      </wp:positionH>
                      <wp:positionV relativeFrom="paragraph">
                        <wp:posOffset>7620</wp:posOffset>
                      </wp:positionV>
                      <wp:extent cx="773430" cy="276225"/>
                      <wp:effectExtent l="4445" t="4445" r="22225" b="5080"/>
                      <wp:wrapNone/>
                      <wp:docPr id="67" name="文本框 67"/>
                      <wp:cNvGraphicFramePr/>
                      <a:graphic xmlns:a="http://schemas.openxmlformats.org/drawingml/2006/main">
                        <a:graphicData uri="http://schemas.microsoft.com/office/word/2010/wordprocessingShape">
                          <wps:wsp>
                            <wps:cNvSpPr txBox="1"/>
                            <wps:spPr>
                              <a:xfrm>
                                <a:off x="1842135" y="3443605"/>
                                <a:ext cx="77343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B74D80">
                                  <w:pPr>
                                    <w:jc w:val="center"/>
                                    <w:rPr>
                                      <w:rFonts w:hint="eastAsia" w:eastAsia="宋体"/>
                                      <w:lang w:val="en-US" w:eastAsia="zh-CN"/>
                                    </w:rPr>
                                  </w:pPr>
                                  <w:r>
                                    <w:rPr>
                                      <w:rFonts w:hint="eastAsia"/>
                                      <w:lang w:val="en-US" w:eastAsia="zh-CN"/>
                                    </w:rPr>
                                    <w:t>新增锅炉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0.6pt;height:21.75pt;width:60.9pt;z-index:251666432;mso-width-relative:page;mso-height-relative:page;" fillcolor="#FFFFFF [3201]" filled="t" stroked="t" coordsize="21600,21600" o:gfxdata="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cqyt7UAAAABwEAAA8AAAAAAAAAAQAgAAAAIgAAAGRycy9kb3ducmV2LnhtbFBLAQIUABQA&#10;AAAIAIdO4kDhJxJyZgIAAMQEAAAOAAAAAAAAAAEAIAAAACMBAABkcnMvZTJvRG9jLnhtbFBLBQYA&#10;AAAABgAGAFkBAAD7BQAAAAA=&#10;">
                      <v:fill on="t" focussize="0,0"/>
                      <v:stroke weight="0.5pt" color="#000000 [3204]" joinstyle="round"/>
                      <v:imagedata o:title=""/>
                      <o:lock v:ext="edit" aspectratio="f"/>
                      <v:textbox>
                        <w:txbxContent>
                          <w:p w14:paraId="53B74D80">
                            <w:pPr>
                              <w:jc w:val="center"/>
                              <w:rPr>
                                <w:rFonts w:hint="eastAsia" w:eastAsia="宋体"/>
                                <w:lang w:val="en-US" w:eastAsia="zh-CN"/>
                              </w:rPr>
                            </w:pPr>
                            <w:r>
                              <w:rPr>
                                <w:rFonts w:hint="eastAsia"/>
                                <w:lang w:val="en-US" w:eastAsia="zh-CN"/>
                              </w:rPr>
                              <w:t>新增锅炉</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68480" behindDoc="0" locked="0" layoutInCell="1" allowOverlap="1">
                      <wp:simplePos x="0" y="0"/>
                      <wp:positionH relativeFrom="column">
                        <wp:posOffset>3327400</wp:posOffset>
                      </wp:positionH>
                      <wp:positionV relativeFrom="paragraph">
                        <wp:posOffset>36195</wp:posOffset>
                      </wp:positionV>
                      <wp:extent cx="629285" cy="276225"/>
                      <wp:effectExtent l="4445" t="4445" r="13970" b="5080"/>
                      <wp:wrapNone/>
                      <wp:docPr id="69" name="文本框 69"/>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7EEA26">
                                  <w:pPr>
                                    <w:jc w:val="center"/>
                                    <w:rPr>
                                      <w:rFonts w:hint="default" w:eastAsia="宋体"/>
                                      <w:lang w:val="en-US" w:eastAsia="zh-CN"/>
                                    </w:rPr>
                                  </w:pPr>
                                  <w:r>
                                    <w:rPr>
                                      <w:rFonts w:hint="eastAsia"/>
                                      <w:lang w:val="en-US" w:eastAsia="zh-CN"/>
                                    </w:rPr>
                                    <w:t>引风机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pt;margin-top:2.85pt;height:21.75pt;width:49.55pt;z-index:251668480;mso-width-relative:page;mso-height-relative:page;" fillcolor="#FFFFFF [3201]" filled="t" stroked="t" coordsize="21600,21600" o:gfxdata="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8temX1gAA&#10;AAgBAAAPAAAAAAAAAAEAIAAAACIAAABkcnMvZG93bnJldi54bWxQSwECFAAUAAAACACHTuJAK/Ik&#10;d1kCAAC4BAAADgAAAAAAAAABACAAAAAlAQAAZHJzL2Uyb0RvYy54bWxQSwUGAAAAAAYABgBZAQAA&#10;8AUAAAAA&#10;">
                      <v:fill on="t" focussize="0,0"/>
                      <v:stroke weight="0.5pt" color="#000000 [3204]" joinstyle="round"/>
                      <v:imagedata o:title=""/>
                      <o:lock v:ext="edit" aspectratio="f"/>
                      <v:textbox>
                        <w:txbxContent>
                          <w:p w14:paraId="5E7EEA26">
                            <w:pPr>
                              <w:jc w:val="center"/>
                              <w:rPr>
                                <w:rFonts w:hint="default" w:eastAsia="宋体"/>
                                <w:lang w:val="en-US" w:eastAsia="zh-CN"/>
                              </w:rPr>
                            </w:pPr>
                            <w:r>
                              <w:rPr>
                                <w:rFonts w:hint="eastAsia"/>
                                <w:lang w:val="en-US" w:eastAsia="zh-CN"/>
                              </w:rPr>
                              <w:t>引风机</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3600" behindDoc="0" locked="0" layoutInCell="1" allowOverlap="1">
                      <wp:simplePos x="0" y="0"/>
                      <wp:positionH relativeFrom="column">
                        <wp:posOffset>3970655</wp:posOffset>
                      </wp:positionH>
                      <wp:positionV relativeFrom="paragraph">
                        <wp:posOffset>130810</wp:posOffset>
                      </wp:positionV>
                      <wp:extent cx="318770" cy="0"/>
                      <wp:effectExtent l="0" t="38100" r="5080" b="38100"/>
                      <wp:wrapNone/>
                      <wp:docPr id="74" name="直接箭头连接符 74"/>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12.65pt;margin-top:10.3pt;height:0pt;width:25.1pt;z-index:251673600;mso-width-relative:page;mso-height-relative:page;" filled="f" stroked="t" coordsize="21600,21600" o:gfxdata="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jgR5NgAAAAJAQAADwAAAAAAAAABACAAAAAiAAAAZHJzL2Rvd25yZXYueG1sUEsB&#10;AhQAFAAAAAgAh07iQDM6QJz1AQAAyAMAAA4AAAAAAAAAAQAgAAAAJw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2576" behindDoc="0" locked="0" layoutInCell="1" allowOverlap="1">
                      <wp:simplePos x="0" y="0"/>
                      <wp:positionH relativeFrom="column">
                        <wp:posOffset>2999105</wp:posOffset>
                      </wp:positionH>
                      <wp:positionV relativeFrom="paragraph">
                        <wp:posOffset>149860</wp:posOffset>
                      </wp:positionV>
                      <wp:extent cx="318770" cy="0"/>
                      <wp:effectExtent l="0" t="38100" r="5080" b="38100"/>
                      <wp:wrapNone/>
                      <wp:docPr id="73" name="直接箭头连接符 73"/>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6.15pt;margin-top:11.8pt;height:0pt;width:25.1pt;z-index:251672576;mso-width-relative:page;mso-height-relative:page;" filled="f" stroked="t" coordsize="21600,21600" o:gfxdata="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Bd0MNgAAAAJAQAADwAAAAAAAAABACAAAAAiAAAAZHJzL2Rvd25yZXYueG1sUEsB&#10;AhQAFAAAAAgAh07iQPnbI3j1AQAAyAMAAA4AAAAAAAAAAQAgAAAAJw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0528" behindDoc="0" locked="0" layoutInCell="1" allowOverlap="1">
                      <wp:simplePos x="0" y="0"/>
                      <wp:positionH relativeFrom="column">
                        <wp:posOffset>-53975</wp:posOffset>
                      </wp:positionH>
                      <wp:positionV relativeFrom="paragraph">
                        <wp:posOffset>140335</wp:posOffset>
                      </wp:positionV>
                      <wp:extent cx="447675" cy="0"/>
                      <wp:effectExtent l="0" t="38100" r="9525" b="38100"/>
                      <wp:wrapNone/>
                      <wp:docPr id="71" name="直接箭头连接符 71"/>
                      <wp:cNvGraphicFramePr/>
                      <a:graphic xmlns:a="http://schemas.openxmlformats.org/drawingml/2006/main">
                        <a:graphicData uri="http://schemas.microsoft.com/office/word/2010/wordprocessingShape">
                          <wps:wsp>
                            <wps:cNvCnPr/>
                            <wps:spPr>
                              <a:xfrm>
                                <a:off x="2527935" y="4150360"/>
                                <a:ext cx="447675"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25pt;margin-top:11.05pt;height:0pt;width:35.25pt;z-index:251670528;mso-width-relative:page;mso-height-relative:page;" filled="f" stroked="t" coordsize="21600,21600" o:gfxdata="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Tdc1gAAAAcBAAAPAAAAAAAAAAEAIAAAACIAAABkcnMv&#10;ZG93bnJldi54bWxQSwECFAAUAAAACACHTuJAMpdE1gUCAADUAwAADgAAAAAAAAABACAAAAAlAQAA&#10;ZHJzL2Uyb0RvYy54bWxQSwUGAAAAAAYABgBZAQAAnAUAAAAA&#10;">
                      <v:fill on="f" focussize="0,0"/>
                      <v:stroke weight="0pt" color="#000000 [3213]" joinstyle="round" endarrow="block"/>
                      <v:imagedata o:title=""/>
                      <o:lock v:ext="edit" aspectratio="f"/>
                    </v:shape>
                  </w:pict>
                </mc:Fallback>
              </mc:AlternateContent>
            </w:r>
          </w:p>
          <w:p w14:paraId="50DEB00B">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color w:val="auto"/>
                <w:u w:val="none" w:color="auto"/>
              </w:rPr>
              <mc:AlternateContent>
                <mc:Choice Requires="wps">
                  <w:drawing>
                    <wp:anchor distT="0" distB="0" distL="114300" distR="114300" simplePos="0" relativeHeight="251659264" behindDoc="0" locked="0" layoutInCell="1" allowOverlap="1">
                      <wp:simplePos x="0" y="0"/>
                      <wp:positionH relativeFrom="column">
                        <wp:posOffset>4133215</wp:posOffset>
                      </wp:positionH>
                      <wp:positionV relativeFrom="paragraph">
                        <wp:posOffset>208280</wp:posOffset>
                      </wp:positionV>
                      <wp:extent cx="749935" cy="1035685"/>
                      <wp:effectExtent l="0" t="0" r="0" b="0"/>
                      <wp:wrapNone/>
                      <wp:docPr id="100" name="文本框 99"/>
                      <wp:cNvGraphicFramePr/>
                      <a:graphic xmlns:a="http://schemas.openxmlformats.org/drawingml/2006/main">
                        <a:graphicData uri="http://schemas.microsoft.com/office/word/2010/wordprocessingShape">
                          <wps:wsp>
                            <wps:cNvSpPr txBox="1"/>
                            <wps:spPr>
                              <a:xfrm>
                                <a:off x="0" y="0"/>
                                <a:ext cx="749935" cy="1035685"/>
                              </a:xfrm>
                              <a:prstGeom prst="rect">
                                <a:avLst/>
                              </a:prstGeom>
                              <a:noFill/>
                              <a:ln w="9525">
                                <a:noFill/>
                              </a:ln>
                            </wps:spPr>
                            <wps:txbx>
                              <w:txbxContent>
                                <w:p w14:paraId="4948BE5F">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2EE8250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75143BEE">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65E45751">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15F65E3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753BF55D">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wps:txbx>
                            <wps:bodyPr>
                              <a:noAutofit/>
                            </wps:bodyPr>
                          </wps:wsp>
                        </a:graphicData>
                      </a:graphic>
                    </wp:anchor>
                  </w:drawing>
                </mc:Choice>
                <mc:Fallback>
                  <w:pict>
                    <v:shape id="文本框 99" o:spid="_x0000_s1026" o:spt="202" type="#_x0000_t202" style="position:absolute;left:0pt;margin-left:325.45pt;margin-top:16.4pt;height:81.55pt;width:59.05pt;z-index:251659264;mso-width-relative:page;mso-height-relative:page;" filled="f" stroked="f" coordsize="21600,21600" o:gfxdata="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6QSjmNYAAAAKAQAADwAAAAAAAAABACAAAAAiAAAAZHJzL2Rvd25yZXYueG1sUEsBAhQA&#10;FAAAAAgAh07iQAz4Wo27AQAAaAMAAA4AAAAAAAAAAQAgAAAAJQEAAGRycy9lMm9Eb2MueG1sUEsF&#10;BgAAAAAGAAYAWQEAAFIFAAAAAA==&#10;">
                      <v:fill on="f" focussize="0,0"/>
                      <v:stroke on="f"/>
                      <v:imagedata o:title=""/>
                      <o:lock v:ext="edit" aspectratio="f"/>
                      <v:textbox>
                        <w:txbxContent>
                          <w:p w14:paraId="4948BE5F">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2EE8250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75143BEE">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65E45751">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15F65E3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753BF55D">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674624" behindDoc="0" locked="0" layoutInCell="1" allowOverlap="1">
                      <wp:simplePos x="0" y="0"/>
                      <wp:positionH relativeFrom="column">
                        <wp:posOffset>631825</wp:posOffset>
                      </wp:positionH>
                      <wp:positionV relativeFrom="paragraph">
                        <wp:posOffset>41910</wp:posOffset>
                      </wp:positionV>
                      <wp:extent cx="5080" cy="304800"/>
                      <wp:effectExtent l="36830" t="0" r="34290" b="0"/>
                      <wp:wrapNone/>
                      <wp:docPr id="75" name="直接箭头连接符 75"/>
                      <wp:cNvGraphicFramePr/>
                      <a:graphic xmlns:a="http://schemas.openxmlformats.org/drawingml/2006/main">
                        <a:graphicData uri="http://schemas.microsoft.com/office/word/2010/wordprocessingShape">
                          <wps:wsp>
                            <wps:cNvCnPr/>
                            <wps:spPr>
                              <a:xfrm flipH="1">
                                <a:off x="0" y="0"/>
                                <a:ext cx="5080" cy="30480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9.75pt;margin-top:3.3pt;height:24pt;width:0.4pt;z-index:251674624;mso-width-relative:page;mso-height-relative:page;" filled="f" stroked="t" coordsize="21600,21600" o:gfxdata="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imoH3UAAAABwEAAA8AAAAAAAAAAQAgAAAAIgAAAGRycy9kb3ducmV2&#10;LnhtbFBLAQIUABQAAAAIAIdO4kAL8EmlAAIAANUDAAAOAAAAAAAAAAEAIAAAACMBAABkcnMvZTJv&#10;RG9jLnhtbFBLBQYAAAAABgAGAFkBAACVBQAAAAA=&#10;">
                      <v:fill on="f" focussize="0,0"/>
                      <v:stroke weight="0pt" color="#000000 [3213]" joinstyle="round" endarrow="block"/>
                      <v:imagedata o:title=""/>
                      <o:lock v:ext="edit" aspectratio="f"/>
                    </v:shape>
                  </w:pict>
                </mc:Fallback>
              </mc:AlternateContent>
            </w:r>
          </w:p>
          <w:p w14:paraId="68DA0792">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680768" behindDoc="0" locked="0" layoutInCell="1" allowOverlap="1">
                      <wp:simplePos x="0" y="0"/>
                      <wp:positionH relativeFrom="column">
                        <wp:posOffset>308610</wp:posOffset>
                      </wp:positionH>
                      <wp:positionV relativeFrom="paragraph">
                        <wp:posOffset>77470</wp:posOffset>
                      </wp:positionV>
                      <wp:extent cx="875665" cy="29464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18855">
                                  <w:pPr>
                                    <w:rPr>
                                      <w:rFonts w:hint="default" w:eastAsia="宋体"/>
                                      <w:sz w:val="18"/>
                                      <w:szCs w:val="18"/>
                                      <w:lang w:val="en-US" w:eastAsia="zh-CN"/>
                                    </w:rPr>
                                  </w:pPr>
                                  <w:r>
                                    <w:rPr>
                                      <w:rFonts w:hint="eastAsia"/>
                                      <w:sz w:val="18"/>
                                      <w:szCs w:val="18"/>
                                      <w:lang w:val="en-US" w:eastAsia="zh-CN"/>
                                    </w:rPr>
                                    <w:t>生产工段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6.1pt;height:23.2pt;width:68.95pt;z-index:251680768;mso-width-relative:page;mso-height-relative:page;" filled="f" stroked="f" coordsize="21600,21600" o:gfxdata="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FghMfYAAAACAEAAA8AAAAAAAAAAQAgAAAAIgAAAGRy&#10;cy9kb3ducmV2LnhtbFBLAQIUABQAAAAIAIdO4kD5Ixe9PgIAAGcEAAAOAAAAAAAAAAEAIAAAACcB&#10;AABkcnMvZTJvRG9jLnhtbFBLBQYAAAAABgAGAFkBAADXBQAAAAA=&#10;">
                      <v:fill on="f" focussize="0,0"/>
                      <v:stroke on="f" weight="0.5pt"/>
                      <v:imagedata o:title=""/>
                      <o:lock v:ext="edit" aspectratio="f"/>
                      <v:textbox>
                        <w:txbxContent>
                          <w:p w14:paraId="77818855">
                            <w:pPr>
                              <w:rPr>
                                <w:rFonts w:hint="default" w:eastAsia="宋体"/>
                                <w:sz w:val="18"/>
                                <w:szCs w:val="18"/>
                                <w:lang w:val="en-US" w:eastAsia="zh-CN"/>
                              </w:rPr>
                            </w:pPr>
                            <w:r>
                              <w:rPr>
                                <w:rFonts w:hint="eastAsia"/>
                                <w:sz w:val="18"/>
                                <w:szCs w:val="18"/>
                                <w:lang w:val="en-US" w:eastAsia="zh-CN"/>
                              </w:rPr>
                              <w:t>生产工段</w:t>
                            </w:r>
                          </w:p>
                        </w:txbxContent>
                      </v:textbox>
                    </v:shape>
                  </w:pict>
                </mc:Fallback>
              </mc:AlternateContent>
            </w:r>
          </w:p>
          <w:p w14:paraId="0987638C">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1D31E248">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20EBEFFF">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0BE1D62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33155D0D">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rPr>
            </w:pPr>
            <w:r>
              <w:rPr>
                <w:rFonts w:hint="default" w:ascii="Times New Roman" w:hAnsi="Times New Roman" w:eastAsia="宋体" w:cs="Times New Roman"/>
                <w:b/>
                <w:bCs/>
                <w:color w:val="auto"/>
                <w:sz w:val="22"/>
                <w:szCs w:val="28"/>
                <w:u w:val="none" w:color="auto"/>
                <w:lang w:eastAsia="zh-CN"/>
              </w:rPr>
              <w:t>图</w:t>
            </w:r>
            <w:r>
              <w:rPr>
                <w:rFonts w:hint="default" w:ascii="Times New Roman" w:hAnsi="Times New Roman" w:eastAsia="宋体" w:cs="Times New Roman"/>
                <w:b/>
                <w:bCs/>
                <w:color w:val="auto"/>
                <w:sz w:val="22"/>
                <w:szCs w:val="28"/>
                <w:u w:val="none" w:color="auto"/>
                <w:lang w:val="en-US" w:eastAsia="zh-CN"/>
              </w:rPr>
              <w:t xml:space="preserve">2-1 </w:t>
            </w:r>
            <w:r>
              <w:rPr>
                <w:rFonts w:hint="default" w:ascii="Times New Roman" w:hAnsi="Times New Roman" w:eastAsia="宋体" w:cs="Times New Roman"/>
                <w:b/>
                <w:bCs/>
                <w:color w:val="auto"/>
                <w:sz w:val="22"/>
                <w:szCs w:val="28"/>
                <w:u w:val="none" w:color="auto"/>
              </w:rPr>
              <w:t>营运期</w:t>
            </w:r>
            <w:r>
              <w:rPr>
                <w:rFonts w:hint="eastAsia" w:cs="Times New Roman"/>
                <w:b/>
                <w:bCs/>
                <w:color w:val="auto"/>
                <w:sz w:val="22"/>
                <w:szCs w:val="28"/>
                <w:u w:val="none" w:color="auto"/>
                <w:lang w:val="en-US" w:eastAsia="zh-CN"/>
              </w:rPr>
              <w:t>新增锅炉</w:t>
            </w:r>
            <w:r>
              <w:rPr>
                <w:rFonts w:hint="default" w:ascii="Times New Roman" w:hAnsi="Times New Roman" w:eastAsia="宋体" w:cs="Times New Roman"/>
                <w:b/>
                <w:bCs/>
                <w:color w:val="auto"/>
                <w:sz w:val="22"/>
                <w:szCs w:val="28"/>
                <w:u w:val="none" w:color="auto"/>
              </w:rPr>
              <w:t>产污环节</w:t>
            </w:r>
          </w:p>
          <w:p w14:paraId="3A72B372">
            <w:pPr>
              <w:pStyle w:val="12"/>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58592" behindDoc="0" locked="0" layoutInCell="1" allowOverlap="1">
                      <wp:simplePos x="0" y="0"/>
                      <wp:positionH relativeFrom="column">
                        <wp:posOffset>1804035</wp:posOffset>
                      </wp:positionH>
                      <wp:positionV relativeFrom="paragraph">
                        <wp:posOffset>179705</wp:posOffset>
                      </wp:positionV>
                      <wp:extent cx="875665" cy="29464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3548">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05pt;margin-top:14.15pt;height:23.2pt;width:68.95pt;z-index:251758592;mso-width-relative:page;mso-height-relative:page;" filled="f" stroked="f" coordsize="21600,21600" o:gfxdata="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h4kitoAAAAJAQAADwAAAAAAAAABACAAAAAiAAAA&#10;ZHJzL2Rvd25yZXYueG1sUEsBAhQAFAAAAAgAh07iQFIE4rM+AgAAZwQAAA4AAAAAAAAAAQAgAAAA&#10;KQEAAGRycy9lMm9Eb2MueG1sUEsFBgAAAAAGAAYAWQEAANkFAAAAAA==&#10;">
                      <v:fill on="f" focussize="0,0"/>
                      <v:stroke on="f" weight="0.5pt"/>
                      <v:imagedata o:title=""/>
                      <o:lock v:ext="edit" aspectratio="f"/>
                      <v:textbox>
                        <w:txbxContent>
                          <w:p w14:paraId="7CBB3548">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60640" behindDoc="0" locked="0" layoutInCell="1" allowOverlap="1">
                      <wp:simplePos x="0" y="0"/>
                      <wp:positionH relativeFrom="column">
                        <wp:posOffset>4451985</wp:posOffset>
                      </wp:positionH>
                      <wp:positionV relativeFrom="paragraph">
                        <wp:posOffset>246380</wp:posOffset>
                      </wp:positionV>
                      <wp:extent cx="808990" cy="29464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80899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0B650">
                                  <w:pPr>
                                    <w:rPr>
                                      <w:rFonts w:hint="default" w:eastAsia="宋体"/>
                                      <w:sz w:val="18"/>
                                      <w:szCs w:val="18"/>
                                      <w:lang w:val="en-US" w:eastAsia="zh-CN"/>
                                    </w:rPr>
                                  </w:pPr>
                                  <w:r>
                                    <w:rPr>
                                      <w:rFonts w:hint="eastAsia"/>
                                      <w:sz w:val="18"/>
                                      <w:szCs w:val="18"/>
                                      <w:lang w:val="en-US" w:eastAsia="zh-CN"/>
                                    </w:rPr>
                                    <w:t>G2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55pt;margin-top:19.4pt;height:23.2pt;width:63.7pt;z-index:251760640;mso-width-relative:page;mso-height-relative:page;" filled="f" stroked="f" coordsize="21600,21600" o:gfxdata="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ST99PZAAAACQEAAA8AAAAAAAAAAQAgAAAAIgAAAGRy&#10;cy9kb3ducmV2LnhtbFBLAQIUABQAAAAIAIdO4kAu7Zl2PQIAAGcEAAAOAAAAAAAAAAEAIAAAACgB&#10;AABkcnMvZTJvRG9jLnhtbFBLBQYAAAAABgAGAFkBAADXBQAAAAA=&#10;">
                      <v:fill on="f" focussize="0,0"/>
                      <v:stroke on="f" weight="0.5pt"/>
                      <v:imagedata o:title=""/>
                      <o:lock v:ext="edit" aspectratio="f"/>
                      <v:textbox>
                        <w:txbxContent>
                          <w:p w14:paraId="4340B650">
                            <w:pPr>
                              <w:rPr>
                                <w:rFonts w:hint="default" w:eastAsia="宋体"/>
                                <w:sz w:val="18"/>
                                <w:szCs w:val="18"/>
                                <w:lang w:val="en-US" w:eastAsia="zh-CN"/>
                              </w:rPr>
                            </w:pPr>
                            <w:r>
                              <w:rPr>
                                <w:rFonts w:hint="eastAsia"/>
                                <w:sz w:val="18"/>
                                <w:szCs w:val="18"/>
                                <w:lang w:val="en-US" w:eastAsia="zh-CN"/>
                              </w:rPr>
                              <w:t>G2</w:t>
                            </w:r>
                          </w:p>
                        </w:txbxContent>
                      </v:textbox>
                    </v:shape>
                  </w:pict>
                </mc:Fallback>
              </mc:AlternateContent>
            </w:r>
          </w:p>
          <w:p w14:paraId="5CF5847E">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59616" behindDoc="0" locked="0" layoutInCell="1" allowOverlap="1">
                      <wp:simplePos x="0" y="0"/>
                      <wp:positionH relativeFrom="column">
                        <wp:posOffset>3480435</wp:posOffset>
                      </wp:positionH>
                      <wp:positionV relativeFrom="paragraph">
                        <wp:posOffset>22225</wp:posOffset>
                      </wp:positionV>
                      <wp:extent cx="875665" cy="29464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3C367">
                                  <w:pPr>
                                    <w:rPr>
                                      <w:rFonts w:hint="default" w:eastAsia="宋体"/>
                                      <w:sz w:val="18"/>
                                      <w:szCs w:val="18"/>
                                      <w:lang w:val="en-US" w:eastAsia="zh-CN"/>
                                    </w:rPr>
                                  </w:pPr>
                                  <w:r>
                                    <w:rPr>
                                      <w:rFonts w:hint="eastAsia"/>
                                      <w:sz w:val="18"/>
                                      <w:szCs w:val="18"/>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05pt;margin-top:1.75pt;height:23.2pt;width:68.95pt;z-index:251759616;mso-width-relative:page;mso-height-relative:page;" filled="f" stroked="f" coordsize="21600,21600" o:gfxdata="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UdKuNoAAAAIAQAADwAAAAAAAAABACAAAAAiAAAA&#10;ZHJzL2Rvd25yZXYueG1sUEsBAhQAFAAAAAgAh07iQBpxi5Q+AgAAZwQAAA4AAAAAAAAAAQAgAAAA&#10;KQEAAGRycy9lMm9Eb2MueG1sUEsFBgAAAAAGAAYAWQEAANkFAAAAAA==&#10;">
                      <v:fill on="f" focussize="0,0"/>
                      <v:stroke on="f" weight="0.5pt"/>
                      <v:imagedata o:title=""/>
                      <o:lock v:ext="edit" aspectratio="f"/>
                      <v:textbox>
                        <w:txbxContent>
                          <w:p w14:paraId="7BA3C367">
                            <w:pPr>
                              <w:rPr>
                                <w:rFonts w:hint="default" w:eastAsia="宋体"/>
                                <w:sz w:val="18"/>
                                <w:szCs w:val="18"/>
                                <w:lang w:val="en-US" w:eastAsia="zh-CN"/>
                              </w:rPr>
                            </w:pPr>
                            <w:r>
                              <w:rPr>
                                <w:rFonts w:hint="eastAsia"/>
                                <w:sz w:val="18"/>
                                <w:szCs w:val="18"/>
                                <w:lang w:val="en-US" w:eastAsia="zh-CN"/>
                              </w:rPr>
                              <w:t>N</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7568" behindDoc="0" locked="0" layoutInCell="1" allowOverlap="1">
                      <wp:simplePos x="0" y="0"/>
                      <wp:positionH relativeFrom="column">
                        <wp:posOffset>327660</wp:posOffset>
                      </wp:positionH>
                      <wp:positionV relativeFrom="paragraph">
                        <wp:posOffset>3175</wp:posOffset>
                      </wp:positionV>
                      <wp:extent cx="875665" cy="29464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FF143">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0.25pt;height:23.2pt;width:68.95pt;z-index:251757568;mso-width-relative:page;mso-height-relative:page;" filled="f" stroked="f" coordsize="21600,21600" o:gfxdata="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f3DedcAAAAGAQAADwAAAAAAAAABACAAAAAiAAAAZHJz&#10;L2Rvd25yZXYueG1sUEsBAhQAFAAAAAgAh07iQF8HUGM+AgAAZwQAAA4AAAAAAAAAAQAgAAAAJgEA&#10;AGRycy9lMm9Eb2MueG1sUEsFBgAAAAAGAAYAWQEAANYFAAAAAA==&#10;">
                      <v:fill on="f" focussize="0,0"/>
                      <v:stroke on="f" weight="0.5pt"/>
                      <v:imagedata o:title=""/>
                      <o:lock v:ext="edit" aspectratio="f"/>
                      <v:textbox>
                        <w:txbxContent>
                          <w:p w14:paraId="7D9FF143">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4496" behindDoc="0" locked="0" layoutInCell="1" allowOverlap="1">
                      <wp:simplePos x="0" y="0"/>
                      <wp:positionH relativeFrom="column">
                        <wp:posOffset>4584700</wp:posOffset>
                      </wp:positionH>
                      <wp:positionV relativeFrom="paragraph">
                        <wp:posOffset>165100</wp:posOffset>
                      </wp:positionV>
                      <wp:extent cx="5080" cy="314325"/>
                      <wp:effectExtent l="36830" t="0" r="34290" b="9525"/>
                      <wp:wrapNone/>
                      <wp:docPr id="45" name="直接箭头连接符 45"/>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361pt;margin-top:13pt;height:24.75pt;width:0.4pt;z-index:251754496;mso-width-relative:page;mso-height-relative:page;" filled="f" stroked="t" coordsize="21600,21600" o:gfxdata="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k0w49oAAAAJAQAADwAAAAAAAAABACAAAAAiAAAA&#10;ZHJzL2Rvd25yZXYueG1sUEsBAhQAFAAAAAgAh07iQFHfTwUFAgAA3wMAAA4AAAAAAAAAAQAgAAAA&#10;KQEAAGRycy9lMm9Eb2MueG1sUEsFBgAAAAAGAAYAWQEAAKA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3472" behindDoc="0" locked="0" layoutInCell="1" allowOverlap="1">
                      <wp:simplePos x="0" y="0"/>
                      <wp:positionH relativeFrom="column">
                        <wp:posOffset>3641725</wp:posOffset>
                      </wp:positionH>
                      <wp:positionV relativeFrom="paragraph">
                        <wp:posOffset>184150</wp:posOffset>
                      </wp:positionV>
                      <wp:extent cx="5080" cy="314325"/>
                      <wp:effectExtent l="36830" t="0" r="34290" b="9525"/>
                      <wp:wrapNone/>
                      <wp:docPr id="47" name="直接箭头连接符 47"/>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86.75pt;margin-top:14.5pt;height:24.75pt;width:0.4pt;z-index:251753472;mso-width-relative:page;mso-height-relative:page;" filled="f" stroked="t" coordsize="21600,21600" o:gfxdata="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4ThS3dAAAACQEAAA8AAAAAAAAAAQAgAAAA&#10;IgAAAGRycy9kb3ducmV2LnhtbFBLAQIUABQAAAAIAIdO4kBzD+jIBgIAAN8DAAAOAAAAAAAAAAEA&#10;IAAAACwBAABkcnMvZTJvRG9jLnhtbFBLBQYAAAAABgAGAFkBAACkBQ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2448" behindDoc="0" locked="0" layoutInCell="1" allowOverlap="1">
                      <wp:simplePos x="0" y="0"/>
                      <wp:positionH relativeFrom="column">
                        <wp:posOffset>2127250</wp:posOffset>
                      </wp:positionH>
                      <wp:positionV relativeFrom="paragraph">
                        <wp:posOffset>69850</wp:posOffset>
                      </wp:positionV>
                      <wp:extent cx="5080" cy="314325"/>
                      <wp:effectExtent l="36830" t="0" r="34290" b="9525"/>
                      <wp:wrapNone/>
                      <wp:docPr id="51" name="直接箭头连接符 51"/>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67.5pt;margin-top:5.5pt;height:24.75pt;width:0.4pt;z-index:251752448;mso-width-relative:page;mso-height-relative:page;" filled="f" stroked="t" coordsize="21600,21600" o:gfxdata="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y0a2XbAAAACQEAAA8AAAAAAAAAAQAgAAAAIgAA&#10;AGRycy9kb3ducmV2LnhtbFBLAQIUABQAAAAIAIdO4kBOiqcvBQIAAN8DAAAOAAAAAAAAAAEAIAAA&#10;ACoBAABkcnMvZTJvRG9jLnhtbFBLBQYAAAAABgAGAFkBAAChBQ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1424" behindDoc="0" locked="0" layoutInCell="1" allowOverlap="1">
                      <wp:simplePos x="0" y="0"/>
                      <wp:positionH relativeFrom="column">
                        <wp:posOffset>631825</wp:posOffset>
                      </wp:positionH>
                      <wp:positionV relativeFrom="paragraph">
                        <wp:posOffset>184150</wp:posOffset>
                      </wp:positionV>
                      <wp:extent cx="5080" cy="314325"/>
                      <wp:effectExtent l="36830" t="0" r="34290" b="9525"/>
                      <wp:wrapNone/>
                      <wp:docPr id="83" name="直接箭头连接符 83"/>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49.75pt;margin-top:14.5pt;height:24.75pt;width:0.4pt;z-index:251751424;mso-width-relative:page;mso-height-relative:page;" filled="f" stroked="t" coordsize="21600,21600" o:gfxdata="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ZzvQHbAAAACAEAAA8AAAAAAAAAAQAgAAAAIgAA&#10;AGRycy9kb3ducmV2LnhtbFBLAQIUABQAAAAIAIdO4kAN96kYBQIAAN8DAAAOAAAAAAAAAAEAIAAA&#10;ACoBAABkcnMvZTJvRG9jLnhtbFBLBQYAAAAABgAGAFkBAAChBQAAAAA=&#10;">
                      <v:fill on="f" focussize="0,0"/>
                      <v:stroke weight="0pt" color="#000000 [3213]" joinstyle="round" endarrow="block"/>
                      <v:imagedata o:title=""/>
                      <o:lock v:ext="edit" aspectratio="f"/>
                    </v:shape>
                  </w:pict>
                </mc:Fallback>
              </mc:AlternateContent>
            </w:r>
          </w:p>
          <w:p w14:paraId="485A7C6B">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43232" behindDoc="0" locked="0" layoutInCell="1" allowOverlap="1">
                      <wp:simplePos x="0" y="0"/>
                      <wp:positionH relativeFrom="column">
                        <wp:posOffset>1432560</wp:posOffset>
                      </wp:positionH>
                      <wp:positionV relativeFrom="paragraph">
                        <wp:posOffset>158115</wp:posOffset>
                      </wp:positionV>
                      <wp:extent cx="1570990" cy="468630"/>
                      <wp:effectExtent l="4445" t="4445" r="5715" b="22225"/>
                      <wp:wrapNone/>
                      <wp:docPr id="86" name="文本框 86"/>
                      <wp:cNvGraphicFramePr/>
                      <a:graphic xmlns:a="http://schemas.openxmlformats.org/drawingml/2006/main">
                        <a:graphicData uri="http://schemas.microsoft.com/office/word/2010/wordprocessingShape">
                          <wps:wsp>
                            <wps:cNvSpPr txBox="1"/>
                            <wps:spPr>
                              <a:xfrm>
                                <a:off x="0" y="0"/>
                                <a:ext cx="1570990" cy="4686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532F5F">
                                  <w:pPr>
                                    <w:jc w:val="center"/>
                                    <w:rPr>
                                      <w:rFonts w:hint="eastAsia"/>
                                      <w:u w:val="none"/>
                                      <w:lang w:val="en-US" w:eastAsia="zh-CN"/>
                                    </w:rPr>
                                  </w:pPr>
                                  <w:r>
                                    <w:rPr>
                                      <w:rFonts w:hint="eastAsia" w:ascii="宋体" w:hAnsi="宋体" w:cs="宋体"/>
                                      <w:color w:val="auto"/>
                                      <w:sz w:val="21"/>
                                      <w:szCs w:val="21"/>
                                      <w:u w:val="none"/>
                                      <w:lang w:val="en-US" w:eastAsia="zh-CN"/>
                                    </w:rPr>
                                    <w:t>多管旋风除尘+</w:t>
                                  </w:r>
                                  <w:r>
                                    <w:rPr>
                                      <w:rFonts w:hint="eastAsia" w:ascii="宋体" w:hAnsi="宋体" w:eastAsia="宋体" w:cs="宋体"/>
                                      <w:color w:val="auto"/>
                                      <w:sz w:val="21"/>
                                      <w:szCs w:val="21"/>
                                      <w:u w:val="none"/>
                                      <w:lang w:eastAsia="zh-CN"/>
                                    </w:rPr>
                                    <w:t>布袋除尘器+</w:t>
                                  </w:r>
                                  <w:r>
                                    <w:rPr>
                                      <w:rFonts w:hint="eastAsia" w:ascii="宋体" w:hAnsi="宋体" w:cs="宋体"/>
                                      <w:color w:val="auto"/>
                                      <w:sz w:val="21"/>
                                      <w:szCs w:val="21"/>
                                      <w:u w:val="none"/>
                                      <w:lang w:val="en-US" w:eastAsia="zh-CN"/>
                                    </w:rPr>
                                    <w:t>水膜除尘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8pt;margin-top:12.45pt;height:36.9pt;width:123.7pt;z-index:251743232;mso-width-relative:page;mso-height-relative:page;" fillcolor="#FFFFFF [3201]" filled="t" stroked="t" coordsize="21600,21600" o:gfxdata="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YMNhv&#10;1wAAAAkBAAAPAAAAAAAAAAEAIAAAACIAAABkcnMvZG93bnJldi54bWxQSwECFAAUAAAACACHTuJA&#10;GYJp5VsCAAC5BAAADgAAAAAAAAABACAAAAAmAQAAZHJzL2Uyb0RvYy54bWxQSwUGAAAAAAYABgBZ&#10;AQAA8wUAAAAA&#10;">
                      <v:fill on="t" focussize="0,0"/>
                      <v:stroke weight="0.5pt" color="#000000 [3204]" joinstyle="round"/>
                      <v:imagedata o:title=""/>
                      <o:lock v:ext="edit" aspectratio="f"/>
                      <v:textbox>
                        <w:txbxContent>
                          <w:p w14:paraId="06532F5F">
                            <w:pPr>
                              <w:jc w:val="center"/>
                              <w:rPr>
                                <w:rFonts w:hint="eastAsia"/>
                                <w:u w:val="none"/>
                                <w:lang w:val="en-US" w:eastAsia="zh-CN"/>
                              </w:rPr>
                            </w:pPr>
                            <w:r>
                              <w:rPr>
                                <w:rFonts w:hint="eastAsia" w:ascii="宋体" w:hAnsi="宋体" w:cs="宋体"/>
                                <w:color w:val="auto"/>
                                <w:sz w:val="21"/>
                                <w:szCs w:val="21"/>
                                <w:u w:val="none"/>
                                <w:lang w:val="en-US" w:eastAsia="zh-CN"/>
                              </w:rPr>
                              <w:t>多管旋风除尘+</w:t>
                            </w:r>
                            <w:r>
                              <w:rPr>
                                <w:rFonts w:hint="eastAsia" w:ascii="宋体" w:hAnsi="宋体" w:eastAsia="宋体" w:cs="宋体"/>
                                <w:color w:val="auto"/>
                                <w:sz w:val="21"/>
                                <w:szCs w:val="21"/>
                                <w:u w:val="none"/>
                                <w:lang w:eastAsia="zh-CN"/>
                              </w:rPr>
                              <w:t>布袋除尘器+</w:t>
                            </w:r>
                            <w:r>
                              <w:rPr>
                                <w:rFonts w:hint="eastAsia" w:ascii="宋体" w:hAnsi="宋体" w:cs="宋体"/>
                                <w:color w:val="auto"/>
                                <w:sz w:val="21"/>
                                <w:szCs w:val="21"/>
                                <w:u w:val="none"/>
                                <w:lang w:val="en-US" w:eastAsia="zh-CN"/>
                              </w:rPr>
                              <w:t>水膜除尘</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2208" behindDoc="0" locked="0" layoutInCell="1" allowOverlap="1">
                      <wp:simplePos x="0" y="0"/>
                      <wp:positionH relativeFrom="column">
                        <wp:posOffset>376555</wp:posOffset>
                      </wp:positionH>
                      <wp:positionV relativeFrom="paragraph">
                        <wp:posOffset>231140</wp:posOffset>
                      </wp:positionV>
                      <wp:extent cx="739140" cy="276225"/>
                      <wp:effectExtent l="4445" t="4445" r="18415" b="5080"/>
                      <wp:wrapNone/>
                      <wp:docPr id="104" name="文本框 104"/>
                      <wp:cNvGraphicFramePr/>
                      <a:graphic xmlns:a="http://schemas.openxmlformats.org/drawingml/2006/main">
                        <a:graphicData uri="http://schemas.microsoft.com/office/word/2010/wordprocessingShape">
                          <wps:wsp>
                            <wps:cNvSpPr txBox="1"/>
                            <wps:spPr>
                              <a:xfrm>
                                <a:off x="1842135" y="3443605"/>
                                <a:ext cx="73914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9704C5">
                                  <w:pPr>
                                    <w:jc w:val="center"/>
                                    <w:rPr>
                                      <w:rFonts w:hint="eastAsia" w:eastAsia="宋体"/>
                                      <w:lang w:val="en-US" w:eastAsia="zh-CN"/>
                                    </w:rPr>
                                  </w:pPr>
                                  <w:r>
                                    <w:rPr>
                                      <w:rFonts w:hint="eastAsia"/>
                                      <w:lang w:val="en-US" w:eastAsia="zh-CN"/>
                                    </w:rPr>
                                    <w:t>备用锅炉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65pt;margin-top:18.2pt;height:21.75pt;width:58.2pt;z-index:251742208;mso-width-relative:page;mso-height-relative:page;" fillcolor="#FFFFFF [3201]" filled="t" stroked="t" coordsize="21600,21600" o:gfxdata="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fXOZNYAAAAIAQAADwAAAAAAAAABACAAAAAiAAAAZHJzL2Rvd25yZXYueG1sUEsBAhQA&#10;FAAAAAgAh07iQMW2/BFmAgAAxgQAAA4AAAAAAAAAAQAgAAAAJQEAAGRycy9lMm9Eb2MueG1sUEsF&#10;BgAAAAAGAAYAWQEAAP0FAAAAAA==&#10;">
                      <v:fill on="t" focussize="0,0"/>
                      <v:stroke weight="0.5pt" color="#000000 [3204]" joinstyle="round"/>
                      <v:imagedata o:title=""/>
                      <o:lock v:ext="edit" aspectratio="f"/>
                      <v:textbox>
                        <w:txbxContent>
                          <w:p w14:paraId="7D9704C5">
                            <w:pPr>
                              <w:jc w:val="center"/>
                              <w:rPr>
                                <w:rFonts w:hint="eastAsia" w:eastAsia="宋体"/>
                                <w:lang w:val="en-US" w:eastAsia="zh-CN"/>
                              </w:rPr>
                            </w:pPr>
                            <w:r>
                              <w:rPr>
                                <w:rFonts w:hint="eastAsia"/>
                                <w:lang w:val="en-US" w:eastAsia="zh-CN"/>
                              </w:rPr>
                              <w:t>备用锅炉</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5520" behindDoc="0" locked="0" layoutInCell="1" allowOverlap="1">
                      <wp:simplePos x="0" y="0"/>
                      <wp:positionH relativeFrom="column">
                        <wp:posOffset>-73025</wp:posOffset>
                      </wp:positionH>
                      <wp:positionV relativeFrom="paragraph">
                        <wp:posOffset>133350</wp:posOffset>
                      </wp:positionV>
                      <wp:extent cx="586105" cy="294640"/>
                      <wp:effectExtent l="0" t="0" r="0" b="0"/>
                      <wp:wrapNone/>
                      <wp:docPr id="84" name="文本框 84"/>
                      <wp:cNvGraphicFramePr/>
                      <a:graphic xmlns:a="http://schemas.openxmlformats.org/drawingml/2006/main">
                        <a:graphicData uri="http://schemas.microsoft.com/office/word/2010/wordprocessingShape">
                          <wps:wsp>
                            <wps:cNvSpPr txBox="1"/>
                            <wps:spPr>
                              <a:xfrm>
                                <a:off x="3061335" y="4607560"/>
                                <a:ext cx="58610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5D434">
                                  <w:pPr>
                                    <w:rPr>
                                      <w:rFonts w:hint="eastAsia" w:eastAsia="宋体"/>
                                      <w:sz w:val="18"/>
                                      <w:szCs w:val="18"/>
                                      <w:lang w:val="en-US" w:eastAsia="zh-CN"/>
                                    </w:rPr>
                                  </w:pPr>
                                  <w:r>
                                    <w:rPr>
                                      <w:rFonts w:hint="eastAsia"/>
                                      <w:sz w:val="18"/>
                                      <w:szCs w:val="18"/>
                                      <w:lang w:val="en-US" w:eastAsia="zh-CN"/>
                                    </w:rPr>
                                    <w:t>生物质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5pt;margin-top:10.5pt;height:23.2pt;width:46.15pt;z-index:251755520;mso-width-relative:page;mso-height-relative:page;" filled="f" stroked="f" coordsize="21600,21600" o:gfxdata="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NKZcrZAAAACAEAAA8AAAAAAAAA&#10;AQAgAAAAIgAAAGRycy9kb3ducmV2LnhtbFBLAQIUABQAAAAIAIdO4kB8HBoSSQIAAHMEAAAOAAAA&#10;AAAAAAEAIAAAACgBAABkcnMvZTJvRG9jLnhtbFBLBQYAAAAABgAGAFkBAADjBQAAAAA=&#10;">
                      <v:fill on="f" focussize="0,0"/>
                      <v:stroke on="f" weight="0.5pt"/>
                      <v:imagedata o:title=""/>
                      <o:lock v:ext="edit" aspectratio="f"/>
                      <v:textbox>
                        <w:txbxContent>
                          <w:p w14:paraId="1FB5D434">
                            <w:pPr>
                              <w:rPr>
                                <w:rFonts w:hint="eastAsia" w:eastAsia="宋体"/>
                                <w:sz w:val="18"/>
                                <w:szCs w:val="18"/>
                                <w:lang w:val="en-US" w:eastAsia="zh-CN"/>
                              </w:rPr>
                            </w:pPr>
                            <w:r>
                              <w:rPr>
                                <w:rFonts w:hint="eastAsia"/>
                                <w:sz w:val="18"/>
                                <w:szCs w:val="18"/>
                                <w:lang w:val="en-US" w:eastAsia="zh-CN"/>
                              </w:rPr>
                              <w:t>生物质</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5280" behindDoc="0" locked="0" layoutInCell="1" allowOverlap="1">
                      <wp:simplePos x="0" y="0"/>
                      <wp:positionH relativeFrom="column">
                        <wp:posOffset>4289425</wp:posOffset>
                      </wp:positionH>
                      <wp:positionV relativeFrom="paragraph">
                        <wp:posOffset>236220</wp:posOffset>
                      </wp:positionV>
                      <wp:extent cx="629285" cy="276225"/>
                      <wp:effectExtent l="4445" t="4445" r="13970" b="5080"/>
                      <wp:wrapNone/>
                      <wp:docPr id="85" name="文本框 85"/>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EA7AE76">
                                  <w:pPr>
                                    <w:jc w:val="center"/>
                                    <w:rPr>
                                      <w:rFonts w:hint="default" w:eastAsia="宋体"/>
                                      <w:lang w:val="en-US" w:eastAsia="zh-CN"/>
                                    </w:rPr>
                                  </w:pPr>
                                  <w:r>
                                    <w:rPr>
                                      <w:rFonts w:hint="eastAsia"/>
                                      <w:lang w:val="en-US" w:eastAsia="zh-CN"/>
                                    </w:rPr>
                                    <w:t>排气筒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75pt;margin-top:18.6pt;height:21.75pt;width:49.55pt;z-index:251745280;mso-width-relative:page;mso-height-relative:page;" fillcolor="#FFFFFF [3201]" filled="t" stroked="t" coordsize="21600,21600" o:gfxdata="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3byCdcA&#10;AAAJAQAADwAAAAAAAAABACAAAAAiAAAAZHJzL2Rvd25yZXYueG1sUEsBAhQAFAAAAAgAh07iQLhz&#10;T7xZAgAAuAQAAA4AAAAAAAAAAQAgAAAAJgEAAGRycy9lMm9Eb2MueG1sUEsFBgAAAAAGAAYAWQEA&#10;APEFAAAAAA==&#10;">
                      <v:fill on="t" focussize="0,0"/>
                      <v:stroke weight="0.5pt" color="#000000 [3204]" joinstyle="round"/>
                      <v:imagedata o:title=""/>
                      <o:lock v:ext="edit" aspectratio="f"/>
                      <v:textbox>
                        <w:txbxContent>
                          <w:p w14:paraId="1EA7AE76">
                            <w:pPr>
                              <w:jc w:val="center"/>
                              <w:rPr>
                                <w:rFonts w:hint="default" w:eastAsia="宋体"/>
                                <w:lang w:val="en-US" w:eastAsia="zh-CN"/>
                              </w:rPr>
                            </w:pPr>
                            <w:r>
                              <w:rPr>
                                <w:rFonts w:hint="eastAsia"/>
                                <w:lang w:val="en-US" w:eastAsia="zh-CN"/>
                              </w:rPr>
                              <w:t>排气筒</w:t>
                            </w:r>
                          </w:p>
                        </w:txbxContent>
                      </v:textbox>
                    </v:shape>
                  </w:pict>
                </mc:Fallback>
              </mc:AlternateContent>
            </w:r>
          </w:p>
          <w:p w14:paraId="3B3CB65B">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47328" behindDoc="0" locked="0" layoutInCell="1" allowOverlap="1">
                      <wp:simplePos x="0" y="0"/>
                      <wp:positionH relativeFrom="column">
                        <wp:posOffset>1112520</wp:posOffset>
                      </wp:positionH>
                      <wp:positionV relativeFrom="paragraph">
                        <wp:posOffset>132715</wp:posOffset>
                      </wp:positionV>
                      <wp:extent cx="318770" cy="0"/>
                      <wp:effectExtent l="0" t="38100" r="5080" b="38100"/>
                      <wp:wrapNone/>
                      <wp:docPr id="175" name="直接箭头连接符 175"/>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87.6pt;margin-top:10.45pt;height:0pt;width:25.1pt;z-index:251747328;mso-width-relative:page;mso-height-relative:page;" filled="f" stroked="t" coordsize="21600,21600" o:gfxdata="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e1QlNcAAAAJAQAADwAAAAAAAAABACAAAAAiAAAAZHJzL2Rvd25yZXYueG1sUEsB&#10;AhQAFAAAAAgAh07iQBMk5BD2AQAAygMAAA4AAAAAAAAAAQAgAAAAJg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4256" behindDoc="0" locked="0" layoutInCell="1" allowOverlap="1">
                      <wp:simplePos x="0" y="0"/>
                      <wp:positionH relativeFrom="column">
                        <wp:posOffset>3327400</wp:posOffset>
                      </wp:positionH>
                      <wp:positionV relativeFrom="paragraph">
                        <wp:posOffset>36195</wp:posOffset>
                      </wp:positionV>
                      <wp:extent cx="629285" cy="276225"/>
                      <wp:effectExtent l="4445" t="4445" r="13970" b="5080"/>
                      <wp:wrapNone/>
                      <wp:docPr id="117" name="文本框 117"/>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F1C058">
                                  <w:pPr>
                                    <w:jc w:val="center"/>
                                    <w:rPr>
                                      <w:rFonts w:hint="default" w:eastAsia="宋体"/>
                                      <w:lang w:val="en-US" w:eastAsia="zh-CN"/>
                                    </w:rPr>
                                  </w:pPr>
                                  <w:r>
                                    <w:rPr>
                                      <w:rFonts w:hint="eastAsia"/>
                                      <w:lang w:val="en-US" w:eastAsia="zh-CN"/>
                                    </w:rPr>
                                    <w:t>引风机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pt;margin-top:2.85pt;height:21.75pt;width:49.55pt;z-index:251744256;mso-width-relative:page;mso-height-relative:page;" fillcolor="#FFFFFF [3201]" filled="t" stroked="t" coordsize="21600,21600" o:gfxdata="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y16ZfWAAAA&#10;CAEAAA8AAAAAAAAAAQAgAAAAIgAAAGRycy9kb3ducmV2LnhtbFBLAQIUABQAAAAIAIdO4kC0qY3l&#10;WAIAALoEAAAOAAAAAAAAAAEAIAAAACUBAABkcnMvZTJvRG9jLnhtbFBLBQYAAAAABgAGAFkBAADv&#10;BQAAAAA=&#10;">
                      <v:fill on="t" focussize="0,0"/>
                      <v:stroke weight="0.5pt" color="#000000 [3204]" joinstyle="round"/>
                      <v:imagedata o:title=""/>
                      <o:lock v:ext="edit" aspectratio="f"/>
                      <v:textbox>
                        <w:txbxContent>
                          <w:p w14:paraId="4DF1C058">
                            <w:pPr>
                              <w:jc w:val="center"/>
                              <w:rPr>
                                <w:rFonts w:hint="default" w:eastAsia="宋体"/>
                                <w:lang w:val="en-US" w:eastAsia="zh-CN"/>
                              </w:rPr>
                            </w:pPr>
                            <w:r>
                              <w:rPr>
                                <w:rFonts w:hint="eastAsia"/>
                                <w:lang w:val="en-US" w:eastAsia="zh-CN"/>
                              </w:rPr>
                              <w:t>引风机</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9376" behindDoc="0" locked="0" layoutInCell="1" allowOverlap="1">
                      <wp:simplePos x="0" y="0"/>
                      <wp:positionH relativeFrom="column">
                        <wp:posOffset>3970655</wp:posOffset>
                      </wp:positionH>
                      <wp:positionV relativeFrom="paragraph">
                        <wp:posOffset>130810</wp:posOffset>
                      </wp:positionV>
                      <wp:extent cx="318770" cy="0"/>
                      <wp:effectExtent l="0" t="38100" r="5080" b="38100"/>
                      <wp:wrapNone/>
                      <wp:docPr id="118" name="直接箭头连接符 118"/>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12.65pt;margin-top:10.3pt;height:0pt;width:25.1pt;z-index:251749376;mso-width-relative:page;mso-height-relative:page;" filled="f" stroked="t" coordsize="21600,21600" o:gfxdata="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jgR5NgAAAAJAQAADwAAAAAAAAABACAAAAAiAAAAZHJzL2Rvd25yZXYueG1sUEsB&#10;AhQAFAAAAAgAh07iQKTR8zX1AQAAygMAAA4AAAAAAAAAAQAgAAAAJw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8352" behindDoc="0" locked="0" layoutInCell="1" allowOverlap="1">
                      <wp:simplePos x="0" y="0"/>
                      <wp:positionH relativeFrom="column">
                        <wp:posOffset>2999105</wp:posOffset>
                      </wp:positionH>
                      <wp:positionV relativeFrom="paragraph">
                        <wp:posOffset>149860</wp:posOffset>
                      </wp:positionV>
                      <wp:extent cx="318770" cy="0"/>
                      <wp:effectExtent l="0" t="38100" r="5080" b="38100"/>
                      <wp:wrapNone/>
                      <wp:docPr id="152" name="直接箭头连接符 152"/>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6.15pt;margin-top:11.8pt;height:0pt;width:25.1pt;z-index:251748352;mso-width-relative:page;mso-height-relative:page;" filled="f" stroked="t" coordsize="21600,21600" o:gfxdata="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wXdDDYAAAACQEAAA8AAAAAAAAAAQAgAAAAIgAAAGRycy9kb3ducmV2LnhtbFBL&#10;AQIUABQAAAAIAIdO4kAWl/Ig9gEAAMoDAAAOAAAAAAAAAAEAIAAAACcBAABkcnMvZTJvRG9jLnht&#10;bFBLBQYAAAAABgAGAFkBAACPBQ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6304" behindDoc="0" locked="0" layoutInCell="1" allowOverlap="1">
                      <wp:simplePos x="0" y="0"/>
                      <wp:positionH relativeFrom="column">
                        <wp:posOffset>-53975</wp:posOffset>
                      </wp:positionH>
                      <wp:positionV relativeFrom="paragraph">
                        <wp:posOffset>140335</wp:posOffset>
                      </wp:positionV>
                      <wp:extent cx="447675" cy="0"/>
                      <wp:effectExtent l="0" t="38100" r="9525" b="38100"/>
                      <wp:wrapNone/>
                      <wp:docPr id="201" name="直接箭头连接符 201"/>
                      <wp:cNvGraphicFramePr/>
                      <a:graphic xmlns:a="http://schemas.openxmlformats.org/drawingml/2006/main">
                        <a:graphicData uri="http://schemas.microsoft.com/office/word/2010/wordprocessingShape">
                          <wps:wsp>
                            <wps:cNvCnPr/>
                            <wps:spPr>
                              <a:xfrm>
                                <a:off x="2527935" y="4150360"/>
                                <a:ext cx="447675"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25pt;margin-top:11.05pt;height:0pt;width:35.25pt;z-index:251746304;mso-width-relative:page;mso-height-relative:page;" filled="f" stroked="t" coordsize="21600,21600" o:gfxdata="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8VN1zWAAAABwEAAA8AAAAAAAAAAQAgAAAAIgAAAGRycy9k&#10;b3ducmV2LnhtbFBLAQIUABQAAAAIAIdO4kC7DH8FBAIAANYDAAAOAAAAAAAAAAEAIAAAACUBAABk&#10;cnMvZTJvRG9jLnhtbFBLBQYAAAAABgAGAFkBAACbBQAAAAA=&#10;">
                      <v:fill on="f" focussize="0,0"/>
                      <v:stroke weight="0pt" color="#000000 [3213]" joinstyle="round" endarrow="block"/>
                      <v:imagedata o:title=""/>
                      <o:lock v:ext="edit" aspectratio="f"/>
                    </v:shape>
                  </w:pict>
                </mc:Fallback>
              </mc:AlternateContent>
            </w:r>
          </w:p>
          <w:p w14:paraId="301814C8">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color w:val="auto"/>
                <w:u w:val="none" w:color="auto"/>
              </w:rPr>
              <mc:AlternateContent>
                <mc:Choice Requires="wps">
                  <w:drawing>
                    <wp:anchor distT="0" distB="0" distL="114300" distR="114300" simplePos="0" relativeHeight="251741184" behindDoc="0" locked="0" layoutInCell="1" allowOverlap="1">
                      <wp:simplePos x="0" y="0"/>
                      <wp:positionH relativeFrom="column">
                        <wp:posOffset>4133215</wp:posOffset>
                      </wp:positionH>
                      <wp:positionV relativeFrom="paragraph">
                        <wp:posOffset>208280</wp:posOffset>
                      </wp:positionV>
                      <wp:extent cx="749935" cy="1035685"/>
                      <wp:effectExtent l="0" t="0" r="0" b="0"/>
                      <wp:wrapNone/>
                      <wp:docPr id="209" name="文本框 99"/>
                      <wp:cNvGraphicFramePr/>
                      <a:graphic xmlns:a="http://schemas.openxmlformats.org/drawingml/2006/main">
                        <a:graphicData uri="http://schemas.microsoft.com/office/word/2010/wordprocessingShape">
                          <wps:wsp>
                            <wps:cNvSpPr txBox="1"/>
                            <wps:spPr>
                              <a:xfrm>
                                <a:off x="0" y="0"/>
                                <a:ext cx="749935" cy="1035685"/>
                              </a:xfrm>
                              <a:prstGeom prst="rect">
                                <a:avLst/>
                              </a:prstGeom>
                              <a:noFill/>
                              <a:ln w="9525">
                                <a:noFill/>
                              </a:ln>
                            </wps:spPr>
                            <wps:txbx>
                              <w:txbxContent>
                                <w:p w14:paraId="668D98BB">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18F44C2B">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2C4DD59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3BA71006">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028C448E">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3D7A7E26">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wps:txbx>
                            <wps:bodyPr>
                              <a:noAutofit/>
                            </wps:bodyPr>
                          </wps:wsp>
                        </a:graphicData>
                      </a:graphic>
                    </wp:anchor>
                  </w:drawing>
                </mc:Choice>
                <mc:Fallback>
                  <w:pict>
                    <v:shape id="文本框 99" o:spid="_x0000_s1026" o:spt="202" type="#_x0000_t202" style="position:absolute;left:0pt;margin-left:325.45pt;margin-top:16.4pt;height:81.55pt;width:59.05pt;z-index:251741184;mso-width-relative:page;mso-height-relative:page;" filled="f" stroked="f" coordsize="21600,21600" o:gfxdata="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kEo5jWAAAACgEAAA8AAAAAAAAAAQAgAAAAIgAAAGRycy9kb3ducmV2LnhtbFBLAQIU&#10;ABQAAAAIAIdO4kCSJWHAvAEAAGgDAAAOAAAAAAAAAAEAIAAAACUBAABkcnMvZTJvRG9jLnhtbFBL&#10;BQYAAAAABgAGAFkBAABTBQAAAAA=&#10;">
                      <v:fill on="f" focussize="0,0"/>
                      <v:stroke on="f"/>
                      <v:imagedata o:title=""/>
                      <o:lock v:ext="edit" aspectratio="f"/>
                      <v:textbox>
                        <w:txbxContent>
                          <w:p w14:paraId="668D98BB">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18F44C2B">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2C4DD59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3BA71006">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028C448E">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3D7A7E26">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50400" behindDoc="0" locked="0" layoutInCell="1" allowOverlap="1">
                      <wp:simplePos x="0" y="0"/>
                      <wp:positionH relativeFrom="column">
                        <wp:posOffset>631825</wp:posOffset>
                      </wp:positionH>
                      <wp:positionV relativeFrom="paragraph">
                        <wp:posOffset>41910</wp:posOffset>
                      </wp:positionV>
                      <wp:extent cx="5080" cy="304800"/>
                      <wp:effectExtent l="36830" t="0" r="34290" b="0"/>
                      <wp:wrapNone/>
                      <wp:docPr id="219" name="直接箭头连接符 219"/>
                      <wp:cNvGraphicFramePr/>
                      <a:graphic xmlns:a="http://schemas.openxmlformats.org/drawingml/2006/main">
                        <a:graphicData uri="http://schemas.microsoft.com/office/word/2010/wordprocessingShape">
                          <wps:wsp>
                            <wps:cNvCnPr/>
                            <wps:spPr>
                              <a:xfrm flipH="1">
                                <a:off x="0" y="0"/>
                                <a:ext cx="5080" cy="30480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9.75pt;margin-top:3.3pt;height:24pt;width:0.4pt;z-index:251750400;mso-width-relative:page;mso-height-relative:page;" filled="f" stroked="t" coordsize="21600,21600" o:gfxdata="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KagfdQAAAAHAQAADwAAAAAAAAABACAAAAAiAAAAZHJzL2Rvd25y&#10;ZXYueG1sUEsBAhQAFAAAAAgAh07iQC7eJ/0CAgAA1wMAAA4AAAAAAAAAAQAgAAAAIwEAAGRycy9l&#10;Mm9Eb2MueG1sUEsFBgAAAAAGAAYAWQEAAJcFAAAAAA==&#10;">
                      <v:fill on="f" focussize="0,0"/>
                      <v:stroke weight="0pt" color="#000000 [3213]" joinstyle="round" endarrow="block"/>
                      <v:imagedata o:title=""/>
                      <o:lock v:ext="edit" aspectratio="f"/>
                    </v:shape>
                  </w:pict>
                </mc:Fallback>
              </mc:AlternateContent>
            </w:r>
          </w:p>
          <w:p w14:paraId="2DFD8F9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56544" behindDoc="0" locked="0" layoutInCell="1" allowOverlap="1">
                      <wp:simplePos x="0" y="0"/>
                      <wp:positionH relativeFrom="column">
                        <wp:posOffset>308610</wp:posOffset>
                      </wp:positionH>
                      <wp:positionV relativeFrom="paragraph">
                        <wp:posOffset>77470</wp:posOffset>
                      </wp:positionV>
                      <wp:extent cx="875665" cy="29464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3D67F">
                                  <w:pPr>
                                    <w:rPr>
                                      <w:rFonts w:hint="default" w:eastAsia="宋体"/>
                                      <w:sz w:val="18"/>
                                      <w:szCs w:val="18"/>
                                      <w:lang w:val="en-US" w:eastAsia="zh-CN"/>
                                    </w:rPr>
                                  </w:pPr>
                                  <w:r>
                                    <w:rPr>
                                      <w:rFonts w:hint="eastAsia"/>
                                      <w:sz w:val="18"/>
                                      <w:szCs w:val="18"/>
                                      <w:lang w:val="en-US" w:eastAsia="zh-CN"/>
                                    </w:rPr>
                                    <w:t>生产工段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6.1pt;height:23.2pt;width:68.95pt;z-index:251756544;mso-width-relative:page;mso-height-relative:page;" filled="f" stroked="f" coordsize="21600,21600" o:gfxdata="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FghMfYAAAACAEAAA8AAAAAAAAAAQAgAAAAIgAAAGRy&#10;cy9kb3ducmV2LnhtbFBLAQIUABQAAAAIAIdO4kCO430pPgIAAGkEAAAOAAAAAAAAAAEAIAAAACcB&#10;AABkcnMvZTJvRG9jLnhtbFBLBQYAAAAABgAGAFkBAADXBQAAAAA=&#10;">
                      <v:fill on="f" focussize="0,0"/>
                      <v:stroke on="f" weight="0.5pt"/>
                      <v:imagedata o:title=""/>
                      <o:lock v:ext="edit" aspectratio="f"/>
                      <v:textbox>
                        <w:txbxContent>
                          <w:p w14:paraId="6CA3D67F">
                            <w:pPr>
                              <w:rPr>
                                <w:rFonts w:hint="default" w:eastAsia="宋体"/>
                                <w:sz w:val="18"/>
                                <w:szCs w:val="18"/>
                                <w:lang w:val="en-US" w:eastAsia="zh-CN"/>
                              </w:rPr>
                            </w:pPr>
                            <w:r>
                              <w:rPr>
                                <w:rFonts w:hint="eastAsia"/>
                                <w:sz w:val="18"/>
                                <w:szCs w:val="18"/>
                                <w:lang w:val="en-US" w:eastAsia="zh-CN"/>
                              </w:rPr>
                              <w:t>生产工段</w:t>
                            </w:r>
                          </w:p>
                        </w:txbxContent>
                      </v:textbox>
                    </v:shape>
                  </w:pict>
                </mc:Fallback>
              </mc:AlternateContent>
            </w:r>
          </w:p>
          <w:p w14:paraId="74946108">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109EFA0C">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44729AA7">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40DE9040">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51898A4E">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rPr>
            </w:pPr>
            <w:r>
              <w:rPr>
                <w:rFonts w:hint="default" w:ascii="Times New Roman" w:hAnsi="Times New Roman" w:eastAsia="宋体" w:cs="Times New Roman"/>
                <w:b/>
                <w:bCs/>
                <w:color w:val="auto"/>
                <w:sz w:val="22"/>
                <w:szCs w:val="28"/>
                <w:u w:val="none" w:color="auto"/>
                <w:lang w:eastAsia="zh-CN"/>
              </w:rPr>
              <w:t>图</w:t>
            </w:r>
            <w:r>
              <w:rPr>
                <w:rFonts w:hint="default" w:ascii="Times New Roman" w:hAnsi="Times New Roman" w:eastAsia="宋体" w:cs="Times New Roman"/>
                <w:b/>
                <w:bCs/>
                <w:color w:val="auto"/>
                <w:sz w:val="22"/>
                <w:szCs w:val="28"/>
                <w:u w:val="none" w:color="auto"/>
                <w:lang w:val="en-US" w:eastAsia="zh-CN"/>
              </w:rPr>
              <w:t>2-</w:t>
            </w:r>
            <w:r>
              <w:rPr>
                <w:rFonts w:hint="eastAsia" w:cs="Times New Roman"/>
                <w:b/>
                <w:bCs/>
                <w:color w:val="auto"/>
                <w:sz w:val="22"/>
                <w:szCs w:val="28"/>
                <w:u w:val="none" w:color="auto"/>
                <w:lang w:val="en-US" w:eastAsia="zh-CN"/>
              </w:rPr>
              <w:t>2</w:t>
            </w:r>
            <w:r>
              <w:rPr>
                <w:rFonts w:hint="default" w:ascii="Times New Roman" w:hAnsi="Times New Roman" w:eastAsia="宋体" w:cs="Times New Roman"/>
                <w:b/>
                <w:bCs/>
                <w:color w:val="auto"/>
                <w:sz w:val="22"/>
                <w:szCs w:val="28"/>
                <w:u w:val="none" w:color="auto"/>
                <w:lang w:val="en-US" w:eastAsia="zh-CN"/>
              </w:rPr>
              <w:t xml:space="preserve"> </w:t>
            </w:r>
            <w:r>
              <w:rPr>
                <w:rFonts w:hint="default" w:ascii="Times New Roman" w:hAnsi="Times New Roman" w:eastAsia="宋体" w:cs="Times New Roman"/>
                <w:b/>
                <w:bCs/>
                <w:color w:val="auto"/>
                <w:sz w:val="22"/>
                <w:szCs w:val="28"/>
                <w:u w:val="none" w:color="auto"/>
              </w:rPr>
              <w:t>营运期</w:t>
            </w:r>
            <w:r>
              <w:rPr>
                <w:rFonts w:hint="eastAsia" w:cs="Times New Roman"/>
                <w:b/>
                <w:bCs/>
                <w:color w:val="auto"/>
                <w:sz w:val="22"/>
                <w:szCs w:val="28"/>
                <w:u w:val="none" w:color="auto"/>
                <w:lang w:val="en-US" w:eastAsia="zh-CN"/>
              </w:rPr>
              <w:t>备用锅炉</w:t>
            </w:r>
            <w:r>
              <w:rPr>
                <w:rFonts w:hint="default" w:ascii="Times New Roman" w:hAnsi="Times New Roman" w:eastAsia="宋体" w:cs="Times New Roman"/>
                <w:b/>
                <w:bCs/>
                <w:color w:val="auto"/>
                <w:sz w:val="22"/>
                <w:szCs w:val="28"/>
                <w:u w:val="none" w:color="auto"/>
              </w:rPr>
              <w:t>产污环节</w:t>
            </w:r>
          </w:p>
          <w:p w14:paraId="14763AA2">
            <w:pPr>
              <w:pStyle w:val="12"/>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38112" behindDoc="0" locked="0" layoutInCell="1" allowOverlap="1">
                      <wp:simplePos x="0" y="0"/>
                      <wp:positionH relativeFrom="column">
                        <wp:posOffset>1985645</wp:posOffset>
                      </wp:positionH>
                      <wp:positionV relativeFrom="paragraph">
                        <wp:posOffset>179705</wp:posOffset>
                      </wp:positionV>
                      <wp:extent cx="875665" cy="2946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979A7">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35pt;margin-top:14.15pt;height:23.2pt;width:68.95pt;z-index:251738112;mso-width-relative:page;mso-height-relative:page;" filled="f" stroked="f" coordsize="21600,21600" o:gfxdata="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&#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nAga2wAAAAkBAAAPAAAAAAAAAAEAIAAAACIAAABk&#10;cnMvZG93bnJldi54bWxQSwECFAAUAAAACACHTuJAjTl5BTwCAABlBAAADgAAAAAAAAABACAAAAAq&#10;AQAAZHJzL2Uyb0RvYy54bWxQSwUGAAAAAAYABgBZAQAA2AUAAAAA&#10;">
                      <v:fill on="f" focussize="0,0"/>
                      <v:stroke on="f" weight="0.5pt"/>
                      <v:imagedata o:title=""/>
                      <o:lock v:ext="edit" aspectratio="f"/>
                      <v:textbox>
                        <w:txbxContent>
                          <w:p w14:paraId="665979A7">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40160" behindDoc="0" locked="0" layoutInCell="1" allowOverlap="1">
                      <wp:simplePos x="0" y="0"/>
                      <wp:positionH relativeFrom="column">
                        <wp:posOffset>4451985</wp:posOffset>
                      </wp:positionH>
                      <wp:positionV relativeFrom="paragraph">
                        <wp:posOffset>246380</wp:posOffset>
                      </wp:positionV>
                      <wp:extent cx="808990" cy="294640"/>
                      <wp:effectExtent l="0" t="0" r="0" b="0"/>
                      <wp:wrapNone/>
                      <wp:docPr id="9" name="文本框 9"/>
                      <wp:cNvGraphicFramePr/>
                      <a:graphic xmlns:a="http://schemas.openxmlformats.org/drawingml/2006/main">
                        <a:graphicData uri="http://schemas.microsoft.com/office/word/2010/wordprocessingShape">
                          <wps:wsp>
                            <wps:cNvSpPr txBox="1"/>
                            <wps:spPr>
                              <a:xfrm>
                                <a:off x="0" y="0"/>
                                <a:ext cx="80899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9CF24">
                                  <w:pPr>
                                    <w:rPr>
                                      <w:rFonts w:hint="default" w:eastAsia="宋体"/>
                                      <w:sz w:val="18"/>
                                      <w:szCs w:val="18"/>
                                      <w:lang w:val="en-US" w:eastAsia="zh-CN"/>
                                    </w:rPr>
                                  </w:pPr>
                                  <w:r>
                                    <w:rPr>
                                      <w:rFonts w:hint="eastAsia"/>
                                      <w:sz w:val="18"/>
                                      <w:szCs w:val="18"/>
                                      <w:lang w:val="en-US" w:eastAsia="zh-CN"/>
                                    </w:rPr>
                                    <w:t>G3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55pt;margin-top:19.4pt;height:23.2pt;width:63.7pt;z-index:251740160;mso-width-relative:page;mso-height-relative:page;" filled="f" stroked="f" coordsize="21600,21600" o:gfxdata="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JP309kAAAAJAQAADwAAAAAAAAABACAAAAAiAAAAZHJz&#10;L2Rvd25yZXYueG1sUEsBAhQAFAAAAAgAh07iQFS3hYc8AgAAZQQAAA4AAAAAAAAAAQAgAAAAKAEA&#10;AGRycy9lMm9Eb2MueG1sUEsFBgAAAAAGAAYAWQEAANYFAAAAAA==&#10;">
                      <v:fill on="f" focussize="0,0"/>
                      <v:stroke on="f" weight="0.5pt"/>
                      <v:imagedata o:title=""/>
                      <o:lock v:ext="edit" aspectratio="f"/>
                      <v:textbox>
                        <w:txbxContent>
                          <w:p w14:paraId="5F89CF24">
                            <w:pPr>
                              <w:rPr>
                                <w:rFonts w:hint="default" w:eastAsia="宋体"/>
                                <w:sz w:val="18"/>
                                <w:szCs w:val="18"/>
                                <w:lang w:val="en-US" w:eastAsia="zh-CN"/>
                              </w:rPr>
                            </w:pPr>
                            <w:r>
                              <w:rPr>
                                <w:rFonts w:hint="eastAsia"/>
                                <w:sz w:val="18"/>
                                <w:szCs w:val="18"/>
                                <w:lang w:val="en-US" w:eastAsia="zh-CN"/>
                              </w:rPr>
                              <w:t>G3</w:t>
                            </w:r>
                          </w:p>
                        </w:txbxContent>
                      </v:textbox>
                    </v:shape>
                  </w:pict>
                </mc:Fallback>
              </mc:AlternateContent>
            </w:r>
          </w:p>
          <w:p w14:paraId="26DB279E">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37088" behindDoc="0" locked="0" layoutInCell="1" allowOverlap="1">
                      <wp:simplePos x="0" y="0"/>
                      <wp:positionH relativeFrom="column">
                        <wp:posOffset>596265</wp:posOffset>
                      </wp:positionH>
                      <wp:positionV relativeFrom="paragraph">
                        <wp:posOffset>3175</wp:posOffset>
                      </wp:positionV>
                      <wp:extent cx="875665" cy="29464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23F97">
                                  <w:pPr>
                                    <w:rPr>
                                      <w:rFonts w:hint="default" w:eastAsia="宋体"/>
                                      <w:sz w:val="18"/>
                                      <w:szCs w:val="18"/>
                                      <w:lang w:val="en-US" w:eastAsia="zh-CN"/>
                                    </w:rPr>
                                  </w:pPr>
                                  <w:r>
                                    <w:rPr>
                                      <w:rFonts w:hint="eastAsia"/>
                                      <w:sz w:val="18"/>
                                      <w:szCs w:val="18"/>
                                      <w:lang w:val="en-US" w:eastAsia="zh-CN"/>
                                    </w:rPr>
                                    <w:t>N、S、W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5pt;margin-top:0.25pt;height:23.2pt;width:68.95pt;z-index:251737088;mso-width-relative:page;mso-height-relative:page;" filled="f" stroked="f" coordsize="21600,21600" o:gfxdata="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5VzSC2AAAAAYBAAAPAAAAAAAAAAEAIAAAACIAAABkcnMv&#10;ZG93bnJldi54bWxQSwECFAAUAAAACACHTuJAB+cPQDwCAABnBAAADgAAAAAAAAABACAAAAAnAQAA&#10;ZHJzL2Uyb0RvYy54bWxQSwUGAAAAAAYABgBZAQAA1QUAAAAA&#10;">
                      <v:fill on="f" focussize="0,0"/>
                      <v:stroke on="f" weight="0.5pt"/>
                      <v:imagedata o:title=""/>
                      <o:lock v:ext="edit" aspectratio="f"/>
                      <v:textbox>
                        <w:txbxContent>
                          <w:p w14:paraId="36F23F97">
                            <w:pPr>
                              <w:rPr>
                                <w:rFonts w:hint="default" w:eastAsia="宋体"/>
                                <w:sz w:val="18"/>
                                <w:szCs w:val="18"/>
                                <w:lang w:val="en-US" w:eastAsia="zh-CN"/>
                              </w:rPr>
                            </w:pPr>
                            <w:r>
                              <w:rPr>
                                <w:rFonts w:hint="eastAsia"/>
                                <w:sz w:val="18"/>
                                <w:szCs w:val="18"/>
                                <w:lang w:val="en-US" w:eastAsia="zh-CN"/>
                              </w:rPr>
                              <w:t>N、S、W</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30944" behindDoc="0" locked="0" layoutInCell="1" allowOverlap="1">
                      <wp:simplePos x="0" y="0"/>
                      <wp:positionH relativeFrom="column">
                        <wp:posOffset>917575</wp:posOffset>
                      </wp:positionH>
                      <wp:positionV relativeFrom="paragraph">
                        <wp:posOffset>167005</wp:posOffset>
                      </wp:positionV>
                      <wp:extent cx="5080" cy="314325"/>
                      <wp:effectExtent l="36830" t="0" r="34290" b="9525"/>
                      <wp:wrapNone/>
                      <wp:docPr id="22" name="直接箭头连接符 22"/>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72.25pt;margin-top:13.15pt;height:24.75pt;width:0.4pt;z-index:251730944;mso-width-relative:page;mso-height-relative:page;" filled="f" stroked="t" coordsize="21600,21600" o:gfxdata="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0cnpX3AAAAAkBAAAPAAAAAAAAAAEAIAAAACIA&#10;AABkcnMvZG93bnJldi54bWxQSwECFAAUAAAACACHTuJAem2CSwUCAADfAwAADgAAAAAAAAABACAA&#10;AAArAQAAZHJzL2Uyb0RvYy54bWxQSwUGAAAAAAYABgBZAQAAogU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31968" behindDoc="0" locked="0" layoutInCell="1" allowOverlap="1">
                      <wp:simplePos x="0" y="0"/>
                      <wp:positionH relativeFrom="column">
                        <wp:posOffset>2317750</wp:posOffset>
                      </wp:positionH>
                      <wp:positionV relativeFrom="paragraph">
                        <wp:posOffset>86995</wp:posOffset>
                      </wp:positionV>
                      <wp:extent cx="5080" cy="314325"/>
                      <wp:effectExtent l="36830" t="0" r="34290" b="9525"/>
                      <wp:wrapNone/>
                      <wp:docPr id="21" name="直接箭头连接符 21"/>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82.5pt;margin-top:6.85pt;height:24.75pt;width:0.4pt;z-index:251731968;mso-width-relative:page;mso-height-relative:page;" filled="f" stroked="t" coordsize="21600,21600" o:gfxdata="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DEqadoAAAAJAQAADwAAAAAAAAABACAAAAAiAAAA&#10;ZHJzL2Rvd25yZXYueG1sUEsBAhQAFAAAAAgAh07iQElV9uAFAgAA3wMAAA4AAAAAAAAAAQAgAAAA&#10;KQEAAGRycy9lMm9Eb2MueG1sUEsFBgAAAAAGAAYAWQEAAKA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39136" behindDoc="0" locked="0" layoutInCell="1" allowOverlap="1">
                      <wp:simplePos x="0" y="0"/>
                      <wp:positionH relativeFrom="column">
                        <wp:posOffset>3480435</wp:posOffset>
                      </wp:positionH>
                      <wp:positionV relativeFrom="paragraph">
                        <wp:posOffset>22225</wp:posOffset>
                      </wp:positionV>
                      <wp:extent cx="875665" cy="29464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EA30E">
                                  <w:pPr>
                                    <w:rPr>
                                      <w:rFonts w:hint="default" w:eastAsia="宋体"/>
                                      <w:sz w:val="18"/>
                                      <w:szCs w:val="18"/>
                                      <w:lang w:val="en-US" w:eastAsia="zh-CN"/>
                                    </w:rPr>
                                  </w:pPr>
                                  <w:r>
                                    <w:rPr>
                                      <w:rFonts w:hint="eastAsia"/>
                                      <w:sz w:val="18"/>
                                      <w:szCs w:val="18"/>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05pt;margin-top:1.75pt;height:23.2pt;width:68.95pt;z-index:251739136;mso-width-relative:page;mso-height-relative:page;" filled="f" stroked="f" coordsize="21600,21600" o:gfxdata="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VHSrjaAAAACAEAAA8AAAAAAAAAAQAgAAAAIgAAAGRy&#10;cy9kb3ducmV2LnhtbFBLAQIUABQAAAAIAIdO4kDtFuBVPAIAAGcEAAAOAAAAAAAAAAEAIAAAACkB&#10;AABkcnMvZTJvRG9jLnhtbFBLBQYAAAAABgAGAFkBAADXBQAAAAA=&#10;">
                      <v:fill on="f" focussize="0,0"/>
                      <v:stroke on="f" weight="0.5pt"/>
                      <v:imagedata o:title=""/>
                      <o:lock v:ext="edit" aspectratio="f"/>
                      <v:textbox>
                        <w:txbxContent>
                          <w:p w14:paraId="679EA30E">
                            <w:pPr>
                              <w:rPr>
                                <w:rFonts w:hint="default" w:eastAsia="宋体"/>
                                <w:sz w:val="18"/>
                                <w:szCs w:val="18"/>
                                <w:lang w:val="en-US" w:eastAsia="zh-CN"/>
                              </w:rPr>
                            </w:pPr>
                            <w:r>
                              <w:rPr>
                                <w:rFonts w:hint="eastAsia"/>
                                <w:sz w:val="18"/>
                                <w:szCs w:val="18"/>
                                <w:lang w:val="en-US" w:eastAsia="zh-CN"/>
                              </w:rPr>
                              <w:t>N</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34016" behindDoc="0" locked="0" layoutInCell="1" allowOverlap="1">
                      <wp:simplePos x="0" y="0"/>
                      <wp:positionH relativeFrom="column">
                        <wp:posOffset>4584700</wp:posOffset>
                      </wp:positionH>
                      <wp:positionV relativeFrom="paragraph">
                        <wp:posOffset>165100</wp:posOffset>
                      </wp:positionV>
                      <wp:extent cx="5080" cy="314325"/>
                      <wp:effectExtent l="36830" t="0" r="34290" b="9525"/>
                      <wp:wrapNone/>
                      <wp:docPr id="17" name="直接箭头连接符 17"/>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361pt;margin-top:13pt;height:24.75pt;width:0.4pt;z-index:251734016;mso-width-relative:page;mso-height-relative:page;" filled="f" stroked="t" coordsize="21600,21600" o:gfxdata="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&#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TTDj2gAAAAkBAAAPAAAAAAAAAAEAIAAAACIAAABk&#10;cnMvZG93bnJldi54bWxQSwECFAAUAAAACACHTuJAQDYU0gQCAADfAwAADgAAAAAAAAABACAAAAAp&#10;AQAAZHJzL2Uyb0RvYy54bWxQSwUGAAAAAAYABgBZAQAAnwU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32992" behindDoc="0" locked="0" layoutInCell="1" allowOverlap="1">
                      <wp:simplePos x="0" y="0"/>
                      <wp:positionH relativeFrom="column">
                        <wp:posOffset>3641725</wp:posOffset>
                      </wp:positionH>
                      <wp:positionV relativeFrom="paragraph">
                        <wp:posOffset>184150</wp:posOffset>
                      </wp:positionV>
                      <wp:extent cx="5080" cy="314325"/>
                      <wp:effectExtent l="36830" t="0" r="34290" b="9525"/>
                      <wp:wrapNone/>
                      <wp:docPr id="20" name="直接箭头连接符 20"/>
                      <wp:cNvGraphicFramePr/>
                      <a:graphic xmlns:a="http://schemas.openxmlformats.org/drawingml/2006/main">
                        <a:graphicData uri="http://schemas.microsoft.com/office/word/2010/wordprocessingShape">
                          <wps:wsp>
                            <wps:cNvCnPr/>
                            <wps:spPr>
                              <a:xfrm flipH="1" flipV="1">
                                <a:off x="0" y="0"/>
                                <a:ext cx="5080" cy="314325"/>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86.75pt;margin-top:14.5pt;height:24.75pt;width:0.4pt;z-index:251732992;mso-width-relative:page;mso-height-relative:page;" filled="f" stroked="t" coordsize="21600,21600" o:gfxdata="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E4Ut3QAAAAkBAAAPAAAAAAAAAAEAIAAAACIA&#10;AABkcnMvZG93bnJldi54bWxQSwECFAAUAAAACACHTuJAWL0lhgQCAADfAwAADgAAAAAAAAABACAA&#10;AAAsAQAAZHJzL2Uyb0RvYy54bWxQSwUGAAAAAAYABgBZAQAAogUAAAAA&#10;">
                      <v:fill on="f" focussize="0,0"/>
                      <v:stroke weight="0pt" color="#000000 [3213]" joinstyle="round" endarrow="block"/>
                      <v:imagedata o:title=""/>
                      <o:lock v:ext="edit" aspectratio="f"/>
                    </v:shape>
                  </w:pict>
                </mc:Fallback>
              </mc:AlternateContent>
            </w:r>
          </w:p>
          <w:p w14:paraId="1C60B59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35040" behindDoc="0" locked="0" layoutInCell="1" allowOverlap="1">
                      <wp:simplePos x="0" y="0"/>
                      <wp:positionH relativeFrom="column">
                        <wp:posOffset>-125095</wp:posOffset>
                      </wp:positionH>
                      <wp:positionV relativeFrom="paragraph">
                        <wp:posOffset>125095</wp:posOffset>
                      </wp:positionV>
                      <wp:extent cx="890270" cy="294640"/>
                      <wp:effectExtent l="0" t="0" r="0" b="0"/>
                      <wp:wrapNone/>
                      <wp:docPr id="24" name="文本框 24"/>
                      <wp:cNvGraphicFramePr/>
                      <a:graphic xmlns:a="http://schemas.openxmlformats.org/drawingml/2006/main">
                        <a:graphicData uri="http://schemas.microsoft.com/office/word/2010/wordprocessingShape">
                          <wps:wsp>
                            <wps:cNvSpPr txBox="1"/>
                            <wps:spPr>
                              <a:xfrm>
                                <a:off x="3061335" y="4607560"/>
                                <a:ext cx="890270"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CA08E">
                                  <w:pPr>
                                    <w:rPr>
                                      <w:rFonts w:hint="eastAsia" w:eastAsia="宋体"/>
                                      <w:sz w:val="18"/>
                                      <w:szCs w:val="18"/>
                                      <w:lang w:val="en-US" w:eastAsia="zh-CN"/>
                                    </w:rPr>
                                  </w:pPr>
                                  <w:r>
                                    <w:rPr>
                                      <w:rFonts w:hint="eastAsia"/>
                                      <w:sz w:val="18"/>
                                      <w:szCs w:val="18"/>
                                      <w:lang w:val="en-US" w:eastAsia="zh-CN"/>
                                    </w:rPr>
                                    <w:t>成型生物质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5pt;margin-top:9.85pt;height:23.2pt;width:70.1pt;z-index:251735040;mso-width-relative:page;mso-height-relative:page;" filled="f" stroked="f" coordsize="21600,21600" o:gfxdata="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aK3PjZAAAACQEAAA8AAAAAAAAA&#10;AQAgAAAAIgAAAGRycy9kb3ducmV2LnhtbFBLAQIUABQAAAAIAIdO4kDS8owvSQIAAHMEAAAOAAAA&#10;AAAAAAEAIAAAACgBAABkcnMvZTJvRG9jLnhtbFBLBQYAAAAABgAGAFkBAADjBQAAAAA=&#10;">
                      <v:fill on="f" focussize="0,0"/>
                      <v:stroke on="f" weight="0.5pt"/>
                      <v:imagedata o:title=""/>
                      <o:lock v:ext="edit" aspectratio="f"/>
                      <v:textbox>
                        <w:txbxContent>
                          <w:p w14:paraId="447CA08E">
                            <w:pPr>
                              <w:rPr>
                                <w:rFonts w:hint="eastAsia" w:eastAsia="宋体"/>
                                <w:sz w:val="18"/>
                                <w:szCs w:val="18"/>
                                <w:lang w:val="en-US" w:eastAsia="zh-CN"/>
                              </w:rPr>
                            </w:pPr>
                            <w:r>
                              <w:rPr>
                                <w:rFonts w:hint="eastAsia"/>
                                <w:sz w:val="18"/>
                                <w:szCs w:val="18"/>
                                <w:lang w:val="en-US" w:eastAsia="zh-CN"/>
                              </w:rPr>
                              <w:t>成型生物质</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1728" behindDoc="0" locked="0" layoutInCell="1" allowOverlap="1">
                      <wp:simplePos x="0" y="0"/>
                      <wp:positionH relativeFrom="column">
                        <wp:posOffset>454660</wp:posOffset>
                      </wp:positionH>
                      <wp:positionV relativeFrom="paragraph">
                        <wp:posOffset>222250</wp:posOffset>
                      </wp:positionV>
                      <wp:extent cx="868680" cy="276225"/>
                      <wp:effectExtent l="4445" t="4445" r="22225" b="5080"/>
                      <wp:wrapNone/>
                      <wp:docPr id="27" name="文本框 27"/>
                      <wp:cNvGraphicFramePr/>
                      <a:graphic xmlns:a="http://schemas.openxmlformats.org/drawingml/2006/main">
                        <a:graphicData uri="http://schemas.microsoft.com/office/word/2010/wordprocessingShape">
                          <wps:wsp>
                            <wps:cNvSpPr txBox="1"/>
                            <wps:spPr>
                              <a:xfrm>
                                <a:off x="1842135" y="3443605"/>
                                <a:ext cx="86868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01C5BB">
                                  <w:pPr>
                                    <w:jc w:val="center"/>
                                    <w:rPr>
                                      <w:rFonts w:hint="default" w:eastAsia="宋体"/>
                                      <w:lang w:val="en-US" w:eastAsia="zh-CN"/>
                                    </w:rPr>
                                  </w:pPr>
                                  <w:r>
                                    <w:rPr>
                                      <w:rFonts w:hint="eastAsia"/>
                                      <w:lang w:val="en-US" w:eastAsia="zh-CN"/>
                                    </w:rPr>
                                    <w:t>导热油炉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8pt;margin-top:17.5pt;height:21.75pt;width:68.4pt;z-index:251721728;mso-width-relative:page;mso-height-relative:page;" fillcolor="#FFFFFF [3201]" filled="t" stroked="t" coordsize="21600,21600" o:gfxdata="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D5jLt1QAAAAgBAAAPAAAAAAAAAAEAIAAAACIAAABkcnMvZG93bnJldi54bWxQSwECFAAU&#10;AAAACACHTuJA3Vao0mYCAADEBAAADgAAAAAAAAABACAAAAAkAQAAZHJzL2Uyb0RvYy54bWxQSwUG&#10;AAAAAAYABgBZAQAA/AUAAAAA&#10;">
                      <v:fill on="t" focussize="0,0"/>
                      <v:stroke weight="0.5pt" color="#000000 [3204]" joinstyle="round"/>
                      <v:imagedata o:title=""/>
                      <o:lock v:ext="edit" aspectratio="f"/>
                      <v:textbox>
                        <w:txbxContent>
                          <w:p w14:paraId="6401C5BB">
                            <w:pPr>
                              <w:jc w:val="center"/>
                              <w:rPr>
                                <w:rFonts w:hint="default" w:eastAsia="宋体"/>
                                <w:lang w:val="en-US" w:eastAsia="zh-CN"/>
                              </w:rPr>
                            </w:pPr>
                            <w:r>
                              <w:rPr>
                                <w:rFonts w:hint="eastAsia"/>
                                <w:lang w:val="en-US" w:eastAsia="zh-CN"/>
                              </w:rPr>
                              <w:t>导热油炉</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2752" behindDoc="0" locked="0" layoutInCell="1" allowOverlap="1">
                      <wp:simplePos x="0" y="0"/>
                      <wp:positionH relativeFrom="column">
                        <wp:posOffset>1624330</wp:posOffset>
                      </wp:positionH>
                      <wp:positionV relativeFrom="paragraph">
                        <wp:posOffset>150495</wp:posOffset>
                      </wp:positionV>
                      <wp:extent cx="1379220" cy="466725"/>
                      <wp:effectExtent l="4445" t="4445" r="6985" b="5080"/>
                      <wp:wrapNone/>
                      <wp:docPr id="26" name="文本框 26"/>
                      <wp:cNvGraphicFramePr/>
                      <a:graphic xmlns:a="http://schemas.openxmlformats.org/drawingml/2006/main">
                        <a:graphicData uri="http://schemas.microsoft.com/office/word/2010/wordprocessingShape">
                          <wps:wsp>
                            <wps:cNvSpPr txBox="1"/>
                            <wps:spPr>
                              <a:xfrm>
                                <a:off x="0" y="0"/>
                                <a:ext cx="1379220" cy="466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424CE01">
                                  <w:pPr>
                                    <w:jc w:val="center"/>
                                    <w:rPr>
                                      <w:rFonts w:hint="eastAsia" w:ascii="宋体" w:hAnsi="宋体" w:eastAsia="宋体" w:cs="宋体"/>
                                      <w:color w:val="auto"/>
                                      <w:sz w:val="21"/>
                                      <w:szCs w:val="21"/>
                                      <w:u w:val="none"/>
                                      <w:lang w:eastAsia="zh-CN"/>
                                    </w:rPr>
                                  </w:pPr>
                                  <w:r>
                                    <w:rPr>
                                      <w:rFonts w:hint="eastAsia" w:ascii="宋体" w:hAnsi="宋体" w:cs="宋体"/>
                                      <w:color w:val="auto"/>
                                      <w:sz w:val="21"/>
                                      <w:szCs w:val="21"/>
                                      <w:u w:val="none"/>
                                      <w:lang w:val="en-US" w:eastAsia="zh-CN"/>
                                    </w:rPr>
                                    <w:t>多管旋风除尘+</w:t>
                                  </w:r>
                                  <w:r>
                                    <w:rPr>
                                      <w:rFonts w:hint="eastAsia" w:ascii="宋体" w:hAnsi="宋体" w:eastAsia="宋体" w:cs="宋体"/>
                                      <w:color w:val="auto"/>
                                      <w:sz w:val="21"/>
                                      <w:szCs w:val="21"/>
                                      <w:u w:val="none"/>
                                      <w:lang w:eastAsia="zh-CN"/>
                                    </w:rPr>
                                    <w:t>布袋</w:t>
                                  </w:r>
                                </w:p>
                                <w:p w14:paraId="32FE009D">
                                  <w:pPr>
                                    <w:jc w:val="center"/>
                                    <w:rPr>
                                      <w:rFonts w:hint="eastAsia"/>
                                      <w:u w:val="none"/>
                                      <w:lang w:val="en-US" w:eastAsia="zh-CN"/>
                                    </w:rPr>
                                  </w:pPr>
                                  <w:r>
                                    <w:rPr>
                                      <w:rFonts w:hint="eastAsia" w:ascii="宋体" w:hAnsi="宋体" w:eastAsia="宋体" w:cs="宋体"/>
                                      <w:color w:val="auto"/>
                                      <w:sz w:val="21"/>
                                      <w:szCs w:val="21"/>
                                      <w:u w:val="none"/>
                                      <w:lang w:eastAsia="zh-CN"/>
                                    </w:rPr>
                                    <w:t>除尘器+</w:t>
                                  </w:r>
                                  <w:r>
                                    <w:rPr>
                                      <w:rFonts w:hint="eastAsia" w:ascii="宋体" w:hAnsi="宋体" w:cs="宋体"/>
                                      <w:color w:val="auto"/>
                                      <w:sz w:val="21"/>
                                      <w:szCs w:val="21"/>
                                      <w:u w:val="none"/>
                                      <w:lang w:val="en-US" w:eastAsia="zh-CN"/>
                                    </w:rPr>
                                    <w:t>脱硫塔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9pt;margin-top:11.85pt;height:36.75pt;width:108.6pt;z-index:251722752;mso-width-relative:page;mso-height-relative:page;" fillcolor="#FFFFFF [3201]" filled="t" stroked="t" coordsize="21600,21600" o:gfxdata="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3JSctcA&#10;AAAJAQAADwAAAAAAAAABACAAAAAiAAAAZHJzL2Rvd25yZXYueG1sUEsBAhQAFAAAAAgAh07iQNNx&#10;NcBZAgAAuQQAAA4AAAAAAAAAAQAgAAAAJgEAAGRycy9lMm9Eb2MueG1sUEsFBgAAAAAGAAYAWQEA&#10;APEFAAAAAA==&#10;">
                      <v:fill on="t" focussize="0,0"/>
                      <v:stroke weight="0.5pt" color="#000000 [3204]" joinstyle="round"/>
                      <v:imagedata o:title=""/>
                      <o:lock v:ext="edit" aspectratio="f"/>
                      <v:textbox>
                        <w:txbxContent>
                          <w:p w14:paraId="1424CE01">
                            <w:pPr>
                              <w:jc w:val="center"/>
                              <w:rPr>
                                <w:rFonts w:hint="eastAsia" w:ascii="宋体" w:hAnsi="宋体" w:eastAsia="宋体" w:cs="宋体"/>
                                <w:color w:val="auto"/>
                                <w:sz w:val="21"/>
                                <w:szCs w:val="21"/>
                                <w:u w:val="none"/>
                                <w:lang w:eastAsia="zh-CN"/>
                              </w:rPr>
                            </w:pPr>
                            <w:r>
                              <w:rPr>
                                <w:rFonts w:hint="eastAsia" w:ascii="宋体" w:hAnsi="宋体" w:cs="宋体"/>
                                <w:color w:val="auto"/>
                                <w:sz w:val="21"/>
                                <w:szCs w:val="21"/>
                                <w:u w:val="none"/>
                                <w:lang w:val="en-US" w:eastAsia="zh-CN"/>
                              </w:rPr>
                              <w:t>多管旋风除尘+</w:t>
                            </w:r>
                            <w:r>
                              <w:rPr>
                                <w:rFonts w:hint="eastAsia" w:ascii="宋体" w:hAnsi="宋体" w:eastAsia="宋体" w:cs="宋体"/>
                                <w:color w:val="auto"/>
                                <w:sz w:val="21"/>
                                <w:szCs w:val="21"/>
                                <w:u w:val="none"/>
                                <w:lang w:eastAsia="zh-CN"/>
                              </w:rPr>
                              <w:t>布袋</w:t>
                            </w:r>
                          </w:p>
                          <w:p w14:paraId="32FE009D">
                            <w:pPr>
                              <w:jc w:val="center"/>
                              <w:rPr>
                                <w:rFonts w:hint="eastAsia"/>
                                <w:u w:val="none"/>
                                <w:lang w:val="en-US" w:eastAsia="zh-CN"/>
                              </w:rPr>
                            </w:pPr>
                            <w:r>
                              <w:rPr>
                                <w:rFonts w:hint="eastAsia" w:ascii="宋体" w:hAnsi="宋体" w:eastAsia="宋体" w:cs="宋体"/>
                                <w:color w:val="auto"/>
                                <w:sz w:val="21"/>
                                <w:szCs w:val="21"/>
                                <w:u w:val="none"/>
                                <w:lang w:eastAsia="zh-CN"/>
                              </w:rPr>
                              <w:t>除尘器+</w:t>
                            </w:r>
                            <w:r>
                              <w:rPr>
                                <w:rFonts w:hint="eastAsia" w:ascii="宋体" w:hAnsi="宋体" w:cs="宋体"/>
                                <w:color w:val="auto"/>
                                <w:sz w:val="21"/>
                                <w:szCs w:val="21"/>
                                <w:u w:val="none"/>
                                <w:lang w:val="en-US" w:eastAsia="zh-CN"/>
                              </w:rPr>
                              <w:t>脱硫塔</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4800" behindDoc="0" locked="0" layoutInCell="1" allowOverlap="1">
                      <wp:simplePos x="0" y="0"/>
                      <wp:positionH relativeFrom="column">
                        <wp:posOffset>4289425</wp:posOffset>
                      </wp:positionH>
                      <wp:positionV relativeFrom="paragraph">
                        <wp:posOffset>236220</wp:posOffset>
                      </wp:positionV>
                      <wp:extent cx="629285" cy="276225"/>
                      <wp:effectExtent l="4445" t="4445" r="13970" b="5080"/>
                      <wp:wrapNone/>
                      <wp:docPr id="25" name="文本框 25"/>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17E7735">
                                  <w:pPr>
                                    <w:jc w:val="center"/>
                                    <w:rPr>
                                      <w:rFonts w:hint="default" w:eastAsia="宋体"/>
                                      <w:lang w:val="en-US" w:eastAsia="zh-CN"/>
                                    </w:rPr>
                                  </w:pPr>
                                  <w:r>
                                    <w:rPr>
                                      <w:rFonts w:hint="eastAsia"/>
                                      <w:lang w:val="en-US" w:eastAsia="zh-CN"/>
                                    </w:rPr>
                                    <w:t>排气筒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75pt;margin-top:18.6pt;height:21.75pt;width:49.55pt;z-index:251724800;mso-width-relative:page;mso-height-relative:page;" fillcolor="#FFFFFF [3201]" filled="t" stroked="t" coordsize="21600,21600" o:gfxdata="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3byCdcA&#10;AAAJAQAADwAAAAAAAAABACAAAAAiAAAAZHJzL2Rvd25yZXYueG1sUEsBAhQAFAAAAAgAh07iQMbJ&#10;lWBZAgAAuAQAAA4AAAAAAAAAAQAgAAAAJgEAAGRycy9lMm9Eb2MueG1sUEsFBgAAAAAGAAYAWQEA&#10;APEFAAAAAA==&#10;">
                      <v:fill on="t" focussize="0,0"/>
                      <v:stroke weight="0.5pt" color="#000000 [3204]" joinstyle="round"/>
                      <v:imagedata o:title=""/>
                      <o:lock v:ext="edit" aspectratio="f"/>
                      <v:textbox>
                        <w:txbxContent>
                          <w:p w14:paraId="017E7735">
                            <w:pPr>
                              <w:jc w:val="center"/>
                              <w:rPr>
                                <w:rFonts w:hint="default" w:eastAsia="宋体"/>
                                <w:lang w:val="en-US" w:eastAsia="zh-CN"/>
                              </w:rPr>
                            </w:pPr>
                            <w:r>
                              <w:rPr>
                                <w:rFonts w:hint="eastAsia"/>
                                <w:lang w:val="en-US" w:eastAsia="zh-CN"/>
                              </w:rPr>
                              <w:t>排气筒</w:t>
                            </w:r>
                          </w:p>
                        </w:txbxContent>
                      </v:textbox>
                    </v:shape>
                  </w:pict>
                </mc:Fallback>
              </mc:AlternateContent>
            </w:r>
          </w:p>
          <w:p w14:paraId="71AAEF05">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25824" behindDoc="0" locked="0" layoutInCell="1" allowOverlap="1">
                      <wp:simplePos x="0" y="0"/>
                      <wp:positionH relativeFrom="column">
                        <wp:posOffset>24130</wp:posOffset>
                      </wp:positionH>
                      <wp:positionV relativeFrom="paragraph">
                        <wp:posOffset>114300</wp:posOffset>
                      </wp:positionV>
                      <wp:extent cx="447675" cy="0"/>
                      <wp:effectExtent l="0" t="38100" r="9525" b="38100"/>
                      <wp:wrapNone/>
                      <wp:docPr id="35" name="直接箭头连接符 35"/>
                      <wp:cNvGraphicFramePr/>
                      <a:graphic xmlns:a="http://schemas.openxmlformats.org/drawingml/2006/main">
                        <a:graphicData uri="http://schemas.microsoft.com/office/word/2010/wordprocessingShape">
                          <wps:wsp>
                            <wps:cNvCnPr/>
                            <wps:spPr>
                              <a:xfrm>
                                <a:off x="2527935" y="4150360"/>
                                <a:ext cx="447675"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9pt;margin-top:9pt;height:0pt;width:35.25pt;z-index:251725824;mso-width-relative:page;mso-height-relative:page;" filled="f" stroked="t" coordsize="21600,21600" o:gfxdata="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m9AAB1AAAAAYBAAAPAAAAAAAAAAEAIAAAACIAAABkcnMvZG93&#10;bnJldi54bWxQSwECFAAUAAAACACHTuJAI3veGgQCAADUAwAADgAAAAAAAAABACAAAAAjAQAAZHJz&#10;L2Uyb0RvYy54bWxQSwUGAAAAAAYABgBZAQAAmQU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6848" behindDoc="0" locked="0" layoutInCell="1" allowOverlap="1">
                      <wp:simplePos x="0" y="0"/>
                      <wp:positionH relativeFrom="column">
                        <wp:posOffset>1303020</wp:posOffset>
                      </wp:positionH>
                      <wp:positionV relativeFrom="paragraph">
                        <wp:posOffset>149860</wp:posOffset>
                      </wp:positionV>
                      <wp:extent cx="318770" cy="0"/>
                      <wp:effectExtent l="0" t="38100" r="5080" b="38100"/>
                      <wp:wrapNone/>
                      <wp:docPr id="32" name="直接箭头连接符 32"/>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02.6pt;margin-top:11.8pt;height:0pt;width:25.1pt;z-index:251726848;mso-width-relative:page;mso-height-relative:page;" filled="f" stroked="t" coordsize="21600,21600" o:gfxdata="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Ev349gAAAAJAQAADwAAAAAAAAABACAAAAAiAAAAZHJzL2Rvd25yZXYueG1sUEsB&#10;AhQAFAAAAAgAh07iQIX0v5z1AQAAyAMAAA4AAAAAAAAAAQAgAAAAJw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3776" behindDoc="0" locked="0" layoutInCell="1" allowOverlap="1">
                      <wp:simplePos x="0" y="0"/>
                      <wp:positionH relativeFrom="column">
                        <wp:posOffset>3327400</wp:posOffset>
                      </wp:positionH>
                      <wp:positionV relativeFrom="paragraph">
                        <wp:posOffset>36195</wp:posOffset>
                      </wp:positionV>
                      <wp:extent cx="629285" cy="276225"/>
                      <wp:effectExtent l="4445" t="4445" r="13970" b="5080"/>
                      <wp:wrapNone/>
                      <wp:docPr id="28" name="文本框 28"/>
                      <wp:cNvGraphicFramePr/>
                      <a:graphic xmlns:a="http://schemas.openxmlformats.org/drawingml/2006/main">
                        <a:graphicData uri="http://schemas.microsoft.com/office/word/2010/wordprocessingShape">
                          <wps:wsp>
                            <wps:cNvSpPr txBox="1"/>
                            <wps:spPr>
                              <a:xfrm>
                                <a:off x="0" y="0"/>
                                <a:ext cx="6292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E57047">
                                  <w:pPr>
                                    <w:jc w:val="center"/>
                                    <w:rPr>
                                      <w:rFonts w:hint="default" w:eastAsia="宋体"/>
                                      <w:lang w:val="en-US" w:eastAsia="zh-CN"/>
                                    </w:rPr>
                                  </w:pPr>
                                  <w:r>
                                    <w:rPr>
                                      <w:rFonts w:hint="eastAsia"/>
                                      <w:lang w:val="en-US" w:eastAsia="zh-CN"/>
                                    </w:rPr>
                                    <w:t>引风机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pt;margin-top:2.85pt;height:21.75pt;width:49.55pt;z-index:251723776;mso-width-relative:page;mso-height-relative:page;" fillcolor="#FFFFFF [3201]" filled="t" stroked="t" coordsize="21600,21600" o:gfxdata="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y16ZfWAAAA&#10;CAEAAA8AAAAAAAAAAQAgAAAAIgAAAGRycy9kb3ducmV2LnhtbFBLAQIUABQAAAAIAIdO4kC2eHLf&#10;WAIAALgEAAAOAAAAAAAAAAEAIAAAACUBAABkcnMvZTJvRG9jLnhtbFBLBQYAAAAABgAGAFkBAADv&#10;BQAAAAA=&#10;">
                      <v:fill on="t" focussize="0,0"/>
                      <v:stroke weight="0.5pt" color="#000000 [3204]" joinstyle="round"/>
                      <v:imagedata o:title=""/>
                      <o:lock v:ext="edit" aspectratio="f"/>
                      <v:textbox>
                        <w:txbxContent>
                          <w:p w14:paraId="52E57047">
                            <w:pPr>
                              <w:jc w:val="center"/>
                              <w:rPr>
                                <w:rFonts w:hint="default" w:eastAsia="宋体"/>
                                <w:lang w:val="en-US" w:eastAsia="zh-CN"/>
                              </w:rPr>
                            </w:pPr>
                            <w:r>
                              <w:rPr>
                                <w:rFonts w:hint="eastAsia"/>
                                <w:lang w:val="en-US" w:eastAsia="zh-CN"/>
                              </w:rPr>
                              <w:t>引风机</w:t>
                            </w:r>
                          </w:p>
                        </w:txbxContent>
                      </v:textbox>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8896" behindDoc="0" locked="0" layoutInCell="1" allowOverlap="1">
                      <wp:simplePos x="0" y="0"/>
                      <wp:positionH relativeFrom="column">
                        <wp:posOffset>3970655</wp:posOffset>
                      </wp:positionH>
                      <wp:positionV relativeFrom="paragraph">
                        <wp:posOffset>130810</wp:posOffset>
                      </wp:positionV>
                      <wp:extent cx="318770" cy="0"/>
                      <wp:effectExtent l="0" t="38100" r="5080" b="38100"/>
                      <wp:wrapNone/>
                      <wp:docPr id="29" name="直接箭头连接符 29"/>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12.65pt;margin-top:10.3pt;height:0pt;width:25.1pt;z-index:251728896;mso-width-relative:page;mso-height-relative:page;" filled="f" stroked="t" coordsize="21600,21600" o:gfxdata="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jgR5NgAAAAJAQAADwAAAAAAAAABACAAAAAiAAAAZHJzL2Rvd25yZXYueG1sUEsB&#10;AhQAFAAAAAgAh07iQPJQ3PT1AQAAyAMAAA4AAAAAAAAAAQAgAAAAJwEAAGRycy9lMm9Eb2MueG1s&#10;UEsFBgAAAAAGAAYAWQEAAI4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sz w:val="22"/>
                <w:u w:val="none" w:color="auto"/>
              </w:rPr>
              <mc:AlternateContent>
                <mc:Choice Requires="wps">
                  <w:drawing>
                    <wp:anchor distT="0" distB="0" distL="114300" distR="114300" simplePos="0" relativeHeight="251727872" behindDoc="0" locked="0" layoutInCell="1" allowOverlap="1">
                      <wp:simplePos x="0" y="0"/>
                      <wp:positionH relativeFrom="column">
                        <wp:posOffset>2999105</wp:posOffset>
                      </wp:positionH>
                      <wp:positionV relativeFrom="paragraph">
                        <wp:posOffset>149860</wp:posOffset>
                      </wp:positionV>
                      <wp:extent cx="318770" cy="0"/>
                      <wp:effectExtent l="0" t="38100" r="5080" b="38100"/>
                      <wp:wrapNone/>
                      <wp:docPr id="30" name="直接箭头连接符 30"/>
                      <wp:cNvGraphicFramePr/>
                      <a:graphic xmlns:a="http://schemas.openxmlformats.org/drawingml/2006/main">
                        <a:graphicData uri="http://schemas.microsoft.com/office/word/2010/wordprocessingShape">
                          <wps:wsp>
                            <wps:cNvCnPr/>
                            <wps:spPr>
                              <a:xfrm>
                                <a:off x="0" y="0"/>
                                <a:ext cx="318770" cy="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6.15pt;margin-top:11.8pt;height:0pt;width:25.1pt;z-index:251727872;mso-width-relative:page;mso-height-relative:page;" filled="f" stroked="t" coordsize="21600,21600" o:gfxdata="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8F3Qw2AAAAAkBAAAPAAAAAAAAAAEAIAAAACIAAABkcnMvZG93bnJldi54bWxQSwEC&#10;FAAUAAAACACHTuJA9GzOEPQBAADIAwAADgAAAAAAAAABACAAAAAnAQAAZHJzL2Uyb0RvYy54bWxQ&#10;SwUGAAAAAAYABgBZAQAAjQUAAAAA&#10;">
                      <v:fill on="f" focussize="0,0"/>
                      <v:stroke weight="0pt" color="#000000 [3213]" joinstyle="round" endarrow="block"/>
                      <v:imagedata o:title=""/>
                      <o:lock v:ext="edit" aspectratio="f"/>
                    </v:shape>
                  </w:pict>
                </mc:Fallback>
              </mc:AlternateContent>
            </w:r>
          </w:p>
          <w:p w14:paraId="57DD7C09">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29920" behindDoc="0" locked="0" layoutInCell="1" allowOverlap="1">
                      <wp:simplePos x="0" y="0"/>
                      <wp:positionH relativeFrom="column">
                        <wp:posOffset>883285</wp:posOffset>
                      </wp:positionH>
                      <wp:positionV relativeFrom="paragraph">
                        <wp:posOffset>24130</wp:posOffset>
                      </wp:positionV>
                      <wp:extent cx="5080" cy="304800"/>
                      <wp:effectExtent l="36830" t="0" r="34290" b="0"/>
                      <wp:wrapNone/>
                      <wp:docPr id="37" name="直接箭头连接符 37"/>
                      <wp:cNvGraphicFramePr/>
                      <a:graphic xmlns:a="http://schemas.openxmlformats.org/drawingml/2006/main">
                        <a:graphicData uri="http://schemas.microsoft.com/office/word/2010/wordprocessingShape">
                          <wps:wsp>
                            <wps:cNvCnPr/>
                            <wps:spPr>
                              <a:xfrm flipH="1">
                                <a:off x="0" y="0"/>
                                <a:ext cx="5080" cy="304800"/>
                              </a:xfrm>
                              <a:prstGeom prst="straightConnector1">
                                <a:avLst/>
                              </a:prstGeom>
                              <a:ln w="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69.55pt;margin-top:1.9pt;height:24pt;width:0.4pt;z-index:251729920;mso-width-relative:page;mso-height-relative:page;" filled="f" stroked="t" coordsize="21600,21600" o:gfxdata="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mF4F9UAAAAIAQAADwAAAAAAAAABACAAAAAiAAAAZHJzL2Rvd25y&#10;ZXYueG1sUEsBAhQAFAAAAAgAh07iQLUTKEYBAgAA1QMAAA4AAAAAAAAAAQAgAAAAJAEAAGRycy9l&#10;Mm9Eb2MueG1sUEsFBgAAAAAGAAYAWQEAAJcFAAAAAA==&#10;">
                      <v:fill on="f" focussize="0,0"/>
                      <v:stroke weight="0pt" color="#000000 [3213]" joinstyle="round" endarrow="block"/>
                      <v:imagedata o:title=""/>
                      <o:lock v:ext="edit" aspectratio="f"/>
                    </v:shape>
                  </w:pict>
                </mc:Fallback>
              </mc:AlternateContent>
            </w:r>
            <w:r>
              <w:rPr>
                <w:rFonts w:hint="default" w:ascii="Times New Roman" w:hAnsi="Times New Roman" w:eastAsia="宋体" w:cs="Times New Roman"/>
                <w:color w:val="auto"/>
                <w:u w:val="none" w:color="auto"/>
              </w:rPr>
              <mc:AlternateContent>
                <mc:Choice Requires="wps">
                  <w:drawing>
                    <wp:anchor distT="0" distB="0" distL="114300" distR="114300" simplePos="0" relativeHeight="251720704" behindDoc="0" locked="0" layoutInCell="1" allowOverlap="1">
                      <wp:simplePos x="0" y="0"/>
                      <wp:positionH relativeFrom="column">
                        <wp:posOffset>4133215</wp:posOffset>
                      </wp:positionH>
                      <wp:positionV relativeFrom="paragraph">
                        <wp:posOffset>208280</wp:posOffset>
                      </wp:positionV>
                      <wp:extent cx="749935" cy="1035685"/>
                      <wp:effectExtent l="0" t="0" r="0" b="0"/>
                      <wp:wrapNone/>
                      <wp:docPr id="36" name="文本框 99"/>
                      <wp:cNvGraphicFramePr/>
                      <a:graphic xmlns:a="http://schemas.openxmlformats.org/drawingml/2006/main">
                        <a:graphicData uri="http://schemas.microsoft.com/office/word/2010/wordprocessingShape">
                          <wps:wsp>
                            <wps:cNvSpPr txBox="1"/>
                            <wps:spPr>
                              <a:xfrm>
                                <a:off x="0" y="0"/>
                                <a:ext cx="749935" cy="1035685"/>
                              </a:xfrm>
                              <a:prstGeom prst="rect">
                                <a:avLst/>
                              </a:prstGeom>
                              <a:noFill/>
                              <a:ln w="9525">
                                <a:noFill/>
                              </a:ln>
                            </wps:spPr>
                            <wps:txbx>
                              <w:txbxContent>
                                <w:p w14:paraId="715DF12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7C6FF6E9">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05CE3FC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3395C38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56982F8C">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26C43F91">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wps:txbx>
                            <wps:bodyPr>
                              <a:noAutofit/>
                            </wps:bodyPr>
                          </wps:wsp>
                        </a:graphicData>
                      </a:graphic>
                    </wp:anchor>
                  </w:drawing>
                </mc:Choice>
                <mc:Fallback>
                  <w:pict>
                    <v:shape id="文本框 99" o:spid="_x0000_s1026" o:spt="202" type="#_x0000_t202" style="position:absolute;left:0pt;margin-left:325.45pt;margin-top:16.4pt;height:81.55pt;width:59.05pt;z-index:251720704;mso-width-relative:page;mso-height-relative:page;" filled="f" stroked="f" coordsize="21600,21600" o:gfxdata="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6QSjmNYAAAAKAQAADwAAAAAAAAABACAAAAAiAAAAZHJzL2Rvd25yZXYueG1sUEsBAhQA&#10;FAAAAAgAh07iQK5zCQm7AQAAZwMAAA4AAAAAAAAAAQAgAAAAJQEAAGRycy9lMm9Eb2MueG1sUEsF&#10;BgAAAAAGAAYAWQEAAFIFAAAAAA==&#10;">
                      <v:fill on="f" focussize="0,0"/>
                      <v:stroke on="f"/>
                      <v:imagedata o:title=""/>
                      <o:lock v:ext="edit" aspectratio="f"/>
                      <v:textbox>
                        <w:txbxContent>
                          <w:p w14:paraId="715DF12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Arial" w:eastAsia="宋体" w:hAnsiTheme="minorBidi"/>
                                <w:color w:val="000000" w:themeColor="text1"/>
                                <w:kern w:val="24"/>
                                <w:sz w:val="21"/>
                                <w:szCs w:val="21"/>
                                <w14:textFill>
                                  <w14:solidFill>
                                    <w14:schemeClr w14:val="tx1"/>
                                  </w14:solidFill>
                                </w14:textFill>
                              </w:rPr>
                              <w:t>图例：</w:t>
                            </w:r>
                          </w:p>
                          <w:p w14:paraId="7C6FF6E9">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sz w:val="21"/>
                                <w:szCs w:val="21"/>
                              </w:rPr>
                            </w:pPr>
                            <w:r>
                              <w:rPr>
                                <w:rFonts w:ascii="Times New Roman" w:eastAsia="微软雅黑" w:hAnsiTheme="minorBidi"/>
                                <w:color w:val="000000" w:themeColor="text1"/>
                                <w:kern w:val="24"/>
                                <w:sz w:val="21"/>
                                <w:szCs w:val="21"/>
                                <w14:textFill>
                                  <w14:solidFill>
                                    <w14:schemeClr w14:val="tx1"/>
                                  </w14:solidFill>
                                </w14:textFill>
                              </w:rPr>
                              <w:t>G-</w:t>
                            </w:r>
                            <w:r>
                              <w:rPr>
                                <w:rFonts w:hint="eastAsia" w:ascii="Arial" w:hAnsiTheme="minorBidi"/>
                                <w:color w:val="000000" w:themeColor="text1"/>
                                <w:kern w:val="24"/>
                                <w:sz w:val="21"/>
                                <w:szCs w:val="21"/>
                                <w:lang w:val="en-US" w:eastAsia="zh-CN"/>
                                <w14:textFill>
                                  <w14:solidFill>
                                    <w14:schemeClr w14:val="tx1"/>
                                  </w14:solidFill>
                                </w14:textFill>
                              </w:rPr>
                              <w:t>废气</w:t>
                            </w:r>
                          </w:p>
                          <w:p w14:paraId="05CE3FC0">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eastAsia="微软雅黑"/>
                                <w:sz w:val="21"/>
                                <w:szCs w:val="21"/>
                                <w:lang w:eastAsia="zh-CN"/>
                              </w:rPr>
                            </w:pPr>
                            <w:r>
                              <w:rPr>
                                <w:rFonts w:ascii="Times New Roman" w:eastAsia="微软雅黑" w:hAnsiTheme="minorBidi"/>
                                <w:color w:val="000000" w:themeColor="text1"/>
                                <w:kern w:val="24"/>
                                <w:sz w:val="21"/>
                                <w:szCs w:val="21"/>
                                <w14:textFill>
                                  <w14:solidFill>
                                    <w14:schemeClr w14:val="tx1"/>
                                  </w14:solidFill>
                                </w14:textFill>
                              </w:rPr>
                              <w:t>S-</w:t>
                            </w:r>
                            <w:r>
                              <w:rPr>
                                <w:rFonts w:hint="eastAsia" w:ascii="Arial" w:hAnsiTheme="minorBidi"/>
                                <w:color w:val="000000" w:themeColor="text1"/>
                                <w:kern w:val="24"/>
                                <w:sz w:val="21"/>
                                <w:szCs w:val="21"/>
                                <w:lang w:val="en-US" w:eastAsia="zh-CN"/>
                                <w14:textFill>
                                  <w14:solidFill>
                                    <w14:schemeClr w14:val="tx1"/>
                                  </w14:solidFill>
                                </w14:textFill>
                              </w:rPr>
                              <w:t>固废</w:t>
                            </w:r>
                          </w:p>
                          <w:p w14:paraId="3395C388">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r>
                              <w:rPr>
                                <w:rFonts w:ascii="Times New Roman" w:eastAsia="微软雅黑" w:hAnsiTheme="minorBidi"/>
                                <w:color w:val="000000" w:themeColor="text1"/>
                                <w:kern w:val="24"/>
                                <w:sz w:val="21"/>
                                <w:szCs w:val="21"/>
                                <w14:textFill>
                                  <w14:solidFill>
                                    <w14:schemeClr w14:val="tx1"/>
                                  </w14:solidFill>
                                </w14:textFill>
                              </w:rPr>
                              <w:t>N-</w:t>
                            </w:r>
                            <w:r>
                              <w:rPr>
                                <w:rFonts w:ascii="Arial" w:eastAsia="宋体" w:hAnsiTheme="minorBidi"/>
                                <w:color w:val="000000" w:themeColor="text1"/>
                                <w:kern w:val="24"/>
                                <w:sz w:val="21"/>
                                <w:szCs w:val="21"/>
                                <w14:textFill>
                                  <w14:solidFill>
                                    <w14:schemeClr w14:val="tx1"/>
                                  </w14:solidFill>
                                </w14:textFill>
                              </w:rPr>
                              <w:t>噪声</w:t>
                            </w:r>
                          </w:p>
                          <w:p w14:paraId="56982F8C">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hint="eastAsia" w:ascii="Arial" w:eastAsia="宋体" w:hAnsiTheme="minorBidi"/>
                                <w:color w:val="000000" w:themeColor="text1"/>
                                <w:kern w:val="24"/>
                                <w:sz w:val="21"/>
                                <w:szCs w:val="21"/>
                                <w:lang w:val="en-US" w:eastAsia="zh-CN"/>
                                <w14:textFill>
                                  <w14:solidFill>
                                    <w14:schemeClr w14:val="tx1"/>
                                  </w14:solidFill>
                                </w14:textFill>
                              </w:rPr>
                            </w:pPr>
                            <w:r>
                              <w:rPr>
                                <w:rFonts w:hint="eastAsia" w:ascii="Arial" w:eastAsia="宋体" w:hAnsiTheme="minorBidi"/>
                                <w:color w:val="000000" w:themeColor="text1"/>
                                <w:kern w:val="24"/>
                                <w:sz w:val="21"/>
                                <w:szCs w:val="21"/>
                                <w:lang w:val="en-US" w:eastAsia="zh-CN"/>
                                <w14:textFill>
                                  <w14:solidFill>
                                    <w14:schemeClr w14:val="tx1"/>
                                  </w14:solidFill>
                                </w14:textFill>
                              </w:rPr>
                              <w:t>W</w:t>
                            </w:r>
                            <w:r>
                              <w:rPr>
                                <w:rFonts w:ascii="Arial" w:eastAsia="宋体" w:hAnsiTheme="minorBidi"/>
                                <w:color w:val="000000" w:themeColor="text1"/>
                                <w:kern w:val="24"/>
                                <w:sz w:val="21"/>
                                <w:szCs w:val="21"/>
                                <w14:textFill>
                                  <w14:solidFill>
                                    <w14:schemeClr w14:val="tx1"/>
                                  </w14:solidFill>
                                </w14:textFill>
                              </w:rPr>
                              <w:t>-</w:t>
                            </w:r>
                            <w:r>
                              <w:rPr>
                                <w:rFonts w:hint="eastAsia" w:ascii="Arial" w:eastAsia="宋体" w:hAnsiTheme="minorBidi"/>
                                <w:color w:val="000000" w:themeColor="text1"/>
                                <w:kern w:val="24"/>
                                <w:sz w:val="21"/>
                                <w:szCs w:val="21"/>
                                <w:lang w:val="en-US" w:eastAsia="zh-CN"/>
                                <w14:textFill>
                                  <w14:solidFill>
                                    <w14:schemeClr w14:val="tx1"/>
                                  </w14:solidFill>
                                </w14:textFill>
                              </w:rPr>
                              <w:t>废水</w:t>
                            </w:r>
                          </w:p>
                          <w:p w14:paraId="26C43F91">
                            <w:pPr>
                              <w:pStyle w:val="22"/>
                              <w:keepNext w:val="0"/>
                              <w:keepLines w:val="0"/>
                              <w:pageBreakBefore w:val="0"/>
                              <w:widowControl/>
                              <w:kinsoku/>
                              <w:wordWrap/>
                              <w:overflowPunct/>
                              <w:topLinePunct w:val="0"/>
                              <w:bidi w:val="0"/>
                              <w:adjustRightInd w:val="0"/>
                              <w:snapToGrid w:val="0"/>
                              <w:spacing w:before="0" w:beforeAutospacing="0" w:after="0" w:afterAutospacing="0" w:line="240" w:lineRule="auto"/>
                              <w:ind w:left="0" w:firstLine="0"/>
                              <w:jc w:val="left"/>
                              <w:textAlignment w:val="baseline"/>
                              <w:rPr>
                                <w:rFonts w:ascii="Arial" w:eastAsia="宋体" w:hAnsiTheme="minorBidi"/>
                                <w:color w:val="000000" w:themeColor="text1"/>
                                <w:kern w:val="24"/>
                                <w:sz w:val="21"/>
                                <w:szCs w:val="21"/>
                                <w14:textFill>
                                  <w14:solidFill>
                                    <w14:schemeClr w14:val="tx1"/>
                                  </w14:solidFill>
                                </w14:textFill>
                              </w:rPr>
                            </w:pPr>
                          </w:p>
                        </w:txbxContent>
                      </v:textbox>
                    </v:shape>
                  </w:pict>
                </mc:Fallback>
              </mc:AlternateContent>
            </w:r>
          </w:p>
          <w:p w14:paraId="6E432184">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sz w:val="22"/>
                <w:u w:val="none" w:color="auto"/>
              </w:rPr>
              <mc:AlternateContent>
                <mc:Choice Requires="wps">
                  <w:drawing>
                    <wp:anchor distT="0" distB="0" distL="114300" distR="114300" simplePos="0" relativeHeight="251736064" behindDoc="0" locked="0" layoutInCell="1" allowOverlap="1">
                      <wp:simplePos x="0" y="0"/>
                      <wp:positionH relativeFrom="column">
                        <wp:posOffset>568325</wp:posOffset>
                      </wp:positionH>
                      <wp:positionV relativeFrom="paragraph">
                        <wp:posOffset>77470</wp:posOffset>
                      </wp:positionV>
                      <wp:extent cx="875665" cy="29464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875665" cy="294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70579">
                                  <w:pPr>
                                    <w:rPr>
                                      <w:rFonts w:hint="default" w:eastAsia="宋体"/>
                                      <w:sz w:val="18"/>
                                      <w:szCs w:val="18"/>
                                      <w:lang w:val="en-US" w:eastAsia="zh-CN"/>
                                    </w:rPr>
                                  </w:pPr>
                                  <w:r>
                                    <w:rPr>
                                      <w:rFonts w:hint="eastAsia"/>
                                      <w:sz w:val="18"/>
                                      <w:szCs w:val="18"/>
                                      <w:lang w:val="en-US" w:eastAsia="zh-CN"/>
                                    </w:rPr>
                                    <w:t>生产工段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75pt;margin-top:6.1pt;height:23.2pt;width:68.95pt;z-index:251736064;mso-width-relative:page;mso-height-relative:page;" filled="f" stroked="f" coordsize="21600,21600" o:gfxdata="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CDNg12QAAAAgBAAAPAAAAAAAAAAEAIAAAACIAAABk&#10;cnMvZG93bnJldi54bWxQSwECFAAUAAAACACHTuJACHshWz4CAABnBAAADgAAAAAAAAABACAAAAAo&#10;AQAAZHJzL2Uyb0RvYy54bWxQSwUGAAAAAAYABgBZAQAA2AUAAAAA&#10;">
                      <v:fill on="f" focussize="0,0"/>
                      <v:stroke on="f" weight="0.5pt"/>
                      <v:imagedata o:title=""/>
                      <o:lock v:ext="edit" aspectratio="f"/>
                      <v:textbox>
                        <w:txbxContent>
                          <w:p w14:paraId="6EB70579">
                            <w:pPr>
                              <w:rPr>
                                <w:rFonts w:hint="default" w:eastAsia="宋体"/>
                                <w:sz w:val="18"/>
                                <w:szCs w:val="18"/>
                                <w:lang w:val="en-US" w:eastAsia="zh-CN"/>
                              </w:rPr>
                            </w:pPr>
                            <w:r>
                              <w:rPr>
                                <w:rFonts w:hint="eastAsia"/>
                                <w:sz w:val="18"/>
                                <w:szCs w:val="18"/>
                                <w:lang w:val="en-US" w:eastAsia="zh-CN"/>
                              </w:rPr>
                              <w:t>生产工段</w:t>
                            </w:r>
                          </w:p>
                        </w:txbxContent>
                      </v:textbox>
                    </v:shape>
                  </w:pict>
                </mc:Fallback>
              </mc:AlternateContent>
            </w:r>
          </w:p>
          <w:p w14:paraId="63D49E60">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2ECBDB9F">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51218F6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p>
          <w:p w14:paraId="6C645CED">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z w:val="22"/>
                <w:szCs w:val="28"/>
                <w:u w:val="none" w:color="auto"/>
                <w:lang w:eastAsia="zh-CN"/>
              </w:rPr>
            </w:pPr>
            <w:r>
              <w:rPr>
                <w:rFonts w:hint="default" w:ascii="Times New Roman" w:hAnsi="Times New Roman" w:eastAsia="宋体" w:cs="Times New Roman"/>
                <w:b/>
                <w:bCs/>
                <w:color w:val="auto"/>
                <w:sz w:val="22"/>
                <w:szCs w:val="28"/>
                <w:u w:val="none" w:color="auto"/>
                <w:lang w:eastAsia="zh-CN"/>
              </w:rPr>
              <w:t>图</w:t>
            </w:r>
            <w:r>
              <w:rPr>
                <w:rFonts w:hint="default" w:ascii="Times New Roman" w:hAnsi="Times New Roman" w:eastAsia="宋体" w:cs="Times New Roman"/>
                <w:b/>
                <w:bCs/>
                <w:color w:val="auto"/>
                <w:sz w:val="22"/>
                <w:szCs w:val="28"/>
                <w:u w:val="none" w:color="auto"/>
                <w:lang w:val="en-US" w:eastAsia="zh-CN"/>
              </w:rPr>
              <w:t>2-</w:t>
            </w:r>
            <w:r>
              <w:rPr>
                <w:rFonts w:hint="eastAsia" w:cs="Times New Roman"/>
                <w:b/>
                <w:bCs/>
                <w:color w:val="auto"/>
                <w:sz w:val="22"/>
                <w:szCs w:val="28"/>
                <w:u w:val="none" w:color="auto"/>
                <w:lang w:val="en-US" w:eastAsia="zh-CN"/>
              </w:rPr>
              <w:t>3</w:t>
            </w:r>
            <w:r>
              <w:rPr>
                <w:rFonts w:hint="default" w:ascii="Times New Roman" w:hAnsi="Times New Roman" w:eastAsia="宋体" w:cs="Times New Roman"/>
                <w:b/>
                <w:bCs/>
                <w:color w:val="auto"/>
                <w:sz w:val="22"/>
                <w:szCs w:val="28"/>
                <w:u w:val="none" w:color="auto"/>
                <w:lang w:val="en-US" w:eastAsia="zh-CN"/>
              </w:rPr>
              <w:t xml:space="preserve"> </w:t>
            </w:r>
            <w:r>
              <w:rPr>
                <w:rFonts w:hint="default" w:ascii="Times New Roman" w:hAnsi="Times New Roman" w:eastAsia="宋体" w:cs="Times New Roman"/>
                <w:b/>
                <w:bCs/>
                <w:color w:val="auto"/>
                <w:sz w:val="22"/>
                <w:szCs w:val="28"/>
                <w:u w:val="none" w:color="auto"/>
              </w:rPr>
              <w:t>营运期</w:t>
            </w:r>
            <w:r>
              <w:rPr>
                <w:rFonts w:hint="eastAsia" w:cs="Times New Roman"/>
                <w:b/>
                <w:bCs/>
                <w:color w:val="auto"/>
                <w:sz w:val="22"/>
                <w:szCs w:val="28"/>
                <w:u w:val="none" w:color="auto"/>
                <w:lang w:val="en-US" w:eastAsia="zh-CN"/>
              </w:rPr>
              <w:t>导热油炉</w:t>
            </w:r>
            <w:r>
              <w:rPr>
                <w:rFonts w:hint="default" w:ascii="Times New Roman" w:hAnsi="Times New Roman" w:eastAsia="宋体" w:cs="Times New Roman"/>
                <w:b/>
                <w:bCs/>
                <w:color w:val="auto"/>
                <w:sz w:val="22"/>
                <w:szCs w:val="28"/>
                <w:u w:val="none" w:color="auto"/>
              </w:rPr>
              <w:t>产污环节</w:t>
            </w:r>
          </w:p>
          <w:p w14:paraId="55CF0E6B">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产污环节分析</w:t>
            </w:r>
          </w:p>
          <w:p w14:paraId="41B76171">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项目主要污染源及污染物分析见表2-</w:t>
            </w:r>
            <w:r>
              <w:rPr>
                <w:rFonts w:hint="default" w:ascii="Times New Roman" w:hAnsi="Times New Roman" w:eastAsia="宋体" w:cs="Times New Roman"/>
                <w:color w:val="auto"/>
                <w:kern w:val="0"/>
                <w:sz w:val="24"/>
                <w:szCs w:val="24"/>
                <w:u w:val="none" w:color="auto"/>
                <w:lang w:val="en-US" w:eastAsia="zh-CN"/>
              </w:rPr>
              <w:t>8</w:t>
            </w:r>
            <w:r>
              <w:rPr>
                <w:rFonts w:hint="default" w:ascii="Times New Roman" w:hAnsi="Times New Roman" w:eastAsia="宋体" w:cs="Times New Roman"/>
                <w:color w:val="auto"/>
                <w:kern w:val="0"/>
                <w:sz w:val="24"/>
                <w:szCs w:val="24"/>
                <w:u w:val="none" w:color="auto"/>
              </w:rPr>
              <w:t>。</w:t>
            </w:r>
          </w:p>
          <w:p w14:paraId="3EE0877C">
            <w:pPr>
              <w:keepNext w:val="0"/>
              <w:keepLines w:val="0"/>
              <w:pageBreakBefore w:val="0"/>
              <w:kinsoku/>
              <w:wordWrap/>
              <w:overflowPunct/>
              <w:topLinePunct w:val="0"/>
              <w:autoSpaceDE w:val="0"/>
              <w:autoSpaceDN w:val="0"/>
              <w:bidi w:val="0"/>
              <w:adjustRightInd/>
              <w:snapToGrid/>
              <w:spacing w:line="240" w:lineRule="auto"/>
              <w:ind w:firstLine="422" w:firstLineChars="200"/>
              <w:jc w:val="center"/>
              <w:textAlignment w:val="auto"/>
              <w:rPr>
                <w:rFonts w:hint="default" w:ascii="Times New Roman" w:hAnsi="Times New Roman" w:eastAsia="宋体" w:cs="Times New Roman"/>
                <w:b/>
                <w:bCs/>
                <w:color w:val="auto"/>
                <w:kern w:val="0"/>
                <w:sz w:val="21"/>
                <w:szCs w:val="21"/>
                <w:u w:val="none" w:color="auto"/>
              </w:rPr>
            </w:pPr>
            <w:r>
              <w:rPr>
                <w:rFonts w:hint="default" w:ascii="Times New Roman" w:hAnsi="Times New Roman" w:eastAsia="宋体" w:cs="Times New Roman"/>
                <w:b/>
                <w:bCs/>
                <w:color w:val="auto"/>
                <w:kern w:val="0"/>
                <w:sz w:val="21"/>
                <w:szCs w:val="21"/>
                <w:u w:val="none" w:color="auto"/>
              </w:rPr>
              <w:t>表2-</w:t>
            </w:r>
            <w:r>
              <w:rPr>
                <w:rFonts w:hint="eastAsia" w:ascii="Times New Roman" w:hAnsi="Times New Roman" w:eastAsia="宋体" w:cs="Times New Roman"/>
                <w:b/>
                <w:bCs/>
                <w:color w:val="auto"/>
                <w:kern w:val="0"/>
                <w:sz w:val="21"/>
                <w:szCs w:val="21"/>
                <w:u w:val="none" w:color="auto"/>
                <w:lang w:val="en-US" w:eastAsia="zh-CN"/>
              </w:rPr>
              <w:t>5</w:t>
            </w:r>
            <w:r>
              <w:rPr>
                <w:rFonts w:hint="default" w:ascii="Times New Roman" w:hAnsi="Times New Roman" w:eastAsia="宋体" w:cs="Times New Roman"/>
                <w:b/>
                <w:bCs/>
                <w:color w:val="auto"/>
                <w:kern w:val="0"/>
                <w:sz w:val="21"/>
                <w:szCs w:val="21"/>
                <w:u w:val="none" w:color="auto"/>
              </w:rPr>
              <w:t xml:space="preserve"> 工程主要污染源分析</w:t>
            </w:r>
          </w:p>
          <w:tbl>
            <w:tblPr>
              <w:tblStyle w:val="2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664"/>
              <w:gridCol w:w="1409"/>
              <w:gridCol w:w="1345"/>
              <w:gridCol w:w="1009"/>
              <w:gridCol w:w="2616"/>
            </w:tblGrid>
            <w:tr w14:paraId="4CA62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81" w:type="dxa"/>
                  <w:tcBorders>
                    <w:tl2br w:val="nil"/>
                    <w:tr2bl w:val="nil"/>
                  </w:tcBorders>
                  <w:noWrap w:val="0"/>
                  <w:vAlign w:val="center"/>
                </w:tcPr>
                <w:p w14:paraId="776865E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lang w:eastAsia="zh-CN"/>
                    </w:rPr>
                  </w:pPr>
                  <w:r>
                    <w:rPr>
                      <w:rFonts w:hint="default" w:ascii="Times New Roman" w:hAnsi="Times New Roman" w:eastAsia="宋体" w:cs="Times New Roman"/>
                      <w:b/>
                      <w:bCs/>
                      <w:color w:val="auto"/>
                      <w:sz w:val="21"/>
                      <w:szCs w:val="21"/>
                      <w:u w:val="none" w:color="auto"/>
                      <w:lang w:eastAsia="zh-CN"/>
                    </w:rPr>
                    <w:t>类型</w:t>
                  </w:r>
                </w:p>
              </w:tc>
              <w:tc>
                <w:tcPr>
                  <w:tcW w:w="664" w:type="dxa"/>
                  <w:tcBorders>
                    <w:tl2br w:val="nil"/>
                    <w:tr2bl w:val="nil"/>
                  </w:tcBorders>
                  <w:noWrap w:val="0"/>
                  <w:vAlign w:val="center"/>
                </w:tcPr>
                <w:p w14:paraId="6B3C606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lang w:eastAsia="zh-CN"/>
                    </w:rPr>
                  </w:pPr>
                  <w:r>
                    <w:rPr>
                      <w:rFonts w:hint="default" w:ascii="Times New Roman" w:hAnsi="Times New Roman" w:eastAsia="宋体" w:cs="Times New Roman"/>
                      <w:b/>
                      <w:bCs/>
                      <w:color w:val="auto"/>
                      <w:sz w:val="21"/>
                      <w:szCs w:val="21"/>
                      <w:u w:val="none" w:color="auto"/>
                      <w:vertAlign w:val="baseline"/>
                      <w:lang w:eastAsia="zh-CN"/>
                    </w:rPr>
                    <w:t>编号</w:t>
                  </w:r>
                </w:p>
              </w:tc>
              <w:tc>
                <w:tcPr>
                  <w:tcW w:w="1409" w:type="dxa"/>
                  <w:tcBorders>
                    <w:tl2br w:val="nil"/>
                    <w:tr2bl w:val="nil"/>
                  </w:tcBorders>
                  <w:noWrap w:val="0"/>
                  <w:vAlign w:val="center"/>
                </w:tcPr>
                <w:p w14:paraId="6D4F77D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lang w:eastAsia="zh-CN"/>
                    </w:rPr>
                  </w:pPr>
                  <w:r>
                    <w:rPr>
                      <w:rFonts w:hint="default" w:ascii="Times New Roman" w:hAnsi="Times New Roman" w:eastAsia="宋体" w:cs="Times New Roman"/>
                      <w:b/>
                      <w:bCs/>
                      <w:color w:val="auto"/>
                      <w:sz w:val="21"/>
                      <w:szCs w:val="21"/>
                      <w:u w:val="none" w:color="auto"/>
                      <w:vertAlign w:val="baseline"/>
                      <w:lang w:eastAsia="zh-CN"/>
                    </w:rPr>
                    <w:t>污染物</w:t>
                  </w:r>
                </w:p>
              </w:tc>
              <w:tc>
                <w:tcPr>
                  <w:tcW w:w="1345" w:type="dxa"/>
                  <w:tcBorders>
                    <w:tl2br w:val="nil"/>
                    <w:tr2bl w:val="nil"/>
                  </w:tcBorders>
                  <w:noWrap w:val="0"/>
                  <w:vAlign w:val="center"/>
                </w:tcPr>
                <w:p w14:paraId="7CBCC09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lang w:eastAsia="zh-CN"/>
                    </w:rPr>
                  </w:pPr>
                  <w:r>
                    <w:rPr>
                      <w:rFonts w:hint="default" w:ascii="Times New Roman" w:hAnsi="Times New Roman" w:eastAsia="宋体" w:cs="Times New Roman"/>
                      <w:b/>
                      <w:bCs/>
                      <w:color w:val="auto"/>
                      <w:sz w:val="21"/>
                      <w:szCs w:val="21"/>
                      <w:u w:val="none" w:color="auto"/>
                      <w:vertAlign w:val="baseline"/>
                      <w:lang w:eastAsia="zh-CN"/>
                    </w:rPr>
                    <w:t>产污工序</w:t>
                  </w:r>
                </w:p>
              </w:tc>
              <w:tc>
                <w:tcPr>
                  <w:tcW w:w="1009" w:type="dxa"/>
                  <w:tcBorders>
                    <w:tl2br w:val="nil"/>
                    <w:tr2bl w:val="nil"/>
                  </w:tcBorders>
                  <w:noWrap w:val="0"/>
                  <w:vAlign w:val="center"/>
                </w:tcPr>
                <w:p w14:paraId="26B8154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rPr>
                  </w:pPr>
                  <w:r>
                    <w:rPr>
                      <w:rFonts w:hint="default" w:ascii="Times New Roman" w:hAnsi="Times New Roman" w:eastAsia="宋体" w:cs="Times New Roman"/>
                      <w:b/>
                      <w:bCs/>
                      <w:color w:val="auto"/>
                      <w:sz w:val="21"/>
                      <w:szCs w:val="21"/>
                      <w:u w:val="none" w:color="auto"/>
                      <w:vertAlign w:val="baseline"/>
                      <w:lang w:eastAsia="zh-CN"/>
                    </w:rPr>
                    <w:t>备注</w:t>
                  </w:r>
                </w:p>
              </w:tc>
              <w:tc>
                <w:tcPr>
                  <w:tcW w:w="2616" w:type="dxa"/>
                  <w:tcBorders>
                    <w:tl2br w:val="nil"/>
                    <w:tr2bl w:val="nil"/>
                  </w:tcBorders>
                  <w:noWrap w:val="0"/>
                  <w:vAlign w:val="center"/>
                </w:tcPr>
                <w:p w14:paraId="2D1196F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u w:val="none" w:color="auto"/>
                      <w:vertAlign w:val="baseline"/>
                      <w:lang w:eastAsia="zh-CN"/>
                    </w:rPr>
                  </w:pPr>
                  <w:r>
                    <w:rPr>
                      <w:rFonts w:hint="default" w:ascii="Times New Roman" w:hAnsi="Times New Roman" w:eastAsia="宋体" w:cs="Times New Roman"/>
                      <w:b/>
                      <w:bCs/>
                      <w:color w:val="auto"/>
                      <w:sz w:val="21"/>
                      <w:szCs w:val="21"/>
                      <w:u w:val="none" w:color="auto"/>
                      <w:vertAlign w:val="baseline"/>
                      <w:lang w:eastAsia="zh-CN"/>
                    </w:rPr>
                    <w:t>治理措施</w:t>
                  </w:r>
                </w:p>
              </w:tc>
            </w:tr>
            <w:tr w14:paraId="077F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81" w:type="dxa"/>
                  <w:vMerge w:val="restart"/>
                  <w:tcBorders>
                    <w:tl2br w:val="nil"/>
                    <w:tr2bl w:val="nil"/>
                  </w:tcBorders>
                  <w:noWrap w:val="0"/>
                  <w:vAlign w:val="center"/>
                </w:tcPr>
                <w:p w14:paraId="5D3B912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eastAsia="zh-CN"/>
                    </w:rPr>
                  </w:pPr>
                  <w:r>
                    <w:rPr>
                      <w:rFonts w:hint="default" w:ascii="Times New Roman" w:hAnsi="Times New Roman" w:eastAsia="宋体" w:cs="Times New Roman"/>
                      <w:b w:val="0"/>
                      <w:bCs w:val="0"/>
                      <w:color w:val="auto"/>
                      <w:sz w:val="21"/>
                      <w:szCs w:val="21"/>
                      <w:u w:val="none" w:color="auto"/>
                      <w:vertAlign w:val="baseline"/>
                      <w:lang w:eastAsia="zh-CN"/>
                    </w:rPr>
                    <w:t>废气</w:t>
                  </w:r>
                </w:p>
              </w:tc>
              <w:tc>
                <w:tcPr>
                  <w:tcW w:w="664" w:type="dxa"/>
                  <w:tcBorders>
                    <w:tl2br w:val="nil"/>
                    <w:tr2bl w:val="nil"/>
                  </w:tcBorders>
                  <w:noWrap w:val="0"/>
                  <w:vAlign w:val="center"/>
                </w:tcPr>
                <w:p w14:paraId="40E615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G</w:t>
                  </w:r>
                  <w:r>
                    <w:rPr>
                      <w:rFonts w:hint="eastAsia" w:cs="Times New Roman"/>
                      <w:color w:val="auto"/>
                      <w:sz w:val="21"/>
                      <w:szCs w:val="21"/>
                      <w:u w:val="none" w:color="auto"/>
                      <w:lang w:val="en-US" w:eastAsia="zh-CN"/>
                    </w:rPr>
                    <w:t>1</w:t>
                  </w:r>
                </w:p>
              </w:tc>
              <w:tc>
                <w:tcPr>
                  <w:tcW w:w="1409" w:type="dxa"/>
                  <w:tcBorders>
                    <w:tl2br w:val="nil"/>
                    <w:tr2bl w:val="nil"/>
                  </w:tcBorders>
                  <w:noWrap w:val="0"/>
                  <w:vAlign w:val="center"/>
                </w:tcPr>
                <w:p w14:paraId="07B625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颗粒物、二氧化硫、氮氧化物</w:t>
                  </w:r>
                </w:p>
              </w:tc>
              <w:tc>
                <w:tcPr>
                  <w:tcW w:w="1345" w:type="dxa"/>
                  <w:tcBorders>
                    <w:tl2br w:val="nil"/>
                    <w:tr2bl w:val="nil"/>
                  </w:tcBorders>
                  <w:noWrap w:val="0"/>
                  <w:vAlign w:val="center"/>
                </w:tcPr>
                <w:p w14:paraId="194D454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生物质燃烧</w:t>
                  </w:r>
                </w:p>
              </w:tc>
              <w:tc>
                <w:tcPr>
                  <w:tcW w:w="1009" w:type="dxa"/>
                  <w:tcBorders>
                    <w:tl2br w:val="nil"/>
                    <w:tr2bl w:val="nil"/>
                  </w:tcBorders>
                  <w:noWrap w:val="0"/>
                  <w:vAlign w:val="center"/>
                </w:tcPr>
                <w:p w14:paraId="2C969F1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eastAsia="zh-CN"/>
                    </w:rPr>
                  </w:pPr>
                  <w:r>
                    <w:rPr>
                      <w:rFonts w:hint="default" w:ascii="Times New Roman" w:hAnsi="Times New Roman" w:eastAsia="宋体" w:cs="Times New Roman"/>
                      <w:b w:val="0"/>
                      <w:bCs w:val="0"/>
                      <w:color w:val="auto"/>
                      <w:sz w:val="21"/>
                      <w:szCs w:val="21"/>
                      <w:u w:val="none" w:color="auto"/>
                      <w:lang w:val="en-US" w:eastAsia="zh-CN"/>
                    </w:rPr>
                    <w:t>连续</w:t>
                  </w:r>
                </w:p>
              </w:tc>
              <w:tc>
                <w:tcPr>
                  <w:tcW w:w="2616" w:type="dxa"/>
                  <w:tcBorders>
                    <w:tl2br w:val="nil"/>
                    <w:tr2bl w:val="nil"/>
                  </w:tcBorders>
                  <w:noWrap w:val="0"/>
                  <w:vAlign w:val="center"/>
                </w:tcPr>
                <w:p w14:paraId="4CE45170">
                  <w:pPr>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SNCR+多管旋风除尘+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Cs w:val="21"/>
                      <w:u w:val="none" w:color="auto"/>
                      <w:lang w:val="en-US" w:eastAsia="zh-CN"/>
                    </w:rPr>
                    <w:t>+43</w:t>
                  </w:r>
                  <w:r>
                    <w:rPr>
                      <w:rFonts w:hint="default" w:ascii="Times New Roman" w:hAnsi="Times New Roman" w:eastAsia="宋体" w:cs="Times New Roman"/>
                      <w:color w:val="auto"/>
                      <w:szCs w:val="21"/>
                      <w:u w:val="none" w:color="auto"/>
                      <w:lang w:eastAsia="zh-CN"/>
                    </w:rPr>
                    <w:t>m排气筒排放（DA00</w:t>
                  </w:r>
                  <w:r>
                    <w:rPr>
                      <w:rFonts w:hint="eastAsia" w:cs="Times New Roman"/>
                      <w:color w:val="auto"/>
                      <w:szCs w:val="21"/>
                      <w:u w:val="none" w:color="auto"/>
                      <w:lang w:val="en-US" w:eastAsia="zh-CN"/>
                    </w:rPr>
                    <w:t>1</w:t>
                  </w:r>
                  <w:r>
                    <w:rPr>
                      <w:rFonts w:hint="default" w:ascii="Times New Roman" w:hAnsi="Times New Roman" w:eastAsia="宋体" w:cs="Times New Roman"/>
                      <w:color w:val="auto"/>
                      <w:szCs w:val="21"/>
                      <w:u w:val="none" w:color="auto"/>
                      <w:lang w:eastAsia="zh-CN"/>
                    </w:rPr>
                    <w:t>）</w:t>
                  </w:r>
                </w:p>
              </w:tc>
            </w:tr>
            <w:tr w14:paraId="10BE4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81" w:type="dxa"/>
                  <w:vMerge w:val="continue"/>
                  <w:tcBorders>
                    <w:tl2br w:val="nil"/>
                    <w:tr2bl w:val="nil"/>
                  </w:tcBorders>
                  <w:noWrap w:val="0"/>
                  <w:vAlign w:val="center"/>
                </w:tcPr>
                <w:p w14:paraId="60A4749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eastAsia="zh-CN"/>
                    </w:rPr>
                  </w:pPr>
                </w:p>
              </w:tc>
              <w:tc>
                <w:tcPr>
                  <w:tcW w:w="664" w:type="dxa"/>
                  <w:tcBorders>
                    <w:tl2br w:val="nil"/>
                    <w:tr2bl w:val="nil"/>
                  </w:tcBorders>
                  <w:noWrap w:val="0"/>
                  <w:vAlign w:val="center"/>
                </w:tcPr>
                <w:p w14:paraId="17F1DB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G2</w:t>
                  </w:r>
                </w:p>
              </w:tc>
              <w:tc>
                <w:tcPr>
                  <w:tcW w:w="1409" w:type="dxa"/>
                  <w:tcBorders>
                    <w:tl2br w:val="nil"/>
                    <w:tr2bl w:val="nil"/>
                  </w:tcBorders>
                  <w:noWrap w:val="0"/>
                  <w:vAlign w:val="center"/>
                </w:tcPr>
                <w:p w14:paraId="5B067D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颗粒物、二氧化硫、氮氧化物</w:t>
                  </w:r>
                </w:p>
              </w:tc>
              <w:tc>
                <w:tcPr>
                  <w:tcW w:w="1345" w:type="dxa"/>
                  <w:tcBorders>
                    <w:tl2br w:val="nil"/>
                    <w:tr2bl w:val="nil"/>
                  </w:tcBorders>
                  <w:noWrap w:val="0"/>
                  <w:vAlign w:val="center"/>
                </w:tcPr>
                <w:p w14:paraId="69E9AAD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生物质燃烧</w:t>
                  </w:r>
                </w:p>
              </w:tc>
              <w:tc>
                <w:tcPr>
                  <w:tcW w:w="1009" w:type="dxa"/>
                  <w:tcBorders>
                    <w:tl2br w:val="nil"/>
                    <w:tr2bl w:val="nil"/>
                  </w:tcBorders>
                  <w:noWrap w:val="0"/>
                  <w:vAlign w:val="center"/>
                </w:tcPr>
                <w:p w14:paraId="06C1C26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连续</w:t>
                  </w:r>
                </w:p>
              </w:tc>
              <w:tc>
                <w:tcPr>
                  <w:tcW w:w="2616" w:type="dxa"/>
                  <w:tcBorders>
                    <w:tl2br w:val="nil"/>
                    <w:tr2bl w:val="nil"/>
                  </w:tcBorders>
                  <w:noWrap w:val="0"/>
                  <w:vAlign w:val="center"/>
                </w:tcPr>
                <w:p w14:paraId="72C754A8">
                  <w:pPr>
                    <w:jc w:val="center"/>
                    <w:rPr>
                      <w:rFonts w:hint="default" w:ascii="Times New Roman" w:hAnsi="Times New Roman" w:eastAsia="宋体" w:cs="Times New Roman"/>
                      <w:color w:val="auto"/>
                      <w:sz w:val="21"/>
                      <w:szCs w:val="21"/>
                      <w:u w:val="none" w:color="auto"/>
                      <w:lang w:val="en-US" w:eastAsia="zh-CN"/>
                    </w:rPr>
                  </w:pPr>
                  <w:r>
                    <w:rPr>
                      <w:rFonts w:hint="eastAsia" w:ascii="宋体" w:hAnsi="宋体" w:cs="宋体"/>
                      <w:color w:val="auto"/>
                      <w:sz w:val="21"/>
                      <w:szCs w:val="21"/>
                      <w:u w:val="none"/>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eastAsia" w:cs="Times New Roman"/>
                      <w:color w:val="auto"/>
                      <w:sz w:val="21"/>
                      <w:szCs w:val="21"/>
                      <w:u w:val="none" w:color="auto"/>
                      <w:lang w:val="en-US" w:eastAsia="zh-CN"/>
                    </w:rPr>
                    <w:t>水膜除尘</w:t>
                  </w:r>
                  <w:r>
                    <w:rPr>
                      <w:rFonts w:hint="default" w:ascii="Times New Roman" w:hAnsi="Times New Roman" w:eastAsia="宋体" w:cs="Times New Roman"/>
                      <w:color w:val="auto"/>
                      <w:szCs w:val="21"/>
                      <w:u w:val="none" w:color="auto"/>
                      <w:lang w:val="en-US" w:eastAsia="zh-CN"/>
                    </w:rPr>
                    <w:t>+43</w:t>
                  </w:r>
                  <w:r>
                    <w:rPr>
                      <w:rFonts w:hint="default" w:ascii="Times New Roman" w:hAnsi="Times New Roman" w:eastAsia="宋体" w:cs="Times New Roman"/>
                      <w:color w:val="auto"/>
                      <w:szCs w:val="21"/>
                      <w:u w:val="none" w:color="auto"/>
                      <w:lang w:eastAsia="zh-CN"/>
                    </w:rPr>
                    <w:t>m排气筒排放（DA00</w:t>
                  </w:r>
                  <w:r>
                    <w:rPr>
                      <w:rFonts w:hint="eastAsia" w:cs="Times New Roman"/>
                      <w:color w:val="auto"/>
                      <w:szCs w:val="21"/>
                      <w:u w:val="none" w:color="auto"/>
                      <w:lang w:val="en-US" w:eastAsia="zh-CN"/>
                    </w:rPr>
                    <w:t>1</w:t>
                  </w:r>
                  <w:r>
                    <w:rPr>
                      <w:rFonts w:hint="default" w:ascii="Times New Roman" w:hAnsi="Times New Roman" w:eastAsia="宋体" w:cs="Times New Roman"/>
                      <w:color w:val="auto"/>
                      <w:szCs w:val="21"/>
                      <w:u w:val="none" w:color="auto"/>
                      <w:lang w:eastAsia="zh-CN"/>
                    </w:rPr>
                    <w:t>）</w:t>
                  </w:r>
                </w:p>
              </w:tc>
            </w:tr>
            <w:tr w14:paraId="37EF8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81" w:type="dxa"/>
                  <w:vMerge w:val="continue"/>
                  <w:tcBorders>
                    <w:tl2br w:val="nil"/>
                    <w:tr2bl w:val="nil"/>
                  </w:tcBorders>
                  <w:noWrap w:val="0"/>
                  <w:vAlign w:val="center"/>
                </w:tcPr>
                <w:p w14:paraId="4EB98D1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eastAsia="zh-CN"/>
                    </w:rPr>
                  </w:pPr>
                </w:p>
              </w:tc>
              <w:tc>
                <w:tcPr>
                  <w:tcW w:w="664" w:type="dxa"/>
                  <w:tcBorders>
                    <w:tl2br w:val="nil"/>
                    <w:tr2bl w:val="nil"/>
                  </w:tcBorders>
                  <w:noWrap w:val="0"/>
                  <w:vAlign w:val="center"/>
                </w:tcPr>
                <w:p w14:paraId="29A654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G3</w:t>
                  </w:r>
                </w:p>
              </w:tc>
              <w:tc>
                <w:tcPr>
                  <w:tcW w:w="1409" w:type="dxa"/>
                  <w:tcBorders>
                    <w:tl2br w:val="nil"/>
                    <w:tr2bl w:val="nil"/>
                  </w:tcBorders>
                  <w:noWrap w:val="0"/>
                  <w:vAlign w:val="center"/>
                </w:tcPr>
                <w:p w14:paraId="7E6D57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颗粒物、二氧化硫、氮氧化物</w:t>
                  </w:r>
                </w:p>
              </w:tc>
              <w:tc>
                <w:tcPr>
                  <w:tcW w:w="1345" w:type="dxa"/>
                  <w:tcBorders>
                    <w:tl2br w:val="nil"/>
                    <w:tr2bl w:val="nil"/>
                  </w:tcBorders>
                  <w:noWrap w:val="0"/>
                  <w:vAlign w:val="center"/>
                </w:tcPr>
                <w:p w14:paraId="5B04704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eastAsia" w:cs="Times New Roman"/>
                      <w:b w:val="0"/>
                      <w:bCs w:val="0"/>
                      <w:color w:val="auto"/>
                      <w:sz w:val="21"/>
                      <w:szCs w:val="21"/>
                      <w:u w:val="none" w:color="auto"/>
                      <w:lang w:val="en-US" w:eastAsia="zh-CN"/>
                    </w:rPr>
                    <w:t>成型</w:t>
                  </w:r>
                  <w:r>
                    <w:rPr>
                      <w:rFonts w:hint="default" w:ascii="Times New Roman" w:hAnsi="Times New Roman" w:eastAsia="宋体" w:cs="Times New Roman"/>
                      <w:b w:val="0"/>
                      <w:bCs w:val="0"/>
                      <w:color w:val="auto"/>
                      <w:sz w:val="21"/>
                      <w:szCs w:val="21"/>
                      <w:u w:val="none" w:color="auto"/>
                      <w:lang w:val="en-US" w:eastAsia="zh-CN"/>
                    </w:rPr>
                    <w:t>生物质燃烧</w:t>
                  </w:r>
                </w:p>
              </w:tc>
              <w:tc>
                <w:tcPr>
                  <w:tcW w:w="1009" w:type="dxa"/>
                  <w:tcBorders>
                    <w:tl2br w:val="nil"/>
                    <w:tr2bl w:val="nil"/>
                  </w:tcBorders>
                  <w:noWrap w:val="0"/>
                  <w:vAlign w:val="center"/>
                </w:tcPr>
                <w:p w14:paraId="0BA15D4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连续</w:t>
                  </w:r>
                </w:p>
              </w:tc>
              <w:tc>
                <w:tcPr>
                  <w:tcW w:w="2616" w:type="dxa"/>
                  <w:tcBorders>
                    <w:tl2br w:val="nil"/>
                    <w:tr2bl w:val="nil"/>
                  </w:tcBorders>
                  <w:noWrap w:val="0"/>
                  <w:vAlign w:val="center"/>
                </w:tcPr>
                <w:p w14:paraId="4172AC01">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多管旋风除尘+</w:t>
                  </w:r>
                  <w:r>
                    <w:rPr>
                      <w:rFonts w:hint="default" w:ascii="Times New Roman" w:hAnsi="Times New Roman" w:eastAsia="宋体" w:cs="Times New Roman"/>
                      <w:color w:val="auto"/>
                      <w:sz w:val="21"/>
                      <w:szCs w:val="21"/>
                      <w:u w:val="none" w:color="auto"/>
                      <w:lang w:eastAsia="zh-CN"/>
                    </w:rPr>
                    <w:t>布袋除尘器+</w:t>
                  </w:r>
                  <w:r>
                    <w:rPr>
                      <w:rFonts w:hint="default" w:ascii="Times New Roman" w:hAnsi="Times New Roman" w:eastAsia="宋体" w:cs="Times New Roman"/>
                      <w:color w:val="auto"/>
                      <w:sz w:val="21"/>
                      <w:szCs w:val="21"/>
                      <w:u w:val="none" w:color="auto"/>
                      <w:lang w:val="en-US" w:eastAsia="zh-CN"/>
                    </w:rPr>
                    <w:t>脱硫塔</w:t>
                  </w:r>
                  <w:r>
                    <w:rPr>
                      <w:rFonts w:hint="default" w:ascii="Times New Roman" w:hAnsi="Times New Roman" w:eastAsia="宋体" w:cs="Times New Roman"/>
                      <w:color w:val="auto"/>
                      <w:szCs w:val="21"/>
                      <w:u w:val="none" w:color="auto"/>
                      <w:lang w:val="en-US" w:eastAsia="zh-CN"/>
                    </w:rPr>
                    <w:t>+</w:t>
                  </w:r>
                  <w:r>
                    <w:rPr>
                      <w:rFonts w:hint="eastAsia" w:cs="Times New Roman"/>
                      <w:color w:val="auto"/>
                      <w:szCs w:val="21"/>
                      <w:u w:val="none" w:color="auto"/>
                      <w:lang w:val="en-US" w:eastAsia="zh-CN"/>
                    </w:rPr>
                    <w:t>38m</w:t>
                  </w:r>
                  <w:r>
                    <w:rPr>
                      <w:rFonts w:hint="default" w:ascii="Times New Roman" w:hAnsi="Times New Roman" w:eastAsia="宋体" w:cs="Times New Roman"/>
                      <w:color w:val="auto"/>
                      <w:szCs w:val="21"/>
                      <w:u w:val="none" w:color="auto"/>
                      <w:lang w:eastAsia="zh-CN"/>
                    </w:rPr>
                    <w:t>排气筒排放（DA00</w:t>
                  </w:r>
                  <w:r>
                    <w:rPr>
                      <w:rFonts w:hint="eastAsia" w:cs="Times New Roman"/>
                      <w:color w:val="auto"/>
                      <w:szCs w:val="21"/>
                      <w:u w:val="none" w:color="auto"/>
                      <w:lang w:val="en-US" w:eastAsia="zh-CN"/>
                    </w:rPr>
                    <w:t>2</w:t>
                  </w:r>
                  <w:r>
                    <w:rPr>
                      <w:rFonts w:hint="default" w:ascii="Times New Roman" w:hAnsi="Times New Roman" w:eastAsia="宋体" w:cs="Times New Roman"/>
                      <w:color w:val="auto"/>
                      <w:szCs w:val="21"/>
                      <w:u w:val="none" w:color="auto"/>
                      <w:lang w:eastAsia="zh-CN"/>
                    </w:rPr>
                    <w:t>）</w:t>
                  </w:r>
                </w:p>
              </w:tc>
            </w:tr>
            <w:tr w14:paraId="66C33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81" w:type="dxa"/>
                  <w:vMerge w:val="restart"/>
                  <w:tcBorders>
                    <w:tl2br w:val="nil"/>
                    <w:tr2bl w:val="nil"/>
                  </w:tcBorders>
                  <w:noWrap w:val="0"/>
                  <w:vAlign w:val="center"/>
                </w:tcPr>
                <w:p w14:paraId="72A3A71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val="en-US" w:eastAsia="zh-CN"/>
                    </w:rPr>
                  </w:pPr>
                  <w:r>
                    <w:rPr>
                      <w:rFonts w:hint="default" w:ascii="Times New Roman" w:hAnsi="Times New Roman" w:eastAsia="宋体" w:cs="Times New Roman"/>
                      <w:b w:val="0"/>
                      <w:bCs w:val="0"/>
                      <w:color w:val="auto"/>
                      <w:sz w:val="21"/>
                      <w:szCs w:val="21"/>
                      <w:u w:val="none" w:color="auto"/>
                      <w:vertAlign w:val="baseline"/>
                      <w:lang w:val="en-US" w:eastAsia="zh-CN"/>
                    </w:rPr>
                    <w:t>废水</w:t>
                  </w:r>
                </w:p>
              </w:tc>
              <w:tc>
                <w:tcPr>
                  <w:tcW w:w="664" w:type="dxa"/>
                  <w:tcBorders>
                    <w:tl2br w:val="nil"/>
                    <w:tr2bl w:val="nil"/>
                  </w:tcBorders>
                  <w:noWrap w:val="0"/>
                  <w:vAlign w:val="center"/>
                </w:tcPr>
                <w:p w14:paraId="3ECADB4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W1</w:t>
                  </w:r>
                </w:p>
              </w:tc>
              <w:tc>
                <w:tcPr>
                  <w:tcW w:w="1409" w:type="dxa"/>
                  <w:tcBorders>
                    <w:tl2br w:val="nil"/>
                    <w:tr2bl w:val="nil"/>
                  </w:tcBorders>
                  <w:noWrap w:val="0"/>
                  <w:vAlign w:val="center"/>
                </w:tcPr>
                <w:p w14:paraId="141638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锅炉排污水</w:t>
                  </w:r>
                </w:p>
              </w:tc>
              <w:tc>
                <w:tcPr>
                  <w:tcW w:w="1345" w:type="dxa"/>
                  <w:tcBorders>
                    <w:tl2br w:val="nil"/>
                    <w:tr2bl w:val="nil"/>
                  </w:tcBorders>
                  <w:noWrap w:val="0"/>
                  <w:vAlign w:val="center"/>
                </w:tcPr>
                <w:p w14:paraId="721811D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锅炉</w:t>
                  </w:r>
                </w:p>
              </w:tc>
              <w:tc>
                <w:tcPr>
                  <w:tcW w:w="1009" w:type="dxa"/>
                  <w:tcBorders>
                    <w:tl2br w:val="nil"/>
                    <w:tr2bl w:val="nil"/>
                  </w:tcBorders>
                  <w:noWrap w:val="0"/>
                  <w:vAlign w:val="center"/>
                </w:tcPr>
                <w:p w14:paraId="5B25F7C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连续</w:t>
                  </w:r>
                </w:p>
              </w:tc>
              <w:tc>
                <w:tcPr>
                  <w:tcW w:w="2616" w:type="dxa"/>
                  <w:tcBorders>
                    <w:tl2br w:val="nil"/>
                    <w:tr2bl w:val="nil"/>
                  </w:tcBorders>
                  <w:noWrap w:val="0"/>
                  <w:vAlign w:val="center"/>
                </w:tcPr>
                <w:p w14:paraId="455D5F5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经沉淀后循环使用</w:t>
                  </w:r>
                </w:p>
              </w:tc>
            </w:tr>
            <w:tr w14:paraId="18748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81" w:type="dxa"/>
                  <w:vMerge w:val="continue"/>
                  <w:tcBorders>
                    <w:tl2br w:val="nil"/>
                    <w:tr2bl w:val="nil"/>
                  </w:tcBorders>
                  <w:noWrap w:val="0"/>
                  <w:vAlign w:val="center"/>
                </w:tcPr>
                <w:p w14:paraId="0BA6670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val="en-US" w:eastAsia="zh-CN"/>
                    </w:rPr>
                  </w:pPr>
                </w:p>
              </w:tc>
              <w:tc>
                <w:tcPr>
                  <w:tcW w:w="664" w:type="dxa"/>
                  <w:tcBorders>
                    <w:tl2br w:val="nil"/>
                    <w:tr2bl w:val="nil"/>
                  </w:tcBorders>
                  <w:noWrap w:val="0"/>
                  <w:vAlign w:val="center"/>
                </w:tcPr>
                <w:p w14:paraId="5115EF0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W2</w:t>
                  </w:r>
                </w:p>
              </w:tc>
              <w:tc>
                <w:tcPr>
                  <w:tcW w:w="1409" w:type="dxa"/>
                  <w:tcBorders>
                    <w:tl2br w:val="nil"/>
                    <w:tr2bl w:val="nil"/>
                  </w:tcBorders>
                  <w:noWrap w:val="0"/>
                  <w:vAlign w:val="center"/>
                </w:tcPr>
                <w:p w14:paraId="3CFF9A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脱硫塔废水</w:t>
                  </w:r>
                </w:p>
              </w:tc>
              <w:tc>
                <w:tcPr>
                  <w:tcW w:w="1345" w:type="dxa"/>
                  <w:tcBorders>
                    <w:tl2br w:val="nil"/>
                    <w:tr2bl w:val="nil"/>
                  </w:tcBorders>
                  <w:noWrap w:val="0"/>
                  <w:vAlign w:val="center"/>
                </w:tcPr>
                <w:p w14:paraId="5E0C768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废气处理</w:t>
                  </w:r>
                </w:p>
              </w:tc>
              <w:tc>
                <w:tcPr>
                  <w:tcW w:w="1009" w:type="dxa"/>
                  <w:tcBorders>
                    <w:tl2br w:val="nil"/>
                    <w:tr2bl w:val="nil"/>
                  </w:tcBorders>
                  <w:noWrap w:val="0"/>
                  <w:vAlign w:val="center"/>
                </w:tcPr>
                <w:p w14:paraId="1961983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连续</w:t>
                  </w:r>
                </w:p>
              </w:tc>
              <w:tc>
                <w:tcPr>
                  <w:tcW w:w="2616" w:type="dxa"/>
                  <w:tcBorders>
                    <w:tl2br w:val="nil"/>
                    <w:tr2bl w:val="nil"/>
                  </w:tcBorders>
                  <w:noWrap w:val="0"/>
                  <w:vAlign w:val="center"/>
                </w:tcPr>
                <w:p w14:paraId="5AFFEEF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循环使用</w:t>
                  </w:r>
                </w:p>
              </w:tc>
            </w:tr>
            <w:tr w14:paraId="55B9E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81" w:type="dxa"/>
                  <w:vMerge w:val="restart"/>
                  <w:tcBorders>
                    <w:tl2br w:val="nil"/>
                    <w:tr2bl w:val="nil"/>
                  </w:tcBorders>
                  <w:noWrap w:val="0"/>
                  <w:vAlign w:val="center"/>
                </w:tcPr>
                <w:p w14:paraId="3D52213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eastAsia="zh-CN"/>
                    </w:rPr>
                  </w:pPr>
                  <w:r>
                    <w:rPr>
                      <w:rFonts w:hint="default" w:ascii="Times New Roman" w:hAnsi="Times New Roman" w:eastAsia="宋体" w:cs="Times New Roman"/>
                      <w:b w:val="0"/>
                      <w:bCs w:val="0"/>
                      <w:color w:val="auto"/>
                      <w:sz w:val="21"/>
                      <w:szCs w:val="21"/>
                      <w:u w:val="none" w:color="auto"/>
                      <w:vertAlign w:val="baseline"/>
                      <w:lang w:eastAsia="zh-CN"/>
                    </w:rPr>
                    <w:t>固废</w:t>
                  </w:r>
                </w:p>
              </w:tc>
              <w:tc>
                <w:tcPr>
                  <w:tcW w:w="664" w:type="dxa"/>
                  <w:tcBorders>
                    <w:tl2br w:val="nil"/>
                    <w:tr2bl w:val="nil"/>
                  </w:tcBorders>
                  <w:noWrap w:val="0"/>
                  <w:vAlign w:val="center"/>
                </w:tcPr>
                <w:p w14:paraId="5EE006B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S1</w:t>
                  </w:r>
                </w:p>
              </w:tc>
              <w:tc>
                <w:tcPr>
                  <w:tcW w:w="1409" w:type="dxa"/>
                  <w:tcBorders>
                    <w:tl2br w:val="nil"/>
                    <w:tr2bl w:val="nil"/>
                  </w:tcBorders>
                  <w:noWrap w:val="0"/>
                  <w:vAlign w:val="center"/>
                </w:tcPr>
                <w:p w14:paraId="7C9983E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炉渣</w:t>
                  </w:r>
                </w:p>
              </w:tc>
              <w:tc>
                <w:tcPr>
                  <w:tcW w:w="1345" w:type="dxa"/>
                  <w:tcBorders>
                    <w:tl2br w:val="nil"/>
                    <w:tr2bl w:val="nil"/>
                  </w:tcBorders>
                  <w:noWrap w:val="0"/>
                  <w:vAlign w:val="center"/>
                </w:tcPr>
                <w:p w14:paraId="7A9985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锅炉</w:t>
                  </w:r>
                </w:p>
              </w:tc>
              <w:tc>
                <w:tcPr>
                  <w:tcW w:w="1009" w:type="dxa"/>
                  <w:tcBorders>
                    <w:tl2br w:val="nil"/>
                    <w:tr2bl w:val="nil"/>
                  </w:tcBorders>
                  <w:noWrap w:val="0"/>
                  <w:vAlign w:val="center"/>
                </w:tcPr>
                <w:p w14:paraId="7490B6F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eastAsia="zh-CN"/>
                    </w:rPr>
                    <w:t>一般工业固废</w:t>
                  </w:r>
                </w:p>
              </w:tc>
              <w:tc>
                <w:tcPr>
                  <w:tcW w:w="2616" w:type="dxa"/>
                  <w:tcBorders>
                    <w:tl2br w:val="nil"/>
                    <w:tr2bl w:val="nil"/>
                  </w:tcBorders>
                  <w:noWrap w:val="0"/>
                  <w:vAlign w:val="center"/>
                </w:tcPr>
                <w:p w14:paraId="1C0B033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收集后外售附近农户作农肥</w:t>
                  </w:r>
                </w:p>
              </w:tc>
            </w:tr>
            <w:tr w14:paraId="7803A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81" w:type="dxa"/>
                  <w:vMerge w:val="continue"/>
                  <w:tcBorders>
                    <w:tl2br w:val="nil"/>
                    <w:tr2bl w:val="nil"/>
                  </w:tcBorders>
                  <w:noWrap w:val="0"/>
                  <w:vAlign w:val="center"/>
                </w:tcPr>
                <w:p w14:paraId="2C9AFBF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rPr>
                  </w:pPr>
                </w:p>
              </w:tc>
              <w:tc>
                <w:tcPr>
                  <w:tcW w:w="664" w:type="dxa"/>
                  <w:tcBorders>
                    <w:tl2br w:val="nil"/>
                    <w:tr2bl w:val="nil"/>
                  </w:tcBorders>
                  <w:noWrap w:val="0"/>
                  <w:vAlign w:val="center"/>
                </w:tcPr>
                <w:p w14:paraId="7521CA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S2</w:t>
                  </w:r>
                </w:p>
              </w:tc>
              <w:tc>
                <w:tcPr>
                  <w:tcW w:w="1409" w:type="dxa"/>
                  <w:tcBorders>
                    <w:tl2br w:val="nil"/>
                    <w:tr2bl w:val="nil"/>
                  </w:tcBorders>
                  <w:noWrap w:val="0"/>
                  <w:vAlign w:val="center"/>
                </w:tcPr>
                <w:p w14:paraId="5B7500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旋风灰尘、布袋灰尘</w:t>
                  </w:r>
                </w:p>
              </w:tc>
              <w:tc>
                <w:tcPr>
                  <w:tcW w:w="1345" w:type="dxa"/>
                  <w:tcBorders>
                    <w:tl2br w:val="nil"/>
                    <w:tr2bl w:val="nil"/>
                  </w:tcBorders>
                  <w:noWrap w:val="0"/>
                  <w:vAlign w:val="center"/>
                </w:tcPr>
                <w:p w14:paraId="7F8A538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废气处理</w:t>
                  </w:r>
                </w:p>
              </w:tc>
              <w:tc>
                <w:tcPr>
                  <w:tcW w:w="1009" w:type="dxa"/>
                  <w:tcBorders>
                    <w:tl2br w:val="nil"/>
                    <w:tr2bl w:val="nil"/>
                  </w:tcBorders>
                  <w:noWrap w:val="0"/>
                  <w:vAlign w:val="center"/>
                </w:tcPr>
                <w:p w14:paraId="6253767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eastAsia="zh-CN"/>
                    </w:rPr>
                    <w:t>一般工业固废</w:t>
                  </w:r>
                </w:p>
              </w:tc>
              <w:tc>
                <w:tcPr>
                  <w:tcW w:w="2616" w:type="dxa"/>
                  <w:tcBorders>
                    <w:tl2br w:val="nil"/>
                    <w:tr2bl w:val="nil"/>
                  </w:tcBorders>
                  <w:noWrap w:val="0"/>
                  <w:vAlign w:val="center"/>
                </w:tcPr>
                <w:p w14:paraId="180A002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收集后外售附近农户作农肥</w:t>
                  </w:r>
                </w:p>
              </w:tc>
            </w:tr>
            <w:tr w14:paraId="1B98C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81" w:type="dxa"/>
                  <w:tcBorders>
                    <w:tl2br w:val="nil"/>
                    <w:tr2bl w:val="nil"/>
                  </w:tcBorders>
                  <w:noWrap w:val="0"/>
                  <w:vAlign w:val="center"/>
                </w:tcPr>
                <w:p w14:paraId="1AB8785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vertAlign w:val="baseline"/>
                      <w:lang w:eastAsia="zh-CN"/>
                    </w:rPr>
                  </w:pPr>
                  <w:r>
                    <w:rPr>
                      <w:rFonts w:hint="default" w:ascii="Times New Roman" w:hAnsi="Times New Roman" w:eastAsia="宋体" w:cs="Times New Roman"/>
                      <w:b w:val="0"/>
                      <w:bCs w:val="0"/>
                      <w:color w:val="auto"/>
                      <w:sz w:val="21"/>
                      <w:szCs w:val="21"/>
                      <w:u w:val="none" w:color="auto"/>
                      <w:vertAlign w:val="baseline"/>
                      <w:lang w:eastAsia="zh-CN"/>
                    </w:rPr>
                    <w:t>噪声</w:t>
                  </w:r>
                </w:p>
              </w:tc>
              <w:tc>
                <w:tcPr>
                  <w:tcW w:w="664" w:type="dxa"/>
                  <w:tcBorders>
                    <w:tl2br w:val="nil"/>
                    <w:tr2bl w:val="nil"/>
                  </w:tcBorders>
                  <w:noWrap w:val="0"/>
                  <w:vAlign w:val="center"/>
                </w:tcPr>
                <w:p w14:paraId="57EC5D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N</w:t>
                  </w:r>
                </w:p>
              </w:tc>
              <w:tc>
                <w:tcPr>
                  <w:tcW w:w="1409" w:type="dxa"/>
                  <w:tcBorders>
                    <w:tl2br w:val="nil"/>
                    <w:tr2bl w:val="nil"/>
                  </w:tcBorders>
                  <w:noWrap w:val="0"/>
                  <w:vAlign w:val="center"/>
                </w:tcPr>
                <w:p w14:paraId="28DBBC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各类设备</w:t>
                  </w:r>
                </w:p>
              </w:tc>
              <w:tc>
                <w:tcPr>
                  <w:tcW w:w="1345" w:type="dxa"/>
                  <w:tcBorders>
                    <w:tl2br w:val="nil"/>
                    <w:tr2bl w:val="nil"/>
                  </w:tcBorders>
                  <w:noWrap w:val="0"/>
                  <w:vAlign w:val="center"/>
                </w:tcPr>
                <w:p w14:paraId="35AFC5B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设备运行</w:t>
                  </w:r>
                </w:p>
              </w:tc>
              <w:tc>
                <w:tcPr>
                  <w:tcW w:w="1009" w:type="dxa"/>
                  <w:tcBorders>
                    <w:tl2br w:val="nil"/>
                    <w:tr2bl w:val="nil"/>
                  </w:tcBorders>
                  <w:noWrap w:val="0"/>
                  <w:vAlign w:val="center"/>
                </w:tcPr>
                <w:p w14:paraId="38700BD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u w:val="none" w:color="auto"/>
                      <w:lang w:eastAsia="zh-CN"/>
                    </w:rPr>
                  </w:pPr>
                  <w:r>
                    <w:rPr>
                      <w:rFonts w:hint="default" w:ascii="Times New Roman" w:hAnsi="Times New Roman" w:eastAsia="宋体" w:cs="Times New Roman"/>
                      <w:b w:val="0"/>
                      <w:bCs w:val="0"/>
                      <w:color w:val="auto"/>
                      <w:sz w:val="21"/>
                      <w:szCs w:val="21"/>
                      <w:u w:val="none" w:color="auto"/>
                      <w:lang w:eastAsia="zh-CN"/>
                    </w:rPr>
                    <w:t>连续</w:t>
                  </w:r>
                </w:p>
              </w:tc>
              <w:tc>
                <w:tcPr>
                  <w:tcW w:w="2616" w:type="dxa"/>
                  <w:tcBorders>
                    <w:tl2br w:val="nil"/>
                    <w:tr2bl w:val="nil"/>
                  </w:tcBorders>
                  <w:noWrap w:val="0"/>
                  <w:vAlign w:val="center"/>
                </w:tcPr>
                <w:p w14:paraId="44E42B1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宋体" w:cs="Times New Roman"/>
                      <w:color w:val="auto"/>
                      <w:sz w:val="21"/>
                      <w:szCs w:val="21"/>
                      <w:u w:val="none" w:color="auto"/>
                      <w:lang w:eastAsia="zh-CN"/>
                    </w:rPr>
                  </w:pPr>
                  <w:r>
                    <w:rPr>
                      <w:rFonts w:hint="default" w:ascii="Times New Roman" w:hAnsi="Times New Roman" w:eastAsia="宋体" w:cs="Times New Roman"/>
                      <w:color w:val="auto"/>
                      <w:sz w:val="21"/>
                      <w:szCs w:val="21"/>
                      <w:u w:val="none" w:color="auto"/>
                      <w:lang w:eastAsia="zh-CN"/>
                    </w:rPr>
                    <w:t>合理布局</w:t>
                  </w:r>
                  <w:r>
                    <w:rPr>
                      <w:rFonts w:hint="default" w:ascii="Times New Roman" w:hAnsi="Times New Roman" w:eastAsia="宋体" w:cs="Times New Roman"/>
                      <w:color w:val="auto"/>
                      <w:sz w:val="21"/>
                      <w:szCs w:val="21"/>
                      <w:u w:val="none" w:color="auto"/>
                    </w:rPr>
                    <w:t>，</w:t>
                  </w:r>
                  <w:r>
                    <w:rPr>
                      <w:rFonts w:hint="default" w:ascii="Times New Roman" w:hAnsi="Times New Roman" w:eastAsia="宋体" w:cs="Times New Roman"/>
                      <w:color w:val="auto"/>
                      <w:sz w:val="21"/>
                      <w:szCs w:val="21"/>
                      <w:u w:val="none" w:color="auto"/>
                      <w:lang w:eastAsia="zh-CN"/>
                    </w:rPr>
                    <w:t>选用低噪设备</w:t>
                  </w:r>
                  <w:r>
                    <w:rPr>
                      <w:rFonts w:hint="default" w:ascii="Times New Roman" w:hAnsi="Times New Roman" w:eastAsia="宋体" w:cs="Times New Roman"/>
                      <w:color w:val="auto"/>
                      <w:sz w:val="21"/>
                      <w:szCs w:val="21"/>
                      <w:u w:val="none" w:color="auto"/>
                    </w:rPr>
                    <w:t>，加装减振垫，</w:t>
                  </w:r>
                  <w:r>
                    <w:rPr>
                      <w:rFonts w:hint="default" w:ascii="Times New Roman" w:hAnsi="Times New Roman" w:eastAsia="宋体" w:cs="Times New Roman"/>
                      <w:color w:val="auto"/>
                      <w:sz w:val="21"/>
                      <w:szCs w:val="21"/>
                      <w:u w:val="none" w:color="auto"/>
                      <w:lang w:eastAsia="zh-CN"/>
                    </w:rPr>
                    <w:t>墙体隔声</w:t>
                  </w:r>
                </w:p>
              </w:tc>
            </w:tr>
          </w:tbl>
          <w:p w14:paraId="4FEE9AAB">
            <w:pPr>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color w:val="auto"/>
                <w:kern w:val="0"/>
                <w:sz w:val="24"/>
                <w:szCs w:val="24"/>
                <w:u w:val="none" w:color="auto"/>
              </w:rPr>
            </w:pPr>
          </w:p>
        </w:tc>
      </w:tr>
      <w:tr w14:paraId="2EE1C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1012" w:type="dxa"/>
            <w:noWrap w:val="0"/>
            <w:vAlign w:val="center"/>
          </w:tcPr>
          <w:p w14:paraId="2D9A99E2">
            <w:pPr>
              <w:pStyle w:val="22"/>
              <w:keepNext w:val="0"/>
              <w:keepLines w:val="0"/>
              <w:pageBreakBefore w:val="0"/>
              <w:kinsoku/>
              <w:wordWrap/>
              <w:overflowPunct/>
              <w:topLinePunct w:val="0"/>
              <w:bidi w:val="0"/>
              <w:adjustRightInd/>
              <w:snapToGrid/>
              <w:spacing w:before="0" w:beforeAutospacing="0" w:after="0" w:afterAutospacing="0" w:line="360" w:lineRule="auto"/>
              <w:jc w:val="center"/>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与项目有关的原有环境污染问题</w:t>
            </w:r>
          </w:p>
        </w:tc>
        <w:tc>
          <w:tcPr>
            <w:tcW w:w="7972" w:type="dxa"/>
            <w:noWrap w:val="0"/>
            <w:vAlign w:val="top"/>
          </w:tcPr>
          <w:p w14:paraId="56C568C7">
            <w:pPr>
              <w:adjustRightInd w:val="0"/>
              <w:snapToGrid w:val="0"/>
              <w:spacing w:line="360" w:lineRule="auto"/>
              <w:ind w:firstLine="482" w:firstLineChars="200"/>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1.现有工程企业概况</w:t>
            </w:r>
          </w:p>
          <w:p w14:paraId="4D118CF7">
            <w:pPr>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岳阳宝丽纺织品有限公司位于</w:t>
            </w:r>
            <w:r>
              <w:rPr>
                <w:rFonts w:hint="eastAsia" w:cs="Times New Roman"/>
                <w:snapToGrid w:val="0"/>
                <w:kern w:val="0"/>
                <w:sz w:val="24"/>
                <w:szCs w:val="24"/>
                <w:u w:val="none" w:color="auto"/>
                <w:lang w:eastAsia="zh-CN"/>
              </w:rPr>
              <w:t>华容县章华镇（华容高新区石伏工业园）</w:t>
            </w:r>
            <w:r>
              <w:rPr>
                <w:rFonts w:hint="default" w:ascii="Times New Roman" w:hAnsi="Times New Roman" w:eastAsia="宋体" w:cs="Times New Roman"/>
                <w:snapToGrid w:val="0"/>
                <w:kern w:val="0"/>
                <w:sz w:val="24"/>
                <w:szCs w:val="24"/>
                <w:u w:val="none" w:color="auto"/>
              </w:rPr>
              <w:t>（属于</w:t>
            </w:r>
            <w:r>
              <w:rPr>
                <w:rFonts w:hint="default" w:ascii="Times New Roman" w:hAnsi="Times New Roman" w:eastAsia="宋体" w:cs="Times New Roman"/>
                <w:sz w:val="24"/>
                <w:szCs w:val="24"/>
                <w:u w:val="none" w:color="auto"/>
              </w:rPr>
              <w:t>湖南省华容县石伏山工业园区），占地121518平方米，</w:t>
            </w:r>
            <w:r>
              <w:rPr>
                <w:rFonts w:hint="eastAsia" w:cs="Times New Roman"/>
                <w:sz w:val="24"/>
                <w:szCs w:val="24"/>
                <w:u w:val="none" w:color="auto"/>
                <w:lang w:val="en-US" w:eastAsia="zh-CN"/>
              </w:rPr>
              <w:t>现有</w:t>
            </w:r>
            <w:r>
              <w:rPr>
                <w:rFonts w:hint="default" w:ascii="Times New Roman" w:hAnsi="Times New Roman" w:eastAsia="宋体" w:cs="Times New Roman"/>
                <w:sz w:val="24"/>
                <w:szCs w:val="24"/>
                <w:u w:val="none" w:color="auto"/>
              </w:rPr>
              <w:t>建筑面积</w:t>
            </w:r>
            <w:r>
              <w:rPr>
                <w:rFonts w:hint="eastAsia" w:cs="Times New Roman"/>
                <w:sz w:val="24"/>
                <w:szCs w:val="24"/>
                <w:u w:val="none" w:color="auto"/>
                <w:lang w:val="en-US" w:eastAsia="zh-CN"/>
              </w:rPr>
              <w:t>3000</w:t>
            </w:r>
            <w:r>
              <w:rPr>
                <w:rFonts w:hint="default" w:ascii="Times New Roman" w:hAnsi="Times New Roman" w:eastAsia="宋体" w:cs="Times New Roman"/>
                <w:sz w:val="24"/>
                <w:szCs w:val="24"/>
                <w:u w:val="none" w:color="auto"/>
              </w:rPr>
              <w:t>0平方米。公司主要生产全棉大刮底印花毛浴巾、沙滩巾、沙滩袋、儿童披风等。产品具有毛环蓬松、手感柔软、吸水性强、色泽鲜艳、图案新颖、做工精细等特点。质优价廉使我公司的产品畅销欧、美、亚等二十多个国家和地区。</w:t>
            </w:r>
          </w:p>
          <w:p w14:paraId="2D72180C">
            <w:pPr>
              <w:adjustRightInd w:val="0"/>
              <w:snapToGrid w:val="0"/>
              <w:spacing w:line="360" w:lineRule="auto"/>
              <w:ind w:firstLine="480" w:firstLineChars="200"/>
              <w:rPr>
                <w:rFonts w:hint="default" w:ascii="Times New Roman" w:hAnsi="Times New Roman" w:eastAsia="宋体" w:cs="Times New Roman"/>
                <w:bCs/>
                <w:sz w:val="24"/>
                <w:highlight w:val="none"/>
                <w:u w:val="none" w:color="auto"/>
                <w:lang w:val="en-US" w:eastAsia="zh-CN"/>
              </w:rPr>
            </w:pPr>
            <w:r>
              <w:rPr>
                <w:rFonts w:hint="default" w:ascii="Times New Roman" w:hAnsi="Times New Roman" w:eastAsia="宋体" w:cs="Times New Roman"/>
                <w:bCs/>
                <w:sz w:val="24"/>
                <w:highlight w:val="none"/>
                <w:u w:val="none" w:color="auto"/>
              </w:rPr>
              <w:t>岳阳宝丽纺织品有限公司位于</w:t>
            </w:r>
            <w:r>
              <w:rPr>
                <w:rFonts w:hint="eastAsia" w:cs="Times New Roman"/>
                <w:snapToGrid w:val="0"/>
                <w:kern w:val="0"/>
                <w:sz w:val="24"/>
                <w:szCs w:val="24"/>
                <w:highlight w:val="none"/>
                <w:u w:val="none" w:color="auto"/>
                <w:lang w:eastAsia="zh-CN"/>
              </w:rPr>
              <w:t>华容县章华镇（华容高新区石伏工业园）</w:t>
            </w:r>
            <w:r>
              <w:rPr>
                <w:rFonts w:hint="default" w:ascii="Times New Roman" w:hAnsi="Times New Roman" w:eastAsia="宋体" w:cs="Times New Roman"/>
                <w:snapToGrid w:val="0"/>
                <w:kern w:val="0"/>
                <w:sz w:val="24"/>
                <w:szCs w:val="24"/>
                <w:highlight w:val="none"/>
                <w:u w:val="none" w:color="auto"/>
              </w:rPr>
              <w:t>，</w:t>
            </w:r>
            <w:r>
              <w:rPr>
                <w:rFonts w:hint="default" w:ascii="Times New Roman" w:hAnsi="Times New Roman" w:eastAsia="宋体" w:cs="Times New Roman"/>
                <w:bCs/>
                <w:sz w:val="24"/>
                <w:highlight w:val="none"/>
                <w:u w:val="none" w:color="auto"/>
              </w:rPr>
              <w:t>岳阳宝丽纺织品有限公司于2004年12月27日取得岳阳市环境保护局“关于岳阳宝丽纺织品有限公司毛巾全自动磁棒印花项目环境影响报告书的批复”（岳环函[2004]52号）；2005年11月16日取得岳阳市环境保护局“关于岳阳宝丽纺织品有限公司毛巾全自动磁棒印花项目竣工环境保护验收的批复”（岳环函[2005]49号）</w:t>
            </w:r>
            <w:r>
              <w:rPr>
                <w:rFonts w:hint="default" w:ascii="Times New Roman" w:hAnsi="Times New Roman" w:eastAsia="宋体" w:cs="Times New Roman"/>
                <w:bCs/>
                <w:sz w:val="24"/>
                <w:highlight w:val="none"/>
                <w:u w:val="none" w:color="auto"/>
                <w:lang w:eastAsia="zh-CN"/>
              </w:rPr>
              <w:t>，</w:t>
            </w:r>
            <w:r>
              <w:rPr>
                <w:rFonts w:hint="default" w:ascii="Times New Roman" w:hAnsi="Times New Roman" w:eastAsia="宋体" w:cs="Times New Roman"/>
                <w:bCs/>
                <w:sz w:val="24"/>
                <w:highlight w:val="none"/>
                <w:u w:val="none" w:color="auto"/>
                <w:lang w:val="en-US" w:eastAsia="zh-CN"/>
              </w:rPr>
              <w:t>于2018年6月8日取得华容县环境保护局“关于岳阳宝丽纺织品有限公司新增15t/h生物质锅炉项目环境影响报告表的批复”</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华</w:t>
            </w:r>
            <w:r>
              <w:rPr>
                <w:rFonts w:hint="default" w:ascii="Times New Roman" w:hAnsi="Times New Roman" w:eastAsia="宋体" w:cs="Times New Roman"/>
                <w:bCs/>
                <w:sz w:val="24"/>
                <w:highlight w:val="none"/>
                <w:u w:val="none" w:color="auto"/>
              </w:rPr>
              <w:t>环</w:t>
            </w:r>
            <w:r>
              <w:rPr>
                <w:rFonts w:hint="default" w:ascii="Times New Roman" w:hAnsi="Times New Roman" w:eastAsia="宋体" w:cs="Times New Roman"/>
                <w:bCs/>
                <w:sz w:val="24"/>
                <w:highlight w:val="none"/>
                <w:u w:val="none" w:color="auto"/>
                <w:lang w:val="en-US" w:eastAsia="zh-CN"/>
              </w:rPr>
              <w:t>评</w:t>
            </w:r>
            <w:r>
              <w:rPr>
                <w:rFonts w:hint="default" w:ascii="Times New Roman" w:hAnsi="Times New Roman" w:eastAsia="宋体" w:cs="Times New Roman"/>
                <w:bCs/>
                <w:sz w:val="24"/>
                <w:highlight w:val="none"/>
                <w:u w:val="none" w:color="auto"/>
              </w:rPr>
              <w:t>[20</w:t>
            </w:r>
            <w:r>
              <w:rPr>
                <w:rFonts w:hint="default" w:ascii="Times New Roman" w:hAnsi="Times New Roman" w:eastAsia="宋体" w:cs="Times New Roman"/>
                <w:bCs/>
                <w:sz w:val="24"/>
                <w:highlight w:val="none"/>
                <w:u w:val="none" w:color="auto"/>
                <w:lang w:val="en-US" w:eastAsia="zh-CN"/>
              </w:rPr>
              <w:t>18</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04</w:t>
            </w:r>
            <w:r>
              <w:rPr>
                <w:rFonts w:hint="default" w:ascii="Times New Roman" w:hAnsi="Times New Roman" w:eastAsia="宋体" w:cs="Times New Roman"/>
                <w:bCs/>
                <w:sz w:val="24"/>
                <w:highlight w:val="none"/>
                <w:u w:val="none" w:color="auto"/>
              </w:rPr>
              <w:t>号）</w:t>
            </w:r>
            <w:r>
              <w:rPr>
                <w:rFonts w:hint="default" w:ascii="Times New Roman" w:hAnsi="Times New Roman" w:eastAsia="宋体" w:cs="Times New Roman"/>
                <w:bCs/>
                <w:sz w:val="24"/>
                <w:highlight w:val="none"/>
                <w:u w:val="none" w:color="auto"/>
                <w:lang w:eastAsia="zh-CN"/>
              </w:rPr>
              <w:t>，</w:t>
            </w:r>
            <w:r>
              <w:rPr>
                <w:rFonts w:hint="default" w:ascii="Times New Roman" w:hAnsi="Times New Roman" w:eastAsia="宋体" w:cs="Times New Roman"/>
                <w:bCs/>
                <w:sz w:val="24"/>
                <w:highlight w:val="none"/>
                <w:u w:val="none" w:color="auto"/>
                <w:lang w:val="en-US" w:eastAsia="zh-CN"/>
              </w:rPr>
              <w:t>于2019年1月9日取得华容县环境保护局“关于岳阳宝丽纺织品有限公司新增15t/h生物质锅炉项目固体废物污染防治设施竣工环境保护验收意见的函”（华环评验</w:t>
            </w:r>
            <w:r>
              <w:rPr>
                <w:rFonts w:hint="default" w:ascii="Times New Roman" w:hAnsi="Times New Roman" w:eastAsia="宋体" w:cs="Times New Roman"/>
                <w:bCs/>
                <w:sz w:val="24"/>
                <w:highlight w:val="none"/>
                <w:u w:val="none" w:color="auto"/>
              </w:rPr>
              <w:t>[20</w:t>
            </w:r>
            <w:r>
              <w:rPr>
                <w:rFonts w:hint="default" w:ascii="Times New Roman" w:hAnsi="Times New Roman" w:eastAsia="宋体" w:cs="Times New Roman"/>
                <w:bCs/>
                <w:sz w:val="24"/>
                <w:highlight w:val="none"/>
                <w:u w:val="none" w:color="auto"/>
                <w:lang w:val="en-US" w:eastAsia="zh-CN"/>
              </w:rPr>
              <w:t>19</w:t>
            </w:r>
            <w:r>
              <w:rPr>
                <w:rFonts w:hint="default" w:ascii="Times New Roman" w:hAnsi="Times New Roman" w:eastAsia="宋体" w:cs="Times New Roman"/>
                <w:bCs/>
                <w:sz w:val="24"/>
                <w:highlight w:val="none"/>
                <w:u w:val="none" w:color="auto"/>
              </w:rPr>
              <w:t>]</w:t>
            </w:r>
            <w:r>
              <w:rPr>
                <w:rFonts w:hint="default" w:ascii="Times New Roman" w:hAnsi="Times New Roman" w:eastAsia="宋体" w:cs="Times New Roman"/>
                <w:bCs/>
                <w:sz w:val="24"/>
                <w:highlight w:val="none"/>
                <w:u w:val="none" w:color="auto"/>
                <w:lang w:val="en-US" w:eastAsia="zh-CN"/>
              </w:rPr>
              <w:t>01</w:t>
            </w:r>
            <w:r>
              <w:rPr>
                <w:rFonts w:hint="default" w:ascii="Times New Roman" w:hAnsi="Times New Roman" w:eastAsia="宋体" w:cs="Times New Roman"/>
                <w:bCs/>
                <w:sz w:val="24"/>
                <w:highlight w:val="none"/>
                <w:u w:val="none" w:color="auto"/>
              </w:rPr>
              <w:t>号</w:t>
            </w:r>
            <w:r>
              <w:rPr>
                <w:rFonts w:hint="default" w:ascii="Times New Roman" w:hAnsi="Times New Roman" w:eastAsia="宋体" w:cs="Times New Roman"/>
                <w:bCs/>
                <w:sz w:val="24"/>
                <w:highlight w:val="none"/>
                <w:u w:val="none" w:color="auto"/>
                <w:lang w:val="en-US" w:eastAsia="zh-CN"/>
              </w:rPr>
              <w:t>）；</w:t>
            </w:r>
            <w:r>
              <w:rPr>
                <w:rFonts w:hint="default" w:ascii="Times New Roman" w:hAnsi="Times New Roman" w:eastAsia="宋体" w:cs="Times New Roman"/>
                <w:b w:val="0"/>
                <w:bCs w:val="0"/>
                <w:color w:val="000000"/>
                <w:kern w:val="2"/>
                <w:sz w:val="24"/>
                <w:szCs w:val="24"/>
                <w:highlight w:val="none"/>
                <w:u w:val="none" w:color="auto"/>
                <w:lang w:val="en-US" w:eastAsia="zh-CN" w:bidi="ar-SA"/>
              </w:rPr>
              <w:t>于2017年12月21日取得了排污许可证（排污许可证编号：</w:t>
            </w:r>
            <w:r>
              <w:rPr>
                <w:rFonts w:hint="default" w:ascii="Times New Roman" w:hAnsi="Times New Roman" w:eastAsia="宋体" w:cs="Times New Roman"/>
                <w:sz w:val="24"/>
                <w:szCs w:val="24"/>
                <w:highlight w:val="none"/>
                <w:u w:val="none" w:color="auto"/>
              </w:rPr>
              <w:t>9143062376564342XM001P</w:t>
            </w:r>
            <w:r>
              <w:rPr>
                <w:rFonts w:hint="default" w:ascii="Times New Roman" w:hAnsi="Times New Roman" w:eastAsia="宋体" w:cs="Times New Roman"/>
                <w:b w:val="0"/>
                <w:bCs w:val="0"/>
                <w:color w:val="000000"/>
                <w:kern w:val="2"/>
                <w:sz w:val="24"/>
                <w:szCs w:val="24"/>
                <w:highlight w:val="none"/>
                <w:u w:val="none" w:color="auto"/>
                <w:lang w:val="en-US" w:eastAsia="zh-CN" w:bidi="ar-SA"/>
              </w:rPr>
              <w:t>）；</w:t>
            </w:r>
            <w:r>
              <w:rPr>
                <w:rFonts w:hint="default" w:ascii="Times New Roman" w:hAnsi="Times New Roman" w:eastAsia="宋体" w:cs="Times New Roman"/>
                <w:bCs/>
                <w:sz w:val="24"/>
                <w:highlight w:val="none"/>
                <w:u w:val="none" w:color="auto"/>
                <w:lang w:val="en-US" w:eastAsia="zh-CN"/>
              </w:rPr>
              <w:t>于</w:t>
            </w:r>
            <w:r>
              <w:rPr>
                <w:rFonts w:hint="default" w:ascii="Times New Roman" w:hAnsi="Times New Roman" w:eastAsia="宋体" w:cs="Times New Roman"/>
                <w:b w:val="0"/>
                <w:bCs w:val="0"/>
                <w:color w:val="000000"/>
                <w:kern w:val="2"/>
                <w:sz w:val="24"/>
                <w:szCs w:val="24"/>
                <w:highlight w:val="none"/>
                <w:u w:val="none" w:color="auto"/>
                <w:lang w:val="en-US" w:eastAsia="zh-CN" w:bidi="ar-SA"/>
              </w:rPr>
              <w:t>2024年4月22日取得了《岳阳宝丽纺织品有限公司突发环境事件应急预案》备案表（备案编号：430623-2024-008-L）。</w:t>
            </w:r>
          </w:p>
          <w:p w14:paraId="4EAE8625">
            <w:pPr>
              <w:adjustRightInd w:val="0"/>
              <w:snapToGrid w:val="0"/>
              <w:spacing w:line="360" w:lineRule="auto"/>
              <w:ind w:firstLine="480" w:firstLineChars="200"/>
              <w:rPr>
                <w:rFonts w:hint="default" w:ascii="Times New Roman" w:hAnsi="Times New Roman" w:eastAsia="宋体" w:cs="Times New Roman"/>
                <w:bCs/>
                <w:sz w:val="24"/>
                <w:u w:val="none" w:color="auto"/>
              </w:rPr>
            </w:pPr>
            <w:r>
              <w:rPr>
                <w:rFonts w:hint="default" w:ascii="Times New Roman" w:hAnsi="Times New Roman" w:eastAsia="宋体" w:cs="Times New Roman"/>
                <w:bCs/>
                <w:sz w:val="24"/>
                <w:u w:val="none" w:color="auto"/>
              </w:rPr>
              <w:t>现有工程环保申报详见表</w:t>
            </w:r>
            <w:r>
              <w:rPr>
                <w:rFonts w:hint="eastAsia" w:ascii="Times New Roman" w:hAnsi="Times New Roman" w:eastAsia="宋体" w:cs="Times New Roman"/>
                <w:bCs/>
                <w:sz w:val="24"/>
                <w:u w:val="none" w:color="auto"/>
                <w:lang w:val="en-US" w:eastAsia="zh-CN"/>
              </w:rPr>
              <w:t>2</w:t>
            </w:r>
            <w:r>
              <w:rPr>
                <w:rFonts w:hint="default" w:ascii="Times New Roman" w:hAnsi="Times New Roman" w:eastAsia="宋体" w:cs="Times New Roman"/>
                <w:bCs/>
                <w:sz w:val="24"/>
                <w:u w:val="none" w:color="auto"/>
              </w:rPr>
              <w:t>-</w:t>
            </w:r>
            <w:r>
              <w:rPr>
                <w:rFonts w:hint="eastAsia" w:ascii="Times New Roman" w:hAnsi="Times New Roman" w:eastAsia="宋体" w:cs="Times New Roman"/>
                <w:bCs/>
                <w:sz w:val="24"/>
                <w:u w:val="none" w:color="auto"/>
                <w:lang w:val="en-US" w:eastAsia="zh-CN"/>
              </w:rPr>
              <w:t>6</w:t>
            </w:r>
            <w:r>
              <w:rPr>
                <w:rFonts w:hint="default" w:ascii="Times New Roman" w:hAnsi="Times New Roman" w:eastAsia="宋体" w:cs="Times New Roman"/>
                <w:bCs/>
                <w:sz w:val="24"/>
                <w:u w:val="none" w:color="auto"/>
              </w:rPr>
              <w:t>。</w:t>
            </w:r>
          </w:p>
          <w:p w14:paraId="64C85BDB">
            <w:pPr>
              <w:adjustRightInd w:val="0"/>
              <w:snapToGrid w:val="0"/>
              <w:spacing w:line="271" w:lineRule="auto"/>
              <w:jc w:val="center"/>
              <w:rPr>
                <w:rFonts w:hint="default" w:ascii="Times New Roman" w:hAnsi="Times New Roman" w:eastAsia="宋体" w:cs="Times New Roman"/>
                <w:b/>
                <w:bCs/>
                <w:sz w:val="24"/>
                <w:u w:val="none" w:color="auto"/>
              </w:rPr>
            </w:pPr>
            <w:r>
              <w:rPr>
                <w:rFonts w:hint="default" w:ascii="Times New Roman" w:hAnsi="Times New Roman" w:eastAsia="宋体" w:cs="Times New Roman"/>
                <w:b/>
                <w:bCs/>
                <w:u w:val="none" w:color="auto"/>
              </w:rPr>
              <w:t>表</w:t>
            </w:r>
            <w:r>
              <w:rPr>
                <w:rFonts w:hint="eastAsia" w:ascii="Times New Roman" w:hAnsi="Times New Roman" w:eastAsia="宋体" w:cs="Times New Roman"/>
                <w:b/>
                <w:bCs/>
                <w:u w:val="none" w:color="auto"/>
                <w:lang w:val="en-US" w:eastAsia="zh-CN"/>
              </w:rPr>
              <w:t>2</w:t>
            </w:r>
            <w:r>
              <w:rPr>
                <w:rFonts w:hint="default" w:ascii="Times New Roman" w:hAnsi="Times New Roman" w:eastAsia="宋体" w:cs="Times New Roman"/>
                <w:b/>
                <w:bCs/>
                <w:u w:val="none" w:color="auto"/>
              </w:rPr>
              <w:t>-</w:t>
            </w:r>
            <w:r>
              <w:rPr>
                <w:rFonts w:hint="eastAsia" w:ascii="Times New Roman" w:hAnsi="Times New Roman" w:eastAsia="宋体" w:cs="Times New Roman"/>
                <w:b/>
                <w:bCs/>
                <w:u w:val="none" w:color="auto"/>
                <w:lang w:val="en-US" w:eastAsia="zh-CN"/>
              </w:rPr>
              <w:t>6</w:t>
            </w:r>
            <w:r>
              <w:rPr>
                <w:rFonts w:hint="default" w:ascii="Times New Roman" w:hAnsi="Times New Roman" w:eastAsia="宋体" w:cs="Times New Roman"/>
                <w:b/>
                <w:bCs/>
                <w:u w:val="none" w:color="auto"/>
              </w:rPr>
              <w:t xml:space="preserve">    现有工程环评批复及验收情况一览表</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3"/>
              <w:gridCol w:w="1596"/>
              <w:gridCol w:w="1609"/>
              <w:gridCol w:w="1432"/>
              <w:gridCol w:w="2078"/>
            </w:tblGrid>
            <w:tr w14:paraId="725BD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2" w:hRule="atLeast"/>
              </w:trPr>
              <w:tc>
                <w:tcPr>
                  <w:tcW w:w="943" w:type="dxa"/>
                  <w:vMerge w:val="restart"/>
                  <w:noWrap w:val="0"/>
                  <w:vAlign w:val="center"/>
                </w:tcPr>
                <w:p w14:paraId="788F3687">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序号</w:t>
                  </w:r>
                </w:p>
              </w:tc>
              <w:tc>
                <w:tcPr>
                  <w:tcW w:w="3205" w:type="dxa"/>
                  <w:gridSpan w:val="2"/>
                  <w:noWrap w:val="0"/>
                  <w:vAlign w:val="center"/>
                </w:tcPr>
                <w:p w14:paraId="03906DB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环评批复情况</w:t>
                  </w:r>
                </w:p>
              </w:tc>
              <w:tc>
                <w:tcPr>
                  <w:tcW w:w="3510" w:type="dxa"/>
                  <w:gridSpan w:val="2"/>
                  <w:noWrap w:val="0"/>
                  <w:vAlign w:val="center"/>
                </w:tcPr>
                <w:p w14:paraId="37CF571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环保验收情况</w:t>
                  </w:r>
                </w:p>
              </w:tc>
            </w:tr>
            <w:tr w14:paraId="745AB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943" w:type="dxa"/>
                  <w:vMerge w:val="continue"/>
                  <w:noWrap w:val="0"/>
                  <w:vAlign w:val="center"/>
                </w:tcPr>
                <w:p w14:paraId="07C50FDD">
                  <w:pPr>
                    <w:adjustRightInd w:val="0"/>
                    <w:snapToGrid w:val="0"/>
                    <w:jc w:val="center"/>
                    <w:rPr>
                      <w:rFonts w:hint="default" w:ascii="Times New Roman" w:hAnsi="Times New Roman" w:eastAsia="宋体" w:cs="Times New Roman"/>
                      <w:bCs/>
                      <w:szCs w:val="21"/>
                      <w:u w:val="none" w:color="auto"/>
                    </w:rPr>
                  </w:pPr>
                </w:p>
              </w:tc>
              <w:tc>
                <w:tcPr>
                  <w:tcW w:w="1596" w:type="dxa"/>
                  <w:noWrap w:val="0"/>
                  <w:vAlign w:val="center"/>
                </w:tcPr>
                <w:p w14:paraId="0B6F3A1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批复时间</w:t>
                  </w:r>
                </w:p>
              </w:tc>
              <w:tc>
                <w:tcPr>
                  <w:tcW w:w="1609" w:type="dxa"/>
                  <w:noWrap w:val="0"/>
                  <w:vAlign w:val="center"/>
                </w:tcPr>
                <w:p w14:paraId="5F1859F7">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批复文件号</w:t>
                  </w:r>
                </w:p>
              </w:tc>
              <w:tc>
                <w:tcPr>
                  <w:tcW w:w="1432" w:type="dxa"/>
                  <w:noWrap w:val="0"/>
                  <w:vAlign w:val="center"/>
                </w:tcPr>
                <w:p w14:paraId="663A4513">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验收时间</w:t>
                  </w:r>
                </w:p>
              </w:tc>
              <w:tc>
                <w:tcPr>
                  <w:tcW w:w="2078" w:type="dxa"/>
                  <w:noWrap w:val="0"/>
                  <w:vAlign w:val="center"/>
                </w:tcPr>
                <w:p w14:paraId="1F901F8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验收文件号</w:t>
                  </w:r>
                </w:p>
              </w:tc>
            </w:tr>
            <w:tr w14:paraId="66579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943" w:type="dxa"/>
                  <w:noWrap w:val="0"/>
                  <w:vAlign w:val="center"/>
                </w:tcPr>
                <w:p w14:paraId="139D522E">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1</w:t>
                  </w:r>
                </w:p>
              </w:tc>
              <w:tc>
                <w:tcPr>
                  <w:tcW w:w="1596" w:type="dxa"/>
                  <w:noWrap w:val="0"/>
                  <w:vAlign w:val="center"/>
                </w:tcPr>
                <w:p w14:paraId="7F8880ED">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2004.12.27</w:t>
                  </w:r>
                </w:p>
              </w:tc>
              <w:tc>
                <w:tcPr>
                  <w:tcW w:w="1609" w:type="dxa"/>
                  <w:noWrap w:val="0"/>
                  <w:vAlign w:val="center"/>
                </w:tcPr>
                <w:p w14:paraId="52F35EEF">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岳环函[2004]52</w:t>
                  </w:r>
                </w:p>
              </w:tc>
              <w:tc>
                <w:tcPr>
                  <w:tcW w:w="1432" w:type="dxa"/>
                  <w:noWrap w:val="0"/>
                  <w:vAlign w:val="center"/>
                </w:tcPr>
                <w:p w14:paraId="1EA48329">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2005.11.16</w:t>
                  </w:r>
                </w:p>
              </w:tc>
              <w:tc>
                <w:tcPr>
                  <w:tcW w:w="2078" w:type="dxa"/>
                  <w:noWrap w:val="0"/>
                  <w:vAlign w:val="center"/>
                </w:tcPr>
                <w:p w14:paraId="6A2A865C">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岳环函[2005]49号</w:t>
                  </w:r>
                </w:p>
              </w:tc>
            </w:tr>
            <w:tr w14:paraId="257CF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943" w:type="dxa"/>
                  <w:noWrap w:val="0"/>
                  <w:vAlign w:val="center"/>
                </w:tcPr>
                <w:p w14:paraId="03A54097">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w:t>
                  </w:r>
                </w:p>
              </w:tc>
              <w:tc>
                <w:tcPr>
                  <w:tcW w:w="1596" w:type="dxa"/>
                  <w:noWrap w:val="0"/>
                  <w:vAlign w:val="center"/>
                </w:tcPr>
                <w:p w14:paraId="2C8852E6">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2018.6.8</w:t>
                  </w:r>
                </w:p>
              </w:tc>
              <w:tc>
                <w:tcPr>
                  <w:tcW w:w="1609" w:type="dxa"/>
                  <w:noWrap w:val="0"/>
                  <w:vAlign w:val="center"/>
                </w:tcPr>
                <w:p w14:paraId="681D15F1">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华环评[2018]04号</w:t>
                  </w:r>
                </w:p>
              </w:tc>
              <w:tc>
                <w:tcPr>
                  <w:tcW w:w="1432" w:type="dxa"/>
                  <w:noWrap w:val="0"/>
                  <w:vAlign w:val="center"/>
                </w:tcPr>
                <w:p w14:paraId="27175FF5">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2019.1.9</w:t>
                  </w:r>
                </w:p>
              </w:tc>
              <w:tc>
                <w:tcPr>
                  <w:tcW w:w="2078" w:type="dxa"/>
                  <w:noWrap w:val="0"/>
                  <w:vAlign w:val="center"/>
                </w:tcPr>
                <w:p w14:paraId="37410FD2">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华环评验[2019]01号</w:t>
                  </w:r>
                </w:p>
              </w:tc>
            </w:tr>
            <w:tr w14:paraId="284C9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943" w:type="dxa"/>
                  <w:noWrap w:val="0"/>
                  <w:vAlign w:val="center"/>
                </w:tcPr>
                <w:p w14:paraId="245159C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序号</w:t>
                  </w:r>
                </w:p>
              </w:tc>
              <w:tc>
                <w:tcPr>
                  <w:tcW w:w="3205" w:type="dxa"/>
                  <w:gridSpan w:val="2"/>
                  <w:noWrap w:val="0"/>
                  <w:vAlign w:val="center"/>
                </w:tcPr>
                <w:p w14:paraId="29BA2D61">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排污许可证</w:t>
                  </w:r>
                </w:p>
              </w:tc>
              <w:tc>
                <w:tcPr>
                  <w:tcW w:w="3510" w:type="dxa"/>
                  <w:gridSpan w:val="2"/>
                  <w:noWrap w:val="0"/>
                  <w:vAlign w:val="center"/>
                </w:tcPr>
                <w:p w14:paraId="2E33E0DE">
                  <w:pPr>
                    <w:adjustRightInd w:val="0"/>
                    <w:snapToGrid w:val="0"/>
                    <w:jc w:val="center"/>
                    <w:rPr>
                      <w:rFonts w:hint="default" w:ascii="Times New Roman" w:hAnsi="Times New Roman" w:eastAsia="宋体" w:cs="Times New Roman"/>
                      <w:bCs/>
                      <w:u w:val="none" w:color="auto"/>
                      <w:lang w:val="en-US" w:eastAsia="zh-CN"/>
                    </w:rPr>
                  </w:pPr>
                  <w:r>
                    <w:rPr>
                      <w:rFonts w:hint="default" w:ascii="Times New Roman" w:hAnsi="Times New Roman" w:eastAsia="宋体" w:cs="Times New Roman"/>
                      <w:bCs/>
                      <w:u w:val="none" w:color="auto"/>
                      <w:lang w:val="en-US" w:eastAsia="zh-CN"/>
                    </w:rPr>
                    <w:t>突发环境事件应急预案</w:t>
                  </w:r>
                </w:p>
              </w:tc>
            </w:tr>
            <w:tr w14:paraId="393AE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943" w:type="dxa"/>
                  <w:noWrap w:val="0"/>
                  <w:vAlign w:val="center"/>
                </w:tcPr>
                <w:p w14:paraId="429B0974">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3</w:t>
                  </w:r>
                </w:p>
              </w:tc>
              <w:tc>
                <w:tcPr>
                  <w:tcW w:w="1596" w:type="dxa"/>
                  <w:noWrap w:val="0"/>
                  <w:vAlign w:val="center"/>
                </w:tcPr>
                <w:p w14:paraId="6C840E7B">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lang w:val="en-US" w:eastAsia="zh-CN"/>
                    </w:rPr>
                    <w:t>2020.12.21</w:t>
                  </w:r>
                </w:p>
              </w:tc>
              <w:tc>
                <w:tcPr>
                  <w:tcW w:w="1609" w:type="dxa"/>
                  <w:noWrap w:val="0"/>
                  <w:vAlign w:val="center"/>
                </w:tcPr>
                <w:p w14:paraId="114BC7BA">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9143062376564342XM001P</w:t>
                  </w:r>
                </w:p>
              </w:tc>
              <w:tc>
                <w:tcPr>
                  <w:tcW w:w="1432" w:type="dxa"/>
                  <w:noWrap w:val="0"/>
                  <w:vAlign w:val="center"/>
                </w:tcPr>
                <w:p w14:paraId="213FABD0">
                  <w:pPr>
                    <w:adjustRightInd w:val="0"/>
                    <w:snapToGrid w:val="0"/>
                    <w:jc w:val="center"/>
                    <w:rPr>
                      <w:rFonts w:hint="default" w:ascii="Times New Roman" w:hAnsi="Times New Roman" w:eastAsia="宋体" w:cs="Times New Roman"/>
                      <w:bCs/>
                      <w:szCs w:val="21"/>
                      <w:u w:val="none" w:color="auto"/>
                      <w:lang w:val="en-US" w:eastAsia="zh-CN"/>
                    </w:rPr>
                  </w:pPr>
                  <w:r>
                    <w:rPr>
                      <w:rFonts w:hint="default" w:ascii="Times New Roman" w:hAnsi="Times New Roman" w:eastAsia="宋体" w:cs="Times New Roman"/>
                      <w:bCs/>
                      <w:szCs w:val="21"/>
                      <w:u w:val="none" w:color="auto"/>
                      <w:lang w:val="en-US" w:eastAsia="zh-CN"/>
                    </w:rPr>
                    <w:t>2024.4.22</w:t>
                  </w:r>
                </w:p>
              </w:tc>
              <w:tc>
                <w:tcPr>
                  <w:tcW w:w="2078" w:type="dxa"/>
                  <w:noWrap w:val="0"/>
                  <w:vAlign w:val="center"/>
                </w:tcPr>
                <w:p w14:paraId="1918CEAC">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lang w:val="en-US" w:eastAsia="zh-CN"/>
                    </w:rPr>
                    <w:t>430623-2024-008-L</w:t>
                  </w:r>
                </w:p>
              </w:tc>
            </w:tr>
          </w:tbl>
          <w:p w14:paraId="7B11CF0B">
            <w:pPr>
              <w:adjustRightInd w:val="0"/>
              <w:snapToGrid w:val="0"/>
              <w:spacing w:before="156" w:beforeLines="50" w:line="360" w:lineRule="auto"/>
              <w:ind w:firstLine="482" w:firstLineChars="200"/>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2.现有项目工艺流程</w:t>
            </w:r>
          </w:p>
          <w:p w14:paraId="03D6F9C7">
            <w:pPr>
              <w:adjustRightInd w:val="0"/>
              <w:snapToGrid w:val="0"/>
              <w:spacing w:line="360" w:lineRule="auto"/>
              <w:rPr>
                <w:rFonts w:hint="default" w:ascii="Times New Roman" w:hAnsi="Times New Roman" w:eastAsia="宋体" w:cs="Times New Roman"/>
                <w:snapToGrid w:val="0"/>
                <w:kern w:val="0"/>
                <w:sz w:val="24"/>
                <w:szCs w:val="24"/>
                <w:u w:val="none" w:color="auto"/>
              </w:rPr>
            </w:pPr>
            <w:r>
              <w:rPr>
                <w:rFonts w:hint="default" w:ascii="Times New Roman" w:hAnsi="Times New Roman" w:eastAsia="宋体" w:cs="Times New Roman"/>
                <w:u w:val="none" w:color="auto"/>
              </w:rPr>
              <w:object>
                <v:shape id="_x0000_i1025" o:spt="75" type="#_x0000_t75" style="height:172pt;width:382.35pt;" o:ole="t" filled="f" o:preferrelative="t" stroked="f" coordsize="21600,21600">
                  <v:path/>
                  <v:fill on="f" focussize="0,0"/>
                  <v:stroke on="f"/>
                  <v:imagedata r:id="rId19" o:title=""/>
                  <o:lock v:ext="edit" aspectratio="t"/>
                  <w10:wrap type="none"/>
                  <w10:anchorlock/>
                </v:shape>
                <o:OLEObject Type="Embed" ProgID="Visio.Drawing.11" ShapeID="_x0000_i1025" DrawAspect="Content" ObjectID="_1468075725" r:id="rId18">
                  <o:LockedField>false</o:LockedField>
                </o:OLEObject>
              </w:object>
            </w:r>
          </w:p>
          <w:p w14:paraId="7F4C5BD0">
            <w:pPr>
              <w:adjustRightInd w:val="0"/>
              <w:snapToGrid w:val="0"/>
              <w:spacing w:line="360" w:lineRule="auto"/>
              <w:ind w:firstLine="482" w:firstLineChars="200"/>
              <w:jc w:val="center"/>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图</w:t>
            </w:r>
            <w:r>
              <w:rPr>
                <w:rFonts w:hint="eastAsia" w:ascii="Times New Roman" w:hAnsi="Times New Roman" w:eastAsia="宋体" w:cs="Times New Roman"/>
                <w:b/>
                <w:snapToGrid w:val="0"/>
                <w:kern w:val="0"/>
                <w:sz w:val="24"/>
                <w:szCs w:val="24"/>
                <w:u w:val="none" w:color="auto"/>
                <w:lang w:val="en-US" w:eastAsia="zh-CN"/>
              </w:rPr>
              <w:t>2</w:t>
            </w:r>
            <w:r>
              <w:rPr>
                <w:rFonts w:hint="default" w:ascii="Times New Roman" w:hAnsi="Times New Roman" w:eastAsia="宋体" w:cs="Times New Roman"/>
                <w:b/>
                <w:snapToGrid w:val="0"/>
                <w:kern w:val="0"/>
                <w:sz w:val="24"/>
                <w:szCs w:val="24"/>
                <w:u w:val="none" w:color="auto"/>
              </w:rPr>
              <w:t>-</w:t>
            </w:r>
            <w:r>
              <w:rPr>
                <w:rFonts w:hint="eastAsia" w:ascii="Times New Roman" w:hAnsi="Times New Roman" w:eastAsia="宋体" w:cs="Times New Roman"/>
                <w:b/>
                <w:snapToGrid w:val="0"/>
                <w:kern w:val="0"/>
                <w:sz w:val="24"/>
                <w:szCs w:val="24"/>
                <w:u w:val="none" w:color="auto"/>
                <w:lang w:val="en-US" w:eastAsia="zh-CN"/>
              </w:rPr>
              <w:t>2</w:t>
            </w:r>
            <w:r>
              <w:rPr>
                <w:rFonts w:hint="default" w:ascii="Times New Roman" w:hAnsi="Times New Roman" w:eastAsia="宋体" w:cs="Times New Roman"/>
                <w:b/>
                <w:snapToGrid w:val="0"/>
                <w:kern w:val="0"/>
                <w:sz w:val="24"/>
                <w:szCs w:val="24"/>
                <w:u w:val="none" w:color="auto"/>
              </w:rPr>
              <w:t xml:space="preserve">   企业现有工程生产工艺流程图</w:t>
            </w:r>
          </w:p>
          <w:p w14:paraId="1017EFB6">
            <w:pPr>
              <w:adjustRightInd w:val="0"/>
              <w:snapToGrid w:val="0"/>
              <w:spacing w:line="360" w:lineRule="auto"/>
              <w:ind w:firstLine="482" w:firstLineChars="200"/>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3.现有工程组成情况</w:t>
            </w:r>
          </w:p>
          <w:p w14:paraId="3EAA80A2">
            <w:pPr>
              <w:adjustRightInd w:val="0"/>
              <w:snapToGrid w:val="0"/>
              <w:spacing w:line="271" w:lineRule="auto"/>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b/>
                <w:snapToGrid w:val="0"/>
                <w:kern w:val="0"/>
                <w:szCs w:val="21"/>
                <w:u w:val="none" w:color="auto"/>
              </w:rPr>
              <w:t>表</w:t>
            </w:r>
            <w:r>
              <w:rPr>
                <w:rFonts w:hint="eastAsia" w:ascii="Times New Roman" w:hAnsi="Times New Roman" w:eastAsia="宋体" w:cs="Times New Roman"/>
                <w:b/>
                <w:snapToGrid w:val="0"/>
                <w:kern w:val="0"/>
                <w:szCs w:val="21"/>
                <w:u w:val="none" w:color="auto"/>
                <w:lang w:val="en-US" w:eastAsia="zh-CN"/>
              </w:rPr>
              <w:t>2</w:t>
            </w:r>
            <w:r>
              <w:rPr>
                <w:rFonts w:hint="default" w:ascii="Times New Roman" w:hAnsi="Times New Roman" w:eastAsia="宋体" w:cs="Times New Roman"/>
                <w:b/>
                <w:snapToGrid w:val="0"/>
                <w:kern w:val="0"/>
                <w:szCs w:val="21"/>
                <w:u w:val="none" w:color="auto"/>
              </w:rPr>
              <w:t>-</w:t>
            </w:r>
            <w:r>
              <w:rPr>
                <w:rFonts w:hint="eastAsia" w:ascii="Times New Roman" w:hAnsi="Times New Roman" w:eastAsia="宋体" w:cs="Times New Roman"/>
                <w:b/>
                <w:snapToGrid w:val="0"/>
                <w:kern w:val="0"/>
                <w:szCs w:val="21"/>
                <w:u w:val="none" w:color="auto"/>
                <w:lang w:val="en-US" w:eastAsia="zh-CN"/>
              </w:rPr>
              <w:t>7</w:t>
            </w:r>
            <w:r>
              <w:rPr>
                <w:rFonts w:hint="default" w:ascii="Times New Roman" w:hAnsi="Times New Roman" w:eastAsia="宋体" w:cs="Times New Roman"/>
                <w:b/>
                <w:snapToGrid w:val="0"/>
                <w:kern w:val="0"/>
                <w:szCs w:val="21"/>
                <w:u w:val="none" w:color="auto"/>
              </w:rPr>
              <w:t xml:space="preserve">   现有工程基本组成情况一览表</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79"/>
              <w:gridCol w:w="1746"/>
              <w:gridCol w:w="4393"/>
            </w:tblGrid>
            <w:tr w14:paraId="3B170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noWrap w:val="0"/>
                  <w:vAlign w:val="center"/>
                </w:tcPr>
                <w:p w14:paraId="3948C8B1">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工程类别</w:t>
                  </w:r>
                </w:p>
              </w:tc>
              <w:tc>
                <w:tcPr>
                  <w:tcW w:w="1746" w:type="dxa"/>
                  <w:noWrap w:val="0"/>
                  <w:vAlign w:val="center"/>
                </w:tcPr>
                <w:p w14:paraId="02221C5D">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单项工程</w:t>
                  </w:r>
                </w:p>
              </w:tc>
              <w:tc>
                <w:tcPr>
                  <w:tcW w:w="4393" w:type="dxa"/>
                  <w:noWrap w:val="0"/>
                  <w:vAlign w:val="center"/>
                </w:tcPr>
                <w:p w14:paraId="21F26F0A">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建设内容及建设规模</w:t>
                  </w:r>
                </w:p>
              </w:tc>
            </w:tr>
            <w:tr w14:paraId="03570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restart"/>
                  <w:noWrap w:val="0"/>
                  <w:vAlign w:val="center"/>
                </w:tcPr>
                <w:p w14:paraId="06287A24">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主体工程</w:t>
                  </w:r>
                </w:p>
              </w:tc>
              <w:tc>
                <w:tcPr>
                  <w:tcW w:w="1746" w:type="dxa"/>
                  <w:noWrap w:val="0"/>
                  <w:vAlign w:val="center"/>
                </w:tcPr>
                <w:p w14:paraId="047D206E">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织造车间</w:t>
                  </w:r>
                </w:p>
              </w:tc>
              <w:tc>
                <w:tcPr>
                  <w:tcW w:w="4393" w:type="dxa"/>
                  <w:vMerge w:val="restart"/>
                  <w:noWrap w:val="0"/>
                  <w:vAlign w:val="center"/>
                </w:tcPr>
                <w:p w14:paraId="7D17BA84">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构建物均为一层，均为砖混结构，布设有织机、割绒机、水洗烘干联合机、电脑磁棒印花机、蒸化机、煮蒸烘干联合机、高速平缝机等，年生产</w:t>
                  </w:r>
                  <w:r>
                    <w:rPr>
                      <w:rFonts w:hint="eastAsia" w:ascii="Times New Roman" w:hAnsi="Times New Roman" w:eastAsia="宋体" w:cs="Times New Roman"/>
                      <w:snapToGrid w:val="0"/>
                      <w:kern w:val="0"/>
                      <w:szCs w:val="24"/>
                      <w:u w:val="none" w:color="auto"/>
                    </w:rPr>
                    <w:t>毛浴巾、沙滩巾、沙滩包、浴袍、儿童披风等系列产品</w:t>
                  </w:r>
                  <w:r>
                    <w:rPr>
                      <w:rFonts w:hint="default" w:ascii="Times New Roman" w:hAnsi="Times New Roman" w:eastAsia="宋体" w:cs="Times New Roman"/>
                      <w:snapToGrid w:val="0"/>
                      <w:kern w:val="0"/>
                      <w:szCs w:val="24"/>
                      <w:u w:val="none" w:color="auto"/>
                    </w:rPr>
                    <w:t>600万条。</w:t>
                  </w:r>
                </w:p>
              </w:tc>
            </w:tr>
            <w:tr w14:paraId="09AFB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7604CDF2">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17EC0C2E">
                  <w:pPr>
                    <w:adjustRightInd w:val="0"/>
                    <w:snapToGrid w:val="0"/>
                    <w:jc w:val="center"/>
                    <w:rPr>
                      <w:rFonts w:hint="default" w:ascii="Times New Roman" w:hAnsi="Times New Roman" w:eastAsia="宋体" w:cs="Times New Roman"/>
                      <w:snapToGrid w:val="0"/>
                      <w:kern w:val="0"/>
                      <w:szCs w:val="24"/>
                      <w:u w:val="none" w:color="auto"/>
                    </w:rPr>
                  </w:pPr>
                  <w:r>
                    <w:rPr>
                      <w:rFonts w:hint="eastAsia" w:ascii="Times New Roman" w:hAnsi="Times New Roman" w:eastAsia="宋体" w:cs="Times New Roman"/>
                      <w:snapToGrid w:val="0"/>
                      <w:kern w:val="0"/>
                      <w:szCs w:val="24"/>
                      <w:u w:val="none" w:color="auto"/>
                    </w:rPr>
                    <w:t>水洗车间</w:t>
                  </w:r>
                </w:p>
              </w:tc>
              <w:tc>
                <w:tcPr>
                  <w:tcW w:w="4393" w:type="dxa"/>
                  <w:vMerge w:val="continue"/>
                  <w:noWrap w:val="0"/>
                  <w:vAlign w:val="center"/>
                </w:tcPr>
                <w:p w14:paraId="6EDDA149">
                  <w:pPr>
                    <w:adjustRightInd w:val="0"/>
                    <w:snapToGrid w:val="0"/>
                    <w:jc w:val="center"/>
                    <w:rPr>
                      <w:rFonts w:hint="default" w:ascii="Times New Roman" w:hAnsi="Times New Roman" w:eastAsia="宋体" w:cs="Times New Roman"/>
                      <w:snapToGrid w:val="0"/>
                      <w:kern w:val="0"/>
                      <w:szCs w:val="24"/>
                      <w:u w:val="none" w:color="auto"/>
                    </w:rPr>
                  </w:pPr>
                </w:p>
              </w:tc>
            </w:tr>
            <w:tr w14:paraId="605C4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4BD19A58">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161A3A31">
                  <w:pPr>
                    <w:adjustRightInd w:val="0"/>
                    <w:snapToGrid w:val="0"/>
                    <w:jc w:val="center"/>
                    <w:rPr>
                      <w:rFonts w:hint="default" w:ascii="Times New Roman" w:hAnsi="Times New Roman" w:eastAsia="宋体" w:cs="Times New Roman"/>
                      <w:snapToGrid w:val="0"/>
                      <w:kern w:val="0"/>
                      <w:szCs w:val="24"/>
                      <w:u w:val="none" w:color="auto"/>
                    </w:rPr>
                  </w:pPr>
                  <w:r>
                    <w:rPr>
                      <w:rFonts w:hint="eastAsia" w:ascii="Times New Roman" w:hAnsi="Times New Roman" w:eastAsia="宋体" w:cs="Times New Roman"/>
                      <w:snapToGrid w:val="0"/>
                      <w:kern w:val="0"/>
                      <w:szCs w:val="24"/>
                      <w:u w:val="none" w:color="auto"/>
                    </w:rPr>
                    <w:t>印花车间</w:t>
                  </w:r>
                </w:p>
              </w:tc>
              <w:tc>
                <w:tcPr>
                  <w:tcW w:w="4393" w:type="dxa"/>
                  <w:vMerge w:val="continue"/>
                  <w:noWrap w:val="0"/>
                  <w:vAlign w:val="center"/>
                </w:tcPr>
                <w:p w14:paraId="79BFDD2C">
                  <w:pPr>
                    <w:adjustRightInd w:val="0"/>
                    <w:snapToGrid w:val="0"/>
                    <w:jc w:val="center"/>
                    <w:rPr>
                      <w:rFonts w:hint="default" w:ascii="Times New Roman" w:hAnsi="Times New Roman" w:eastAsia="宋体" w:cs="Times New Roman"/>
                      <w:snapToGrid w:val="0"/>
                      <w:kern w:val="0"/>
                      <w:szCs w:val="24"/>
                      <w:u w:val="none" w:color="auto"/>
                    </w:rPr>
                  </w:pPr>
                </w:p>
              </w:tc>
            </w:tr>
            <w:tr w14:paraId="27EF7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6066572B">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44BAE52D">
                  <w:pPr>
                    <w:adjustRightInd w:val="0"/>
                    <w:snapToGrid w:val="0"/>
                    <w:jc w:val="center"/>
                    <w:rPr>
                      <w:rFonts w:hint="default" w:ascii="Times New Roman" w:hAnsi="Times New Roman" w:eastAsia="宋体" w:cs="Times New Roman"/>
                      <w:snapToGrid w:val="0"/>
                      <w:kern w:val="0"/>
                      <w:szCs w:val="24"/>
                      <w:u w:val="none" w:color="auto"/>
                    </w:rPr>
                  </w:pPr>
                  <w:r>
                    <w:rPr>
                      <w:rFonts w:hint="eastAsia" w:ascii="Times New Roman" w:hAnsi="Times New Roman" w:eastAsia="宋体" w:cs="Times New Roman"/>
                      <w:snapToGrid w:val="0"/>
                      <w:kern w:val="0"/>
                      <w:szCs w:val="24"/>
                      <w:u w:val="none" w:color="auto"/>
                    </w:rPr>
                    <w:t>成品车间</w:t>
                  </w:r>
                </w:p>
              </w:tc>
              <w:tc>
                <w:tcPr>
                  <w:tcW w:w="4393" w:type="dxa"/>
                  <w:vMerge w:val="continue"/>
                  <w:noWrap w:val="0"/>
                  <w:vAlign w:val="center"/>
                </w:tcPr>
                <w:p w14:paraId="3436CA2C">
                  <w:pPr>
                    <w:adjustRightInd w:val="0"/>
                    <w:snapToGrid w:val="0"/>
                    <w:jc w:val="center"/>
                    <w:rPr>
                      <w:rFonts w:hint="default" w:ascii="Times New Roman" w:hAnsi="Times New Roman" w:eastAsia="宋体" w:cs="Times New Roman"/>
                      <w:snapToGrid w:val="0"/>
                      <w:kern w:val="0"/>
                      <w:szCs w:val="24"/>
                      <w:u w:val="none" w:color="auto"/>
                    </w:rPr>
                  </w:pPr>
                </w:p>
              </w:tc>
            </w:tr>
            <w:tr w14:paraId="58C9E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noWrap w:val="0"/>
                  <w:vAlign w:val="center"/>
                </w:tcPr>
                <w:p w14:paraId="56CB96C0">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储运工程</w:t>
                  </w:r>
                </w:p>
              </w:tc>
              <w:tc>
                <w:tcPr>
                  <w:tcW w:w="1746" w:type="dxa"/>
                  <w:noWrap w:val="0"/>
                  <w:vAlign w:val="center"/>
                </w:tcPr>
                <w:p w14:paraId="3DEE05C3">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仓库</w:t>
                  </w:r>
                </w:p>
              </w:tc>
              <w:tc>
                <w:tcPr>
                  <w:tcW w:w="4393" w:type="dxa"/>
                  <w:noWrap w:val="0"/>
                  <w:vAlign w:val="center"/>
                </w:tcPr>
                <w:p w14:paraId="2DB73697">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构建物均为一层，均为砖混结构，主要储存原材料及成品</w:t>
                  </w:r>
                </w:p>
              </w:tc>
            </w:tr>
            <w:tr w14:paraId="0D47C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restart"/>
                  <w:noWrap w:val="0"/>
                  <w:vAlign w:val="center"/>
                </w:tcPr>
                <w:p w14:paraId="01ADAC83">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公用工程</w:t>
                  </w:r>
                </w:p>
              </w:tc>
              <w:tc>
                <w:tcPr>
                  <w:tcW w:w="1746" w:type="dxa"/>
                  <w:noWrap w:val="0"/>
                  <w:vAlign w:val="center"/>
                </w:tcPr>
                <w:p w14:paraId="2AE608FF">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供热工程</w:t>
                  </w:r>
                </w:p>
              </w:tc>
              <w:tc>
                <w:tcPr>
                  <w:tcW w:w="4393" w:type="dxa"/>
                  <w:noWrap w:val="0"/>
                  <w:vAlign w:val="center"/>
                </w:tcPr>
                <w:p w14:paraId="3698317B">
                  <w:pPr>
                    <w:adjustRightInd w:val="0"/>
                    <w:snapToGrid w:val="0"/>
                    <w:jc w:val="center"/>
                    <w:rPr>
                      <w:rFonts w:hint="default" w:ascii="Times New Roman" w:hAnsi="Times New Roman" w:eastAsia="宋体" w:cs="Times New Roman"/>
                      <w:snapToGrid w:val="0"/>
                      <w:kern w:val="0"/>
                      <w:szCs w:val="24"/>
                      <w:highlight w:val="none"/>
                      <w:u w:val="none" w:color="auto"/>
                    </w:rPr>
                  </w:pPr>
                  <w:r>
                    <w:rPr>
                      <w:rFonts w:hint="default" w:ascii="Times New Roman" w:hAnsi="Times New Roman" w:eastAsia="宋体" w:cs="Times New Roman"/>
                      <w:snapToGrid w:val="0"/>
                      <w:kern w:val="0"/>
                      <w:szCs w:val="24"/>
                      <w:highlight w:val="none"/>
                      <w:u w:val="none" w:color="auto"/>
                    </w:rPr>
                    <w:t>现有锅炉房（设置6t/h锅炉一台</w:t>
                  </w:r>
                  <w:r>
                    <w:rPr>
                      <w:rFonts w:hint="default" w:ascii="Times New Roman" w:hAnsi="Times New Roman" w:eastAsia="宋体" w:cs="Times New Roman"/>
                      <w:snapToGrid w:val="0"/>
                      <w:kern w:val="0"/>
                      <w:szCs w:val="24"/>
                      <w:highlight w:val="none"/>
                      <w:u w:val="none" w:color="auto"/>
                      <w:lang w:eastAsia="zh-CN"/>
                    </w:rPr>
                    <w:t>（</w:t>
                  </w:r>
                  <w:r>
                    <w:rPr>
                      <w:rFonts w:hint="default" w:ascii="Times New Roman" w:hAnsi="Times New Roman" w:eastAsia="宋体" w:cs="Times New Roman"/>
                      <w:snapToGrid w:val="0"/>
                      <w:kern w:val="0"/>
                      <w:szCs w:val="24"/>
                      <w:highlight w:val="none"/>
                      <w:u w:val="none" w:color="auto"/>
                      <w:lang w:val="en-US" w:eastAsia="zh-CN"/>
                    </w:rPr>
                    <w:t>备用</w:t>
                  </w:r>
                  <w:r>
                    <w:rPr>
                      <w:rFonts w:hint="default" w:ascii="Times New Roman" w:hAnsi="Times New Roman" w:eastAsia="宋体" w:cs="Times New Roman"/>
                      <w:snapToGrid w:val="0"/>
                      <w:kern w:val="0"/>
                      <w:szCs w:val="24"/>
                      <w:highlight w:val="none"/>
                      <w:u w:val="none" w:color="auto"/>
                      <w:lang w:eastAsia="zh-CN"/>
                    </w:rPr>
                    <w:t>）</w:t>
                  </w:r>
                  <w:r>
                    <w:rPr>
                      <w:rFonts w:hint="default" w:ascii="Times New Roman" w:hAnsi="Times New Roman" w:eastAsia="宋体" w:cs="Times New Roman"/>
                      <w:snapToGrid w:val="0"/>
                      <w:kern w:val="0"/>
                      <w:szCs w:val="24"/>
                      <w:highlight w:val="none"/>
                      <w:u w:val="none" w:color="auto"/>
                    </w:rPr>
                    <w:t>，</w:t>
                  </w:r>
                  <w:r>
                    <w:rPr>
                      <w:rFonts w:hint="default" w:ascii="Times New Roman" w:hAnsi="Times New Roman" w:eastAsia="宋体" w:cs="Times New Roman"/>
                      <w:snapToGrid w:val="0"/>
                      <w:kern w:val="0"/>
                      <w:szCs w:val="24"/>
                      <w:highlight w:val="none"/>
                      <w:u w:val="none" w:color="auto"/>
                      <w:lang w:val="en-US" w:eastAsia="zh-CN"/>
                    </w:rPr>
                    <w:t>15</w:t>
                  </w:r>
                  <w:r>
                    <w:rPr>
                      <w:rFonts w:hint="default" w:ascii="Times New Roman" w:hAnsi="Times New Roman" w:eastAsia="宋体" w:cs="Times New Roman"/>
                      <w:snapToGrid w:val="0"/>
                      <w:kern w:val="0"/>
                      <w:szCs w:val="24"/>
                      <w:highlight w:val="none"/>
                      <w:u w:val="none" w:color="auto"/>
                    </w:rPr>
                    <w:t>t/h锅炉一台</w:t>
                  </w:r>
                  <w:r>
                    <w:rPr>
                      <w:rFonts w:hint="default" w:ascii="Times New Roman" w:hAnsi="Times New Roman" w:eastAsia="宋体" w:cs="Times New Roman"/>
                      <w:snapToGrid w:val="0"/>
                      <w:kern w:val="0"/>
                      <w:szCs w:val="24"/>
                      <w:highlight w:val="none"/>
                      <w:u w:val="none" w:color="auto"/>
                      <w:lang w:eastAsia="zh-CN"/>
                    </w:rPr>
                    <w:t>，</w:t>
                  </w:r>
                  <w:r>
                    <w:rPr>
                      <w:rFonts w:hint="default" w:ascii="Times New Roman" w:hAnsi="Times New Roman" w:eastAsia="宋体" w:cs="Times New Roman"/>
                      <w:snapToGrid w:val="0"/>
                      <w:kern w:val="0"/>
                      <w:szCs w:val="24"/>
                      <w:highlight w:val="none"/>
                      <w:u w:val="none" w:color="auto"/>
                      <w:lang w:val="en-US" w:eastAsia="zh-CN"/>
                    </w:rPr>
                    <w:t>均</w:t>
                  </w:r>
                  <w:r>
                    <w:rPr>
                      <w:rFonts w:hint="default" w:ascii="Times New Roman" w:hAnsi="Times New Roman" w:eastAsia="宋体" w:cs="Times New Roman"/>
                      <w:snapToGrid w:val="0"/>
                      <w:kern w:val="0"/>
                      <w:szCs w:val="24"/>
                      <w:highlight w:val="none"/>
                      <w:u w:val="none" w:color="auto"/>
                    </w:rPr>
                    <w:t>使用生物质作为燃料）</w:t>
                  </w:r>
                </w:p>
              </w:tc>
            </w:tr>
            <w:tr w14:paraId="5327B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0E37827B">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4772E023">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供电工程</w:t>
                  </w:r>
                </w:p>
              </w:tc>
              <w:tc>
                <w:tcPr>
                  <w:tcW w:w="4393" w:type="dxa"/>
                  <w:noWrap w:val="0"/>
                  <w:vAlign w:val="center"/>
                </w:tcPr>
                <w:p w14:paraId="52CDBEC5">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华容县供电电网</w:t>
                  </w:r>
                </w:p>
              </w:tc>
            </w:tr>
            <w:tr w14:paraId="59BE0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6B0EA3F6">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2986BAFC">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给水工程</w:t>
                  </w:r>
                </w:p>
              </w:tc>
              <w:tc>
                <w:tcPr>
                  <w:tcW w:w="4393" w:type="dxa"/>
                  <w:noWrap w:val="0"/>
                  <w:vAlign w:val="center"/>
                </w:tcPr>
                <w:p w14:paraId="4336D371">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项目生产和生活用水由市政给水管网供应</w:t>
                  </w:r>
                </w:p>
              </w:tc>
            </w:tr>
            <w:tr w14:paraId="1AD0A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5DD64EAD">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4C7821E8">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排水工程</w:t>
                  </w:r>
                </w:p>
              </w:tc>
              <w:tc>
                <w:tcPr>
                  <w:tcW w:w="4393" w:type="dxa"/>
                  <w:noWrap w:val="0"/>
                  <w:vAlign w:val="center"/>
                </w:tcPr>
                <w:p w14:paraId="02F9D827">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厂区排水系统为雨污分流制；生活污水和生产废水进入污水处理站进行生化处理达标后排放</w:t>
                  </w:r>
                </w:p>
              </w:tc>
            </w:tr>
            <w:tr w14:paraId="37A7C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restart"/>
                  <w:noWrap w:val="0"/>
                  <w:vAlign w:val="center"/>
                </w:tcPr>
                <w:p w14:paraId="3A438615">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环保工程</w:t>
                  </w:r>
                </w:p>
              </w:tc>
              <w:tc>
                <w:tcPr>
                  <w:tcW w:w="1746" w:type="dxa"/>
                  <w:noWrap w:val="0"/>
                  <w:vAlign w:val="center"/>
                </w:tcPr>
                <w:p w14:paraId="2ED7A528">
                  <w:pPr>
                    <w:adjustRightInd w:val="0"/>
                    <w:snapToGrid w:val="0"/>
                    <w:jc w:val="center"/>
                    <w:rPr>
                      <w:rFonts w:hint="default" w:ascii="Times New Roman" w:hAnsi="Times New Roman" w:eastAsia="宋体" w:cs="Times New Roman"/>
                      <w:snapToGrid w:val="0"/>
                      <w:kern w:val="0"/>
                      <w:szCs w:val="24"/>
                      <w:u w:val="none" w:color="auto"/>
                      <w:lang w:eastAsia="zh-CN"/>
                    </w:rPr>
                  </w:pPr>
                  <w:r>
                    <w:rPr>
                      <w:rFonts w:hint="default" w:ascii="Times New Roman" w:hAnsi="Times New Roman" w:eastAsia="宋体" w:cs="Times New Roman"/>
                      <w:snapToGrid w:val="0"/>
                      <w:kern w:val="0"/>
                      <w:szCs w:val="24"/>
                      <w:u w:val="none" w:color="auto"/>
                      <w:lang w:val="en-US" w:eastAsia="zh-CN"/>
                    </w:rPr>
                    <w:t>废气</w:t>
                  </w:r>
                </w:p>
              </w:tc>
              <w:tc>
                <w:tcPr>
                  <w:tcW w:w="4393" w:type="dxa"/>
                  <w:noWrap w:val="0"/>
                  <w:vAlign w:val="center"/>
                </w:tcPr>
                <w:p w14:paraId="5E28C10C">
                  <w:pPr>
                    <w:adjustRightInd w:val="0"/>
                    <w:snapToGrid w:val="0"/>
                    <w:jc w:val="center"/>
                    <w:rPr>
                      <w:rFonts w:hint="default" w:ascii="Times New Roman" w:hAnsi="Times New Roman" w:eastAsia="宋体" w:cs="Times New Roman"/>
                      <w:snapToGrid w:val="0"/>
                      <w:kern w:val="0"/>
                      <w:szCs w:val="24"/>
                      <w:u w:val="none" w:color="auto"/>
                      <w:lang w:val="en-US" w:eastAsia="zh-CN"/>
                    </w:rPr>
                  </w:pPr>
                  <w:r>
                    <w:rPr>
                      <w:rFonts w:hint="default" w:ascii="Times New Roman" w:hAnsi="Times New Roman" w:eastAsia="宋体" w:cs="Times New Roman"/>
                      <w:snapToGrid w:val="0"/>
                      <w:kern w:val="0"/>
                      <w:szCs w:val="24"/>
                      <w:u w:val="none" w:color="auto"/>
                      <w:lang w:val="en-US" w:eastAsia="zh-CN"/>
                    </w:rPr>
                    <w:t>15t/h</w:t>
                  </w:r>
                  <w:r>
                    <w:rPr>
                      <w:rFonts w:hint="default" w:ascii="Times New Roman" w:hAnsi="Times New Roman" w:eastAsia="宋体" w:cs="Times New Roman"/>
                      <w:snapToGrid w:val="0"/>
                      <w:kern w:val="0"/>
                      <w:szCs w:val="24"/>
                      <w:u w:val="none" w:color="auto"/>
                    </w:rPr>
                    <w:t>锅炉废气：布袋除尘器+水膜除尘器</w:t>
                  </w:r>
                  <w:r>
                    <w:rPr>
                      <w:rFonts w:hint="default" w:ascii="Times New Roman" w:hAnsi="Times New Roman" w:eastAsia="宋体" w:cs="Times New Roman"/>
                      <w:snapToGrid w:val="0"/>
                      <w:kern w:val="0"/>
                      <w:szCs w:val="24"/>
                      <w:u w:val="none" w:color="auto"/>
                      <w:lang w:val="en-US" w:eastAsia="zh-CN"/>
                    </w:rPr>
                    <w:t>+43m</w:t>
                  </w:r>
                </w:p>
                <w:p w14:paraId="6ADC6098">
                  <w:pPr>
                    <w:adjustRightInd w:val="0"/>
                    <w:snapToGrid w:val="0"/>
                    <w:jc w:val="center"/>
                    <w:rPr>
                      <w:rFonts w:hint="default" w:ascii="Times New Roman" w:hAnsi="Times New Roman" w:eastAsia="宋体" w:cs="Times New Roman"/>
                      <w:snapToGrid w:val="0"/>
                      <w:kern w:val="0"/>
                      <w:szCs w:val="24"/>
                      <w:u w:val="none" w:color="auto"/>
                      <w:lang w:val="en-US" w:eastAsia="zh-CN"/>
                    </w:rPr>
                  </w:pPr>
                  <w:r>
                    <w:rPr>
                      <w:rFonts w:hint="default" w:ascii="Times New Roman" w:hAnsi="Times New Roman" w:eastAsia="宋体" w:cs="Times New Roman"/>
                      <w:snapToGrid w:val="0"/>
                      <w:kern w:val="0"/>
                      <w:szCs w:val="24"/>
                      <w:u w:val="none" w:color="auto"/>
                      <w:lang w:val="en-US" w:eastAsia="zh-CN"/>
                    </w:rPr>
                    <w:t>排气筒（DA001）</w:t>
                  </w:r>
                </w:p>
                <w:p w14:paraId="3D074156">
                  <w:pPr>
                    <w:adjustRightInd w:val="0"/>
                    <w:snapToGrid w:val="0"/>
                    <w:jc w:val="center"/>
                    <w:rPr>
                      <w:rFonts w:hint="default" w:ascii="Times New Roman" w:hAnsi="Times New Roman" w:eastAsia="宋体" w:cs="Times New Roman"/>
                      <w:snapToGrid w:val="0"/>
                      <w:kern w:val="0"/>
                      <w:szCs w:val="24"/>
                      <w:u w:val="none" w:color="auto"/>
                      <w:lang w:val="en-US" w:eastAsia="zh-CN"/>
                    </w:rPr>
                  </w:pPr>
                  <w:r>
                    <w:rPr>
                      <w:rFonts w:hint="default" w:ascii="Times New Roman" w:hAnsi="Times New Roman" w:eastAsia="宋体" w:cs="Times New Roman"/>
                      <w:snapToGrid w:val="0"/>
                      <w:kern w:val="0"/>
                      <w:szCs w:val="24"/>
                      <w:u w:val="none" w:color="auto"/>
                      <w:lang w:val="en-US" w:eastAsia="zh-CN"/>
                    </w:rPr>
                    <w:t>6t/h锅炉废气（备用）：布袋除尘器+水膜除尘器+38m排气筒（DA002）</w:t>
                  </w:r>
                </w:p>
                <w:p w14:paraId="5C8B1DA4">
                  <w:pPr>
                    <w:adjustRightInd w:val="0"/>
                    <w:snapToGrid w:val="0"/>
                    <w:jc w:val="center"/>
                    <w:rPr>
                      <w:rFonts w:hint="default" w:ascii="Times New Roman" w:hAnsi="Times New Roman" w:eastAsia="宋体" w:cs="Times New Roman"/>
                      <w:snapToGrid w:val="0"/>
                      <w:kern w:val="0"/>
                      <w:szCs w:val="24"/>
                      <w:u w:val="none" w:color="auto"/>
                      <w:lang w:val="en-US" w:eastAsia="zh-CN"/>
                    </w:rPr>
                  </w:pPr>
                  <w:r>
                    <w:rPr>
                      <w:rFonts w:hint="default" w:ascii="Times New Roman" w:hAnsi="Times New Roman" w:eastAsia="宋体" w:cs="Times New Roman"/>
                      <w:snapToGrid w:val="0"/>
                      <w:kern w:val="0"/>
                      <w:szCs w:val="24"/>
                      <w:u w:val="none" w:color="auto"/>
                      <w:lang w:val="en-US" w:eastAsia="zh-CN"/>
                    </w:rPr>
                    <w:t>车间工艺废气：喷淋除湿+一体化量子催化氧化裂解系统+活性炭吸附+15m高排气筒（DA003）</w:t>
                  </w:r>
                </w:p>
              </w:tc>
            </w:tr>
            <w:tr w14:paraId="3ECFBC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76CC13A9">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2EFD14AD">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废水</w:t>
                  </w:r>
                </w:p>
              </w:tc>
              <w:tc>
                <w:tcPr>
                  <w:tcW w:w="4393" w:type="dxa"/>
                  <w:noWrap w:val="0"/>
                  <w:vAlign w:val="center"/>
                </w:tcPr>
                <w:p w14:paraId="79FD1C9C">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厂区设有污水处理站（水解酸化+CASS等核心工艺，处理规模</w:t>
                  </w:r>
                  <w:r>
                    <w:rPr>
                      <w:rFonts w:hint="eastAsia" w:cs="Times New Roman"/>
                      <w:snapToGrid w:val="0"/>
                      <w:kern w:val="0"/>
                      <w:szCs w:val="24"/>
                      <w:u w:val="none" w:color="auto"/>
                      <w:lang w:val="en-US" w:eastAsia="zh-CN"/>
                    </w:rPr>
                    <w:t>22</w:t>
                  </w:r>
                  <w:r>
                    <w:rPr>
                      <w:rFonts w:hint="default" w:ascii="Times New Roman" w:hAnsi="Times New Roman" w:eastAsia="宋体" w:cs="Times New Roman"/>
                      <w:snapToGrid w:val="0"/>
                      <w:kern w:val="0"/>
                      <w:szCs w:val="24"/>
                      <w:u w:val="none" w:color="auto"/>
                    </w:rPr>
                    <w:t>00m</w:t>
                  </w:r>
                  <w:r>
                    <w:rPr>
                      <w:rFonts w:hint="default" w:ascii="Times New Roman" w:hAnsi="Times New Roman" w:eastAsia="宋体" w:cs="Times New Roman"/>
                      <w:snapToGrid w:val="0"/>
                      <w:kern w:val="0"/>
                      <w:szCs w:val="24"/>
                      <w:u w:val="none" w:color="auto"/>
                      <w:vertAlign w:val="superscript"/>
                    </w:rPr>
                    <w:t>3</w:t>
                  </w:r>
                  <w:r>
                    <w:rPr>
                      <w:rFonts w:hint="default" w:ascii="Times New Roman" w:hAnsi="Times New Roman" w:eastAsia="宋体" w:cs="Times New Roman"/>
                      <w:snapToGrid w:val="0"/>
                      <w:kern w:val="0"/>
                      <w:szCs w:val="24"/>
                      <w:u w:val="none" w:color="auto"/>
                    </w:rPr>
                    <w:t>/d）</w:t>
                  </w:r>
                </w:p>
              </w:tc>
            </w:tr>
            <w:tr w14:paraId="35122E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9" w:type="dxa"/>
                  <w:vMerge w:val="continue"/>
                  <w:noWrap w:val="0"/>
                  <w:vAlign w:val="center"/>
                </w:tcPr>
                <w:p w14:paraId="7344DF57">
                  <w:pPr>
                    <w:adjustRightInd w:val="0"/>
                    <w:snapToGrid w:val="0"/>
                    <w:jc w:val="center"/>
                    <w:rPr>
                      <w:rFonts w:hint="default" w:ascii="Times New Roman" w:hAnsi="Times New Roman" w:eastAsia="宋体" w:cs="Times New Roman"/>
                      <w:snapToGrid w:val="0"/>
                      <w:kern w:val="0"/>
                      <w:szCs w:val="24"/>
                      <w:u w:val="none" w:color="auto"/>
                    </w:rPr>
                  </w:pPr>
                </w:p>
              </w:tc>
              <w:tc>
                <w:tcPr>
                  <w:tcW w:w="1746" w:type="dxa"/>
                  <w:noWrap w:val="0"/>
                  <w:vAlign w:val="center"/>
                </w:tcPr>
                <w:p w14:paraId="29E1DD41">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噪声</w:t>
                  </w:r>
                </w:p>
              </w:tc>
              <w:tc>
                <w:tcPr>
                  <w:tcW w:w="4393" w:type="dxa"/>
                  <w:noWrap w:val="0"/>
                  <w:vAlign w:val="center"/>
                </w:tcPr>
                <w:p w14:paraId="4EC19366">
                  <w:pPr>
                    <w:adjustRightInd w:val="0"/>
                    <w:snapToGrid w:val="0"/>
                    <w:jc w:val="center"/>
                    <w:rPr>
                      <w:rFonts w:hint="default" w:ascii="Times New Roman" w:hAnsi="Times New Roman" w:eastAsia="宋体" w:cs="Times New Roman"/>
                      <w:snapToGrid w:val="0"/>
                      <w:kern w:val="0"/>
                      <w:szCs w:val="24"/>
                      <w:u w:val="none" w:color="auto"/>
                    </w:rPr>
                  </w:pPr>
                  <w:r>
                    <w:rPr>
                      <w:rFonts w:hint="default" w:ascii="Times New Roman" w:hAnsi="Times New Roman" w:eastAsia="宋体" w:cs="Times New Roman"/>
                      <w:snapToGrid w:val="0"/>
                      <w:kern w:val="0"/>
                      <w:szCs w:val="24"/>
                      <w:u w:val="none" w:color="auto"/>
                    </w:rPr>
                    <w:t>隔声、消声、减振</w:t>
                  </w:r>
                </w:p>
              </w:tc>
            </w:tr>
          </w:tbl>
          <w:p w14:paraId="602B084F">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42C44B97">
            <w:pPr>
              <w:adjustRightInd w:val="0"/>
              <w:snapToGrid w:val="0"/>
              <w:spacing w:before="156" w:beforeLines="50" w:line="360" w:lineRule="auto"/>
              <w:ind w:firstLine="482" w:firstLineChars="200"/>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4.现有项目污染防治措施汇总</w:t>
            </w:r>
          </w:p>
          <w:p w14:paraId="31DC8ED2">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（1）废水：</w:t>
            </w:r>
          </w:p>
          <w:p w14:paraId="4EB6798F">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现有工程产生的废水主要为生活污水和生产废水，生活污水经隔油池化粪池预处理后与生产废水一并进入厂内污水处理站处理后达标排放</w:t>
            </w:r>
            <w:r>
              <w:rPr>
                <w:rFonts w:hint="eastAsia" w:cs="Times New Roman"/>
                <w:snapToGrid w:val="0"/>
                <w:kern w:val="0"/>
                <w:sz w:val="24"/>
                <w:szCs w:val="24"/>
                <w:u w:val="none" w:color="auto"/>
                <w:lang w:val="en-US" w:eastAsia="zh-CN"/>
              </w:rPr>
              <w:t>进入桥东污水处理厂</w:t>
            </w:r>
            <w:r>
              <w:rPr>
                <w:rFonts w:hint="default" w:ascii="Times New Roman" w:hAnsi="Times New Roman" w:eastAsia="宋体" w:cs="Times New Roman"/>
                <w:snapToGrid w:val="0"/>
                <w:kern w:val="0"/>
                <w:sz w:val="24"/>
                <w:szCs w:val="24"/>
                <w:u w:val="none" w:color="auto"/>
                <w:lang w:val="en-US" w:eastAsia="zh-CN"/>
              </w:rPr>
              <w:t>。</w:t>
            </w:r>
            <w:r>
              <w:rPr>
                <w:rFonts w:hint="default" w:ascii="Times New Roman" w:hAnsi="Times New Roman" w:eastAsia="宋体" w:cs="Times New Roman"/>
                <w:sz w:val="24"/>
                <w:szCs w:val="24"/>
                <w:u w:val="none" w:color="auto"/>
              </w:rPr>
              <w:t>锅炉定期排污水和水膜除尘器排污水均进入沉淀池沉淀处理后回用</w:t>
            </w:r>
            <w:r>
              <w:rPr>
                <w:rFonts w:hint="default" w:ascii="Times New Roman" w:hAnsi="Times New Roman" w:eastAsia="宋体" w:cs="Times New Roman"/>
                <w:sz w:val="24"/>
                <w:szCs w:val="24"/>
                <w:u w:val="none" w:color="auto"/>
                <w:lang w:eastAsia="zh-CN"/>
              </w:rPr>
              <w:t>。</w:t>
            </w:r>
          </w:p>
          <w:p w14:paraId="6F5800FA">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本企业于2025年4月和5月均委托湖南昌源环境科技有限公司对企业废水排放口进行了自行监测，具体监测情况如下：</w:t>
            </w:r>
          </w:p>
          <w:p w14:paraId="4F5476AE">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0BED821A">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13F8FEC6">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7F885AAA">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0B87A66E">
            <w:pPr>
              <w:adjustRightInd w:val="0"/>
              <w:snapToGrid w:val="0"/>
              <w:spacing w:line="271" w:lineRule="auto"/>
              <w:jc w:val="center"/>
              <w:rPr>
                <w:rFonts w:hint="default" w:ascii="Times New Roman" w:hAnsi="Times New Roman" w:eastAsia="宋体" w:cs="Times New Roman"/>
                <w:b/>
                <w:snapToGrid w:val="0"/>
                <w:kern w:val="0"/>
                <w:szCs w:val="21"/>
                <w:u w:val="none" w:color="auto"/>
                <w:lang w:val="en-US" w:eastAsia="zh-CN"/>
              </w:rPr>
            </w:pPr>
            <w:r>
              <w:rPr>
                <w:rFonts w:hint="default" w:ascii="Times New Roman" w:hAnsi="Times New Roman" w:eastAsia="宋体" w:cs="Times New Roman"/>
                <w:b/>
                <w:snapToGrid w:val="0"/>
                <w:kern w:val="0"/>
                <w:szCs w:val="21"/>
                <w:u w:val="none" w:color="auto"/>
              </w:rPr>
              <w:t>表</w:t>
            </w:r>
            <w:r>
              <w:rPr>
                <w:rFonts w:hint="eastAsia" w:ascii="Times New Roman" w:hAnsi="Times New Roman" w:eastAsia="宋体" w:cs="Times New Roman"/>
                <w:b/>
                <w:snapToGrid w:val="0"/>
                <w:kern w:val="0"/>
                <w:szCs w:val="21"/>
                <w:u w:val="none" w:color="auto"/>
                <w:lang w:val="en-US" w:eastAsia="zh-CN"/>
              </w:rPr>
              <w:t>2</w:t>
            </w:r>
            <w:r>
              <w:rPr>
                <w:rFonts w:hint="default" w:ascii="Times New Roman" w:hAnsi="Times New Roman" w:eastAsia="宋体" w:cs="Times New Roman"/>
                <w:b/>
                <w:snapToGrid w:val="0"/>
                <w:kern w:val="0"/>
                <w:szCs w:val="21"/>
                <w:u w:val="none" w:color="auto"/>
              </w:rPr>
              <w:t>-</w:t>
            </w:r>
            <w:r>
              <w:rPr>
                <w:rFonts w:hint="eastAsia" w:ascii="Times New Roman" w:hAnsi="Times New Roman" w:eastAsia="宋体" w:cs="Times New Roman"/>
                <w:b/>
                <w:snapToGrid w:val="0"/>
                <w:kern w:val="0"/>
                <w:szCs w:val="21"/>
                <w:u w:val="none" w:color="auto"/>
                <w:lang w:val="en-US" w:eastAsia="zh-CN"/>
              </w:rPr>
              <w:t>8</w:t>
            </w:r>
            <w:r>
              <w:rPr>
                <w:rFonts w:hint="default" w:ascii="Times New Roman" w:hAnsi="Times New Roman" w:eastAsia="宋体" w:cs="Times New Roman"/>
                <w:b/>
                <w:snapToGrid w:val="0"/>
                <w:kern w:val="0"/>
                <w:szCs w:val="21"/>
                <w:u w:val="none" w:color="auto"/>
              </w:rPr>
              <w:t xml:space="preserve">   现有项目</w:t>
            </w:r>
            <w:r>
              <w:rPr>
                <w:rFonts w:hint="default" w:ascii="Times New Roman" w:hAnsi="Times New Roman" w:eastAsia="宋体" w:cs="Times New Roman"/>
                <w:b/>
                <w:snapToGrid w:val="0"/>
                <w:kern w:val="0"/>
                <w:szCs w:val="21"/>
                <w:u w:val="none" w:color="auto"/>
                <w:lang w:val="en-US" w:eastAsia="zh-CN"/>
              </w:rPr>
              <w:t>废水排放口监测数据</w:t>
            </w:r>
          </w:p>
          <w:p w14:paraId="0768E1C6">
            <w:pPr>
              <w:adjustRightInd w:val="0"/>
              <w:snapToGrid w:val="0"/>
              <w:spacing w:line="271" w:lineRule="auto"/>
              <w:jc w:val="center"/>
              <w:rPr>
                <w:rFonts w:hint="default" w:ascii="Times New Roman" w:hAnsi="Times New Roman" w:eastAsia="宋体" w:cs="Times New Roman"/>
                <w:b/>
                <w:snapToGrid w:val="0"/>
                <w:kern w:val="0"/>
                <w:szCs w:val="21"/>
                <w:u w:val="none" w:color="auto"/>
                <w:lang w:val="en-US" w:eastAsia="zh-CN"/>
              </w:rPr>
            </w:pPr>
            <w:r>
              <w:rPr>
                <w:rFonts w:hint="default" w:ascii="Times New Roman" w:hAnsi="Times New Roman" w:eastAsia="宋体" w:cs="Times New Roman"/>
                <w:u w:val="none" w:color="auto"/>
              </w:rPr>
              <w:drawing>
                <wp:inline distT="0" distB="0" distL="114300" distR="114300">
                  <wp:extent cx="4890135" cy="4267835"/>
                  <wp:effectExtent l="0" t="0" r="5715" b="18415"/>
                  <wp:docPr id="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8"/>
                          <pic:cNvPicPr>
                            <a:picLocks noChangeAspect="1"/>
                          </pic:cNvPicPr>
                        </pic:nvPicPr>
                        <pic:blipFill>
                          <a:blip r:embed="rId20"/>
                          <a:stretch>
                            <a:fillRect/>
                          </a:stretch>
                        </pic:blipFill>
                        <pic:spPr>
                          <a:xfrm>
                            <a:off x="0" y="0"/>
                            <a:ext cx="4890135" cy="4267835"/>
                          </a:xfrm>
                          <a:prstGeom prst="rect">
                            <a:avLst/>
                          </a:prstGeom>
                          <a:noFill/>
                          <a:ln>
                            <a:noFill/>
                          </a:ln>
                        </pic:spPr>
                      </pic:pic>
                    </a:graphicData>
                  </a:graphic>
                </wp:inline>
              </w:drawing>
            </w:r>
          </w:p>
          <w:p w14:paraId="0D9755A7">
            <w:pPr>
              <w:adjustRightInd w:val="0"/>
              <w:snapToGrid w:val="0"/>
              <w:spacing w:line="271" w:lineRule="auto"/>
              <w:jc w:val="center"/>
              <w:rPr>
                <w:rFonts w:hint="default" w:ascii="Times New Roman" w:hAnsi="Times New Roman" w:eastAsia="宋体" w:cs="Times New Roman"/>
                <w:b/>
                <w:snapToGrid w:val="0"/>
                <w:kern w:val="0"/>
                <w:szCs w:val="21"/>
                <w:u w:val="none" w:color="auto"/>
                <w:lang w:val="en-US" w:eastAsia="zh-CN"/>
              </w:rPr>
            </w:pPr>
            <w:r>
              <w:rPr>
                <w:rFonts w:hint="default" w:ascii="Times New Roman" w:hAnsi="Times New Roman" w:eastAsia="宋体" w:cs="Times New Roman"/>
                <w:u w:val="none" w:color="auto"/>
              </w:rPr>
              <w:drawing>
                <wp:inline distT="0" distB="0" distL="114300" distR="114300">
                  <wp:extent cx="4947285" cy="3427730"/>
                  <wp:effectExtent l="0" t="0" r="5715" b="1270"/>
                  <wp:docPr id="1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pic:cNvPicPr>
                            <a:picLocks noChangeAspect="1"/>
                          </pic:cNvPicPr>
                        </pic:nvPicPr>
                        <pic:blipFill>
                          <a:blip r:embed="rId21"/>
                          <a:stretch>
                            <a:fillRect/>
                          </a:stretch>
                        </pic:blipFill>
                        <pic:spPr>
                          <a:xfrm>
                            <a:off x="0" y="0"/>
                            <a:ext cx="4947285" cy="3427730"/>
                          </a:xfrm>
                          <a:prstGeom prst="rect">
                            <a:avLst/>
                          </a:prstGeom>
                          <a:noFill/>
                          <a:ln>
                            <a:noFill/>
                          </a:ln>
                        </pic:spPr>
                      </pic:pic>
                    </a:graphicData>
                  </a:graphic>
                </wp:inline>
              </w:drawing>
            </w:r>
          </w:p>
          <w:p w14:paraId="675E5BDE">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根据以上监测数据可知，现有工程废水总排口苯胺、六价铬能够满足《纺织染整工业水污染物排放标准》(GB4287-2012)表1标准限值，其他污染物均能够满足《纺织染整工业水污染物排放标准》(GB4287-2012)表2间接排放标准限值。</w:t>
            </w:r>
          </w:p>
          <w:p w14:paraId="21010A88">
            <w:pPr>
              <w:numPr>
                <w:ilvl w:val="0"/>
                <w:numId w:val="4"/>
              </w:numPr>
              <w:adjustRightInd w:val="0"/>
              <w:snapToGrid w:val="0"/>
              <w:spacing w:line="271" w:lineRule="auto"/>
              <w:jc w:val="both"/>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废气：</w:t>
            </w:r>
          </w:p>
          <w:p w14:paraId="117B9D81">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 xml:space="preserve"> 现有工程主要废气为锅炉废气和工艺废气，现有1台15t/h锅炉废气通过布袋除尘器+水膜除尘器进行处理后通过一根43m烟囱高空排放；现有1台6t/h锅炉废气通过布袋除尘器+水膜除尘器进行处理后通过一根38m烟囱高空排放；工艺废气主要为有机废气，经喷淋除湿+一体化量子催化氧化裂解系统+活性炭吸附后通过一根15m高排气筒排放。</w:t>
            </w:r>
          </w:p>
          <w:p w14:paraId="23BADC39">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本企业于2025年5月和6月均委托湖南昌源环境科技有限公司对企业废气排放口进行了自行监测，监测期间，运行锅炉为15t/h的生物质锅炉，具体监测情况如下：</w:t>
            </w:r>
          </w:p>
          <w:p w14:paraId="68473919">
            <w:pPr>
              <w:adjustRightInd w:val="0"/>
              <w:snapToGrid w:val="0"/>
              <w:spacing w:line="271" w:lineRule="auto"/>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b/>
                <w:snapToGrid w:val="0"/>
                <w:kern w:val="0"/>
                <w:szCs w:val="21"/>
                <w:u w:val="none" w:color="auto"/>
              </w:rPr>
              <w:t>表</w:t>
            </w:r>
            <w:r>
              <w:rPr>
                <w:rFonts w:hint="eastAsia" w:ascii="Times New Roman" w:hAnsi="Times New Roman" w:eastAsia="宋体" w:cs="Times New Roman"/>
                <w:b/>
                <w:snapToGrid w:val="0"/>
                <w:kern w:val="0"/>
                <w:szCs w:val="21"/>
                <w:u w:val="none" w:color="auto"/>
                <w:lang w:val="en-US" w:eastAsia="zh-CN"/>
              </w:rPr>
              <w:t>2</w:t>
            </w:r>
            <w:r>
              <w:rPr>
                <w:rFonts w:hint="default" w:ascii="Times New Roman" w:hAnsi="Times New Roman" w:eastAsia="宋体" w:cs="Times New Roman"/>
                <w:b/>
                <w:snapToGrid w:val="0"/>
                <w:kern w:val="0"/>
                <w:szCs w:val="21"/>
                <w:u w:val="none" w:color="auto"/>
              </w:rPr>
              <w:t>-</w:t>
            </w:r>
            <w:r>
              <w:rPr>
                <w:rFonts w:hint="eastAsia" w:ascii="Times New Roman" w:hAnsi="Times New Roman" w:eastAsia="宋体" w:cs="Times New Roman"/>
                <w:b/>
                <w:snapToGrid w:val="0"/>
                <w:kern w:val="0"/>
                <w:szCs w:val="21"/>
                <w:u w:val="none" w:color="auto"/>
                <w:lang w:val="en-US" w:eastAsia="zh-CN"/>
              </w:rPr>
              <w:t>9</w:t>
            </w:r>
            <w:r>
              <w:rPr>
                <w:rFonts w:hint="default" w:ascii="Times New Roman" w:hAnsi="Times New Roman" w:eastAsia="宋体" w:cs="Times New Roman"/>
                <w:b/>
                <w:snapToGrid w:val="0"/>
                <w:kern w:val="0"/>
                <w:szCs w:val="21"/>
                <w:u w:val="none" w:color="auto"/>
              </w:rPr>
              <w:t xml:space="preserve">   现有项目</w:t>
            </w:r>
            <w:r>
              <w:rPr>
                <w:rFonts w:hint="default" w:ascii="Times New Roman" w:hAnsi="Times New Roman" w:eastAsia="宋体" w:cs="Times New Roman"/>
                <w:b/>
                <w:snapToGrid w:val="0"/>
                <w:kern w:val="0"/>
                <w:szCs w:val="21"/>
                <w:u w:val="none" w:color="auto"/>
                <w:lang w:val="en-US" w:eastAsia="zh-CN"/>
              </w:rPr>
              <w:t>废气排放口（DA001）监测数据</w:t>
            </w:r>
          </w:p>
          <w:p w14:paraId="70ED5222">
            <w:pPr>
              <w:adjustRightInd w:val="0"/>
              <w:snapToGrid w:val="0"/>
              <w:spacing w:line="271" w:lineRule="auto"/>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u w:val="none" w:color="auto"/>
              </w:rPr>
              <w:drawing>
                <wp:inline distT="0" distB="0" distL="114300" distR="114300">
                  <wp:extent cx="4922520" cy="6247130"/>
                  <wp:effectExtent l="0" t="0" r="11430" b="1270"/>
                  <wp:docPr id="3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0"/>
                          <pic:cNvPicPr>
                            <a:picLocks noChangeAspect="1"/>
                          </pic:cNvPicPr>
                        </pic:nvPicPr>
                        <pic:blipFill>
                          <a:blip r:embed="rId22"/>
                          <a:stretch>
                            <a:fillRect/>
                          </a:stretch>
                        </pic:blipFill>
                        <pic:spPr>
                          <a:xfrm>
                            <a:off x="0" y="0"/>
                            <a:ext cx="4922520" cy="6247130"/>
                          </a:xfrm>
                          <a:prstGeom prst="rect">
                            <a:avLst/>
                          </a:prstGeom>
                          <a:noFill/>
                          <a:ln>
                            <a:noFill/>
                          </a:ln>
                        </pic:spPr>
                      </pic:pic>
                    </a:graphicData>
                  </a:graphic>
                </wp:inline>
              </w:drawing>
            </w:r>
          </w:p>
          <w:p w14:paraId="67B6C729">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33B92CE4">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根据以上监测数据可知，现有工程废气排放口DA001颗粒物、二氧化硫、氮氧化物、林格曼黑度均可满足《锅炉大气污染物排放标准》(GB13271-2014)表3中燃煤锅炉特别排放限值。</w:t>
            </w:r>
          </w:p>
          <w:p w14:paraId="45BBAF0E">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7B952846">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259AE47F">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47479270">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4EA5254E">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7B1521C6">
            <w:pPr>
              <w:adjustRightInd w:val="0"/>
              <w:snapToGrid w:val="0"/>
              <w:spacing w:line="271" w:lineRule="auto"/>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b/>
                <w:snapToGrid w:val="0"/>
                <w:kern w:val="0"/>
                <w:szCs w:val="21"/>
                <w:u w:val="none" w:color="auto"/>
              </w:rPr>
              <w:t>表</w:t>
            </w:r>
            <w:r>
              <w:rPr>
                <w:rFonts w:hint="eastAsia" w:ascii="Times New Roman" w:hAnsi="Times New Roman" w:eastAsia="宋体" w:cs="Times New Roman"/>
                <w:b/>
                <w:snapToGrid w:val="0"/>
                <w:kern w:val="0"/>
                <w:szCs w:val="21"/>
                <w:u w:val="none" w:color="auto"/>
                <w:lang w:val="en-US" w:eastAsia="zh-CN"/>
              </w:rPr>
              <w:t>2</w:t>
            </w:r>
            <w:r>
              <w:rPr>
                <w:rFonts w:hint="default" w:ascii="Times New Roman" w:hAnsi="Times New Roman" w:eastAsia="宋体" w:cs="Times New Roman"/>
                <w:b/>
                <w:snapToGrid w:val="0"/>
                <w:kern w:val="0"/>
                <w:szCs w:val="21"/>
                <w:u w:val="none" w:color="auto"/>
              </w:rPr>
              <w:t>-</w:t>
            </w:r>
            <w:r>
              <w:rPr>
                <w:rFonts w:hint="eastAsia" w:ascii="Times New Roman" w:hAnsi="Times New Roman" w:eastAsia="宋体" w:cs="Times New Roman"/>
                <w:b/>
                <w:snapToGrid w:val="0"/>
                <w:kern w:val="0"/>
                <w:szCs w:val="21"/>
                <w:u w:val="none" w:color="auto"/>
                <w:lang w:val="en-US" w:eastAsia="zh-CN"/>
              </w:rPr>
              <w:t>10</w:t>
            </w:r>
            <w:r>
              <w:rPr>
                <w:rFonts w:hint="default" w:ascii="Times New Roman" w:hAnsi="Times New Roman" w:eastAsia="宋体" w:cs="Times New Roman"/>
                <w:b/>
                <w:snapToGrid w:val="0"/>
                <w:kern w:val="0"/>
                <w:szCs w:val="21"/>
                <w:u w:val="none" w:color="auto"/>
              </w:rPr>
              <w:t xml:space="preserve">   现有项目</w:t>
            </w:r>
            <w:r>
              <w:rPr>
                <w:rFonts w:hint="default" w:ascii="Times New Roman" w:hAnsi="Times New Roman" w:eastAsia="宋体" w:cs="Times New Roman"/>
                <w:b/>
                <w:snapToGrid w:val="0"/>
                <w:kern w:val="0"/>
                <w:szCs w:val="21"/>
                <w:u w:val="none" w:color="auto"/>
                <w:lang w:val="en-US" w:eastAsia="zh-CN"/>
              </w:rPr>
              <w:t>废气排放口（DA003）监测数据</w:t>
            </w:r>
          </w:p>
          <w:p w14:paraId="03CC0860">
            <w:pPr>
              <w:adjustRightInd w:val="0"/>
              <w:snapToGrid w:val="0"/>
              <w:spacing w:line="271" w:lineRule="auto"/>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u w:val="none" w:color="auto"/>
              </w:rPr>
              <w:drawing>
                <wp:inline distT="0" distB="0" distL="114300" distR="114300">
                  <wp:extent cx="4917440" cy="1464310"/>
                  <wp:effectExtent l="0" t="0" r="16510" b="2540"/>
                  <wp:docPr id="4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pic:cNvPicPr>
                            <a:picLocks noChangeAspect="1"/>
                          </pic:cNvPicPr>
                        </pic:nvPicPr>
                        <pic:blipFill>
                          <a:blip r:embed="rId23"/>
                          <a:stretch>
                            <a:fillRect/>
                          </a:stretch>
                        </pic:blipFill>
                        <pic:spPr>
                          <a:xfrm>
                            <a:off x="0" y="0"/>
                            <a:ext cx="4917440" cy="1464310"/>
                          </a:xfrm>
                          <a:prstGeom prst="rect">
                            <a:avLst/>
                          </a:prstGeom>
                          <a:noFill/>
                          <a:ln>
                            <a:noFill/>
                          </a:ln>
                        </pic:spPr>
                      </pic:pic>
                    </a:graphicData>
                  </a:graphic>
                </wp:inline>
              </w:drawing>
            </w:r>
          </w:p>
          <w:p w14:paraId="4E3231DA">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根据以上监测数据可知，现有工程废气排放口DA003非甲烷总烃可满足《大气污染物综合排放标准》(GB16297-1996)表2标准。</w:t>
            </w:r>
          </w:p>
          <w:p w14:paraId="6C8EB037">
            <w:pPr>
              <w:adjustRightInd w:val="0"/>
              <w:snapToGrid w:val="0"/>
              <w:spacing w:line="271" w:lineRule="auto"/>
              <w:jc w:val="center"/>
              <w:rPr>
                <w:rFonts w:hint="default" w:ascii="Times New Roman" w:hAnsi="Times New Roman" w:eastAsia="宋体" w:cs="Times New Roman"/>
                <w:b/>
                <w:snapToGrid w:val="0"/>
                <w:kern w:val="0"/>
                <w:szCs w:val="21"/>
                <w:u w:val="none" w:color="auto"/>
              </w:rPr>
            </w:pPr>
          </w:p>
          <w:p w14:paraId="25935407">
            <w:pPr>
              <w:pStyle w:val="95"/>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snapToGrid w:val="0"/>
                <w:kern w:val="0"/>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噪声</w:t>
            </w:r>
          </w:p>
          <w:p w14:paraId="342111F0">
            <w:pPr>
              <w:pStyle w:val="9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u w:val="none" w:color="auto"/>
                <w:lang w:val="en-US" w:eastAsia="zh-CN"/>
              </w:rPr>
              <w:t>现有项目在运营期正常生产情况下，噪声主要</w:t>
            </w:r>
            <w:r>
              <w:rPr>
                <w:rFonts w:hint="default" w:ascii="Times New Roman" w:hAnsi="Times New Roman" w:eastAsia="宋体" w:cs="Times New Roman"/>
                <w:color w:val="auto"/>
                <w:sz w:val="24"/>
                <w:szCs w:val="24"/>
                <w:highlight w:val="none"/>
                <w:u w:val="none" w:color="auto"/>
                <w:lang w:val="en-US" w:eastAsia="zh-CN"/>
              </w:rPr>
              <w:t>来源于锅炉、风机等。建设单位拟对以上噪声源采取了以下措施：</w:t>
            </w:r>
          </w:p>
          <w:p w14:paraId="20BF5C1F">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①生产设备进行加装减震垫等隔声处理并优化厂区内的设备布局；</w:t>
            </w:r>
          </w:p>
          <w:p w14:paraId="612472EE">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②加强设备日常维护和检修，防止设备异常产生的异响；</w:t>
            </w:r>
          </w:p>
          <w:p w14:paraId="03F5D876">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③厂房隔声，设备局部减振、消声；</w:t>
            </w:r>
          </w:p>
          <w:p w14:paraId="4C2FA294">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④加强进出车辆管理，控制车速，采取禁鸣措施；</w:t>
            </w:r>
          </w:p>
          <w:p w14:paraId="2CC08236">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⑤加强厂区绿化；</w:t>
            </w:r>
          </w:p>
          <w:p w14:paraId="48B3BDC7">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⑥合理安排作业时间，采取白天作业。</w:t>
            </w:r>
          </w:p>
          <w:p w14:paraId="71DBEB8D">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snapToGrid w:val="0"/>
                <w:kern w:val="0"/>
                <w:sz w:val="24"/>
                <w:szCs w:val="24"/>
                <w:u w:val="none" w:color="auto"/>
                <w:lang w:val="en-US" w:eastAsia="zh-CN"/>
              </w:rPr>
              <w:t>本企业于2025年6月委托湖南昌源环境科技有限公司对企业四侧厂界进行了自行监测，具体监测情况如下：</w:t>
            </w:r>
          </w:p>
          <w:p w14:paraId="57AE16CF">
            <w:pPr>
              <w:pStyle w:val="95"/>
              <w:keepNext w:val="0"/>
              <w:keepLines w:val="0"/>
              <w:pageBreakBefore w:val="0"/>
              <w:widowControl w:val="0"/>
              <w:kinsoku/>
              <w:wordWrap/>
              <w:overflowPunct/>
              <w:topLinePunct w:val="0"/>
              <w:autoSpaceDE/>
              <w:autoSpaceDN/>
              <w:bidi w:val="0"/>
              <w:adjustRightInd w:val="0"/>
              <w:snapToGrid w:val="0"/>
              <w:spacing w:line="240" w:lineRule="auto"/>
              <w:ind w:firstLine="442" w:firstLineChars="200"/>
              <w:jc w:val="center"/>
              <w:textAlignment w:val="auto"/>
              <w:rPr>
                <w:rFonts w:hint="default" w:ascii="Times New Roman" w:hAnsi="Times New Roman" w:eastAsia="宋体" w:cs="Times New Roman"/>
                <w:b/>
                <w:bCs/>
                <w:color w:val="auto"/>
                <w:u w:val="none" w:color="auto"/>
                <w:lang w:val="en-US" w:eastAsia="zh-CN"/>
              </w:rPr>
            </w:pPr>
            <w:r>
              <w:rPr>
                <w:rFonts w:hint="default" w:ascii="Times New Roman" w:hAnsi="Times New Roman" w:eastAsia="宋体" w:cs="Times New Roman"/>
                <w:b/>
                <w:bCs/>
                <w:color w:val="auto"/>
                <w:u w:val="none" w:color="auto"/>
                <w:lang w:eastAsia="zh-CN"/>
              </w:rPr>
              <w:t>表</w:t>
            </w:r>
            <w:r>
              <w:rPr>
                <w:rFonts w:hint="default" w:ascii="Times New Roman" w:hAnsi="Times New Roman" w:eastAsia="宋体" w:cs="Times New Roman"/>
                <w:b/>
                <w:bCs/>
                <w:color w:val="auto"/>
                <w:u w:val="none" w:color="auto"/>
                <w:lang w:val="en-US" w:eastAsia="zh-CN"/>
              </w:rPr>
              <w:t>2-1</w:t>
            </w:r>
            <w:r>
              <w:rPr>
                <w:rFonts w:hint="eastAsia" w:ascii="Times New Roman" w:hAnsi="Times New Roman" w:eastAsia="宋体" w:cs="Times New Roman"/>
                <w:b/>
                <w:bCs/>
                <w:color w:val="auto"/>
                <w:u w:val="none" w:color="auto"/>
                <w:lang w:val="en-US" w:eastAsia="zh-CN"/>
              </w:rPr>
              <w:t>1</w:t>
            </w:r>
            <w:r>
              <w:rPr>
                <w:rFonts w:hint="default" w:ascii="Times New Roman" w:hAnsi="Times New Roman" w:eastAsia="宋体" w:cs="Times New Roman"/>
                <w:b/>
                <w:bCs/>
                <w:color w:val="auto"/>
                <w:u w:val="none" w:color="auto"/>
                <w:lang w:val="en-US" w:eastAsia="zh-CN"/>
              </w:rPr>
              <w:t xml:space="preserve">    厂界噪声</w:t>
            </w:r>
            <w:r>
              <w:rPr>
                <w:rFonts w:hint="default" w:ascii="Times New Roman" w:hAnsi="Times New Roman" w:eastAsia="宋体" w:cs="Times New Roman"/>
                <w:b/>
                <w:bCs/>
                <w:color w:val="auto"/>
                <w:u w:val="none" w:color="auto"/>
                <w:lang w:eastAsia="zh-CN"/>
              </w:rPr>
              <w:t>检测结果</w:t>
            </w:r>
            <w:r>
              <w:rPr>
                <w:rFonts w:hint="default" w:ascii="Times New Roman" w:hAnsi="Times New Roman" w:eastAsia="宋体" w:cs="Times New Roman"/>
                <w:b/>
                <w:bCs/>
                <w:color w:val="auto"/>
                <w:u w:val="none" w:color="auto"/>
                <w:lang w:val="en-US" w:eastAsia="zh-CN"/>
              </w:rPr>
              <w:t xml:space="preserve">    </w:t>
            </w:r>
            <w:r>
              <w:rPr>
                <w:rFonts w:hint="default" w:ascii="Times New Roman" w:hAnsi="Times New Roman" w:eastAsia="宋体" w:cs="Times New Roman"/>
                <w:b/>
                <w:bCs/>
                <w:color w:val="auto"/>
                <w:u w:val="none" w:color="auto"/>
                <w:lang w:eastAsia="zh-CN"/>
              </w:rPr>
              <w:t>单位:</w:t>
            </w:r>
            <w:r>
              <w:rPr>
                <w:rFonts w:hint="default" w:ascii="Times New Roman" w:hAnsi="Times New Roman" w:eastAsia="宋体" w:cs="Times New Roman"/>
                <w:b/>
                <w:bCs/>
                <w:color w:val="auto"/>
                <w:u w:val="none" w:color="auto"/>
                <w:lang w:val="en-US" w:eastAsia="zh-CN"/>
              </w:rPr>
              <w:t>dB（A）</w:t>
            </w:r>
          </w:p>
          <w:p w14:paraId="172FC3BF">
            <w:pPr>
              <w:pStyle w:val="9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u w:val="none" w:color="auto"/>
              </w:rPr>
              <w:drawing>
                <wp:inline distT="0" distB="0" distL="114300" distR="114300">
                  <wp:extent cx="4923155" cy="3021330"/>
                  <wp:effectExtent l="0" t="0" r="10795" b="7620"/>
                  <wp:docPr id="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pic:cNvPicPr>
                            <a:picLocks noChangeAspect="1"/>
                          </pic:cNvPicPr>
                        </pic:nvPicPr>
                        <pic:blipFill>
                          <a:blip r:embed="rId24"/>
                          <a:stretch>
                            <a:fillRect/>
                          </a:stretch>
                        </pic:blipFill>
                        <pic:spPr>
                          <a:xfrm>
                            <a:off x="0" y="0"/>
                            <a:ext cx="4923155" cy="3021330"/>
                          </a:xfrm>
                          <a:prstGeom prst="rect">
                            <a:avLst/>
                          </a:prstGeom>
                          <a:noFill/>
                          <a:ln>
                            <a:noFill/>
                          </a:ln>
                        </pic:spPr>
                      </pic:pic>
                    </a:graphicData>
                  </a:graphic>
                </wp:inline>
              </w:drawing>
            </w:r>
          </w:p>
          <w:p w14:paraId="3F85EB01">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根据以上监测结果，现有工程厂界噪声可达到《工业企业厂界环境噪声排放标准》(GB12348-2008)2类标准。</w:t>
            </w:r>
          </w:p>
          <w:p w14:paraId="3D399670">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4、固废</w:t>
            </w:r>
          </w:p>
          <w:p w14:paraId="4682C3EA">
            <w:pPr>
              <w:pStyle w:val="9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sz w:val="24"/>
                <w:szCs w:val="24"/>
                <w:u w:val="none" w:color="auto"/>
                <w:lang w:val="en-US" w:eastAsia="zh-CN"/>
              </w:rPr>
              <w:t>现有项目产生的固废主要为生活垃圾和生产固废，具体见下表。</w:t>
            </w:r>
          </w:p>
          <w:p w14:paraId="286E9CF3">
            <w:pPr>
              <w:pStyle w:val="34"/>
              <w:spacing w:line="240" w:lineRule="auto"/>
              <w:jc w:val="center"/>
              <w:rPr>
                <w:rStyle w:val="33"/>
                <w:rFonts w:hint="default" w:ascii="Times New Roman" w:hAnsi="Times New Roman" w:eastAsia="宋体" w:cs="Times New Roman"/>
                <w:b/>
                <w:bCs/>
                <w:color w:val="auto"/>
                <w:u w:val="none" w:color="auto"/>
              </w:rPr>
            </w:pPr>
            <w:r>
              <w:rPr>
                <w:rStyle w:val="33"/>
                <w:rFonts w:hint="default" w:ascii="Times New Roman" w:hAnsi="Times New Roman" w:eastAsia="宋体" w:cs="Times New Roman"/>
                <w:b/>
                <w:bCs/>
                <w:color w:val="auto"/>
                <w:u w:val="none" w:color="auto"/>
              </w:rPr>
              <w:t>表2-</w:t>
            </w:r>
            <w:r>
              <w:rPr>
                <w:rStyle w:val="33"/>
                <w:rFonts w:hint="default" w:ascii="Times New Roman" w:hAnsi="Times New Roman" w:eastAsia="宋体" w:cs="Times New Roman"/>
                <w:b/>
                <w:bCs/>
                <w:color w:val="auto"/>
                <w:u w:val="none" w:color="auto"/>
                <w:lang w:val="en-US" w:eastAsia="zh-CN"/>
              </w:rPr>
              <w:t>1</w:t>
            </w:r>
            <w:r>
              <w:rPr>
                <w:rStyle w:val="33"/>
                <w:rFonts w:hint="eastAsia" w:ascii="Times New Roman" w:hAnsi="Times New Roman" w:eastAsia="宋体" w:cs="Times New Roman"/>
                <w:b/>
                <w:bCs/>
                <w:color w:val="auto"/>
                <w:u w:val="none" w:color="auto"/>
                <w:lang w:val="en-US" w:eastAsia="zh-CN"/>
              </w:rPr>
              <w:t>2</w:t>
            </w:r>
            <w:r>
              <w:rPr>
                <w:rStyle w:val="33"/>
                <w:rFonts w:hint="default" w:ascii="Times New Roman" w:hAnsi="Times New Roman" w:eastAsia="宋体" w:cs="Times New Roman"/>
                <w:b/>
                <w:bCs/>
                <w:color w:val="auto"/>
                <w:u w:val="none" w:color="auto"/>
              </w:rPr>
              <w:t xml:space="preserve">    固废产生及处置情况汇总表</w:t>
            </w:r>
          </w:p>
          <w:tbl>
            <w:tblPr>
              <w:tblStyle w:val="26"/>
              <w:tblW w:w="76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58"/>
              <w:gridCol w:w="1222"/>
              <w:gridCol w:w="3755"/>
            </w:tblGrid>
            <w:tr w14:paraId="7F916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725" w:type="dxa"/>
                  <w:noWrap w:val="0"/>
                  <w:vAlign w:val="center"/>
                </w:tcPr>
                <w:p w14:paraId="650DCD57">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序号</w:t>
                  </w:r>
                </w:p>
              </w:tc>
              <w:tc>
                <w:tcPr>
                  <w:tcW w:w="1958" w:type="dxa"/>
                  <w:noWrap w:val="0"/>
                  <w:vAlign w:val="center"/>
                </w:tcPr>
                <w:p w14:paraId="029244D3">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污染源</w:t>
                  </w:r>
                </w:p>
              </w:tc>
              <w:tc>
                <w:tcPr>
                  <w:tcW w:w="1222" w:type="dxa"/>
                  <w:noWrap w:val="0"/>
                  <w:vAlign w:val="center"/>
                </w:tcPr>
                <w:p w14:paraId="137A12DA">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污染因子</w:t>
                  </w:r>
                </w:p>
              </w:tc>
              <w:tc>
                <w:tcPr>
                  <w:tcW w:w="3755" w:type="dxa"/>
                  <w:noWrap w:val="0"/>
                  <w:vAlign w:val="center"/>
                </w:tcPr>
                <w:p w14:paraId="12176D92">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处置方式</w:t>
                  </w:r>
                </w:p>
              </w:tc>
            </w:tr>
            <w:tr w14:paraId="682F1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3B3F11C8">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1</w:t>
                  </w:r>
                </w:p>
              </w:tc>
              <w:tc>
                <w:tcPr>
                  <w:tcW w:w="1958" w:type="dxa"/>
                  <w:noWrap w:val="0"/>
                  <w:vAlign w:val="center"/>
                </w:tcPr>
                <w:p w14:paraId="1E754D79">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现有锅炉布袋除尘器和水膜除尘器收集的烟尘</w:t>
                  </w:r>
                </w:p>
              </w:tc>
              <w:tc>
                <w:tcPr>
                  <w:tcW w:w="1222" w:type="dxa"/>
                  <w:noWrap w:val="0"/>
                  <w:vAlign w:val="center"/>
                </w:tcPr>
                <w:p w14:paraId="120CD90F">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烟尘</w:t>
                  </w:r>
                </w:p>
              </w:tc>
              <w:tc>
                <w:tcPr>
                  <w:tcW w:w="3755" w:type="dxa"/>
                  <w:noWrap w:val="0"/>
                  <w:vAlign w:val="center"/>
                </w:tcPr>
                <w:p w14:paraId="2F3DED46">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收集后外售附近农户作农肥</w:t>
                  </w:r>
                </w:p>
              </w:tc>
            </w:tr>
            <w:tr w14:paraId="27C01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18AC9953">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2</w:t>
                  </w:r>
                </w:p>
              </w:tc>
              <w:tc>
                <w:tcPr>
                  <w:tcW w:w="1958" w:type="dxa"/>
                  <w:noWrap w:val="0"/>
                  <w:vAlign w:val="center"/>
                </w:tcPr>
                <w:p w14:paraId="492E9083">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锅炉炉渣</w:t>
                  </w:r>
                </w:p>
              </w:tc>
              <w:tc>
                <w:tcPr>
                  <w:tcW w:w="1222" w:type="dxa"/>
                  <w:noWrap w:val="0"/>
                  <w:vAlign w:val="center"/>
                </w:tcPr>
                <w:p w14:paraId="5E43A916">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炉渣</w:t>
                  </w:r>
                </w:p>
              </w:tc>
              <w:tc>
                <w:tcPr>
                  <w:tcW w:w="3755" w:type="dxa"/>
                  <w:noWrap w:val="0"/>
                  <w:vAlign w:val="center"/>
                </w:tcPr>
                <w:p w14:paraId="221BA48D">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收集后外售附近农户作农肥</w:t>
                  </w:r>
                </w:p>
              </w:tc>
            </w:tr>
            <w:tr w14:paraId="2F218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59F51D16">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3</w:t>
                  </w:r>
                </w:p>
              </w:tc>
              <w:tc>
                <w:tcPr>
                  <w:tcW w:w="1958" w:type="dxa"/>
                  <w:noWrap w:val="0"/>
                  <w:vAlign w:val="center"/>
                </w:tcPr>
                <w:p w14:paraId="072A429E">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废包装材料</w:t>
                  </w:r>
                </w:p>
              </w:tc>
              <w:tc>
                <w:tcPr>
                  <w:tcW w:w="1222" w:type="dxa"/>
                  <w:noWrap w:val="0"/>
                  <w:vAlign w:val="center"/>
                </w:tcPr>
                <w:p w14:paraId="3BB1495A">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废包装材料</w:t>
                  </w:r>
                </w:p>
              </w:tc>
              <w:tc>
                <w:tcPr>
                  <w:tcW w:w="3755" w:type="dxa"/>
                  <w:noWrap w:val="0"/>
                  <w:vAlign w:val="center"/>
                </w:tcPr>
                <w:p w14:paraId="063ED97C">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由专业公司进行回收</w:t>
                  </w:r>
                </w:p>
              </w:tc>
            </w:tr>
            <w:tr w14:paraId="0104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376517B8">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4</w:t>
                  </w:r>
                </w:p>
              </w:tc>
              <w:tc>
                <w:tcPr>
                  <w:tcW w:w="1958" w:type="dxa"/>
                  <w:noWrap w:val="0"/>
                  <w:vAlign w:val="center"/>
                </w:tcPr>
                <w:p w14:paraId="2F51C825">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废润滑油</w:t>
                  </w:r>
                </w:p>
              </w:tc>
              <w:tc>
                <w:tcPr>
                  <w:tcW w:w="1222" w:type="dxa"/>
                  <w:noWrap w:val="0"/>
                  <w:vAlign w:val="center"/>
                </w:tcPr>
                <w:p w14:paraId="1C0ADC9C">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废润滑油</w:t>
                  </w:r>
                </w:p>
              </w:tc>
              <w:tc>
                <w:tcPr>
                  <w:tcW w:w="3755" w:type="dxa"/>
                  <w:noWrap w:val="0"/>
                  <w:vAlign w:val="center"/>
                </w:tcPr>
                <w:p w14:paraId="634F1E5A">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交由湖南瀚洋环保科技有限公司处置</w:t>
                  </w:r>
                </w:p>
              </w:tc>
            </w:tr>
            <w:tr w14:paraId="3B0ED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7B046264">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5</w:t>
                  </w:r>
                </w:p>
              </w:tc>
              <w:tc>
                <w:tcPr>
                  <w:tcW w:w="1958" w:type="dxa"/>
                  <w:noWrap w:val="0"/>
                  <w:vAlign w:val="center"/>
                </w:tcPr>
                <w:p w14:paraId="1B1FC65E">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废活性炭</w:t>
                  </w:r>
                </w:p>
              </w:tc>
              <w:tc>
                <w:tcPr>
                  <w:tcW w:w="1222" w:type="dxa"/>
                  <w:noWrap w:val="0"/>
                  <w:vAlign w:val="center"/>
                </w:tcPr>
                <w:p w14:paraId="2D7347EC">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废活性炭</w:t>
                  </w:r>
                </w:p>
              </w:tc>
              <w:tc>
                <w:tcPr>
                  <w:tcW w:w="3755" w:type="dxa"/>
                  <w:noWrap w:val="0"/>
                  <w:vAlign w:val="center"/>
                </w:tcPr>
                <w:p w14:paraId="476C12B7">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交由湖南瀚洋环保科技有限公司处置</w:t>
                  </w:r>
                </w:p>
              </w:tc>
            </w:tr>
            <w:tr w14:paraId="7B04E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36179FB2">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6</w:t>
                  </w:r>
                </w:p>
              </w:tc>
              <w:tc>
                <w:tcPr>
                  <w:tcW w:w="1958" w:type="dxa"/>
                  <w:noWrap w:val="0"/>
                  <w:vAlign w:val="center"/>
                </w:tcPr>
                <w:p w14:paraId="70FBA095">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废水检测废液</w:t>
                  </w:r>
                </w:p>
              </w:tc>
              <w:tc>
                <w:tcPr>
                  <w:tcW w:w="1222" w:type="dxa"/>
                  <w:noWrap w:val="0"/>
                  <w:vAlign w:val="center"/>
                </w:tcPr>
                <w:p w14:paraId="20F906DE">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化学试剂</w:t>
                  </w:r>
                </w:p>
              </w:tc>
              <w:tc>
                <w:tcPr>
                  <w:tcW w:w="3755" w:type="dxa"/>
                  <w:noWrap w:val="0"/>
                  <w:vAlign w:val="center"/>
                </w:tcPr>
                <w:p w14:paraId="3BB1184D">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交由湖南瀚洋环保科技有限公司处置</w:t>
                  </w:r>
                </w:p>
              </w:tc>
            </w:tr>
            <w:tr w14:paraId="20001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25" w:type="dxa"/>
                  <w:noWrap w:val="0"/>
                  <w:vAlign w:val="center"/>
                </w:tcPr>
                <w:p w14:paraId="2FA59F0B">
                  <w:pPr>
                    <w:pStyle w:val="34"/>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Style w:val="33"/>
                      <w:rFonts w:hint="default" w:ascii="Times New Roman" w:hAnsi="Times New Roman" w:eastAsia="宋体" w:cs="Times New Roman"/>
                      <w:color w:val="auto"/>
                      <w:u w:val="none" w:color="auto"/>
                      <w:lang w:val="en-US" w:eastAsia="zh-CN"/>
                    </w:rPr>
                  </w:pPr>
                  <w:r>
                    <w:rPr>
                      <w:rStyle w:val="33"/>
                      <w:rFonts w:hint="default" w:ascii="Times New Roman" w:hAnsi="Times New Roman" w:eastAsia="宋体" w:cs="Times New Roman"/>
                      <w:color w:val="auto"/>
                      <w:u w:val="none" w:color="auto"/>
                      <w:lang w:val="en-US" w:eastAsia="zh-CN"/>
                    </w:rPr>
                    <w:t>7</w:t>
                  </w:r>
                </w:p>
              </w:tc>
              <w:tc>
                <w:tcPr>
                  <w:tcW w:w="1958" w:type="dxa"/>
                  <w:noWrap w:val="0"/>
                  <w:vAlign w:val="center"/>
                </w:tcPr>
                <w:p w14:paraId="4D0D2A38">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生活垃圾</w:t>
                  </w:r>
                </w:p>
              </w:tc>
              <w:tc>
                <w:tcPr>
                  <w:tcW w:w="1222" w:type="dxa"/>
                  <w:noWrap w:val="0"/>
                  <w:vAlign w:val="center"/>
                </w:tcPr>
                <w:p w14:paraId="155B056F">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生活垃圾</w:t>
                  </w:r>
                </w:p>
              </w:tc>
              <w:tc>
                <w:tcPr>
                  <w:tcW w:w="3755" w:type="dxa"/>
                  <w:noWrap w:val="0"/>
                  <w:vAlign w:val="center"/>
                </w:tcPr>
                <w:p w14:paraId="53C209F2">
                  <w:pPr>
                    <w:pStyle w:val="96"/>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环卫部门定期清运</w:t>
                  </w:r>
                </w:p>
              </w:tc>
            </w:tr>
          </w:tbl>
          <w:p w14:paraId="2D2EA491">
            <w:pPr>
              <w:adjustRightInd w:val="0"/>
              <w:snapToGrid w:val="0"/>
              <w:spacing w:before="156" w:beforeLines="50" w:line="360" w:lineRule="auto"/>
              <w:ind w:firstLine="482" w:firstLineChars="200"/>
              <w:rPr>
                <w:rFonts w:hint="default" w:ascii="Times New Roman" w:hAnsi="Times New Roman" w:eastAsia="宋体" w:cs="Times New Roman"/>
                <w:b/>
                <w:snapToGrid w:val="0"/>
                <w:kern w:val="0"/>
                <w:sz w:val="24"/>
                <w:szCs w:val="24"/>
                <w:u w:val="none" w:color="auto"/>
              </w:rPr>
            </w:pPr>
            <w:r>
              <w:rPr>
                <w:rFonts w:hint="default" w:ascii="Times New Roman" w:hAnsi="Times New Roman" w:eastAsia="宋体" w:cs="Times New Roman"/>
                <w:b/>
                <w:snapToGrid w:val="0"/>
                <w:kern w:val="0"/>
                <w:sz w:val="24"/>
                <w:szCs w:val="24"/>
                <w:u w:val="none" w:color="auto"/>
              </w:rPr>
              <w:t>4.现有锅炉污染物排放总量</w:t>
            </w:r>
          </w:p>
          <w:p w14:paraId="1C3AE3BB">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rPr>
            </w:pPr>
            <w:r>
              <w:rPr>
                <w:rFonts w:hint="default" w:ascii="Times New Roman" w:hAnsi="Times New Roman" w:eastAsia="宋体" w:cs="Times New Roman"/>
                <w:snapToGrid w:val="0"/>
                <w:kern w:val="0"/>
                <w:sz w:val="24"/>
                <w:szCs w:val="24"/>
                <w:u w:val="none" w:color="auto"/>
              </w:rPr>
              <w:t>（1）企业排污许可证总量</w:t>
            </w:r>
          </w:p>
          <w:p w14:paraId="28A4DE3F">
            <w:pPr>
              <w:adjustRightInd w:val="0"/>
              <w:snapToGrid w:val="0"/>
              <w:spacing w:line="360" w:lineRule="auto"/>
              <w:ind w:firstLine="480" w:firstLineChars="200"/>
              <w:rPr>
                <w:rFonts w:hint="default" w:ascii="Times New Roman" w:hAnsi="Times New Roman" w:eastAsia="宋体" w:cs="Times New Roman"/>
                <w:snapToGrid w:val="0"/>
                <w:kern w:val="0"/>
                <w:sz w:val="24"/>
                <w:szCs w:val="24"/>
                <w:u w:val="none" w:color="auto"/>
              </w:rPr>
            </w:pPr>
            <w:r>
              <w:rPr>
                <w:rFonts w:hint="default" w:ascii="Times New Roman" w:hAnsi="Times New Roman" w:eastAsia="宋体" w:cs="Times New Roman"/>
                <w:snapToGrid w:val="0"/>
                <w:kern w:val="0"/>
                <w:sz w:val="24"/>
                <w:szCs w:val="24"/>
                <w:u w:val="none" w:color="auto"/>
              </w:rPr>
              <w:t>现有工程于2016年1月22日取得岳阳市排污权管理中心印发的排污许可证（文号为：（岳）排污权证（2015）第981号），本项目排污许可证污染物总量见表</w:t>
            </w:r>
            <w:r>
              <w:rPr>
                <w:rFonts w:hint="eastAsia" w:ascii="Times New Roman" w:hAnsi="Times New Roman" w:eastAsia="宋体" w:cs="Times New Roman"/>
                <w:snapToGrid w:val="0"/>
                <w:kern w:val="0"/>
                <w:sz w:val="24"/>
                <w:szCs w:val="24"/>
                <w:u w:val="none" w:color="auto"/>
                <w:lang w:val="en-US" w:eastAsia="zh-CN"/>
              </w:rPr>
              <w:t>2</w:t>
            </w:r>
            <w:r>
              <w:rPr>
                <w:rFonts w:hint="default" w:ascii="Times New Roman" w:hAnsi="Times New Roman" w:eastAsia="宋体" w:cs="Times New Roman"/>
                <w:snapToGrid w:val="0"/>
                <w:kern w:val="0"/>
                <w:sz w:val="24"/>
                <w:szCs w:val="24"/>
                <w:u w:val="none" w:color="auto"/>
              </w:rPr>
              <w:t>-</w:t>
            </w:r>
            <w:r>
              <w:rPr>
                <w:rFonts w:hint="eastAsia" w:ascii="Times New Roman" w:hAnsi="Times New Roman" w:eastAsia="宋体" w:cs="Times New Roman"/>
                <w:snapToGrid w:val="0"/>
                <w:kern w:val="0"/>
                <w:sz w:val="24"/>
                <w:szCs w:val="24"/>
                <w:u w:val="none" w:color="auto"/>
                <w:lang w:val="en-US" w:eastAsia="zh-CN"/>
              </w:rPr>
              <w:t>13</w:t>
            </w:r>
            <w:r>
              <w:rPr>
                <w:rFonts w:hint="default" w:ascii="Times New Roman" w:hAnsi="Times New Roman" w:eastAsia="宋体" w:cs="Times New Roman"/>
                <w:snapToGrid w:val="0"/>
                <w:kern w:val="0"/>
                <w:sz w:val="24"/>
                <w:szCs w:val="24"/>
                <w:u w:val="none" w:color="auto"/>
              </w:rPr>
              <w:t>。</w:t>
            </w:r>
          </w:p>
          <w:p w14:paraId="394EBBEF">
            <w:pPr>
              <w:adjustRightInd w:val="0"/>
              <w:snapToGrid w:val="0"/>
              <w:spacing w:line="271" w:lineRule="auto"/>
              <w:jc w:val="center"/>
              <w:rPr>
                <w:rFonts w:hint="default" w:ascii="Times New Roman" w:hAnsi="Times New Roman" w:eastAsia="宋体" w:cs="Times New Roman"/>
                <w:b/>
                <w:snapToGrid w:val="0"/>
                <w:kern w:val="0"/>
                <w:szCs w:val="24"/>
                <w:u w:val="none" w:color="auto"/>
              </w:rPr>
            </w:pPr>
            <w:r>
              <w:rPr>
                <w:rFonts w:hint="default" w:ascii="Times New Roman" w:hAnsi="Times New Roman" w:eastAsia="宋体" w:cs="Times New Roman"/>
                <w:b/>
                <w:snapToGrid w:val="0"/>
                <w:kern w:val="0"/>
                <w:szCs w:val="24"/>
                <w:u w:val="none" w:color="auto"/>
              </w:rPr>
              <w:t>表</w:t>
            </w:r>
            <w:r>
              <w:rPr>
                <w:rFonts w:hint="eastAsia" w:ascii="Times New Roman" w:hAnsi="Times New Roman" w:eastAsia="宋体" w:cs="Times New Roman"/>
                <w:b/>
                <w:snapToGrid w:val="0"/>
                <w:kern w:val="0"/>
                <w:szCs w:val="24"/>
                <w:u w:val="none" w:color="auto"/>
                <w:lang w:val="en-US" w:eastAsia="zh-CN"/>
              </w:rPr>
              <w:t>2</w:t>
            </w:r>
            <w:r>
              <w:rPr>
                <w:rFonts w:hint="default" w:ascii="Times New Roman" w:hAnsi="Times New Roman" w:eastAsia="宋体" w:cs="Times New Roman"/>
                <w:b/>
                <w:snapToGrid w:val="0"/>
                <w:kern w:val="0"/>
                <w:szCs w:val="24"/>
                <w:u w:val="none" w:color="auto"/>
              </w:rPr>
              <w:t>-</w:t>
            </w:r>
            <w:r>
              <w:rPr>
                <w:rFonts w:hint="eastAsia" w:ascii="Times New Roman" w:hAnsi="Times New Roman" w:eastAsia="宋体" w:cs="Times New Roman"/>
                <w:b/>
                <w:snapToGrid w:val="0"/>
                <w:kern w:val="0"/>
                <w:szCs w:val="24"/>
                <w:u w:val="none" w:color="auto"/>
                <w:lang w:val="en-US" w:eastAsia="zh-CN"/>
              </w:rPr>
              <w:t>13</w:t>
            </w:r>
            <w:r>
              <w:rPr>
                <w:rFonts w:hint="default" w:ascii="Times New Roman" w:hAnsi="Times New Roman" w:eastAsia="宋体" w:cs="Times New Roman"/>
                <w:b/>
                <w:snapToGrid w:val="0"/>
                <w:kern w:val="0"/>
                <w:szCs w:val="24"/>
                <w:u w:val="none" w:color="auto"/>
              </w:rPr>
              <w:t xml:space="preserve">   企业排污许可污染物排放量</w:t>
            </w:r>
          </w:p>
          <w:tbl>
            <w:tblPr>
              <w:tblStyle w:val="26"/>
              <w:tblW w:w="775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26"/>
              <w:gridCol w:w="2526"/>
              <w:gridCol w:w="2701"/>
            </w:tblGrid>
            <w:tr w14:paraId="27306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trPr>
              <w:tc>
                <w:tcPr>
                  <w:tcW w:w="2526" w:type="dxa"/>
                  <w:noWrap w:val="0"/>
                  <w:vAlign w:val="center"/>
                </w:tcPr>
                <w:p w14:paraId="3C54C5D3">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污染物</w:t>
                  </w:r>
                </w:p>
              </w:tc>
              <w:tc>
                <w:tcPr>
                  <w:tcW w:w="2526" w:type="dxa"/>
                  <w:noWrap w:val="0"/>
                  <w:vAlign w:val="center"/>
                </w:tcPr>
                <w:p w14:paraId="6FE1859C">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指标名称</w:t>
                  </w:r>
                </w:p>
              </w:tc>
              <w:tc>
                <w:tcPr>
                  <w:tcW w:w="2701" w:type="dxa"/>
                  <w:noWrap w:val="0"/>
                  <w:vAlign w:val="center"/>
                </w:tcPr>
                <w:p w14:paraId="1B017F27">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指标数量</w:t>
                  </w:r>
                </w:p>
              </w:tc>
            </w:tr>
            <w:tr w14:paraId="3E5A6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526" w:type="dxa"/>
                  <w:vMerge w:val="restart"/>
                  <w:noWrap w:val="0"/>
                  <w:vAlign w:val="center"/>
                </w:tcPr>
                <w:p w14:paraId="27D6DD42">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水污染物</w:t>
                  </w:r>
                </w:p>
              </w:tc>
              <w:tc>
                <w:tcPr>
                  <w:tcW w:w="2526" w:type="dxa"/>
                  <w:noWrap w:val="0"/>
                  <w:vAlign w:val="center"/>
                </w:tcPr>
                <w:p w14:paraId="040BA0CE">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lang w:val="en-US" w:eastAsia="zh-CN"/>
                    </w:rPr>
                    <w:t>C</w:t>
                  </w:r>
                  <w:r>
                    <w:rPr>
                      <w:rFonts w:hint="default" w:ascii="Times New Roman" w:hAnsi="Times New Roman" w:eastAsia="宋体" w:cs="Times New Roman"/>
                      <w:snapToGrid w:val="0"/>
                      <w:kern w:val="0"/>
                      <w:szCs w:val="21"/>
                      <w:u w:val="none" w:color="auto"/>
                    </w:rPr>
                    <w:cr/>
                  </w:r>
                  <w:r>
                    <w:rPr>
                      <w:rFonts w:hint="default" w:ascii="Times New Roman" w:hAnsi="Times New Roman" w:eastAsia="宋体" w:cs="Times New Roman"/>
                      <w:snapToGrid w:val="0"/>
                      <w:kern w:val="0"/>
                      <w:szCs w:val="21"/>
                      <w:u w:val="none" w:color="auto"/>
                    </w:rPr>
                    <w:t>OD</w:t>
                  </w:r>
                </w:p>
              </w:tc>
              <w:tc>
                <w:tcPr>
                  <w:tcW w:w="2701" w:type="dxa"/>
                  <w:noWrap w:val="0"/>
                  <w:vAlign w:val="center"/>
                </w:tcPr>
                <w:p w14:paraId="3BB8BCDE">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56吨</w:t>
                  </w:r>
                </w:p>
              </w:tc>
            </w:tr>
            <w:tr w14:paraId="21351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526" w:type="dxa"/>
                  <w:vMerge w:val="continue"/>
                  <w:noWrap w:val="0"/>
                  <w:vAlign w:val="center"/>
                </w:tcPr>
                <w:p w14:paraId="585C8EFE">
                  <w:pPr>
                    <w:adjustRightInd w:val="0"/>
                    <w:snapToGrid w:val="0"/>
                    <w:jc w:val="center"/>
                    <w:rPr>
                      <w:rFonts w:hint="default" w:ascii="Times New Roman" w:hAnsi="Times New Roman" w:eastAsia="宋体" w:cs="Times New Roman"/>
                      <w:snapToGrid w:val="0"/>
                      <w:kern w:val="0"/>
                      <w:szCs w:val="21"/>
                      <w:u w:val="none" w:color="auto"/>
                    </w:rPr>
                  </w:pPr>
                </w:p>
              </w:tc>
              <w:tc>
                <w:tcPr>
                  <w:tcW w:w="2526" w:type="dxa"/>
                  <w:noWrap w:val="0"/>
                  <w:vAlign w:val="center"/>
                </w:tcPr>
                <w:p w14:paraId="6473637F">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氨氮</w:t>
                  </w:r>
                </w:p>
              </w:tc>
              <w:tc>
                <w:tcPr>
                  <w:tcW w:w="2701" w:type="dxa"/>
                  <w:noWrap w:val="0"/>
                  <w:vAlign w:val="center"/>
                </w:tcPr>
                <w:p w14:paraId="00EC6B06">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7吨</w:t>
                  </w:r>
                </w:p>
              </w:tc>
            </w:tr>
            <w:tr w14:paraId="586F7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2526" w:type="dxa"/>
                  <w:vMerge w:val="restart"/>
                  <w:noWrap w:val="0"/>
                  <w:vAlign w:val="center"/>
                </w:tcPr>
                <w:p w14:paraId="06810377">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大气污染物</w:t>
                  </w:r>
                </w:p>
              </w:tc>
              <w:tc>
                <w:tcPr>
                  <w:tcW w:w="2526" w:type="dxa"/>
                  <w:noWrap w:val="0"/>
                  <w:vAlign w:val="center"/>
                </w:tcPr>
                <w:p w14:paraId="4555EA6A">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SO</w:t>
                  </w:r>
                  <w:r>
                    <w:rPr>
                      <w:rFonts w:hint="default" w:ascii="Times New Roman" w:hAnsi="Times New Roman" w:eastAsia="宋体" w:cs="Times New Roman"/>
                      <w:snapToGrid w:val="0"/>
                      <w:kern w:val="0"/>
                      <w:szCs w:val="21"/>
                      <w:u w:val="none" w:color="auto"/>
                      <w:vertAlign w:val="subscript"/>
                    </w:rPr>
                    <w:t>2</w:t>
                  </w:r>
                </w:p>
              </w:tc>
              <w:tc>
                <w:tcPr>
                  <w:tcW w:w="2701" w:type="dxa"/>
                  <w:noWrap w:val="0"/>
                  <w:vAlign w:val="center"/>
                </w:tcPr>
                <w:p w14:paraId="179993DB">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55吨</w:t>
                  </w:r>
                </w:p>
              </w:tc>
            </w:tr>
            <w:tr w14:paraId="7DE296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2" w:hRule="atLeast"/>
              </w:trPr>
              <w:tc>
                <w:tcPr>
                  <w:tcW w:w="2526" w:type="dxa"/>
                  <w:vMerge w:val="continue"/>
                  <w:noWrap w:val="0"/>
                  <w:vAlign w:val="center"/>
                </w:tcPr>
                <w:p w14:paraId="035C5898">
                  <w:pPr>
                    <w:adjustRightInd w:val="0"/>
                    <w:snapToGrid w:val="0"/>
                    <w:jc w:val="center"/>
                    <w:rPr>
                      <w:rFonts w:hint="default" w:ascii="Times New Roman" w:hAnsi="Times New Roman" w:eastAsia="宋体" w:cs="Times New Roman"/>
                      <w:snapToGrid w:val="0"/>
                      <w:kern w:val="0"/>
                      <w:szCs w:val="21"/>
                      <w:u w:val="none" w:color="auto"/>
                    </w:rPr>
                  </w:pPr>
                </w:p>
              </w:tc>
              <w:tc>
                <w:tcPr>
                  <w:tcW w:w="2526" w:type="dxa"/>
                  <w:noWrap w:val="0"/>
                  <w:vAlign w:val="center"/>
                </w:tcPr>
                <w:p w14:paraId="3D4186CB">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NO</w:t>
                  </w:r>
                  <w:r>
                    <w:rPr>
                      <w:rFonts w:hint="default" w:ascii="Times New Roman" w:hAnsi="Times New Roman" w:eastAsia="宋体" w:cs="Times New Roman"/>
                      <w:snapToGrid w:val="0"/>
                      <w:kern w:val="0"/>
                      <w:szCs w:val="21"/>
                      <w:u w:val="none" w:color="auto"/>
                      <w:vertAlign w:val="subscript"/>
                    </w:rPr>
                    <w:t>X</w:t>
                  </w:r>
                </w:p>
              </w:tc>
              <w:tc>
                <w:tcPr>
                  <w:tcW w:w="2701" w:type="dxa"/>
                  <w:noWrap w:val="0"/>
                  <w:vAlign w:val="center"/>
                </w:tcPr>
                <w:p w14:paraId="2DCE69C0">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31吨</w:t>
                  </w:r>
                </w:p>
              </w:tc>
            </w:tr>
          </w:tbl>
          <w:p w14:paraId="1AB5ED40">
            <w:pPr>
              <w:adjustRightInd w:val="0"/>
              <w:snapToGrid w:val="0"/>
              <w:spacing w:before="156" w:beforeLines="50" w:line="360" w:lineRule="auto"/>
              <w:ind w:firstLine="480" w:firstLineChars="200"/>
              <w:rPr>
                <w:rFonts w:hint="default" w:ascii="Times New Roman" w:hAnsi="Times New Roman" w:eastAsia="宋体" w:cs="Times New Roman"/>
                <w:bCs/>
                <w:sz w:val="24"/>
                <w:szCs w:val="24"/>
                <w:u w:val="none" w:color="auto"/>
              </w:rPr>
            </w:pPr>
            <w:r>
              <w:rPr>
                <w:rFonts w:hint="default" w:ascii="Times New Roman" w:hAnsi="Times New Roman" w:eastAsia="宋体" w:cs="Times New Roman"/>
                <w:bCs/>
                <w:sz w:val="24"/>
                <w:szCs w:val="24"/>
                <w:u w:val="none" w:color="auto"/>
              </w:rPr>
              <w:t>（2）现有锅炉污染物核算</w:t>
            </w:r>
          </w:p>
          <w:p w14:paraId="3B8D089E">
            <w:pPr>
              <w:adjustRightInd w:val="0"/>
              <w:snapToGrid w:val="0"/>
              <w:spacing w:line="360" w:lineRule="auto"/>
              <w:ind w:firstLine="480" w:firstLineChars="200"/>
              <w:rPr>
                <w:rFonts w:hint="default" w:ascii="Times New Roman" w:hAnsi="Times New Roman" w:eastAsia="宋体" w:cs="Times New Roman"/>
                <w:bCs/>
                <w:sz w:val="24"/>
                <w:szCs w:val="24"/>
                <w:u w:val="none" w:color="auto"/>
              </w:rPr>
            </w:pPr>
            <w:r>
              <w:rPr>
                <w:rFonts w:hint="default" w:ascii="Times New Roman" w:hAnsi="Times New Roman" w:eastAsia="宋体" w:cs="Times New Roman"/>
                <w:bCs/>
                <w:sz w:val="24"/>
                <w:szCs w:val="24"/>
                <w:u w:val="none" w:color="auto"/>
              </w:rPr>
              <w:t>1）废气</w:t>
            </w:r>
          </w:p>
          <w:p w14:paraId="5070C897">
            <w:pPr>
              <w:adjustRightInd w:val="0"/>
              <w:snapToGrid w:val="0"/>
              <w:spacing w:line="360" w:lineRule="auto"/>
              <w:ind w:firstLine="480" w:firstLineChars="200"/>
              <w:rPr>
                <w:rFonts w:hint="default" w:ascii="Times New Roman" w:hAnsi="Times New Roman" w:eastAsia="宋体" w:cs="Times New Roman"/>
                <w:u w:val="none" w:color="auto"/>
                <w:lang w:val="en-US" w:eastAsia="zh-CN"/>
              </w:rPr>
            </w:pPr>
            <w:r>
              <w:rPr>
                <w:rFonts w:hint="default" w:ascii="Times New Roman" w:hAnsi="Times New Roman" w:eastAsia="宋体" w:cs="Times New Roman"/>
                <w:snapToGrid w:val="0"/>
                <w:kern w:val="0"/>
                <w:sz w:val="24"/>
                <w:szCs w:val="24"/>
                <w:u w:val="none" w:color="auto"/>
              </w:rPr>
              <w:t>现有锅炉废气采用布袋除尘器后再经水膜除尘器进行治理，经治理后通过4</w:t>
            </w:r>
            <w:r>
              <w:rPr>
                <w:rFonts w:hint="default" w:ascii="Times New Roman" w:hAnsi="Times New Roman" w:eastAsia="宋体" w:cs="Times New Roman"/>
                <w:snapToGrid w:val="0"/>
                <w:kern w:val="0"/>
                <w:sz w:val="24"/>
                <w:szCs w:val="24"/>
                <w:u w:val="none" w:color="auto"/>
                <w:lang w:val="en-US" w:eastAsia="zh-CN"/>
              </w:rPr>
              <w:t>3</w:t>
            </w:r>
            <w:r>
              <w:rPr>
                <w:rFonts w:hint="default" w:ascii="Times New Roman" w:hAnsi="Times New Roman" w:eastAsia="宋体" w:cs="Times New Roman"/>
                <w:snapToGrid w:val="0"/>
                <w:kern w:val="0"/>
                <w:sz w:val="24"/>
                <w:szCs w:val="24"/>
                <w:u w:val="none" w:color="auto"/>
              </w:rPr>
              <w:t>米的烟囱排放，</w:t>
            </w:r>
            <w:r>
              <w:rPr>
                <w:rFonts w:hint="default" w:ascii="Times New Roman" w:hAnsi="Times New Roman" w:eastAsia="宋体" w:cs="Times New Roman"/>
                <w:bCs/>
                <w:sz w:val="24"/>
                <w:szCs w:val="24"/>
                <w:u w:val="none" w:color="auto"/>
              </w:rPr>
              <w:t>经</w:t>
            </w:r>
            <w:r>
              <w:rPr>
                <w:rFonts w:hint="default" w:ascii="Times New Roman" w:hAnsi="Times New Roman" w:eastAsia="宋体" w:cs="Times New Roman"/>
                <w:bCs/>
                <w:sz w:val="24"/>
                <w:szCs w:val="24"/>
                <w:u w:val="none" w:color="auto"/>
                <w:lang w:val="en-US" w:eastAsia="zh-CN"/>
              </w:rPr>
              <w:t>2025年5月自行监测报告显示，现有锅炉正常运行时二氧化硫最大排放量为1.14t/a（按实测最大排放浓度计算），氮氧化物最大排放量为8.6t/a（按实测最大排放浓度计算），烟尘最大排放量为1.29t/a（按实测最大排放浓度计算）。</w:t>
            </w:r>
          </w:p>
          <w:p w14:paraId="30551173">
            <w:pPr>
              <w:adjustRightInd w:val="0"/>
              <w:snapToGrid w:val="0"/>
              <w:spacing w:line="271" w:lineRule="auto"/>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表</w:t>
            </w:r>
            <w:r>
              <w:rPr>
                <w:rFonts w:hint="eastAsia" w:ascii="Times New Roman" w:hAnsi="Times New Roman" w:eastAsia="宋体" w:cs="Times New Roman"/>
                <w:b/>
                <w:szCs w:val="21"/>
                <w:u w:val="none" w:color="auto"/>
                <w:lang w:val="en-US" w:eastAsia="zh-CN"/>
              </w:rPr>
              <w:t>2</w:t>
            </w:r>
            <w:r>
              <w:rPr>
                <w:rFonts w:hint="default" w:ascii="Times New Roman" w:hAnsi="Times New Roman" w:eastAsia="宋体" w:cs="Times New Roman"/>
                <w:b/>
                <w:szCs w:val="21"/>
                <w:u w:val="none" w:color="auto"/>
              </w:rPr>
              <w:t>-</w:t>
            </w:r>
            <w:r>
              <w:rPr>
                <w:rFonts w:hint="eastAsia" w:ascii="Times New Roman" w:hAnsi="Times New Roman" w:eastAsia="宋体" w:cs="Times New Roman"/>
                <w:b/>
                <w:szCs w:val="21"/>
                <w:u w:val="none" w:color="auto"/>
                <w:lang w:val="en-US" w:eastAsia="zh-CN"/>
              </w:rPr>
              <w:t>14</w:t>
            </w:r>
            <w:r>
              <w:rPr>
                <w:rFonts w:hint="default" w:ascii="Times New Roman" w:hAnsi="Times New Roman" w:eastAsia="宋体" w:cs="Times New Roman"/>
                <w:b/>
                <w:szCs w:val="21"/>
                <w:u w:val="none" w:color="auto"/>
              </w:rPr>
              <w:t xml:space="preserve">   排污许可污染物量与现有锅炉污染物量对比一览表</w:t>
            </w:r>
          </w:p>
          <w:tbl>
            <w:tblPr>
              <w:tblStyle w:val="26"/>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970"/>
              <w:gridCol w:w="1847"/>
              <w:gridCol w:w="2612"/>
            </w:tblGrid>
            <w:tr w14:paraId="108FD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89" w:type="dxa"/>
                  <w:tcBorders>
                    <w:tl2br w:val="nil"/>
                    <w:tr2bl w:val="nil"/>
                  </w:tcBorders>
                  <w:noWrap w:val="0"/>
                  <w:vAlign w:val="center"/>
                </w:tcPr>
                <w:p w14:paraId="26C0A7A3">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指标</w:t>
                  </w:r>
                </w:p>
              </w:tc>
              <w:tc>
                <w:tcPr>
                  <w:tcW w:w="1970" w:type="dxa"/>
                  <w:tcBorders>
                    <w:tl2br w:val="nil"/>
                    <w:tr2bl w:val="nil"/>
                  </w:tcBorders>
                  <w:noWrap w:val="0"/>
                  <w:vAlign w:val="center"/>
                </w:tcPr>
                <w:p w14:paraId="5BE97A3C">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排污许可证污染物量</w:t>
                  </w:r>
                </w:p>
              </w:tc>
              <w:tc>
                <w:tcPr>
                  <w:tcW w:w="1847" w:type="dxa"/>
                  <w:tcBorders>
                    <w:tl2br w:val="nil"/>
                    <w:tr2bl w:val="nil"/>
                  </w:tcBorders>
                  <w:noWrap w:val="0"/>
                  <w:vAlign w:val="center"/>
                </w:tcPr>
                <w:p w14:paraId="1910A84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现有锅炉污染物量</w:t>
                  </w:r>
                </w:p>
              </w:tc>
              <w:tc>
                <w:tcPr>
                  <w:tcW w:w="2612" w:type="dxa"/>
                  <w:tcBorders>
                    <w:tl2br w:val="nil"/>
                    <w:tr2bl w:val="nil"/>
                  </w:tcBorders>
                  <w:noWrap w:val="0"/>
                  <w:vAlign w:val="center"/>
                </w:tcPr>
                <w:p w14:paraId="5C4E858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备注</w:t>
                  </w:r>
                </w:p>
              </w:tc>
            </w:tr>
            <w:tr w14:paraId="0EF4F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89" w:type="dxa"/>
                  <w:tcBorders>
                    <w:tl2br w:val="nil"/>
                    <w:tr2bl w:val="nil"/>
                  </w:tcBorders>
                  <w:noWrap w:val="0"/>
                  <w:vAlign w:val="center"/>
                </w:tcPr>
                <w:p w14:paraId="21112430">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SO</w:t>
                  </w:r>
                  <w:r>
                    <w:rPr>
                      <w:rFonts w:hint="default" w:ascii="Times New Roman" w:hAnsi="Times New Roman" w:eastAsia="宋体" w:cs="Times New Roman"/>
                      <w:snapToGrid w:val="0"/>
                      <w:kern w:val="0"/>
                      <w:szCs w:val="21"/>
                      <w:u w:val="none" w:color="auto"/>
                      <w:vertAlign w:val="subscript"/>
                    </w:rPr>
                    <w:t>2</w:t>
                  </w:r>
                </w:p>
              </w:tc>
              <w:tc>
                <w:tcPr>
                  <w:tcW w:w="1970" w:type="dxa"/>
                  <w:tcBorders>
                    <w:tl2br w:val="nil"/>
                    <w:tr2bl w:val="nil"/>
                  </w:tcBorders>
                  <w:noWrap w:val="0"/>
                  <w:vAlign w:val="center"/>
                </w:tcPr>
                <w:p w14:paraId="0135E2C0">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55吨</w:t>
                  </w:r>
                </w:p>
              </w:tc>
              <w:tc>
                <w:tcPr>
                  <w:tcW w:w="1847" w:type="dxa"/>
                  <w:tcBorders>
                    <w:tl2br w:val="nil"/>
                    <w:tr2bl w:val="nil"/>
                  </w:tcBorders>
                  <w:noWrap w:val="0"/>
                  <w:vAlign w:val="center"/>
                </w:tcPr>
                <w:p w14:paraId="0CEBD42C">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lang w:val="en-US" w:eastAsia="zh-CN"/>
                    </w:rPr>
                    <w:t>1.14</w:t>
                  </w:r>
                  <w:r>
                    <w:rPr>
                      <w:rFonts w:hint="default" w:ascii="Times New Roman" w:hAnsi="Times New Roman" w:eastAsia="宋体" w:cs="Times New Roman"/>
                      <w:snapToGrid w:val="0"/>
                      <w:kern w:val="0"/>
                      <w:szCs w:val="21"/>
                      <w:u w:val="none" w:color="auto"/>
                    </w:rPr>
                    <w:t>吨</w:t>
                  </w:r>
                </w:p>
              </w:tc>
              <w:tc>
                <w:tcPr>
                  <w:tcW w:w="2612" w:type="dxa"/>
                  <w:tcBorders>
                    <w:tl2br w:val="nil"/>
                    <w:tr2bl w:val="nil"/>
                  </w:tcBorders>
                  <w:noWrap w:val="0"/>
                  <w:vAlign w:val="center"/>
                </w:tcPr>
                <w:p w14:paraId="3C849E1D">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未超出排污许可证污染物量</w:t>
                  </w:r>
                </w:p>
              </w:tc>
            </w:tr>
            <w:tr w14:paraId="7C437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89" w:type="dxa"/>
                  <w:tcBorders>
                    <w:tl2br w:val="nil"/>
                    <w:tr2bl w:val="nil"/>
                  </w:tcBorders>
                  <w:noWrap w:val="0"/>
                  <w:vAlign w:val="center"/>
                </w:tcPr>
                <w:p w14:paraId="1D1AE3BE">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NO</w:t>
                  </w:r>
                  <w:r>
                    <w:rPr>
                      <w:rFonts w:hint="default" w:ascii="Times New Roman" w:hAnsi="Times New Roman" w:eastAsia="宋体" w:cs="Times New Roman"/>
                      <w:snapToGrid w:val="0"/>
                      <w:kern w:val="0"/>
                      <w:szCs w:val="21"/>
                      <w:u w:val="none" w:color="auto"/>
                      <w:vertAlign w:val="subscript"/>
                    </w:rPr>
                    <w:t>X</w:t>
                  </w:r>
                </w:p>
              </w:tc>
              <w:tc>
                <w:tcPr>
                  <w:tcW w:w="1970" w:type="dxa"/>
                  <w:tcBorders>
                    <w:tl2br w:val="nil"/>
                    <w:tr2bl w:val="nil"/>
                  </w:tcBorders>
                  <w:noWrap w:val="0"/>
                  <w:vAlign w:val="center"/>
                </w:tcPr>
                <w:p w14:paraId="2E5CE0F3">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rPr>
                    <w:t>31吨</w:t>
                  </w:r>
                </w:p>
              </w:tc>
              <w:tc>
                <w:tcPr>
                  <w:tcW w:w="1847" w:type="dxa"/>
                  <w:tcBorders>
                    <w:tl2br w:val="nil"/>
                    <w:tr2bl w:val="nil"/>
                  </w:tcBorders>
                  <w:noWrap w:val="0"/>
                  <w:vAlign w:val="center"/>
                </w:tcPr>
                <w:p w14:paraId="121CD53E">
                  <w:pPr>
                    <w:adjustRightInd w:val="0"/>
                    <w:snapToGrid w:val="0"/>
                    <w:jc w:val="center"/>
                    <w:rPr>
                      <w:rFonts w:hint="default" w:ascii="Times New Roman" w:hAnsi="Times New Roman" w:eastAsia="宋体" w:cs="Times New Roman"/>
                      <w:snapToGrid w:val="0"/>
                      <w:kern w:val="0"/>
                      <w:szCs w:val="21"/>
                      <w:u w:val="none" w:color="auto"/>
                    </w:rPr>
                  </w:pPr>
                  <w:r>
                    <w:rPr>
                      <w:rFonts w:hint="default" w:ascii="Times New Roman" w:hAnsi="Times New Roman" w:eastAsia="宋体" w:cs="Times New Roman"/>
                      <w:snapToGrid w:val="0"/>
                      <w:kern w:val="0"/>
                      <w:szCs w:val="21"/>
                      <w:u w:val="none" w:color="auto"/>
                      <w:lang w:val="en-US" w:eastAsia="zh-CN"/>
                    </w:rPr>
                    <w:t>8.6</w:t>
                  </w:r>
                  <w:r>
                    <w:rPr>
                      <w:rFonts w:hint="default" w:ascii="Times New Roman" w:hAnsi="Times New Roman" w:eastAsia="宋体" w:cs="Times New Roman"/>
                      <w:snapToGrid w:val="0"/>
                      <w:kern w:val="0"/>
                      <w:szCs w:val="21"/>
                      <w:u w:val="none" w:color="auto"/>
                    </w:rPr>
                    <w:t>吨</w:t>
                  </w:r>
                </w:p>
              </w:tc>
              <w:tc>
                <w:tcPr>
                  <w:tcW w:w="2612" w:type="dxa"/>
                  <w:tcBorders>
                    <w:tl2br w:val="nil"/>
                    <w:tr2bl w:val="nil"/>
                  </w:tcBorders>
                  <w:noWrap w:val="0"/>
                  <w:vAlign w:val="center"/>
                </w:tcPr>
                <w:p w14:paraId="762DAB88">
                  <w:pPr>
                    <w:adjustRightInd w:val="0"/>
                    <w:snapToGrid w:val="0"/>
                    <w:jc w:val="center"/>
                    <w:rPr>
                      <w:rFonts w:hint="default" w:ascii="Times New Roman" w:hAnsi="Times New Roman" w:eastAsia="宋体" w:cs="Times New Roman"/>
                      <w:bCs/>
                      <w:szCs w:val="21"/>
                      <w:u w:val="none" w:color="auto"/>
                    </w:rPr>
                  </w:pPr>
                  <w:r>
                    <w:rPr>
                      <w:rFonts w:hint="default" w:ascii="Times New Roman" w:hAnsi="Times New Roman" w:eastAsia="宋体" w:cs="Times New Roman"/>
                      <w:bCs/>
                      <w:szCs w:val="21"/>
                      <w:u w:val="none" w:color="auto"/>
                    </w:rPr>
                    <w:t>未超出排污许可证污染物量</w:t>
                  </w:r>
                </w:p>
              </w:tc>
            </w:tr>
          </w:tbl>
          <w:p w14:paraId="4FA0039F">
            <w:pPr>
              <w:adjustRightInd w:val="0"/>
              <w:snapToGrid w:val="0"/>
              <w:spacing w:line="360" w:lineRule="auto"/>
              <w:ind w:firstLine="482" w:firstLineChars="200"/>
              <w:rPr>
                <w:rFonts w:hint="default" w:ascii="Times New Roman" w:hAnsi="Times New Roman" w:eastAsia="宋体" w:cs="Times New Roman"/>
                <w:b/>
                <w:sz w:val="24"/>
                <w:u w:val="none" w:color="auto"/>
              </w:rPr>
            </w:pPr>
            <w:r>
              <w:rPr>
                <w:rFonts w:hint="default" w:ascii="Times New Roman" w:hAnsi="Times New Roman" w:eastAsia="宋体" w:cs="Times New Roman"/>
                <w:b/>
                <w:sz w:val="24"/>
                <w:u w:val="none" w:color="auto"/>
              </w:rPr>
              <w:t>5.现有项目环保投诉</w:t>
            </w:r>
          </w:p>
          <w:p w14:paraId="71AB20C1">
            <w:pPr>
              <w:adjustRightInd w:val="0"/>
              <w:snapToGrid w:val="0"/>
              <w:spacing w:line="360" w:lineRule="auto"/>
              <w:ind w:firstLine="480" w:firstLineChars="200"/>
              <w:jc w:val="left"/>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经调查，现有工程自建设投产以来，</w:t>
            </w:r>
            <w:r>
              <w:rPr>
                <w:rFonts w:hint="default" w:ascii="Times New Roman" w:hAnsi="Times New Roman" w:eastAsia="宋体" w:cs="Times New Roman"/>
                <w:color w:val="auto"/>
                <w:sz w:val="24"/>
                <w:u w:val="none" w:color="auto"/>
                <w:lang w:val="en-US" w:eastAsia="zh-CN"/>
              </w:rPr>
              <w:t>现有已建项目废气、废水、噪声等环保设施均正常运行，各项环保设施与生产设备同步运转，保证了废气、废水、噪声达标排放，固体废物也得到妥善处理。无明显环境问题。</w:t>
            </w:r>
          </w:p>
          <w:p w14:paraId="158CE13C">
            <w:pPr>
              <w:adjustRightInd w:val="0"/>
              <w:snapToGrid w:val="0"/>
              <w:spacing w:line="360" w:lineRule="auto"/>
              <w:ind w:firstLine="480" w:firstLineChars="200"/>
              <w:jc w:val="left"/>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经调查，本项目自建设投产以来，未因环保问题受到周边居民投诉，仅在2018年因新增一台生物质锅炉未完成环保手续便已投入运营而受到由</w:t>
            </w:r>
            <w:r>
              <w:rPr>
                <w:rFonts w:hint="default" w:ascii="Times New Roman" w:hAnsi="Times New Roman" w:eastAsia="宋体" w:cs="Times New Roman"/>
                <w:bCs/>
                <w:sz w:val="24"/>
                <w:u w:val="none" w:color="auto"/>
              </w:rPr>
              <w:t>容县环境保护局于2018年4月8日</w:t>
            </w:r>
            <w:r>
              <w:rPr>
                <w:rFonts w:hint="default" w:ascii="Times New Roman" w:hAnsi="Times New Roman" w:eastAsia="宋体" w:cs="Times New Roman"/>
                <w:sz w:val="24"/>
                <w:u w:val="none" w:color="auto"/>
              </w:rPr>
              <w:t>出具的行政处罚事先（听证）告知书（华环罚（听）</w:t>
            </w:r>
            <w:r>
              <w:rPr>
                <w:rFonts w:hint="default" w:ascii="Times New Roman" w:hAnsi="Times New Roman" w:eastAsia="宋体" w:cs="Times New Roman"/>
                <w:sz w:val="24"/>
                <w:highlight w:val="none"/>
                <w:u w:val="none" w:color="auto"/>
              </w:rPr>
              <w:t>告字[2018]06号）。</w:t>
            </w:r>
          </w:p>
          <w:p w14:paraId="2E3C2575">
            <w:pPr>
              <w:keepNext w:val="0"/>
              <w:keepLines w:val="0"/>
              <w:pageBreakBefore w:val="0"/>
              <w:kinsoku/>
              <w:wordWrap/>
              <w:overflowPunct/>
              <w:topLinePunct w:val="0"/>
              <w:autoSpaceDE w:val="0"/>
              <w:autoSpaceDN w:val="0"/>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u w:val="none" w:color="auto"/>
                <w:lang w:val="en-US" w:eastAsia="zh-CN" w:bidi="ar-SA"/>
              </w:rPr>
            </w:pPr>
          </w:p>
          <w:p w14:paraId="31529D5E">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default" w:ascii="Times New Roman" w:hAnsi="Times New Roman" w:eastAsia="宋体" w:cs="Times New Roman"/>
                <w:color w:val="auto"/>
                <w:kern w:val="0"/>
                <w:sz w:val="24"/>
                <w:szCs w:val="24"/>
                <w:u w:val="none" w:color="auto"/>
                <w:lang w:val="en-US" w:eastAsia="zh-CN" w:bidi="ar-SA"/>
              </w:rPr>
            </w:pPr>
          </w:p>
        </w:tc>
      </w:tr>
    </w:tbl>
    <w:p w14:paraId="70BE2695">
      <w:pPr>
        <w:pStyle w:val="22"/>
        <w:numPr>
          <w:ilvl w:val="0"/>
          <w:numId w:val="5"/>
        </w:numPr>
        <w:jc w:val="center"/>
        <w:outlineLvl w:val="0"/>
        <w:rPr>
          <w:rFonts w:hint="default" w:ascii="Times New Roman" w:hAnsi="Times New Roman" w:eastAsia="宋体" w:cs="Times New Roman"/>
          <w:snapToGrid w:val="0"/>
          <w:color w:val="auto"/>
          <w:sz w:val="30"/>
          <w:szCs w:val="30"/>
          <w:u w:val="none" w:color="auto"/>
        </w:rPr>
      </w:pPr>
      <w:bookmarkStart w:id="5" w:name="_Toc22906"/>
      <w:r>
        <w:rPr>
          <w:rFonts w:hint="default" w:ascii="Times New Roman" w:hAnsi="Times New Roman" w:eastAsia="宋体" w:cs="Times New Roman"/>
          <w:snapToGrid w:val="0"/>
          <w:color w:val="auto"/>
          <w:sz w:val="30"/>
          <w:szCs w:val="30"/>
          <w:u w:val="none" w:color="auto"/>
        </w:rPr>
        <w:br w:type="page"/>
      </w:r>
      <w:r>
        <w:rPr>
          <w:rFonts w:hint="default" w:ascii="Times New Roman" w:hAnsi="Times New Roman" w:eastAsia="宋体" w:cs="Times New Roman"/>
          <w:snapToGrid w:val="0"/>
          <w:color w:val="auto"/>
          <w:sz w:val="30"/>
          <w:szCs w:val="30"/>
          <w:u w:val="none" w:color="auto"/>
        </w:rPr>
        <w:t>区域环境质量现状、环境保护目标及评价标准</w:t>
      </w:r>
      <w:bookmarkEnd w:id="5"/>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382DE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14:paraId="75F2826B">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区域</w:t>
            </w:r>
          </w:p>
          <w:p w14:paraId="2AD569B1">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环境</w:t>
            </w:r>
          </w:p>
          <w:p w14:paraId="5EF67F2E">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质量</w:t>
            </w:r>
          </w:p>
          <w:p w14:paraId="2D36A495">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现状</w:t>
            </w:r>
          </w:p>
        </w:tc>
        <w:tc>
          <w:tcPr>
            <w:tcW w:w="8190" w:type="dxa"/>
            <w:noWrap w:val="0"/>
            <w:vAlign w:val="center"/>
          </w:tcPr>
          <w:p w14:paraId="1FE63C0C">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1、环境空气质量现状</w:t>
            </w:r>
          </w:p>
          <w:p w14:paraId="28626AAA">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lang w:val="en-GB"/>
              </w:rPr>
            </w:pPr>
            <w:r>
              <w:rPr>
                <w:rFonts w:hint="default" w:ascii="Times New Roman" w:hAnsi="Times New Roman" w:eastAsia="宋体" w:cs="Times New Roman"/>
                <w:color w:val="auto"/>
                <w:kern w:val="0"/>
                <w:sz w:val="24"/>
                <w:szCs w:val="24"/>
                <w:u w:val="none" w:color="auto"/>
                <w:lang w:val="en-GB"/>
              </w:rPr>
              <w:t>（</w:t>
            </w:r>
            <w:r>
              <w:rPr>
                <w:rFonts w:hint="default" w:ascii="Times New Roman" w:hAnsi="Times New Roman" w:eastAsia="宋体" w:cs="Times New Roman"/>
                <w:color w:val="auto"/>
                <w:kern w:val="0"/>
                <w:sz w:val="24"/>
                <w:szCs w:val="24"/>
                <w:u w:val="none" w:color="auto"/>
              </w:rPr>
              <w:t>1</w:t>
            </w:r>
            <w:r>
              <w:rPr>
                <w:rFonts w:hint="default" w:ascii="Times New Roman" w:hAnsi="Times New Roman" w:eastAsia="宋体" w:cs="Times New Roman"/>
                <w:color w:val="auto"/>
                <w:kern w:val="0"/>
                <w:sz w:val="24"/>
                <w:szCs w:val="24"/>
                <w:u w:val="none" w:color="auto"/>
                <w:lang w:val="en-GB"/>
              </w:rPr>
              <w:t>）环境空气达标评价</w:t>
            </w:r>
          </w:p>
          <w:p w14:paraId="3CA6895D">
            <w:pPr>
              <w:pStyle w:val="97"/>
              <w:ind w:firstLine="480"/>
              <w:rPr>
                <w:rFonts w:hint="default" w:ascii="Times New Roman" w:hAnsi="Times New Roman" w:eastAsia="宋体" w:cs="Times New Roman"/>
                <w:color w:val="000000"/>
                <w:u w:val="none" w:color="auto"/>
              </w:rPr>
            </w:pPr>
            <w:r>
              <w:rPr>
                <w:rFonts w:hint="default" w:ascii="Times New Roman" w:hAnsi="Times New Roman" w:eastAsia="宋体" w:cs="Times New Roman"/>
                <w:color w:val="000000"/>
                <w:u w:val="none" w:color="auto"/>
              </w:rPr>
              <w:t>根据《环境影响评价技术导则大气环境》（HJ2.2-2018），项目所在区域达标情况判定优先采用国家或地方生态环境主管部门公开发布的环境质量公告或环境质量报告中的数据或结论。本项目</w:t>
            </w:r>
            <w:r>
              <w:rPr>
                <w:rFonts w:hint="default" w:ascii="Times New Roman" w:hAnsi="Times New Roman" w:eastAsia="宋体" w:cs="Times New Roman"/>
                <w:color w:val="000000"/>
                <w:szCs w:val="21"/>
                <w:u w:val="none" w:color="auto"/>
              </w:rPr>
              <w:t>SO</w:t>
            </w:r>
            <w:r>
              <w:rPr>
                <w:rFonts w:hint="default" w:ascii="Times New Roman" w:hAnsi="Times New Roman" w:eastAsia="宋体" w:cs="Times New Roman"/>
                <w:color w:val="000000"/>
                <w:szCs w:val="21"/>
                <w:u w:val="none" w:color="auto"/>
                <w:vertAlign w:val="subscript"/>
              </w:rPr>
              <w:t>2</w:t>
            </w:r>
            <w:r>
              <w:rPr>
                <w:rFonts w:hint="default" w:ascii="Times New Roman" w:hAnsi="Times New Roman" w:eastAsia="宋体" w:cs="Times New Roman"/>
                <w:color w:val="000000"/>
                <w:szCs w:val="21"/>
                <w:u w:val="none" w:color="auto"/>
              </w:rPr>
              <w:t>、NO</w:t>
            </w:r>
            <w:r>
              <w:rPr>
                <w:rFonts w:hint="default" w:ascii="Times New Roman" w:hAnsi="Times New Roman" w:eastAsia="宋体" w:cs="Times New Roman"/>
                <w:color w:val="000000"/>
                <w:szCs w:val="21"/>
                <w:u w:val="none" w:color="auto"/>
                <w:vertAlign w:val="subscript"/>
              </w:rPr>
              <w:t>2</w:t>
            </w:r>
            <w:r>
              <w:rPr>
                <w:rFonts w:hint="default" w:ascii="Times New Roman" w:hAnsi="Times New Roman" w:eastAsia="宋体" w:cs="Times New Roman"/>
                <w:color w:val="000000"/>
                <w:szCs w:val="21"/>
                <w:u w:val="none" w:color="auto"/>
              </w:rPr>
              <w:t>、PM</w:t>
            </w:r>
            <w:r>
              <w:rPr>
                <w:rFonts w:hint="default" w:ascii="Times New Roman" w:hAnsi="Times New Roman" w:eastAsia="宋体" w:cs="Times New Roman"/>
                <w:color w:val="000000"/>
                <w:szCs w:val="21"/>
                <w:u w:val="none" w:color="auto"/>
                <w:vertAlign w:val="subscript"/>
              </w:rPr>
              <w:t>10</w:t>
            </w:r>
            <w:r>
              <w:rPr>
                <w:rFonts w:hint="default" w:ascii="Times New Roman" w:hAnsi="Times New Roman" w:eastAsia="宋体" w:cs="Times New Roman"/>
                <w:color w:val="000000"/>
                <w:szCs w:val="21"/>
                <w:u w:val="none" w:color="auto"/>
              </w:rPr>
              <w:t>、PM</w:t>
            </w:r>
            <w:r>
              <w:rPr>
                <w:rFonts w:hint="default" w:ascii="Times New Roman" w:hAnsi="Times New Roman" w:eastAsia="宋体" w:cs="Times New Roman"/>
                <w:color w:val="000000"/>
                <w:szCs w:val="21"/>
                <w:u w:val="none" w:color="auto"/>
                <w:vertAlign w:val="subscript"/>
              </w:rPr>
              <w:t>2.5</w:t>
            </w:r>
            <w:r>
              <w:rPr>
                <w:rFonts w:hint="default" w:ascii="Times New Roman" w:hAnsi="Times New Roman" w:eastAsia="宋体" w:cs="Times New Roman"/>
                <w:color w:val="000000"/>
                <w:szCs w:val="21"/>
                <w:u w:val="none" w:color="auto"/>
              </w:rPr>
              <w:t>、CO、O</w:t>
            </w:r>
            <w:r>
              <w:rPr>
                <w:rFonts w:hint="default" w:ascii="Times New Roman" w:hAnsi="Times New Roman" w:eastAsia="宋体" w:cs="Times New Roman"/>
                <w:color w:val="000000"/>
                <w:szCs w:val="21"/>
                <w:u w:val="none" w:color="auto"/>
                <w:vertAlign w:val="subscript"/>
              </w:rPr>
              <w:t>3</w:t>
            </w:r>
            <w:r>
              <w:rPr>
                <w:rFonts w:hint="default" w:ascii="Times New Roman" w:hAnsi="Times New Roman" w:eastAsia="宋体" w:cs="Times New Roman"/>
                <w:color w:val="000000"/>
                <w:u w:val="none" w:color="auto"/>
              </w:rPr>
              <w:t>等基本污染物环境空气质量现状采用岳阳市生态环境局公开发布的202</w:t>
            </w:r>
            <w:r>
              <w:rPr>
                <w:rFonts w:hint="default" w:ascii="Times New Roman" w:hAnsi="Times New Roman" w:eastAsia="宋体" w:cs="Times New Roman"/>
                <w:color w:val="000000"/>
                <w:u w:val="none" w:color="auto"/>
                <w:lang w:val="en-US" w:eastAsia="zh-CN"/>
              </w:rPr>
              <w:t>4</w:t>
            </w:r>
            <w:r>
              <w:rPr>
                <w:rFonts w:hint="default" w:ascii="Times New Roman" w:hAnsi="Times New Roman" w:eastAsia="宋体" w:cs="Times New Roman"/>
                <w:color w:val="000000"/>
                <w:u w:val="none" w:color="auto"/>
              </w:rPr>
              <w:t>年度华容县空气质量年报中公布的数据。</w:t>
            </w:r>
          </w:p>
          <w:p w14:paraId="3BD96F81">
            <w:pPr>
              <w:pStyle w:val="98"/>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表3-1  202</w:t>
            </w:r>
            <w:r>
              <w:rPr>
                <w:rFonts w:hint="default" w:ascii="Times New Roman" w:hAnsi="Times New Roman" w:eastAsia="宋体" w:cs="Times New Roman"/>
                <w:color w:val="000000"/>
                <w:sz w:val="21"/>
                <w:szCs w:val="21"/>
                <w:u w:val="none" w:color="auto"/>
                <w:lang w:val="en-US" w:eastAsia="zh-CN"/>
              </w:rPr>
              <w:t>4</w:t>
            </w:r>
            <w:r>
              <w:rPr>
                <w:rFonts w:hint="default" w:ascii="Times New Roman" w:hAnsi="Times New Roman" w:eastAsia="宋体" w:cs="Times New Roman"/>
                <w:color w:val="000000"/>
                <w:sz w:val="21"/>
                <w:szCs w:val="21"/>
                <w:u w:val="none" w:color="auto"/>
              </w:rPr>
              <w:t>年度华容县环境空气质量状况统计表单位：ug/m</w:t>
            </w:r>
            <w:r>
              <w:rPr>
                <w:rFonts w:hint="default" w:ascii="Times New Roman" w:hAnsi="Times New Roman" w:eastAsia="宋体" w:cs="Times New Roman"/>
                <w:color w:val="000000"/>
                <w:sz w:val="21"/>
                <w:szCs w:val="21"/>
                <w:u w:val="none" w:color="auto"/>
                <w:vertAlign w:val="superscript"/>
              </w:rPr>
              <w:t>3</w:t>
            </w:r>
          </w:p>
          <w:tbl>
            <w:tblPr>
              <w:tblStyle w:val="26"/>
              <w:tblW w:w="7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783"/>
              <w:gridCol w:w="1011"/>
              <w:gridCol w:w="1068"/>
              <w:gridCol w:w="1097"/>
              <w:gridCol w:w="1112"/>
            </w:tblGrid>
            <w:tr w14:paraId="3A6EC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2AE339C">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污染物</w:t>
                  </w:r>
                </w:p>
              </w:tc>
              <w:tc>
                <w:tcPr>
                  <w:tcW w:w="2805" w:type="dxa"/>
                  <w:tcBorders>
                    <w:tl2br w:val="nil"/>
                    <w:tr2bl w:val="nil"/>
                  </w:tcBorders>
                  <w:tcMar>
                    <w:top w:w="0" w:type="dxa"/>
                    <w:left w:w="108" w:type="dxa"/>
                    <w:bottom w:w="0" w:type="dxa"/>
                    <w:right w:w="108" w:type="dxa"/>
                  </w:tcMar>
                  <w:vAlign w:val="center"/>
                </w:tcPr>
                <w:p w14:paraId="02E1D2C2">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评价指标</w:t>
                  </w:r>
                </w:p>
              </w:tc>
              <w:tc>
                <w:tcPr>
                  <w:tcW w:w="1018" w:type="dxa"/>
                  <w:tcBorders>
                    <w:tl2br w:val="nil"/>
                    <w:tr2bl w:val="nil"/>
                  </w:tcBorders>
                  <w:tcMar>
                    <w:top w:w="0" w:type="dxa"/>
                    <w:left w:w="108" w:type="dxa"/>
                    <w:bottom w:w="0" w:type="dxa"/>
                    <w:right w:w="108" w:type="dxa"/>
                  </w:tcMar>
                  <w:vAlign w:val="center"/>
                </w:tcPr>
                <w:p w14:paraId="43DFCE5E">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现状</w:t>
                  </w:r>
                </w:p>
                <w:p w14:paraId="2625B834">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浓度</w:t>
                  </w:r>
                </w:p>
              </w:tc>
              <w:tc>
                <w:tcPr>
                  <w:tcW w:w="1075" w:type="dxa"/>
                  <w:tcBorders>
                    <w:tl2br w:val="nil"/>
                    <w:tr2bl w:val="nil"/>
                  </w:tcBorders>
                  <w:tcMar>
                    <w:top w:w="0" w:type="dxa"/>
                    <w:left w:w="108" w:type="dxa"/>
                    <w:bottom w:w="0" w:type="dxa"/>
                    <w:right w:w="108" w:type="dxa"/>
                  </w:tcMar>
                  <w:vAlign w:val="center"/>
                </w:tcPr>
                <w:p w14:paraId="24AFD821">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标准值</w:t>
                  </w:r>
                </w:p>
              </w:tc>
              <w:tc>
                <w:tcPr>
                  <w:tcW w:w="1105" w:type="dxa"/>
                  <w:tcBorders>
                    <w:tl2br w:val="nil"/>
                    <w:tr2bl w:val="nil"/>
                  </w:tcBorders>
                  <w:tcMar>
                    <w:top w:w="0" w:type="dxa"/>
                    <w:left w:w="108" w:type="dxa"/>
                    <w:bottom w:w="0" w:type="dxa"/>
                    <w:right w:w="108" w:type="dxa"/>
                  </w:tcMar>
                  <w:vAlign w:val="center"/>
                </w:tcPr>
                <w:p w14:paraId="2617F6EF">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占标率%</w:t>
                  </w:r>
                </w:p>
              </w:tc>
              <w:tc>
                <w:tcPr>
                  <w:tcW w:w="1120" w:type="dxa"/>
                  <w:tcBorders>
                    <w:tl2br w:val="nil"/>
                    <w:tr2bl w:val="nil"/>
                  </w:tcBorders>
                  <w:tcMar>
                    <w:top w:w="0" w:type="dxa"/>
                    <w:left w:w="108" w:type="dxa"/>
                    <w:bottom w:w="0" w:type="dxa"/>
                    <w:right w:w="108" w:type="dxa"/>
                  </w:tcMar>
                  <w:vAlign w:val="center"/>
                </w:tcPr>
                <w:p w14:paraId="59AC099D">
                  <w:pPr>
                    <w:pStyle w:val="99"/>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达标情况</w:t>
                  </w:r>
                </w:p>
              </w:tc>
            </w:tr>
            <w:tr w14:paraId="50733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B8B85F9">
                  <w:pPr>
                    <w:pStyle w:val="99"/>
                    <w:rPr>
                      <w:rFonts w:hint="default" w:ascii="Times New Roman" w:hAnsi="Times New Roman" w:eastAsia="宋体" w:cs="Times New Roman"/>
                      <w:u w:val="none" w:color="auto"/>
                    </w:rPr>
                  </w:pPr>
                  <w:r>
                    <w:rPr>
                      <w:rFonts w:hint="default" w:ascii="Times New Roman" w:hAnsi="Times New Roman" w:eastAsia="宋体" w:cs="Times New Roman"/>
                      <w:bCs/>
                      <w:szCs w:val="21"/>
                      <w:u w:val="none" w:color="auto"/>
                    </w:rPr>
                    <w:t>PM</w:t>
                  </w:r>
                  <w:r>
                    <w:rPr>
                      <w:rFonts w:hint="default" w:ascii="Times New Roman" w:hAnsi="Times New Roman" w:eastAsia="宋体" w:cs="Times New Roman"/>
                      <w:bCs/>
                      <w:szCs w:val="21"/>
                      <w:u w:val="none" w:color="auto"/>
                      <w:vertAlign w:val="subscript"/>
                    </w:rPr>
                    <w:t>2.5</w:t>
                  </w:r>
                </w:p>
              </w:tc>
              <w:tc>
                <w:tcPr>
                  <w:tcW w:w="2805" w:type="dxa"/>
                  <w:tcBorders>
                    <w:tl2br w:val="nil"/>
                    <w:tr2bl w:val="nil"/>
                  </w:tcBorders>
                  <w:tcMar>
                    <w:top w:w="0" w:type="dxa"/>
                    <w:left w:w="108" w:type="dxa"/>
                    <w:bottom w:w="0" w:type="dxa"/>
                    <w:right w:w="108" w:type="dxa"/>
                  </w:tcMar>
                  <w:vAlign w:val="center"/>
                </w:tcPr>
                <w:p w14:paraId="6D7A9451">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2938B298">
                  <w:pPr>
                    <w:pStyle w:val="99"/>
                    <w:ind w:firstLine="0" w:firstLineChars="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u w:val="none" w:color="auto"/>
                      <w14:textFill>
                        <w14:solidFill>
                          <w14:schemeClr w14:val="tx1"/>
                        </w14:solidFill>
                      </w14:textFill>
                    </w:rPr>
                    <w:t>3</w:t>
                  </w:r>
                  <w:r>
                    <w:rPr>
                      <w:rFonts w:hint="default" w:ascii="Times New Roman" w:hAnsi="Times New Roman" w:eastAsia="宋体" w:cs="Times New Roman"/>
                      <w:color w:val="000000" w:themeColor="text1"/>
                      <w:u w:val="none" w:color="auto"/>
                      <w:lang w:val="en-US" w:eastAsia="zh-CN"/>
                      <w14:textFill>
                        <w14:solidFill>
                          <w14:schemeClr w14:val="tx1"/>
                        </w14:solidFill>
                      </w14:textFill>
                    </w:rPr>
                    <w:t>4</w:t>
                  </w:r>
                </w:p>
              </w:tc>
              <w:tc>
                <w:tcPr>
                  <w:tcW w:w="1075" w:type="dxa"/>
                  <w:tcBorders>
                    <w:tl2br w:val="nil"/>
                    <w:tr2bl w:val="nil"/>
                  </w:tcBorders>
                  <w:tcMar>
                    <w:top w:w="0" w:type="dxa"/>
                    <w:left w:w="108" w:type="dxa"/>
                    <w:bottom w:w="0" w:type="dxa"/>
                    <w:right w:w="108" w:type="dxa"/>
                  </w:tcMar>
                  <w:vAlign w:val="center"/>
                </w:tcPr>
                <w:p w14:paraId="6D41EC51">
                  <w:pPr>
                    <w:pStyle w:val="99"/>
                    <w:ind w:firstLine="0" w:firstLineChars="0"/>
                    <w:rPr>
                      <w:rFonts w:hint="default" w:ascii="Times New Roman" w:hAnsi="Times New Roman" w:eastAsia="宋体" w:cs="Times New Roman"/>
                      <w:color w:val="000000" w:themeColor="text1"/>
                      <w:u w:val="none" w:color="auto"/>
                      <w14:textFill>
                        <w14:solidFill>
                          <w14:schemeClr w14:val="tx1"/>
                        </w14:solidFill>
                      </w14:textFill>
                    </w:rPr>
                  </w:pPr>
                  <w:r>
                    <w:rPr>
                      <w:rFonts w:hint="default" w:ascii="Times New Roman" w:hAnsi="Times New Roman" w:eastAsia="宋体" w:cs="Times New Roman"/>
                      <w:color w:val="000000" w:themeColor="text1"/>
                      <w:szCs w:val="21"/>
                      <w:u w:val="none" w:color="auto"/>
                      <w14:textFill>
                        <w14:solidFill>
                          <w14:schemeClr w14:val="tx1"/>
                        </w14:solidFill>
                      </w14:textFill>
                    </w:rPr>
                    <w:t>35</w:t>
                  </w:r>
                </w:p>
              </w:tc>
              <w:tc>
                <w:tcPr>
                  <w:tcW w:w="1105" w:type="dxa"/>
                  <w:tcBorders>
                    <w:tl2br w:val="nil"/>
                    <w:tr2bl w:val="nil"/>
                  </w:tcBorders>
                  <w:tcMar>
                    <w:top w:w="0" w:type="dxa"/>
                    <w:left w:w="108" w:type="dxa"/>
                    <w:bottom w:w="0" w:type="dxa"/>
                    <w:right w:w="108" w:type="dxa"/>
                  </w:tcMar>
                  <w:vAlign w:val="center"/>
                </w:tcPr>
                <w:p w14:paraId="4E391B3E">
                  <w:pPr>
                    <w:pStyle w:val="99"/>
                    <w:ind w:firstLine="0" w:firstLineChars="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u w:val="none" w:color="auto"/>
                      <w14:textFill>
                        <w14:solidFill>
                          <w14:schemeClr w14:val="tx1"/>
                        </w14:solidFill>
                      </w14:textFill>
                    </w:rPr>
                    <w:t>9</w:t>
                  </w:r>
                  <w:r>
                    <w:rPr>
                      <w:rFonts w:hint="default" w:ascii="Times New Roman" w:hAnsi="Times New Roman" w:eastAsia="宋体" w:cs="Times New Roman"/>
                      <w:color w:val="000000" w:themeColor="text1"/>
                      <w:u w:val="none" w:color="auto"/>
                      <w:lang w:val="en-US" w:eastAsia="zh-CN"/>
                      <w14:textFill>
                        <w14:solidFill>
                          <w14:schemeClr w14:val="tx1"/>
                        </w14:solidFill>
                      </w14:textFill>
                    </w:rPr>
                    <w:t>7.1</w:t>
                  </w:r>
                </w:p>
              </w:tc>
              <w:tc>
                <w:tcPr>
                  <w:tcW w:w="1120" w:type="dxa"/>
                  <w:tcBorders>
                    <w:tl2br w:val="nil"/>
                    <w:tr2bl w:val="nil"/>
                  </w:tcBorders>
                  <w:tcMar>
                    <w:top w:w="0" w:type="dxa"/>
                    <w:left w:w="108" w:type="dxa"/>
                    <w:bottom w:w="0" w:type="dxa"/>
                    <w:right w:w="108" w:type="dxa"/>
                  </w:tcMar>
                  <w:vAlign w:val="center"/>
                </w:tcPr>
                <w:p w14:paraId="339BBE86">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r w14:paraId="39ADB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74B58EA9">
                  <w:pPr>
                    <w:pStyle w:val="99"/>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PM</w:t>
                  </w:r>
                  <w:r>
                    <w:rPr>
                      <w:rFonts w:hint="default" w:ascii="Times New Roman" w:hAnsi="Times New Roman" w:eastAsia="宋体" w:cs="Times New Roman"/>
                      <w:szCs w:val="21"/>
                      <w:u w:val="none" w:color="auto"/>
                      <w:vertAlign w:val="subscript"/>
                    </w:rPr>
                    <w:t>10</w:t>
                  </w:r>
                </w:p>
              </w:tc>
              <w:tc>
                <w:tcPr>
                  <w:tcW w:w="2805" w:type="dxa"/>
                  <w:tcBorders>
                    <w:tl2br w:val="nil"/>
                    <w:tr2bl w:val="nil"/>
                  </w:tcBorders>
                  <w:tcMar>
                    <w:top w:w="0" w:type="dxa"/>
                    <w:left w:w="108" w:type="dxa"/>
                    <w:bottom w:w="0" w:type="dxa"/>
                    <w:right w:w="108" w:type="dxa"/>
                  </w:tcMar>
                  <w:vAlign w:val="center"/>
                </w:tcPr>
                <w:p w14:paraId="08065CD1">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3C54F29E">
                  <w:pPr>
                    <w:pStyle w:val="99"/>
                    <w:ind w:firstLine="0" w:firstLineChars="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u w:val="none" w:color="auto"/>
                      <w:lang w:val="en-US" w:eastAsia="zh-CN"/>
                      <w14:textFill>
                        <w14:solidFill>
                          <w14:schemeClr w14:val="tx1"/>
                        </w14:solidFill>
                      </w14:textFill>
                    </w:rPr>
                    <w:t>52</w:t>
                  </w:r>
                </w:p>
              </w:tc>
              <w:tc>
                <w:tcPr>
                  <w:tcW w:w="1075" w:type="dxa"/>
                  <w:tcBorders>
                    <w:tl2br w:val="nil"/>
                    <w:tr2bl w:val="nil"/>
                  </w:tcBorders>
                  <w:tcMar>
                    <w:top w:w="0" w:type="dxa"/>
                    <w:left w:w="108" w:type="dxa"/>
                    <w:bottom w:w="0" w:type="dxa"/>
                    <w:right w:w="108" w:type="dxa"/>
                  </w:tcMar>
                  <w:vAlign w:val="center"/>
                </w:tcPr>
                <w:p w14:paraId="4F3DA804">
                  <w:pPr>
                    <w:pStyle w:val="99"/>
                    <w:ind w:firstLine="0" w:firstLineChars="0"/>
                    <w:rPr>
                      <w:rFonts w:hint="default" w:ascii="Times New Roman" w:hAnsi="Times New Roman" w:eastAsia="宋体" w:cs="Times New Roman"/>
                      <w:color w:val="000000" w:themeColor="text1"/>
                      <w:u w:val="none" w:color="auto"/>
                      <w14:textFill>
                        <w14:solidFill>
                          <w14:schemeClr w14:val="tx1"/>
                        </w14:solidFill>
                      </w14:textFill>
                    </w:rPr>
                  </w:pPr>
                  <w:r>
                    <w:rPr>
                      <w:rFonts w:hint="default" w:ascii="Times New Roman" w:hAnsi="Times New Roman" w:eastAsia="宋体" w:cs="Times New Roman"/>
                      <w:color w:val="000000" w:themeColor="text1"/>
                      <w:szCs w:val="21"/>
                      <w:u w:val="none" w:color="auto"/>
                      <w14:textFill>
                        <w14:solidFill>
                          <w14:schemeClr w14:val="tx1"/>
                        </w14:solidFill>
                      </w14:textFill>
                    </w:rPr>
                    <w:t>70</w:t>
                  </w:r>
                </w:p>
              </w:tc>
              <w:tc>
                <w:tcPr>
                  <w:tcW w:w="1105" w:type="dxa"/>
                  <w:tcBorders>
                    <w:tl2br w:val="nil"/>
                    <w:tr2bl w:val="nil"/>
                  </w:tcBorders>
                  <w:tcMar>
                    <w:top w:w="0" w:type="dxa"/>
                    <w:left w:w="108" w:type="dxa"/>
                    <w:bottom w:w="0" w:type="dxa"/>
                    <w:right w:w="108" w:type="dxa"/>
                  </w:tcMar>
                  <w:vAlign w:val="center"/>
                </w:tcPr>
                <w:p w14:paraId="51E9B8A7">
                  <w:pPr>
                    <w:pStyle w:val="99"/>
                    <w:ind w:firstLine="0" w:firstLineChars="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Style w:val="33"/>
                      <w:rFonts w:hint="default" w:ascii="Times New Roman" w:hAnsi="Times New Roman" w:eastAsia="宋体" w:cs="Times New Roman"/>
                      <w:color w:val="000000" w:themeColor="text1"/>
                      <w:kern w:val="0"/>
                      <w:szCs w:val="20"/>
                      <w:u w:val="none" w:color="auto"/>
                      <w:lang w:val="en-US" w:eastAsia="zh-CN"/>
                      <w14:textFill>
                        <w14:solidFill>
                          <w14:schemeClr w14:val="tx1"/>
                        </w14:solidFill>
                      </w14:textFill>
                    </w:rPr>
                    <w:t>74.3</w:t>
                  </w:r>
                </w:p>
              </w:tc>
              <w:tc>
                <w:tcPr>
                  <w:tcW w:w="1120" w:type="dxa"/>
                  <w:tcBorders>
                    <w:tl2br w:val="nil"/>
                    <w:tr2bl w:val="nil"/>
                  </w:tcBorders>
                  <w:tcMar>
                    <w:top w:w="0" w:type="dxa"/>
                    <w:left w:w="108" w:type="dxa"/>
                    <w:bottom w:w="0" w:type="dxa"/>
                    <w:right w:w="108" w:type="dxa"/>
                  </w:tcMar>
                  <w:vAlign w:val="center"/>
                </w:tcPr>
                <w:p w14:paraId="73FC4BF5">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r w14:paraId="55D0D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A8BAA5E">
                  <w:pPr>
                    <w:pStyle w:val="99"/>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SO</w:t>
                  </w:r>
                  <w:r>
                    <w:rPr>
                      <w:rFonts w:hint="default" w:ascii="Times New Roman" w:hAnsi="Times New Roman" w:eastAsia="宋体" w:cs="Times New Roman"/>
                      <w:szCs w:val="21"/>
                      <w:u w:val="none" w:color="auto"/>
                      <w:vertAlign w:val="subscript"/>
                    </w:rPr>
                    <w:t>2</w:t>
                  </w:r>
                </w:p>
              </w:tc>
              <w:tc>
                <w:tcPr>
                  <w:tcW w:w="2805" w:type="dxa"/>
                  <w:tcBorders>
                    <w:tl2br w:val="nil"/>
                    <w:tr2bl w:val="nil"/>
                  </w:tcBorders>
                  <w:tcMar>
                    <w:top w:w="0" w:type="dxa"/>
                    <w:left w:w="108" w:type="dxa"/>
                    <w:bottom w:w="0" w:type="dxa"/>
                    <w:right w:w="108" w:type="dxa"/>
                  </w:tcMar>
                  <w:vAlign w:val="center"/>
                </w:tcPr>
                <w:p w14:paraId="370B1A3E">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64EB1024">
                  <w:pPr>
                    <w:pStyle w:val="99"/>
                    <w:ind w:firstLine="0" w:firstLineChars="0"/>
                    <w:rPr>
                      <w:rFonts w:hint="default" w:ascii="Times New Roman" w:hAnsi="Times New Roman" w:eastAsia="宋体" w:cs="Times New Roman"/>
                      <w:u w:val="none" w:color="auto"/>
                      <w:lang w:eastAsia="zh-CN"/>
                    </w:rPr>
                  </w:pPr>
                  <w:r>
                    <w:rPr>
                      <w:rFonts w:hint="default" w:ascii="Times New Roman" w:hAnsi="Times New Roman" w:eastAsia="宋体" w:cs="Times New Roman"/>
                      <w:u w:val="none" w:color="auto"/>
                    </w:rPr>
                    <w:t>7</w:t>
                  </w:r>
                </w:p>
              </w:tc>
              <w:tc>
                <w:tcPr>
                  <w:tcW w:w="1075" w:type="dxa"/>
                  <w:tcBorders>
                    <w:tl2br w:val="nil"/>
                    <w:tr2bl w:val="nil"/>
                  </w:tcBorders>
                  <w:tcMar>
                    <w:top w:w="0" w:type="dxa"/>
                    <w:left w:w="108" w:type="dxa"/>
                    <w:bottom w:w="0" w:type="dxa"/>
                    <w:right w:w="108" w:type="dxa"/>
                  </w:tcMar>
                  <w:vAlign w:val="center"/>
                </w:tcPr>
                <w:p w14:paraId="222CA0BB">
                  <w:pPr>
                    <w:pStyle w:val="99"/>
                    <w:ind w:firstLine="0" w:firstLineChars="0"/>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60</w:t>
                  </w:r>
                </w:p>
              </w:tc>
              <w:tc>
                <w:tcPr>
                  <w:tcW w:w="1105" w:type="dxa"/>
                  <w:tcBorders>
                    <w:tl2br w:val="nil"/>
                    <w:tr2bl w:val="nil"/>
                  </w:tcBorders>
                  <w:tcMar>
                    <w:top w:w="0" w:type="dxa"/>
                    <w:left w:w="108" w:type="dxa"/>
                    <w:bottom w:w="0" w:type="dxa"/>
                    <w:right w:w="108" w:type="dxa"/>
                  </w:tcMar>
                  <w:vAlign w:val="center"/>
                </w:tcPr>
                <w:p w14:paraId="346E0E1E">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11.7</w:t>
                  </w:r>
                </w:p>
              </w:tc>
              <w:tc>
                <w:tcPr>
                  <w:tcW w:w="1120" w:type="dxa"/>
                  <w:tcBorders>
                    <w:tl2br w:val="nil"/>
                    <w:tr2bl w:val="nil"/>
                  </w:tcBorders>
                  <w:tcMar>
                    <w:top w:w="0" w:type="dxa"/>
                    <w:left w:w="108" w:type="dxa"/>
                    <w:bottom w:w="0" w:type="dxa"/>
                    <w:right w:w="108" w:type="dxa"/>
                  </w:tcMar>
                  <w:vAlign w:val="center"/>
                </w:tcPr>
                <w:p w14:paraId="6D804C2D">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r w14:paraId="3AD4C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0A404E48">
                  <w:pPr>
                    <w:pStyle w:val="99"/>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NO</w:t>
                  </w:r>
                  <w:r>
                    <w:rPr>
                      <w:rFonts w:hint="default" w:ascii="Times New Roman" w:hAnsi="Times New Roman" w:eastAsia="宋体" w:cs="Times New Roman"/>
                      <w:szCs w:val="21"/>
                      <w:u w:val="none" w:color="auto"/>
                      <w:vertAlign w:val="subscript"/>
                    </w:rPr>
                    <w:t>2</w:t>
                  </w:r>
                </w:p>
              </w:tc>
              <w:tc>
                <w:tcPr>
                  <w:tcW w:w="2805" w:type="dxa"/>
                  <w:tcBorders>
                    <w:tl2br w:val="nil"/>
                    <w:tr2bl w:val="nil"/>
                  </w:tcBorders>
                  <w:tcMar>
                    <w:top w:w="0" w:type="dxa"/>
                    <w:left w:w="108" w:type="dxa"/>
                    <w:bottom w:w="0" w:type="dxa"/>
                    <w:right w:w="108" w:type="dxa"/>
                  </w:tcMar>
                  <w:vAlign w:val="center"/>
                </w:tcPr>
                <w:p w14:paraId="1F9B35EF">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年平均质量浓度</w:t>
                  </w:r>
                </w:p>
              </w:tc>
              <w:tc>
                <w:tcPr>
                  <w:tcW w:w="1018" w:type="dxa"/>
                  <w:tcBorders>
                    <w:tl2br w:val="nil"/>
                    <w:tr2bl w:val="nil"/>
                  </w:tcBorders>
                  <w:tcMar>
                    <w:top w:w="0" w:type="dxa"/>
                    <w:left w:w="108" w:type="dxa"/>
                    <w:bottom w:w="0" w:type="dxa"/>
                    <w:right w:w="108" w:type="dxa"/>
                  </w:tcMar>
                  <w:vAlign w:val="center"/>
                </w:tcPr>
                <w:p w14:paraId="40192EBD">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13</w:t>
                  </w:r>
                </w:p>
              </w:tc>
              <w:tc>
                <w:tcPr>
                  <w:tcW w:w="1075" w:type="dxa"/>
                  <w:tcBorders>
                    <w:tl2br w:val="nil"/>
                    <w:tr2bl w:val="nil"/>
                  </w:tcBorders>
                  <w:tcMar>
                    <w:top w:w="0" w:type="dxa"/>
                    <w:left w:w="108" w:type="dxa"/>
                    <w:bottom w:w="0" w:type="dxa"/>
                    <w:right w:w="108" w:type="dxa"/>
                  </w:tcMar>
                  <w:vAlign w:val="center"/>
                </w:tcPr>
                <w:p w14:paraId="1B257815">
                  <w:pPr>
                    <w:pStyle w:val="99"/>
                    <w:ind w:firstLine="0" w:firstLineChars="0"/>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40</w:t>
                  </w:r>
                </w:p>
              </w:tc>
              <w:tc>
                <w:tcPr>
                  <w:tcW w:w="1105" w:type="dxa"/>
                  <w:tcBorders>
                    <w:tl2br w:val="nil"/>
                    <w:tr2bl w:val="nil"/>
                  </w:tcBorders>
                  <w:tcMar>
                    <w:top w:w="0" w:type="dxa"/>
                    <w:left w:w="108" w:type="dxa"/>
                    <w:bottom w:w="0" w:type="dxa"/>
                    <w:right w:w="108" w:type="dxa"/>
                  </w:tcMar>
                  <w:vAlign w:val="center"/>
                </w:tcPr>
                <w:p w14:paraId="511E80DB">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32.5</w:t>
                  </w:r>
                </w:p>
              </w:tc>
              <w:tc>
                <w:tcPr>
                  <w:tcW w:w="1120" w:type="dxa"/>
                  <w:tcBorders>
                    <w:tl2br w:val="nil"/>
                    <w:tr2bl w:val="nil"/>
                  </w:tcBorders>
                  <w:tcMar>
                    <w:top w:w="0" w:type="dxa"/>
                    <w:left w:w="108" w:type="dxa"/>
                    <w:bottom w:w="0" w:type="dxa"/>
                    <w:right w:w="108" w:type="dxa"/>
                  </w:tcMar>
                  <w:vAlign w:val="center"/>
                </w:tcPr>
                <w:p w14:paraId="36D4A246">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r w14:paraId="700BD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1D6321A7">
                  <w:pPr>
                    <w:pStyle w:val="99"/>
                    <w:rPr>
                      <w:rFonts w:hint="default" w:ascii="Times New Roman" w:hAnsi="Times New Roman" w:eastAsia="宋体" w:cs="Times New Roman"/>
                      <w:u w:val="none" w:color="auto"/>
                    </w:rPr>
                  </w:pPr>
                  <w:r>
                    <w:rPr>
                      <w:rFonts w:hint="default" w:ascii="Times New Roman" w:hAnsi="Times New Roman" w:eastAsia="宋体" w:cs="Times New Roman"/>
                      <w:bCs/>
                      <w:szCs w:val="21"/>
                      <w:u w:val="none" w:color="auto"/>
                    </w:rPr>
                    <w:t>CO</w:t>
                  </w:r>
                </w:p>
              </w:tc>
              <w:tc>
                <w:tcPr>
                  <w:tcW w:w="2805" w:type="dxa"/>
                  <w:tcBorders>
                    <w:tl2br w:val="nil"/>
                    <w:tr2bl w:val="nil"/>
                  </w:tcBorders>
                  <w:tcMar>
                    <w:top w:w="0" w:type="dxa"/>
                    <w:left w:w="108" w:type="dxa"/>
                    <w:bottom w:w="0" w:type="dxa"/>
                    <w:right w:w="108" w:type="dxa"/>
                  </w:tcMar>
                  <w:vAlign w:val="center"/>
                </w:tcPr>
                <w:p w14:paraId="5A05DAE2">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第95百分位数24h平均质量浓度</w:t>
                  </w:r>
                </w:p>
              </w:tc>
              <w:tc>
                <w:tcPr>
                  <w:tcW w:w="1018" w:type="dxa"/>
                  <w:tcBorders>
                    <w:tl2br w:val="nil"/>
                    <w:tr2bl w:val="nil"/>
                  </w:tcBorders>
                  <w:tcMar>
                    <w:top w:w="0" w:type="dxa"/>
                    <w:left w:w="108" w:type="dxa"/>
                    <w:bottom w:w="0" w:type="dxa"/>
                    <w:right w:w="108" w:type="dxa"/>
                  </w:tcMar>
                  <w:vAlign w:val="center"/>
                </w:tcPr>
                <w:p w14:paraId="3835FB7E">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1000</w:t>
                  </w:r>
                </w:p>
              </w:tc>
              <w:tc>
                <w:tcPr>
                  <w:tcW w:w="1075" w:type="dxa"/>
                  <w:tcBorders>
                    <w:tl2br w:val="nil"/>
                    <w:tr2bl w:val="nil"/>
                  </w:tcBorders>
                  <w:tcMar>
                    <w:top w:w="0" w:type="dxa"/>
                    <w:left w:w="108" w:type="dxa"/>
                    <w:bottom w:w="0" w:type="dxa"/>
                    <w:right w:w="108" w:type="dxa"/>
                  </w:tcMar>
                  <w:vAlign w:val="center"/>
                </w:tcPr>
                <w:p w14:paraId="1D83F80B">
                  <w:pPr>
                    <w:pStyle w:val="99"/>
                    <w:ind w:firstLine="0" w:firstLineChars="0"/>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4000</w:t>
                  </w:r>
                </w:p>
              </w:tc>
              <w:tc>
                <w:tcPr>
                  <w:tcW w:w="1105" w:type="dxa"/>
                  <w:tcBorders>
                    <w:tl2br w:val="nil"/>
                    <w:tr2bl w:val="nil"/>
                  </w:tcBorders>
                  <w:tcMar>
                    <w:top w:w="0" w:type="dxa"/>
                    <w:left w:w="108" w:type="dxa"/>
                    <w:bottom w:w="0" w:type="dxa"/>
                    <w:right w:w="108" w:type="dxa"/>
                  </w:tcMar>
                  <w:vAlign w:val="center"/>
                </w:tcPr>
                <w:p w14:paraId="7ECC25F1">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25.0</w:t>
                  </w:r>
                </w:p>
              </w:tc>
              <w:tc>
                <w:tcPr>
                  <w:tcW w:w="1120" w:type="dxa"/>
                  <w:tcBorders>
                    <w:tl2br w:val="nil"/>
                    <w:tr2bl w:val="nil"/>
                  </w:tcBorders>
                  <w:tcMar>
                    <w:top w:w="0" w:type="dxa"/>
                    <w:left w:w="108" w:type="dxa"/>
                    <w:bottom w:w="0" w:type="dxa"/>
                    <w:right w:w="108" w:type="dxa"/>
                  </w:tcMar>
                  <w:vAlign w:val="center"/>
                </w:tcPr>
                <w:p w14:paraId="71C9EF23">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r w14:paraId="1B7AC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tcMar>
                    <w:top w:w="0" w:type="dxa"/>
                    <w:left w:w="108" w:type="dxa"/>
                    <w:bottom w:w="0" w:type="dxa"/>
                    <w:right w:w="108" w:type="dxa"/>
                  </w:tcMar>
                  <w:vAlign w:val="center"/>
                </w:tcPr>
                <w:p w14:paraId="5D17E31D">
                  <w:pPr>
                    <w:pStyle w:val="99"/>
                    <w:rPr>
                      <w:rFonts w:hint="default" w:ascii="Times New Roman" w:hAnsi="Times New Roman" w:eastAsia="宋体" w:cs="Times New Roman"/>
                      <w:u w:val="none" w:color="auto"/>
                    </w:rPr>
                  </w:pPr>
                  <w:r>
                    <w:rPr>
                      <w:rFonts w:hint="default" w:ascii="Times New Roman" w:hAnsi="Times New Roman" w:eastAsia="宋体" w:cs="Times New Roman"/>
                      <w:bCs/>
                      <w:szCs w:val="21"/>
                      <w:u w:val="none" w:color="auto"/>
                    </w:rPr>
                    <w:t>O</w:t>
                  </w:r>
                  <w:r>
                    <w:rPr>
                      <w:rFonts w:hint="default" w:ascii="Times New Roman" w:hAnsi="Times New Roman" w:eastAsia="宋体" w:cs="Times New Roman"/>
                      <w:bCs/>
                      <w:szCs w:val="21"/>
                      <w:u w:val="none" w:color="auto"/>
                      <w:vertAlign w:val="subscript"/>
                    </w:rPr>
                    <w:t>3</w:t>
                  </w:r>
                </w:p>
              </w:tc>
              <w:tc>
                <w:tcPr>
                  <w:tcW w:w="2805" w:type="dxa"/>
                  <w:tcBorders>
                    <w:tl2br w:val="nil"/>
                    <w:tr2bl w:val="nil"/>
                  </w:tcBorders>
                  <w:tcMar>
                    <w:top w:w="0" w:type="dxa"/>
                    <w:left w:w="108" w:type="dxa"/>
                    <w:bottom w:w="0" w:type="dxa"/>
                    <w:right w:w="108" w:type="dxa"/>
                  </w:tcMar>
                  <w:vAlign w:val="center"/>
                </w:tcPr>
                <w:p w14:paraId="5EC4F28F">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第90百分位数最大8h平均质量浓度</w:t>
                  </w:r>
                </w:p>
              </w:tc>
              <w:tc>
                <w:tcPr>
                  <w:tcW w:w="1018" w:type="dxa"/>
                  <w:tcBorders>
                    <w:tl2br w:val="nil"/>
                    <w:tr2bl w:val="nil"/>
                  </w:tcBorders>
                  <w:tcMar>
                    <w:top w:w="0" w:type="dxa"/>
                    <w:left w:w="108" w:type="dxa"/>
                    <w:bottom w:w="0" w:type="dxa"/>
                    <w:right w:w="108" w:type="dxa"/>
                  </w:tcMar>
                  <w:vAlign w:val="center"/>
                </w:tcPr>
                <w:p w14:paraId="6BA740D4">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rPr>
                    <w:t>1</w:t>
                  </w:r>
                  <w:r>
                    <w:rPr>
                      <w:rFonts w:hint="default" w:ascii="Times New Roman" w:hAnsi="Times New Roman" w:eastAsia="宋体" w:cs="Times New Roman"/>
                      <w:u w:val="none" w:color="auto"/>
                      <w:lang w:val="en-US" w:eastAsia="zh-CN"/>
                    </w:rPr>
                    <w:t>44</w:t>
                  </w:r>
                </w:p>
              </w:tc>
              <w:tc>
                <w:tcPr>
                  <w:tcW w:w="1075" w:type="dxa"/>
                  <w:tcBorders>
                    <w:tl2br w:val="nil"/>
                    <w:tr2bl w:val="nil"/>
                  </w:tcBorders>
                  <w:tcMar>
                    <w:top w:w="0" w:type="dxa"/>
                    <w:left w:w="108" w:type="dxa"/>
                    <w:bottom w:w="0" w:type="dxa"/>
                    <w:right w:w="108" w:type="dxa"/>
                  </w:tcMar>
                  <w:vAlign w:val="center"/>
                </w:tcPr>
                <w:p w14:paraId="3C188C7C">
                  <w:pPr>
                    <w:pStyle w:val="99"/>
                    <w:ind w:firstLine="0" w:firstLineChars="0"/>
                    <w:rPr>
                      <w:rFonts w:hint="default" w:ascii="Times New Roman" w:hAnsi="Times New Roman" w:eastAsia="宋体" w:cs="Times New Roman"/>
                      <w:u w:val="none" w:color="auto"/>
                    </w:rPr>
                  </w:pPr>
                  <w:r>
                    <w:rPr>
                      <w:rFonts w:hint="default" w:ascii="Times New Roman" w:hAnsi="Times New Roman" w:eastAsia="宋体" w:cs="Times New Roman"/>
                      <w:szCs w:val="21"/>
                      <w:u w:val="none" w:color="auto"/>
                    </w:rPr>
                    <w:t>160</w:t>
                  </w:r>
                </w:p>
              </w:tc>
              <w:tc>
                <w:tcPr>
                  <w:tcW w:w="1105" w:type="dxa"/>
                  <w:tcBorders>
                    <w:tl2br w:val="nil"/>
                    <w:tr2bl w:val="nil"/>
                  </w:tcBorders>
                  <w:tcMar>
                    <w:top w:w="0" w:type="dxa"/>
                    <w:left w:w="108" w:type="dxa"/>
                    <w:bottom w:w="0" w:type="dxa"/>
                    <w:right w:w="108" w:type="dxa"/>
                  </w:tcMar>
                  <w:vAlign w:val="center"/>
                </w:tcPr>
                <w:p w14:paraId="6A3813CB">
                  <w:pPr>
                    <w:pStyle w:val="99"/>
                    <w:ind w:firstLine="0" w:firstLineChars="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9</w:t>
                  </w:r>
                  <w:r>
                    <w:rPr>
                      <w:rFonts w:hint="default" w:ascii="Times New Roman" w:hAnsi="Times New Roman" w:eastAsia="宋体" w:cs="Times New Roman"/>
                      <w:u w:val="none" w:color="auto"/>
                    </w:rPr>
                    <w:t>0.0</w:t>
                  </w:r>
                </w:p>
              </w:tc>
              <w:tc>
                <w:tcPr>
                  <w:tcW w:w="1120" w:type="dxa"/>
                  <w:tcBorders>
                    <w:tl2br w:val="nil"/>
                    <w:tr2bl w:val="nil"/>
                  </w:tcBorders>
                  <w:tcMar>
                    <w:top w:w="0" w:type="dxa"/>
                    <w:left w:w="108" w:type="dxa"/>
                    <w:bottom w:w="0" w:type="dxa"/>
                    <w:right w:w="108" w:type="dxa"/>
                  </w:tcMar>
                  <w:vAlign w:val="center"/>
                </w:tcPr>
                <w:p w14:paraId="1080ECF0">
                  <w:pPr>
                    <w:pStyle w:val="99"/>
                    <w:rPr>
                      <w:rFonts w:hint="default" w:ascii="Times New Roman" w:hAnsi="Times New Roman" w:eastAsia="宋体" w:cs="Times New Roman"/>
                      <w:u w:val="none" w:color="auto"/>
                    </w:rPr>
                  </w:pPr>
                  <w:r>
                    <w:rPr>
                      <w:rFonts w:hint="default" w:ascii="Times New Roman" w:hAnsi="Times New Roman" w:eastAsia="宋体" w:cs="Times New Roman"/>
                      <w:u w:val="none" w:color="auto"/>
                    </w:rPr>
                    <w:t>是</w:t>
                  </w:r>
                </w:p>
              </w:tc>
            </w:tr>
          </w:tbl>
          <w:p w14:paraId="595B5350">
            <w:pPr>
              <w:pStyle w:val="55"/>
              <w:spacing w:line="360" w:lineRule="auto"/>
              <w:rPr>
                <w:rFonts w:hint="default" w:ascii="Times New Roman" w:hAnsi="Times New Roman" w:eastAsia="宋体" w:cs="Times New Roman"/>
                <w:color w:val="000000"/>
                <w:u w:val="none" w:color="auto"/>
              </w:rPr>
            </w:pPr>
            <w:r>
              <w:rPr>
                <w:rFonts w:hint="default" w:ascii="Times New Roman" w:hAnsi="Times New Roman" w:eastAsia="宋体" w:cs="Times New Roman"/>
                <w:color w:val="000000"/>
                <w:u w:val="none" w:color="auto"/>
              </w:rPr>
              <w:t>根据上表监测结果分析：项目所在地的PM</w:t>
            </w:r>
            <w:r>
              <w:rPr>
                <w:rFonts w:hint="default" w:ascii="Times New Roman" w:hAnsi="Times New Roman" w:eastAsia="宋体" w:cs="Times New Roman"/>
                <w:color w:val="000000"/>
                <w:u w:val="none" w:color="auto"/>
                <w:vertAlign w:val="subscript"/>
              </w:rPr>
              <w:t>10</w:t>
            </w:r>
            <w:r>
              <w:rPr>
                <w:rFonts w:hint="default" w:ascii="Times New Roman" w:hAnsi="Times New Roman" w:eastAsia="宋体" w:cs="Times New Roman"/>
                <w:color w:val="000000"/>
                <w:u w:val="none" w:color="auto"/>
              </w:rPr>
              <w:t>、PM</w:t>
            </w:r>
            <w:r>
              <w:rPr>
                <w:rFonts w:hint="default" w:ascii="Times New Roman" w:hAnsi="Times New Roman" w:eastAsia="宋体" w:cs="Times New Roman"/>
                <w:color w:val="000000"/>
                <w:u w:val="none" w:color="auto"/>
                <w:vertAlign w:val="subscript"/>
              </w:rPr>
              <w:t>2.5</w:t>
            </w:r>
            <w:r>
              <w:rPr>
                <w:rFonts w:hint="default" w:ascii="Times New Roman" w:hAnsi="Times New Roman" w:eastAsia="宋体" w:cs="Times New Roman"/>
                <w:color w:val="000000"/>
                <w:u w:val="none" w:color="auto"/>
              </w:rPr>
              <w:t>、SO</w:t>
            </w:r>
            <w:r>
              <w:rPr>
                <w:rFonts w:hint="default" w:ascii="Times New Roman" w:hAnsi="Times New Roman" w:eastAsia="宋体" w:cs="Times New Roman"/>
                <w:color w:val="000000"/>
                <w:u w:val="none" w:color="auto"/>
                <w:vertAlign w:val="subscript"/>
              </w:rPr>
              <w:t>2</w:t>
            </w:r>
            <w:r>
              <w:rPr>
                <w:rFonts w:hint="default" w:ascii="Times New Roman" w:hAnsi="Times New Roman" w:eastAsia="宋体" w:cs="Times New Roman"/>
                <w:color w:val="000000"/>
                <w:u w:val="none" w:color="auto"/>
              </w:rPr>
              <w:t>、NO</w:t>
            </w:r>
            <w:r>
              <w:rPr>
                <w:rFonts w:hint="default" w:ascii="Times New Roman" w:hAnsi="Times New Roman" w:eastAsia="宋体" w:cs="Times New Roman"/>
                <w:color w:val="000000"/>
                <w:u w:val="none" w:color="auto"/>
                <w:vertAlign w:val="subscript"/>
              </w:rPr>
              <w:t>2</w:t>
            </w:r>
            <w:r>
              <w:rPr>
                <w:rFonts w:hint="default" w:ascii="Times New Roman" w:hAnsi="Times New Roman" w:eastAsia="宋体" w:cs="Times New Roman"/>
                <w:color w:val="000000"/>
                <w:u w:val="none" w:color="auto"/>
              </w:rPr>
              <w:t>、O</w:t>
            </w:r>
            <w:r>
              <w:rPr>
                <w:rFonts w:hint="default" w:ascii="Times New Roman" w:hAnsi="Times New Roman" w:eastAsia="宋体" w:cs="Times New Roman"/>
                <w:color w:val="000000"/>
                <w:u w:val="none" w:color="auto"/>
                <w:vertAlign w:val="subscript"/>
              </w:rPr>
              <w:t>3</w:t>
            </w:r>
            <w:r>
              <w:rPr>
                <w:rFonts w:hint="default" w:ascii="Times New Roman" w:hAnsi="Times New Roman" w:eastAsia="宋体" w:cs="Times New Roman"/>
                <w:color w:val="000000"/>
                <w:u w:val="none" w:color="auto"/>
              </w:rPr>
              <w:t>、CO年平均浓度值符合《环境空气质量标准》（GB3095-2012）中二级标准要求，区域环境空气</w:t>
            </w:r>
            <w:r>
              <w:rPr>
                <w:rFonts w:hint="default" w:ascii="Times New Roman" w:hAnsi="Times New Roman" w:eastAsia="宋体" w:cs="Times New Roman"/>
                <w:color w:val="000000"/>
                <w:u w:val="none" w:color="auto"/>
                <w:lang w:eastAsia="zh-CN"/>
              </w:rPr>
              <w:t>质量现状</w:t>
            </w:r>
            <w:r>
              <w:rPr>
                <w:rFonts w:hint="default" w:ascii="Times New Roman" w:hAnsi="Times New Roman" w:eastAsia="宋体" w:cs="Times New Roman"/>
                <w:color w:val="000000"/>
                <w:u w:val="none" w:color="auto"/>
              </w:rPr>
              <w:t>为达标区。</w:t>
            </w:r>
          </w:p>
          <w:p w14:paraId="20F4BA19">
            <w:pPr>
              <w:pStyle w:val="55"/>
              <w:spacing w:line="360" w:lineRule="auto"/>
              <w:rPr>
                <w:rFonts w:hint="eastAsia" w:ascii="Times New Roman" w:hAnsi="Times New Roman" w:eastAsia="宋体" w:cs="Times New Roman"/>
                <w:color w:val="000000"/>
                <w:u w:val="none" w:color="auto"/>
                <w:lang w:val="en-US" w:eastAsia="zh-CN"/>
              </w:rPr>
            </w:pPr>
            <w:r>
              <w:rPr>
                <w:rFonts w:hint="eastAsia" w:ascii="Times New Roman" w:hAnsi="Times New Roman" w:eastAsia="宋体" w:cs="Times New Roman"/>
                <w:color w:val="000000"/>
                <w:u w:val="none" w:color="auto"/>
                <w:lang w:val="en-US" w:eastAsia="zh-CN"/>
              </w:rPr>
              <w:t>（2）补充监测</w:t>
            </w:r>
          </w:p>
          <w:p w14:paraId="48E30F1E">
            <w:pPr>
              <w:pStyle w:val="55"/>
              <w:spacing w:line="360" w:lineRule="auto"/>
              <w:rPr>
                <w:rFonts w:hint="eastAsia" w:ascii="Times New Roman" w:hAnsi="Times New Roman" w:eastAsia="宋体" w:cs="Times New Roman"/>
                <w:color w:val="000000"/>
                <w:u w:val="none" w:color="auto"/>
                <w:lang w:val="en-US" w:eastAsia="zh-CN"/>
              </w:rPr>
            </w:pPr>
            <w:r>
              <w:rPr>
                <w:rFonts w:hint="eastAsia" w:ascii="Times New Roman" w:hAnsi="Times New Roman" w:eastAsia="宋体" w:cs="Times New Roman"/>
                <w:color w:val="000000"/>
                <w:u w:val="none" w:color="auto"/>
                <w:lang w:val="en-US" w:eastAsia="zh-CN"/>
              </w:rPr>
              <w:t xml:space="preserve">本次环评于2025年7月18日—7月20日，委托湖南正鸿检测技术有限公司对本季下风向 </w:t>
            </w:r>
            <w:r>
              <w:rPr>
                <w:rFonts w:hint="default" w:ascii="Times New Roman" w:hAnsi="Times New Roman" w:eastAsia="宋体" w:cs="Times New Roman"/>
                <w:color w:val="000000"/>
                <w:u w:val="none" w:color="auto"/>
                <w:lang w:val="en-US" w:eastAsia="zh-CN"/>
              </w:rPr>
              <w:t xml:space="preserve">540m </w:t>
            </w:r>
            <w:r>
              <w:rPr>
                <w:rFonts w:hint="eastAsia" w:ascii="Times New Roman" w:hAnsi="Times New Roman" w:eastAsia="宋体" w:cs="Times New Roman"/>
                <w:color w:val="000000"/>
                <w:u w:val="none" w:color="auto"/>
                <w:lang w:val="en-US" w:eastAsia="zh-CN"/>
              </w:rPr>
              <w:t>处散户居民点进行了现状监测，具体监测数据如下：</w:t>
            </w:r>
          </w:p>
          <w:p w14:paraId="39C083F0">
            <w:pPr>
              <w:adjustRightInd w:val="0"/>
              <w:snapToGrid w:val="0"/>
              <w:jc w:val="center"/>
              <w:rPr>
                <w:kern w:val="0"/>
                <w:sz w:val="21"/>
                <w:szCs w:val="21"/>
                <w:u w:val="none" w:color="auto"/>
              </w:rPr>
            </w:pPr>
            <w:r>
              <w:rPr>
                <w:b/>
                <w:bCs/>
                <w:kern w:val="0"/>
                <w:sz w:val="21"/>
                <w:szCs w:val="21"/>
                <w:u w:val="none" w:color="auto"/>
              </w:rPr>
              <w:t>表3-</w:t>
            </w:r>
            <w:r>
              <w:rPr>
                <w:rFonts w:hint="eastAsia"/>
                <w:b/>
                <w:bCs/>
                <w:kern w:val="0"/>
                <w:sz w:val="21"/>
                <w:szCs w:val="21"/>
                <w:u w:val="none" w:color="auto"/>
                <w:lang w:val="en-US" w:eastAsia="zh-CN"/>
              </w:rPr>
              <w:t>5</w:t>
            </w:r>
            <w:r>
              <w:rPr>
                <w:b/>
                <w:bCs/>
                <w:kern w:val="0"/>
                <w:sz w:val="21"/>
                <w:szCs w:val="21"/>
                <w:u w:val="none" w:color="auto"/>
              </w:rPr>
              <w:t>补充监测点位基本信息</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
            <w:tblGrid>
              <w:gridCol w:w="2103"/>
              <w:gridCol w:w="1563"/>
              <w:gridCol w:w="1821"/>
              <w:gridCol w:w="2454"/>
            </w:tblGrid>
            <w:tr w14:paraId="15A3A4A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324" w:type="pct"/>
                  <w:tcBorders>
                    <w:tl2br w:val="nil"/>
                    <w:tr2bl w:val="nil"/>
                  </w:tcBorders>
                  <w:noWrap w:val="0"/>
                  <w:vAlign w:val="center"/>
                </w:tcPr>
                <w:p w14:paraId="7B8B3AE3">
                  <w:pPr>
                    <w:jc w:val="center"/>
                    <w:rPr>
                      <w:b/>
                      <w:bCs/>
                      <w:szCs w:val="21"/>
                      <w:u w:val="none" w:color="auto"/>
                    </w:rPr>
                  </w:pPr>
                  <w:r>
                    <w:rPr>
                      <w:b/>
                      <w:bCs/>
                      <w:szCs w:val="21"/>
                      <w:u w:val="none" w:color="auto"/>
                    </w:rPr>
                    <w:t>监测点名称</w:t>
                  </w:r>
                </w:p>
              </w:tc>
              <w:tc>
                <w:tcPr>
                  <w:tcW w:w="984" w:type="pct"/>
                  <w:tcBorders>
                    <w:tl2br w:val="nil"/>
                    <w:tr2bl w:val="nil"/>
                  </w:tcBorders>
                  <w:noWrap w:val="0"/>
                  <w:vAlign w:val="center"/>
                </w:tcPr>
                <w:p w14:paraId="0A451CF0">
                  <w:pPr>
                    <w:pStyle w:val="71"/>
                    <w:spacing w:before="0" w:after="0" w:line="240" w:lineRule="auto"/>
                    <w:ind w:right="0" w:firstLine="0"/>
                    <w:rPr>
                      <w:rFonts w:ascii="Times New Roman" w:hAnsi="Times New Roman"/>
                      <w:b/>
                      <w:bCs/>
                      <w:snapToGrid w:val="0"/>
                      <w:sz w:val="21"/>
                      <w:szCs w:val="21"/>
                      <w:u w:val="none" w:color="auto"/>
                    </w:rPr>
                  </w:pPr>
                  <w:r>
                    <w:rPr>
                      <w:rFonts w:ascii="Times New Roman" w:hAnsi="Times New Roman"/>
                      <w:b/>
                      <w:bCs/>
                      <w:snapToGrid w:val="0"/>
                      <w:sz w:val="21"/>
                      <w:szCs w:val="21"/>
                      <w:u w:val="none" w:color="auto"/>
                    </w:rPr>
                    <w:t>监测因子</w:t>
                  </w:r>
                </w:p>
              </w:tc>
              <w:tc>
                <w:tcPr>
                  <w:tcW w:w="1146" w:type="pct"/>
                  <w:tcBorders>
                    <w:tl2br w:val="nil"/>
                    <w:tr2bl w:val="nil"/>
                  </w:tcBorders>
                  <w:noWrap w:val="0"/>
                  <w:vAlign w:val="center"/>
                </w:tcPr>
                <w:p w14:paraId="4F70E372">
                  <w:pPr>
                    <w:pStyle w:val="74"/>
                    <w:overflowPunct/>
                    <w:autoSpaceDE/>
                    <w:autoSpaceDN/>
                    <w:spacing w:before="0" w:beforeAutospacing="0" w:after="0" w:afterAutospacing="0" w:line="240" w:lineRule="auto"/>
                    <w:textAlignment w:val="auto"/>
                    <w:rPr>
                      <w:rFonts w:ascii="Times New Roman" w:hAnsi="Times New Roman"/>
                      <w:b/>
                      <w:bCs/>
                      <w:sz w:val="21"/>
                      <w:szCs w:val="21"/>
                      <w:u w:val="none" w:color="auto"/>
                    </w:rPr>
                  </w:pPr>
                  <w:r>
                    <w:rPr>
                      <w:b/>
                      <w:bCs/>
                      <w:spacing w:val="6"/>
                      <w:sz w:val="20"/>
                      <w:szCs w:val="20"/>
                      <w:u w:val="none" w:color="auto"/>
                    </w:rPr>
                    <w:t>监测频次</w:t>
                  </w:r>
                </w:p>
              </w:tc>
              <w:tc>
                <w:tcPr>
                  <w:tcW w:w="1544" w:type="pct"/>
                  <w:tcBorders>
                    <w:tl2br w:val="nil"/>
                    <w:tr2bl w:val="nil"/>
                  </w:tcBorders>
                  <w:noWrap w:val="0"/>
                  <w:vAlign w:val="center"/>
                </w:tcPr>
                <w:p w14:paraId="0FFA3FCB">
                  <w:pPr>
                    <w:jc w:val="center"/>
                    <w:rPr>
                      <w:b/>
                      <w:bCs/>
                      <w:szCs w:val="21"/>
                      <w:u w:val="none" w:color="auto"/>
                    </w:rPr>
                  </w:pPr>
                  <w:r>
                    <w:rPr>
                      <w:b/>
                      <w:bCs/>
                      <w:spacing w:val="6"/>
                      <w:sz w:val="20"/>
                      <w:szCs w:val="20"/>
                      <w:u w:val="none" w:color="auto"/>
                    </w:rPr>
                    <w:t>评价标准</w:t>
                  </w:r>
                </w:p>
              </w:tc>
            </w:tr>
            <w:tr w14:paraId="4231AF9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324" w:type="pct"/>
                  <w:tcBorders>
                    <w:tl2br w:val="nil"/>
                    <w:tr2bl w:val="nil"/>
                  </w:tcBorders>
                  <w:noWrap w:val="0"/>
                  <w:vAlign w:val="center"/>
                </w:tcPr>
                <w:p w14:paraId="71867471">
                  <w:pPr>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000000"/>
                      <w:u w:val="none" w:color="auto"/>
                      <w:lang w:val="en-US" w:eastAsia="zh-CN"/>
                    </w:rPr>
                    <w:t>本季下风向</w:t>
                  </w:r>
                  <w:r>
                    <w:rPr>
                      <w:rFonts w:hint="default" w:ascii="Times New Roman" w:hAnsi="Times New Roman" w:eastAsia="宋体" w:cs="Times New Roman"/>
                      <w:color w:val="000000"/>
                      <w:u w:val="none" w:color="auto"/>
                      <w:lang w:val="en-US" w:eastAsia="zh-CN"/>
                    </w:rPr>
                    <w:t xml:space="preserve">540m </w:t>
                  </w:r>
                  <w:r>
                    <w:rPr>
                      <w:rFonts w:hint="eastAsia" w:ascii="Times New Roman" w:hAnsi="Times New Roman" w:eastAsia="宋体" w:cs="Times New Roman"/>
                      <w:color w:val="000000"/>
                      <w:u w:val="none" w:color="auto"/>
                      <w:lang w:val="en-US" w:eastAsia="zh-CN"/>
                    </w:rPr>
                    <w:t>处散户居民点</w:t>
                  </w:r>
                </w:p>
              </w:tc>
              <w:tc>
                <w:tcPr>
                  <w:tcW w:w="984" w:type="pct"/>
                  <w:tcBorders>
                    <w:tl2br w:val="nil"/>
                    <w:tr2bl w:val="nil"/>
                  </w:tcBorders>
                  <w:noWrap w:val="0"/>
                  <w:vAlign w:val="center"/>
                </w:tcPr>
                <w:p w14:paraId="018CBA5C">
                  <w:pPr>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sz w:val="21"/>
                      <w:szCs w:val="21"/>
                      <w:highlight w:val="none"/>
                      <w:u w:val="none" w:color="auto"/>
                      <w:lang w:val="en-US" w:eastAsia="zh-CN"/>
                    </w:rPr>
                    <w:t>TSP、氮氧化物</w:t>
                  </w:r>
                </w:p>
              </w:tc>
              <w:tc>
                <w:tcPr>
                  <w:tcW w:w="1146" w:type="pct"/>
                  <w:tcBorders>
                    <w:tl2br w:val="nil"/>
                    <w:tr2bl w:val="nil"/>
                  </w:tcBorders>
                  <w:noWrap w:val="0"/>
                  <w:vAlign w:val="center"/>
                </w:tcPr>
                <w:p w14:paraId="37EA9B88">
                  <w:pPr>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连续监测3天，每天监测1次</w:t>
                  </w:r>
                </w:p>
              </w:tc>
              <w:tc>
                <w:tcPr>
                  <w:tcW w:w="1544" w:type="pct"/>
                  <w:tcBorders>
                    <w:tl2br w:val="nil"/>
                    <w:tr2bl w:val="nil"/>
                  </w:tcBorders>
                  <w:noWrap w:val="0"/>
                  <w:vAlign w:val="center"/>
                </w:tcPr>
                <w:p w14:paraId="5D6A1A05">
                  <w:pPr>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sz w:val="21"/>
                      <w:szCs w:val="21"/>
                      <w:highlight w:val="none"/>
                      <w:u w:val="none" w:color="auto"/>
                      <w:lang w:val="en-US" w:eastAsia="zh-CN"/>
                    </w:rPr>
                    <w:t>《环境空气质量标准》(GB3095-2012)表2中二级标准限值</w:t>
                  </w:r>
                </w:p>
              </w:tc>
            </w:tr>
          </w:tbl>
          <w:p w14:paraId="0B1458B5">
            <w:pPr>
              <w:spacing w:before="120" w:beforeLines="50"/>
              <w:jc w:val="center"/>
              <w:rPr>
                <w:b/>
                <w:bCs/>
                <w:kern w:val="0"/>
                <w:sz w:val="21"/>
                <w:szCs w:val="21"/>
                <w:u w:val="none" w:color="auto"/>
              </w:rPr>
            </w:pPr>
            <w:r>
              <w:rPr>
                <w:b/>
                <w:bCs/>
                <w:kern w:val="0"/>
                <w:sz w:val="21"/>
                <w:szCs w:val="21"/>
                <w:u w:val="none" w:color="auto"/>
              </w:rPr>
              <w:t>表3-</w:t>
            </w:r>
            <w:r>
              <w:rPr>
                <w:rFonts w:hint="eastAsia"/>
                <w:b/>
                <w:bCs/>
                <w:kern w:val="0"/>
                <w:sz w:val="21"/>
                <w:szCs w:val="21"/>
                <w:u w:val="none" w:color="auto"/>
                <w:lang w:val="en-US" w:eastAsia="zh-CN"/>
              </w:rPr>
              <w:t>6</w:t>
            </w:r>
            <w:r>
              <w:rPr>
                <w:b/>
                <w:bCs/>
                <w:kern w:val="0"/>
                <w:sz w:val="21"/>
                <w:szCs w:val="21"/>
                <w:u w:val="none" w:color="auto"/>
              </w:rPr>
              <w:t>其他污染物环境质量现状(监测结果)表</w:t>
            </w:r>
          </w:p>
          <w:tbl>
            <w:tblPr>
              <w:tblStyle w:val="27"/>
              <w:tblW w:w="8034" w:type="dxa"/>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4"/>
              <w:gridCol w:w="1814"/>
              <w:gridCol w:w="1963"/>
              <w:gridCol w:w="1963"/>
            </w:tblGrid>
            <w:tr w14:paraId="06998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2294" w:type="dxa"/>
                  <w:tcBorders>
                    <w:tl2br w:val="nil"/>
                    <w:tr2bl w:val="nil"/>
                  </w:tcBorders>
                  <w:noWrap w:val="0"/>
                  <w:vAlign w:val="center"/>
                </w:tcPr>
                <w:p w14:paraId="13818087">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eastAsia="宋体" w:cs="Times New Roman"/>
                      <w:b/>
                      <w:bCs/>
                      <w:color w:val="auto"/>
                      <w:sz w:val="21"/>
                      <w:szCs w:val="21"/>
                      <w:highlight w:val="none"/>
                      <w:u w:val="none" w:color="auto"/>
                      <w:lang w:val="en-GB" w:eastAsia="zh-CN"/>
                    </w:rPr>
                  </w:pPr>
                  <w:r>
                    <w:rPr>
                      <w:rFonts w:hint="eastAsia" w:ascii="Times New Roman" w:hAnsi="Times New Roman" w:eastAsia="宋体" w:cs="Times New Roman"/>
                      <w:b/>
                      <w:bCs/>
                      <w:color w:val="auto"/>
                      <w:sz w:val="21"/>
                      <w:szCs w:val="21"/>
                      <w:highlight w:val="none"/>
                      <w:u w:val="none" w:color="auto"/>
                      <w:lang w:val="en-GB" w:eastAsia="zh-CN"/>
                    </w:rPr>
                    <w:t>采样点位</w:t>
                  </w:r>
                </w:p>
              </w:tc>
              <w:tc>
                <w:tcPr>
                  <w:tcW w:w="1814" w:type="dxa"/>
                  <w:tcBorders>
                    <w:tl2br w:val="nil"/>
                    <w:tr2bl w:val="nil"/>
                  </w:tcBorders>
                  <w:noWrap w:val="0"/>
                  <w:vAlign w:val="center"/>
                </w:tcPr>
                <w:p w14:paraId="1FE00881">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eastAsia="宋体" w:cs="Times New Roman"/>
                      <w:b/>
                      <w:bCs/>
                      <w:color w:val="auto"/>
                      <w:sz w:val="21"/>
                      <w:szCs w:val="21"/>
                      <w:highlight w:val="none"/>
                      <w:u w:val="none" w:color="auto"/>
                      <w:lang w:val="en-GB" w:eastAsia="zh-CN"/>
                    </w:rPr>
                  </w:pPr>
                  <w:r>
                    <w:rPr>
                      <w:rFonts w:hint="eastAsia" w:ascii="Times New Roman" w:hAnsi="Times New Roman" w:eastAsia="宋体" w:cs="Times New Roman"/>
                      <w:b/>
                      <w:bCs/>
                      <w:color w:val="auto"/>
                      <w:sz w:val="21"/>
                      <w:szCs w:val="21"/>
                      <w:highlight w:val="none"/>
                      <w:u w:val="none" w:color="auto"/>
                      <w:lang w:val="en-GB" w:eastAsia="zh-CN"/>
                    </w:rPr>
                    <w:t>采样日期</w:t>
                  </w:r>
                </w:p>
              </w:tc>
              <w:tc>
                <w:tcPr>
                  <w:tcW w:w="1963" w:type="dxa"/>
                  <w:tcBorders>
                    <w:tl2br w:val="nil"/>
                    <w:tr2bl w:val="nil"/>
                  </w:tcBorders>
                  <w:noWrap w:val="0"/>
                  <w:vAlign w:val="center"/>
                </w:tcPr>
                <w:p w14:paraId="7780AD1C">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b/>
                      <w:bCs/>
                      <w:color w:val="auto"/>
                      <w:sz w:val="21"/>
                      <w:szCs w:val="21"/>
                      <w:highlight w:val="none"/>
                      <w:u w:val="none" w:color="auto"/>
                      <w:lang w:val="en-US" w:eastAsia="zh-CN"/>
                    </w:rPr>
                  </w:pPr>
                  <w:r>
                    <w:rPr>
                      <w:rFonts w:hint="eastAsia" w:ascii="Times New Roman" w:hAnsi="Times New Roman" w:cs="Times New Roman"/>
                      <w:sz w:val="21"/>
                      <w:szCs w:val="21"/>
                      <w:highlight w:val="none"/>
                      <w:u w:val="none" w:color="auto"/>
                      <w:lang w:val="en-US" w:eastAsia="zh-CN"/>
                    </w:rPr>
                    <w:t>TSP</w:t>
                  </w:r>
                  <w:r>
                    <w:rPr>
                      <w:rFonts w:hint="eastAsia" w:ascii="Times New Roman" w:hAnsi="Times New Roman" w:eastAsia="宋体" w:cs="Times New Roman"/>
                      <w:b/>
                      <w:bCs/>
                      <w:color w:val="auto"/>
                      <w:sz w:val="21"/>
                      <w:szCs w:val="21"/>
                      <w:highlight w:val="none"/>
                      <w:u w:val="none" w:color="auto"/>
                      <w:lang w:val="en-US" w:eastAsia="zh-CN"/>
                    </w:rPr>
                    <w:t>(mg/m</w:t>
                  </w:r>
                  <w:r>
                    <w:rPr>
                      <w:rFonts w:hint="eastAsia" w:ascii="Times New Roman" w:hAnsi="Times New Roman" w:eastAsia="宋体" w:cs="Times New Roman"/>
                      <w:b/>
                      <w:bCs/>
                      <w:color w:val="auto"/>
                      <w:sz w:val="21"/>
                      <w:szCs w:val="21"/>
                      <w:highlight w:val="none"/>
                      <w:u w:val="none" w:color="auto"/>
                      <w:vertAlign w:val="superscript"/>
                      <w:lang w:val="en-US" w:eastAsia="zh-CN"/>
                    </w:rPr>
                    <w:t>3</w:t>
                  </w:r>
                  <w:r>
                    <w:rPr>
                      <w:rFonts w:hint="eastAsia" w:ascii="Times New Roman" w:hAnsi="Times New Roman" w:eastAsia="宋体" w:cs="Times New Roman"/>
                      <w:b/>
                      <w:bCs/>
                      <w:color w:val="auto"/>
                      <w:sz w:val="21"/>
                      <w:szCs w:val="21"/>
                      <w:highlight w:val="none"/>
                      <w:u w:val="none" w:color="auto"/>
                      <w:lang w:val="en-US" w:eastAsia="zh-CN"/>
                    </w:rPr>
                    <w:t>）</w:t>
                  </w:r>
                </w:p>
              </w:tc>
              <w:tc>
                <w:tcPr>
                  <w:tcW w:w="1963" w:type="dxa"/>
                  <w:tcBorders>
                    <w:tl2br w:val="nil"/>
                    <w:tr2bl w:val="nil"/>
                  </w:tcBorders>
                  <w:noWrap w:val="0"/>
                  <w:vAlign w:val="center"/>
                </w:tcPr>
                <w:p w14:paraId="6E1D434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cs="Times New Roman"/>
                      <w:sz w:val="21"/>
                      <w:szCs w:val="21"/>
                      <w:highlight w:val="none"/>
                      <w:u w:val="none" w:color="auto"/>
                      <w:lang w:val="en-US" w:eastAsia="zh-CN"/>
                    </w:rPr>
                  </w:pPr>
                  <w:r>
                    <w:rPr>
                      <w:rFonts w:hint="eastAsia" w:ascii="Times New Roman" w:hAnsi="Times New Roman" w:cs="Times New Roman"/>
                      <w:sz w:val="21"/>
                      <w:szCs w:val="21"/>
                      <w:highlight w:val="none"/>
                      <w:u w:val="none" w:color="auto"/>
                      <w:lang w:val="en-US" w:eastAsia="zh-CN"/>
                    </w:rPr>
                    <w:t>氮氧化物</w:t>
                  </w:r>
                  <w:r>
                    <w:rPr>
                      <w:rFonts w:hint="eastAsia" w:ascii="Times New Roman" w:hAnsi="Times New Roman" w:eastAsia="宋体" w:cs="Times New Roman"/>
                      <w:b/>
                      <w:bCs/>
                      <w:color w:val="auto"/>
                      <w:sz w:val="21"/>
                      <w:szCs w:val="21"/>
                      <w:highlight w:val="none"/>
                      <w:u w:val="none" w:color="auto"/>
                      <w:lang w:val="en-US" w:eastAsia="zh-CN"/>
                    </w:rPr>
                    <w:t>(mg/m</w:t>
                  </w:r>
                  <w:r>
                    <w:rPr>
                      <w:rFonts w:hint="eastAsia" w:ascii="Times New Roman" w:hAnsi="Times New Roman" w:eastAsia="宋体" w:cs="Times New Roman"/>
                      <w:b/>
                      <w:bCs/>
                      <w:color w:val="auto"/>
                      <w:sz w:val="21"/>
                      <w:szCs w:val="21"/>
                      <w:highlight w:val="none"/>
                      <w:u w:val="none" w:color="auto"/>
                      <w:vertAlign w:val="superscript"/>
                      <w:lang w:val="en-US" w:eastAsia="zh-CN"/>
                    </w:rPr>
                    <w:t>3</w:t>
                  </w:r>
                  <w:r>
                    <w:rPr>
                      <w:rFonts w:hint="eastAsia" w:ascii="Times New Roman" w:hAnsi="Times New Roman" w:eastAsia="宋体" w:cs="Times New Roman"/>
                      <w:b/>
                      <w:bCs/>
                      <w:color w:val="auto"/>
                      <w:sz w:val="21"/>
                      <w:szCs w:val="21"/>
                      <w:highlight w:val="none"/>
                      <w:u w:val="none" w:color="auto"/>
                      <w:lang w:val="en-US" w:eastAsia="zh-CN"/>
                    </w:rPr>
                    <w:t>）</w:t>
                  </w:r>
                </w:p>
              </w:tc>
            </w:tr>
            <w:tr w14:paraId="6DE04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294" w:type="dxa"/>
                  <w:vMerge w:val="restart"/>
                  <w:tcBorders>
                    <w:tl2br w:val="nil"/>
                    <w:tr2bl w:val="nil"/>
                  </w:tcBorders>
                  <w:noWrap w:val="0"/>
                  <w:vAlign w:val="center"/>
                </w:tcPr>
                <w:p w14:paraId="2435BED0">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000000"/>
                      <w:u w:val="none" w:color="auto"/>
                      <w:lang w:val="en-US" w:eastAsia="zh-CN"/>
                    </w:rPr>
                    <w:t xml:space="preserve">本季下风向 </w:t>
                  </w:r>
                  <w:r>
                    <w:rPr>
                      <w:rFonts w:hint="default" w:ascii="Times New Roman" w:hAnsi="Times New Roman" w:eastAsia="宋体" w:cs="Times New Roman"/>
                      <w:color w:val="000000"/>
                      <w:u w:val="none" w:color="auto"/>
                      <w:lang w:val="en-US" w:eastAsia="zh-CN"/>
                    </w:rPr>
                    <w:t xml:space="preserve">540m </w:t>
                  </w:r>
                  <w:r>
                    <w:rPr>
                      <w:rFonts w:hint="eastAsia" w:ascii="Times New Roman" w:hAnsi="Times New Roman" w:eastAsia="宋体" w:cs="Times New Roman"/>
                      <w:color w:val="000000"/>
                      <w:u w:val="none" w:color="auto"/>
                      <w:lang w:val="en-US" w:eastAsia="zh-CN"/>
                    </w:rPr>
                    <w:t>处散户居民点</w:t>
                  </w:r>
                </w:p>
              </w:tc>
              <w:tc>
                <w:tcPr>
                  <w:tcW w:w="1814" w:type="dxa"/>
                  <w:tcBorders>
                    <w:tl2br w:val="nil"/>
                    <w:tr2bl w:val="nil"/>
                  </w:tcBorders>
                  <w:noWrap w:val="0"/>
                  <w:vAlign w:val="top"/>
                </w:tcPr>
                <w:p w14:paraId="56D9D5AF">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2025.07.18</w:t>
                  </w:r>
                </w:p>
              </w:tc>
              <w:tc>
                <w:tcPr>
                  <w:tcW w:w="1963" w:type="dxa"/>
                  <w:tcBorders>
                    <w:tl2br w:val="nil"/>
                    <w:tr2bl w:val="nil"/>
                  </w:tcBorders>
                  <w:noWrap w:val="0"/>
                  <w:vAlign w:val="top"/>
                </w:tcPr>
                <w:p w14:paraId="0AE6A25C">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0.013</w:t>
                  </w:r>
                </w:p>
              </w:tc>
              <w:tc>
                <w:tcPr>
                  <w:tcW w:w="1963" w:type="dxa"/>
                  <w:tcBorders>
                    <w:tl2br w:val="nil"/>
                    <w:tr2bl w:val="nil"/>
                  </w:tcBorders>
                  <w:noWrap w:val="0"/>
                  <w:vAlign w:val="top"/>
                </w:tcPr>
                <w:p w14:paraId="4784E96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0.013</w:t>
                  </w:r>
                </w:p>
              </w:tc>
            </w:tr>
            <w:tr w14:paraId="49847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294" w:type="dxa"/>
                  <w:vMerge w:val="continue"/>
                  <w:tcBorders>
                    <w:tl2br w:val="nil"/>
                    <w:tr2bl w:val="nil"/>
                  </w:tcBorders>
                  <w:noWrap w:val="0"/>
                  <w:vAlign w:val="center"/>
                </w:tcPr>
                <w:p w14:paraId="33FF049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eastAsia="宋体" w:cs="Times New Roman"/>
                      <w:color w:val="auto"/>
                      <w:sz w:val="21"/>
                      <w:szCs w:val="21"/>
                      <w:highlight w:val="none"/>
                      <w:u w:val="none" w:color="auto"/>
                      <w:lang w:val="en-GB" w:eastAsia="zh-CN"/>
                    </w:rPr>
                  </w:pPr>
                </w:p>
              </w:tc>
              <w:tc>
                <w:tcPr>
                  <w:tcW w:w="1814" w:type="dxa"/>
                  <w:tcBorders>
                    <w:tl2br w:val="nil"/>
                    <w:tr2bl w:val="nil"/>
                  </w:tcBorders>
                  <w:noWrap w:val="0"/>
                  <w:vAlign w:val="top"/>
                </w:tcPr>
                <w:p w14:paraId="062A9BF2">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2025.07.19</w:t>
                  </w:r>
                </w:p>
              </w:tc>
              <w:tc>
                <w:tcPr>
                  <w:tcW w:w="1963" w:type="dxa"/>
                  <w:tcBorders>
                    <w:tl2br w:val="nil"/>
                    <w:tr2bl w:val="nil"/>
                  </w:tcBorders>
                  <w:noWrap w:val="0"/>
                  <w:vAlign w:val="top"/>
                </w:tcPr>
                <w:p w14:paraId="6253200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0.016</w:t>
                  </w:r>
                </w:p>
              </w:tc>
              <w:tc>
                <w:tcPr>
                  <w:tcW w:w="1963" w:type="dxa"/>
                  <w:tcBorders>
                    <w:tl2br w:val="nil"/>
                    <w:tr2bl w:val="nil"/>
                  </w:tcBorders>
                  <w:noWrap w:val="0"/>
                  <w:vAlign w:val="top"/>
                </w:tcPr>
                <w:p w14:paraId="4C2C9710">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0.017</w:t>
                  </w:r>
                </w:p>
              </w:tc>
            </w:tr>
            <w:tr w14:paraId="71A1D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294" w:type="dxa"/>
                  <w:vMerge w:val="continue"/>
                  <w:tcBorders>
                    <w:tl2br w:val="nil"/>
                    <w:tr2bl w:val="nil"/>
                  </w:tcBorders>
                  <w:noWrap w:val="0"/>
                  <w:vAlign w:val="center"/>
                </w:tcPr>
                <w:p w14:paraId="14CA075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eastAsia="宋体" w:cs="Times New Roman"/>
                      <w:color w:val="auto"/>
                      <w:sz w:val="21"/>
                      <w:szCs w:val="21"/>
                      <w:highlight w:val="none"/>
                      <w:u w:val="none" w:color="auto"/>
                      <w:lang w:val="en-GB" w:eastAsia="zh-CN"/>
                    </w:rPr>
                  </w:pPr>
                </w:p>
              </w:tc>
              <w:tc>
                <w:tcPr>
                  <w:tcW w:w="1814" w:type="dxa"/>
                  <w:tcBorders>
                    <w:tl2br w:val="nil"/>
                    <w:tr2bl w:val="nil"/>
                  </w:tcBorders>
                  <w:noWrap w:val="0"/>
                  <w:vAlign w:val="top"/>
                </w:tcPr>
                <w:p w14:paraId="12022992">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2025.07.20</w:t>
                  </w:r>
                </w:p>
              </w:tc>
              <w:tc>
                <w:tcPr>
                  <w:tcW w:w="1963" w:type="dxa"/>
                  <w:tcBorders>
                    <w:tl2br w:val="nil"/>
                    <w:tr2bl w:val="nil"/>
                  </w:tcBorders>
                  <w:noWrap w:val="0"/>
                  <w:vAlign w:val="top"/>
                </w:tcPr>
                <w:p w14:paraId="4B32C9FE">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0.083</w:t>
                  </w:r>
                </w:p>
              </w:tc>
              <w:tc>
                <w:tcPr>
                  <w:tcW w:w="1963" w:type="dxa"/>
                  <w:tcBorders>
                    <w:tl2br w:val="nil"/>
                    <w:tr2bl w:val="nil"/>
                  </w:tcBorders>
                  <w:noWrap w:val="0"/>
                  <w:vAlign w:val="top"/>
                </w:tcPr>
                <w:p w14:paraId="29CBE8AB">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0.020</w:t>
                  </w:r>
                </w:p>
              </w:tc>
            </w:tr>
            <w:tr w14:paraId="3E9AF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4108" w:type="dxa"/>
                  <w:gridSpan w:val="2"/>
                  <w:tcBorders>
                    <w:tl2br w:val="nil"/>
                    <w:tr2bl w:val="nil"/>
                  </w:tcBorders>
                  <w:noWrap w:val="0"/>
                  <w:vAlign w:val="center"/>
                </w:tcPr>
                <w:p w14:paraId="2F61B837">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eastAsia" w:ascii="Times New Roman" w:hAnsi="Times New Roman" w:eastAsia="宋体" w:cs="Times New Roman"/>
                      <w:color w:val="auto"/>
                      <w:sz w:val="21"/>
                      <w:szCs w:val="21"/>
                      <w:highlight w:val="none"/>
                      <w:u w:val="none" w:color="auto"/>
                      <w:lang w:val="en-GB" w:eastAsia="zh-CN"/>
                    </w:rPr>
                  </w:pPr>
                  <w:r>
                    <w:rPr>
                      <w:rFonts w:hint="eastAsia" w:ascii="Times New Roman" w:hAnsi="Times New Roman" w:eastAsia="宋体" w:cs="Times New Roman"/>
                      <w:sz w:val="21"/>
                      <w:szCs w:val="21"/>
                      <w:highlight w:val="none"/>
                      <w:u w:val="none" w:color="auto"/>
                      <w:lang w:val="en-US" w:eastAsia="zh-CN"/>
                    </w:rPr>
                    <w:t>《环境空气质量标准》(GB3095-2012)表2中二级标准限值</w:t>
                  </w:r>
                </w:p>
              </w:tc>
              <w:tc>
                <w:tcPr>
                  <w:tcW w:w="1963" w:type="dxa"/>
                  <w:tcBorders>
                    <w:tl2br w:val="nil"/>
                    <w:tr2bl w:val="nil"/>
                  </w:tcBorders>
                  <w:noWrap w:val="0"/>
                  <w:vAlign w:val="center"/>
                </w:tcPr>
                <w:p w14:paraId="7D802447">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0.3</w:t>
                  </w:r>
                </w:p>
              </w:tc>
              <w:tc>
                <w:tcPr>
                  <w:tcW w:w="1963" w:type="dxa"/>
                  <w:tcBorders>
                    <w:tl2br w:val="nil"/>
                    <w:tr2bl w:val="nil"/>
                  </w:tcBorders>
                  <w:noWrap w:val="0"/>
                  <w:vAlign w:val="center"/>
                </w:tcPr>
                <w:p w14:paraId="703E5C5E">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0.25</w:t>
                  </w:r>
                </w:p>
              </w:tc>
            </w:tr>
          </w:tbl>
          <w:p w14:paraId="539C38C2">
            <w:pPr>
              <w:pStyle w:val="55"/>
              <w:spacing w:line="360" w:lineRule="auto"/>
              <w:rPr>
                <w:rFonts w:hint="default" w:ascii="Times New Roman" w:hAnsi="Times New Roman" w:eastAsia="宋体" w:cs="Times New Roman"/>
                <w:color w:val="000000"/>
                <w:u w:val="none" w:color="auto"/>
              </w:rPr>
            </w:pPr>
            <w:r>
              <w:rPr>
                <w:rFonts w:ascii="Times New Roman" w:hAnsi="Times New Roman" w:eastAsia="宋体" w:cs="Times New Roman"/>
                <w:color w:val="000000"/>
                <w:kern w:val="0"/>
                <w:sz w:val="24"/>
                <w:szCs w:val="24"/>
                <w:u w:val="none" w:color="auto"/>
                <w:lang w:val="en-US" w:eastAsia="zh-CN" w:bidi="ar-SA"/>
              </w:rPr>
              <w:t>根据监测结果，项目所在地</w:t>
            </w:r>
            <w:r>
              <w:rPr>
                <w:rFonts w:hint="eastAsia" w:ascii="Times New Roman" w:hAnsi="Times New Roman" w:eastAsia="宋体" w:cs="Times New Roman"/>
                <w:color w:val="000000"/>
                <w:kern w:val="0"/>
                <w:sz w:val="24"/>
                <w:szCs w:val="24"/>
                <w:u w:val="none" w:color="auto"/>
                <w:lang w:val="en-US" w:eastAsia="zh-CN" w:bidi="ar-SA"/>
              </w:rPr>
              <w:t>TSP、氮氧化物</w:t>
            </w:r>
            <w:r>
              <w:rPr>
                <w:rFonts w:ascii="Times New Roman" w:hAnsi="Times New Roman" w:eastAsia="宋体" w:cs="Times New Roman"/>
                <w:color w:val="000000"/>
                <w:kern w:val="0"/>
                <w:sz w:val="24"/>
                <w:szCs w:val="24"/>
                <w:u w:val="none" w:color="auto"/>
                <w:lang w:val="en-US" w:eastAsia="zh-CN" w:bidi="ar-SA"/>
              </w:rPr>
              <w:t>满足</w:t>
            </w:r>
            <w:r>
              <w:rPr>
                <w:rFonts w:hint="eastAsia" w:ascii="Times New Roman" w:hAnsi="Times New Roman" w:eastAsia="宋体" w:cs="Times New Roman"/>
                <w:color w:val="000000"/>
                <w:kern w:val="0"/>
                <w:sz w:val="24"/>
                <w:szCs w:val="24"/>
                <w:u w:val="none" w:color="auto"/>
                <w:lang w:val="en-US" w:eastAsia="zh-CN" w:bidi="ar-SA"/>
              </w:rPr>
              <w:t>《环境空气质量标准》(GB3095-2012)表2中二级标准限值</w:t>
            </w:r>
            <w:r>
              <w:rPr>
                <w:rFonts w:ascii="Times New Roman" w:hAnsi="Times New Roman" w:eastAsia="宋体" w:cs="Times New Roman"/>
                <w:color w:val="000000"/>
                <w:kern w:val="0"/>
                <w:sz w:val="24"/>
                <w:szCs w:val="24"/>
                <w:u w:val="none" w:color="auto"/>
                <w:lang w:val="en-US" w:eastAsia="zh-CN" w:bidi="ar-SA"/>
              </w:rPr>
              <w:t>相关要求，项目所在区域环境空气质量现状较好。</w:t>
            </w:r>
          </w:p>
          <w:p w14:paraId="02D010D0">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rPr>
            </w:pPr>
            <w:r>
              <w:rPr>
                <w:rFonts w:hint="default" w:ascii="Times New Roman" w:hAnsi="Times New Roman" w:eastAsia="宋体" w:cs="Times New Roman"/>
                <w:b/>
                <w:bCs/>
                <w:color w:val="auto"/>
                <w:kern w:val="0"/>
                <w:sz w:val="24"/>
                <w:szCs w:val="24"/>
                <w:highlight w:val="none"/>
                <w:u w:val="none" w:color="auto"/>
              </w:rPr>
              <w:t>2、地表水环境质量现状</w:t>
            </w:r>
          </w:p>
          <w:p w14:paraId="1C2B0A41">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color w:val="auto"/>
                <w:kern w:val="0"/>
                <w:sz w:val="24"/>
                <w:szCs w:val="24"/>
                <w:u w:val="none" w:color="auto"/>
                <w:lang w:val="en-US" w:eastAsia="zh-CN"/>
              </w:rPr>
              <w:t>根据《建设项目环境影响报告表编制技术指南》（污染影响类）（试行），</w:t>
            </w:r>
          </w:p>
          <w:p w14:paraId="4182268C">
            <w:pPr>
              <w:keepNext w:val="0"/>
              <w:keepLines w:val="0"/>
              <w:suppressLineNumbers w:val="0"/>
              <w:autoSpaceDE w:val="0"/>
              <w:autoSpaceDN w:val="0"/>
              <w:adjustRightInd w:val="0"/>
              <w:snapToGrid w:val="0"/>
              <w:spacing w:before="0" w:beforeAutospacing="0" w:after="0" w:afterAutospacing="0" w:line="360" w:lineRule="auto"/>
              <w:ind w:left="0" w:right="0"/>
              <w:rPr>
                <w:rFonts w:hint="default"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color w:val="auto"/>
                <w:kern w:val="0"/>
                <w:sz w:val="24"/>
                <w:szCs w:val="24"/>
                <w:u w:val="none" w:color="auto"/>
                <w:lang w:val="en-US" w:eastAsia="zh-CN"/>
              </w:rPr>
              <w:t>区域环境质量现状地表水环境可引用所在流域控制单元内国家、地方控制断面监测数据。项目位于</w:t>
            </w:r>
            <w:r>
              <w:rPr>
                <w:rFonts w:hint="default" w:ascii="Times New Roman" w:hAnsi="Times New Roman" w:eastAsia="宋体" w:cs="Times New Roman"/>
                <w:sz w:val="24"/>
                <w:szCs w:val="24"/>
                <w:u w:val="none" w:color="auto"/>
              </w:rPr>
              <w:t>华容高新技术产业开发区</w:t>
            </w:r>
            <w:r>
              <w:rPr>
                <w:rFonts w:hint="default" w:ascii="Times New Roman" w:hAnsi="Times New Roman" w:eastAsia="宋体" w:cs="Times New Roman"/>
                <w:sz w:val="24"/>
                <w:szCs w:val="24"/>
                <w:u w:val="none" w:color="auto"/>
                <w:lang w:val="en-US" w:eastAsia="zh-CN"/>
              </w:rPr>
              <w:t>石伏片区</w:t>
            </w:r>
            <w:r>
              <w:rPr>
                <w:rFonts w:hint="default" w:ascii="Times New Roman" w:hAnsi="Times New Roman" w:eastAsia="宋体" w:cs="Times New Roman"/>
                <w:color w:val="auto"/>
                <w:kern w:val="0"/>
                <w:sz w:val="24"/>
                <w:szCs w:val="24"/>
                <w:u w:val="none" w:color="auto"/>
                <w:lang w:val="en-US" w:eastAsia="zh-CN"/>
              </w:rPr>
              <w:t>，属于桥东污水处理厂纳污范围，区域废水经桥东污水处理厂深度处理达标后排入华容河。为了解区域水环境现状，本次环评收集了岳阳市2024年度生态环境质量公报公开的华容河上游南堤拐、下游六门闸断面的水环境质量状况，具体内容详见下表：</w:t>
            </w:r>
          </w:p>
          <w:p w14:paraId="11040BAF">
            <w:pPr>
              <w:spacing w:line="240" w:lineRule="auto"/>
              <w:jc w:val="center"/>
              <w:rPr>
                <w:rFonts w:hint="default" w:ascii="Times New Roman" w:hAnsi="Times New Roman" w:eastAsia="宋体" w:cs="Times New Roman"/>
                <w:b/>
                <w:bCs/>
                <w:color w:val="auto"/>
                <w:kern w:val="0"/>
                <w:sz w:val="21"/>
                <w:szCs w:val="21"/>
                <w:u w:val="none" w:color="auto"/>
              </w:rPr>
            </w:pPr>
            <w:r>
              <w:rPr>
                <w:rFonts w:hint="default" w:ascii="Times New Roman" w:hAnsi="Times New Roman" w:eastAsia="宋体" w:cs="Times New Roman"/>
                <w:b/>
                <w:bCs/>
                <w:color w:val="auto"/>
                <w:kern w:val="0"/>
                <w:sz w:val="21"/>
                <w:szCs w:val="21"/>
                <w:u w:val="none" w:color="auto"/>
              </w:rPr>
              <w:t>表3-4  地表水水质现状监测及评价结果单位mg/L(pH除外)</w:t>
            </w:r>
          </w:p>
          <w:tbl>
            <w:tblPr>
              <w:tblStyle w:val="26"/>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739"/>
              <w:gridCol w:w="2601"/>
              <w:gridCol w:w="2601"/>
            </w:tblGrid>
            <w:tr w14:paraId="3DCA60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vMerge w:val="restart"/>
                  <w:tcBorders>
                    <w:tl2br w:val="nil"/>
                    <w:tr2bl w:val="nil"/>
                  </w:tcBorders>
                  <w:noWrap w:val="0"/>
                  <w:vAlign w:val="center"/>
                </w:tcPr>
                <w:p w14:paraId="3CD16C1D">
                  <w:pPr>
                    <w:adjustRightInd w:val="0"/>
                    <w:snapToGrid w:val="0"/>
                    <w:jc w:val="center"/>
                    <w:rPr>
                      <w:rFonts w:hint="default" w:ascii="Times New Roman" w:hAnsi="Times New Roman" w:eastAsia="宋体" w:cs="Times New Roman"/>
                      <w:sz w:val="21"/>
                      <w:szCs w:val="21"/>
                      <w:u w:val="none" w:color="auto"/>
                      <w:lang w:eastAsia="zh-CN"/>
                    </w:rPr>
                  </w:pPr>
                  <w:r>
                    <w:rPr>
                      <w:rFonts w:hint="default" w:ascii="Times New Roman" w:hAnsi="Times New Roman" w:eastAsia="宋体" w:cs="Times New Roman"/>
                      <w:sz w:val="21"/>
                      <w:szCs w:val="21"/>
                      <w:u w:val="none" w:color="auto"/>
                      <w:lang w:val="en-US" w:eastAsia="zh-CN"/>
                    </w:rPr>
                    <w:t>年份</w:t>
                  </w:r>
                </w:p>
              </w:tc>
              <w:tc>
                <w:tcPr>
                  <w:tcW w:w="1637" w:type="pct"/>
                  <w:tcBorders>
                    <w:tl2br w:val="nil"/>
                    <w:tr2bl w:val="nil"/>
                  </w:tcBorders>
                  <w:noWrap w:val="0"/>
                  <w:vAlign w:val="center"/>
                </w:tcPr>
                <w:p w14:paraId="1C944916">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常规断面</w:t>
                  </w:r>
                </w:p>
              </w:tc>
              <w:tc>
                <w:tcPr>
                  <w:tcW w:w="1637" w:type="pct"/>
                  <w:tcBorders>
                    <w:tl2br w:val="nil"/>
                    <w:tr2bl w:val="nil"/>
                  </w:tcBorders>
                  <w:noWrap w:val="0"/>
                  <w:vAlign w:val="center"/>
                </w:tcPr>
                <w:p w14:paraId="5B7E7714">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常规断面</w:t>
                  </w:r>
                </w:p>
              </w:tc>
            </w:tr>
            <w:tr w14:paraId="2E5A56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vMerge w:val="continue"/>
                  <w:tcBorders>
                    <w:tl2br w:val="nil"/>
                    <w:tr2bl w:val="nil"/>
                  </w:tcBorders>
                  <w:noWrap w:val="0"/>
                  <w:vAlign w:val="center"/>
                </w:tcPr>
                <w:p w14:paraId="0CDD34FD">
                  <w:pPr>
                    <w:adjustRightInd w:val="0"/>
                    <w:snapToGrid w:val="0"/>
                    <w:jc w:val="center"/>
                    <w:rPr>
                      <w:rFonts w:hint="default" w:ascii="Times New Roman" w:hAnsi="Times New Roman" w:eastAsia="宋体" w:cs="Times New Roman"/>
                      <w:sz w:val="21"/>
                      <w:szCs w:val="21"/>
                      <w:u w:val="none" w:color="auto"/>
                    </w:rPr>
                  </w:pPr>
                </w:p>
              </w:tc>
              <w:tc>
                <w:tcPr>
                  <w:tcW w:w="1637" w:type="pct"/>
                  <w:tcBorders>
                    <w:tl2br w:val="nil"/>
                    <w:tr2bl w:val="nil"/>
                  </w:tcBorders>
                  <w:noWrap w:val="0"/>
                  <w:vAlign w:val="center"/>
                </w:tcPr>
                <w:p w14:paraId="6BE0554E">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kern w:val="0"/>
                      <w:szCs w:val="24"/>
                      <w:u w:val="none" w:color="auto"/>
                      <w:lang w:val="en-US" w:eastAsia="zh-CN"/>
                    </w:rPr>
                    <w:t>南堤拐</w:t>
                  </w:r>
                </w:p>
              </w:tc>
              <w:tc>
                <w:tcPr>
                  <w:tcW w:w="1637" w:type="pct"/>
                  <w:tcBorders>
                    <w:tl2br w:val="nil"/>
                    <w:tr2bl w:val="nil"/>
                  </w:tcBorders>
                  <w:noWrap w:val="0"/>
                  <w:vAlign w:val="center"/>
                </w:tcPr>
                <w:p w14:paraId="08A85F2A">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kern w:val="0"/>
                      <w:szCs w:val="24"/>
                      <w:u w:val="none" w:color="auto"/>
                      <w:lang w:val="en-US" w:eastAsia="zh-CN"/>
                    </w:rPr>
                    <w:t>六门闸</w:t>
                  </w:r>
                </w:p>
              </w:tc>
            </w:tr>
            <w:tr w14:paraId="120E13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tcBorders>
                    <w:tl2br w:val="nil"/>
                    <w:tr2bl w:val="nil"/>
                  </w:tcBorders>
                  <w:noWrap w:val="0"/>
                  <w:vAlign w:val="center"/>
                </w:tcPr>
                <w:p w14:paraId="678873EA">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20</w:t>
                  </w:r>
                  <w:r>
                    <w:rPr>
                      <w:rFonts w:hint="default" w:ascii="Times New Roman" w:hAnsi="Times New Roman" w:eastAsia="宋体" w:cs="Times New Roman"/>
                      <w:sz w:val="21"/>
                      <w:szCs w:val="21"/>
                      <w:u w:val="none" w:color="auto"/>
                      <w:lang w:val="en-US" w:eastAsia="zh-CN"/>
                    </w:rPr>
                    <w:t>24</w:t>
                  </w:r>
                  <w:r>
                    <w:rPr>
                      <w:rFonts w:hint="default" w:ascii="Times New Roman" w:hAnsi="Times New Roman" w:eastAsia="宋体" w:cs="Times New Roman"/>
                      <w:sz w:val="21"/>
                      <w:szCs w:val="21"/>
                      <w:u w:val="none" w:color="auto"/>
                    </w:rPr>
                    <w:t>年</w:t>
                  </w:r>
                </w:p>
              </w:tc>
              <w:tc>
                <w:tcPr>
                  <w:tcW w:w="1637" w:type="pct"/>
                  <w:tcBorders>
                    <w:tl2br w:val="nil"/>
                    <w:tr2bl w:val="nil"/>
                  </w:tcBorders>
                  <w:noWrap w:val="0"/>
                  <w:vAlign w:val="center"/>
                </w:tcPr>
                <w:p w14:paraId="4E21B2C7">
                  <w:pPr>
                    <w:adjustRightInd w:val="0"/>
                    <w:snapToGrid w:val="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Ⅲ类</w:t>
                  </w:r>
                </w:p>
              </w:tc>
              <w:tc>
                <w:tcPr>
                  <w:tcW w:w="1637" w:type="pct"/>
                  <w:tcBorders>
                    <w:tl2br w:val="nil"/>
                    <w:tr2bl w:val="nil"/>
                  </w:tcBorders>
                  <w:noWrap w:val="0"/>
                  <w:vAlign w:val="center"/>
                </w:tcPr>
                <w:p w14:paraId="499ADAE9">
                  <w:pPr>
                    <w:adjustRightInd w:val="0"/>
                    <w:snapToGrid w:val="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Ⅲ类</w:t>
                  </w:r>
                </w:p>
              </w:tc>
            </w:tr>
          </w:tbl>
          <w:p w14:paraId="6CA793F3">
            <w:pPr>
              <w:pStyle w:val="55"/>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kern w:val="0"/>
                <w:szCs w:val="21"/>
                <w:u w:val="none" w:color="auto"/>
                <w:lang w:val="en-GB" w:eastAsia="zh-CN"/>
              </w:rPr>
              <w:t>由上表结果可知，</w:t>
            </w:r>
            <w:r>
              <w:rPr>
                <w:rFonts w:hint="default" w:ascii="Times New Roman" w:hAnsi="Times New Roman" w:eastAsia="宋体" w:cs="Times New Roman"/>
                <w:color w:val="auto"/>
                <w:kern w:val="0"/>
                <w:szCs w:val="21"/>
                <w:u w:val="none" w:color="auto"/>
                <w:lang w:val="en-US" w:eastAsia="zh-CN"/>
              </w:rPr>
              <w:t>2024年度</w:t>
            </w:r>
            <w:r>
              <w:rPr>
                <w:rFonts w:hint="default" w:ascii="Times New Roman" w:hAnsi="Times New Roman" w:eastAsia="宋体" w:cs="Times New Roman"/>
                <w:color w:val="auto"/>
                <w:kern w:val="0"/>
                <w:sz w:val="24"/>
                <w:szCs w:val="24"/>
                <w:u w:val="none" w:color="auto"/>
                <w:lang w:val="en-US" w:eastAsia="zh-CN"/>
              </w:rPr>
              <w:t>华容河上游南堤拐、下游六门闸断面</w:t>
            </w:r>
            <w:r>
              <w:rPr>
                <w:rFonts w:hint="default" w:ascii="Times New Roman" w:hAnsi="Times New Roman" w:eastAsia="宋体" w:cs="Times New Roman"/>
                <w:color w:val="auto"/>
                <w:kern w:val="0"/>
                <w:szCs w:val="21"/>
                <w:u w:val="none" w:color="auto"/>
                <w:lang w:val="en-US" w:eastAsia="zh-CN"/>
              </w:rPr>
              <w:t>水环境质量均能满足《地表水环境质量标准》（GB3838-2002）</w:t>
            </w:r>
            <w:r>
              <w:rPr>
                <w:rFonts w:hint="default" w:ascii="Times New Roman" w:hAnsi="Times New Roman" w:eastAsia="宋体" w:cs="Times New Roman"/>
                <w:color w:val="auto"/>
                <w:kern w:val="0"/>
                <w:szCs w:val="21"/>
                <w:u w:val="none" w:color="auto"/>
                <w:lang w:val="en-GB" w:eastAsia="zh-CN"/>
              </w:rPr>
              <w:t>Ⅲ</w:t>
            </w:r>
            <w:r>
              <w:rPr>
                <w:rFonts w:hint="default" w:ascii="Times New Roman" w:hAnsi="Times New Roman" w:eastAsia="宋体" w:cs="Times New Roman"/>
                <w:color w:val="auto"/>
                <w:kern w:val="0"/>
                <w:szCs w:val="21"/>
                <w:u w:val="none" w:color="auto"/>
                <w:lang w:val="en-US" w:eastAsia="zh-CN"/>
              </w:rPr>
              <w:t>类水质标准要求，</w:t>
            </w:r>
            <w:r>
              <w:rPr>
                <w:rFonts w:hint="default" w:ascii="Times New Roman" w:hAnsi="Times New Roman" w:eastAsia="宋体" w:cs="Times New Roman"/>
                <w:color w:val="auto"/>
                <w:kern w:val="0"/>
                <w:szCs w:val="21"/>
                <w:u w:val="none" w:color="auto"/>
                <w:lang w:val="en-GB" w:eastAsia="zh-CN"/>
              </w:rPr>
              <w:t>区域地表水环境质量状况良好。</w:t>
            </w:r>
          </w:p>
          <w:p w14:paraId="65ADF296">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highlight w:val="none"/>
                <w:u w:val="none" w:color="auto"/>
                <w:lang w:val="en-GB"/>
              </w:rPr>
            </w:pPr>
            <w:r>
              <w:rPr>
                <w:rFonts w:hint="default" w:ascii="Times New Roman" w:hAnsi="Times New Roman" w:eastAsia="宋体" w:cs="Times New Roman"/>
                <w:b/>
                <w:bCs/>
                <w:color w:val="auto"/>
                <w:kern w:val="0"/>
                <w:sz w:val="24"/>
                <w:szCs w:val="24"/>
                <w:highlight w:val="none"/>
                <w:u w:val="none" w:color="auto"/>
              </w:rPr>
              <w:t>3、</w:t>
            </w:r>
            <w:r>
              <w:rPr>
                <w:rFonts w:hint="default" w:ascii="Times New Roman" w:hAnsi="Times New Roman" w:eastAsia="宋体" w:cs="Times New Roman"/>
                <w:b/>
                <w:bCs/>
                <w:color w:val="auto"/>
                <w:kern w:val="0"/>
                <w:sz w:val="24"/>
                <w:szCs w:val="24"/>
                <w:highlight w:val="none"/>
                <w:u w:val="none" w:color="auto"/>
                <w:lang w:val="en-GB"/>
              </w:rPr>
              <w:t>声环境质量现状</w:t>
            </w:r>
          </w:p>
          <w:p w14:paraId="324B231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于2025年7月18日—7月20日，委托湖南正鸿检测技术有限公司</w:t>
            </w:r>
            <w:r>
              <w:rPr>
                <w:rFonts w:hint="default" w:ascii="Times New Roman" w:hAnsi="Times New Roman" w:eastAsia="宋体" w:cs="Times New Roman"/>
                <w:color w:val="auto"/>
                <w:sz w:val="24"/>
                <w:highlight w:val="none"/>
                <w:u w:val="none" w:color="auto"/>
                <w:lang w:val="en-US" w:eastAsia="zh-CN"/>
              </w:rPr>
              <w:t>对本项目</w:t>
            </w:r>
            <w:r>
              <w:rPr>
                <w:rFonts w:hint="eastAsia" w:ascii="Times New Roman" w:hAnsi="Times New Roman" w:eastAsia="宋体" w:cs="Times New Roman"/>
                <w:color w:val="auto"/>
                <w:sz w:val="24"/>
                <w:highlight w:val="none"/>
                <w:u w:val="none" w:color="auto"/>
                <w:lang w:val="en-US" w:eastAsia="zh-CN"/>
              </w:rPr>
              <w:t xml:space="preserve">西侧约 </w:t>
            </w:r>
            <w:r>
              <w:rPr>
                <w:rFonts w:hint="default" w:ascii="Times New Roman" w:hAnsi="Times New Roman" w:eastAsia="宋体" w:cs="Times New Roman"/>
                <w:color w:val="auto"/>
                <w:sz w:val="24"/>
                <w:highlight w:val="none"/>
                <w:u w:val="none" w:color="auto"/>
                <w:lang w:val="en-US" w:eastAsia="zh-CN"/>
              </w:rPr>
              <w:t xml:space="preserve">35m </w:t>
            </w:r>
            <w:r>
              <w:rPr>
                <w:rFonts w:hint="eastAsia" w:ascii="Times New Roman" w:hAnsi="Times New Roman" w:eastAsia="宋体" w:cs="Times New Roman"/>
                <w:color w:val="auto"/>
                <w:sz w:val="24"/>
                <w:highlight w:val="none"/>
                <w:u w:val="none" w:color="auto"/>
                <w:lang w:val="en-US" w:eastAsia="zh-CN"/>
              </w:rPr>
              <w:t>居民点</w:t>
            </w:r>
            <w:r>
              <w:rPr>
                <w:rFonts w:hint="default" w:ascii="Times New Roman" w:hAnsi="Times New Roman" w:eastAsia="宋体" w:cs="Times New Roman"/>
                <w:color w:val="auto"/>
                <w:sz w:val="24"/>
                <w:highlight w:val="none"/>
                <w:u w:val="none" w:color="auto"/>
                <w:lang w:val="en-US" w:eastAsia="zh-CN"/>
              </w:rPr>
              <w:t>、</w:t>
            </w:r>
            <w:r>
              <w:rPr>
                <w:rFonts w:hint="eastAsia" w:ascii="Times New Roman" w:hAnsi="Times New Roman" w:eastAsia="宋体" w:cs="Times New Roman"/>
                <w:color w:val="auto"/>
                <w:sz w:val="24"/>
                <w:highlight w:val="none"/>
                <w:u w:val="none" w:color="auto"/>
                <w:lang w:val="en-US" w:eastAsia="zh-CN"/>
              </w:rPr>
              <w:t xml:space="preserve">南侧约 </w:t>
            </w:r>
            <w:r>
              <w:rPr>
                <w:rFonts w:hint="default" w:ascii="Times New Roman" w:hAnsi="Times New Roman" w:eastAsia="宋体" w:cs="Times New Roman"/>
                <w:color w:val="auto"/>
                <w:sz w:val="24"/>
                <w:highlight w:val="none"/>
                <w:u w:val="none" w:color="auto"/>
                <w:lang w:val="en-US" w:eastAsia="zh-CN"/>
              </w:rPr>
              <w:t xml:space="preserve">25m </w:t>
            </w:r>
            <w:r>
              <w:rPr>
                <w:rFonts w:hint="eastAsia" w:ascii="Times New Roman" w:hAnsi="Times New Roman" w:eastAsia="宋体" w:cs="Times New Roman"/>
                <w:color w:val="auto"/>
                <w:sz w:val="24"/>
                <w:highlight w:val="none"/>
                <w:u w:val="none" w:color="auto"/>
                <w:lang w:val="en-US" w:eastAsia="zh-CN"/>
              </w:rPr>
              <w:t>居民点</w:t>
            </w:r>
            <w:r>
              <w:rPr>
                <w:rFonts w:hint="default" w:ascii="Times New Roman" w:hAnsi="Times New Roman" w:eastAsia="宋体" w:cs="Times New Roman"/>
                <w:color w:val="auto"/>
                <w:sz w:val="24"/>
                <w:highlight w:val="none"/>
                <w:u w:val="none" w:color="auto"/>
                <w:lang w:val="en-US" w:eastAsia="zh-CN"/>
              </w:rPr>
              <w:t>进行了噪声现状监测，监测结果如下:</w:t>
            </w:r>
          </w:p>
          <w:p w14:paraId="4F1D0D4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表 3-3    噪声现状监测结果统计表    单位: dB(A)</w:t>
            </w:r>
          </w:p>
          <w:tbl>
            <w:tblPr>
              <w:tblStyle w:val="27"/>
              <w:tblW w:w="8024"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8"/>
              <w:gridCol w:w="2523"/>
              <w:gridCol w:w="2263"/>
            </w:tblGrid>
            <w:tr w14:paraId="7DDF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238" w:type="dxa"/>
                  <w:vMerge w:val="restart"/>
                  <w:tcBorders>
                    <w:top w:val="single" w:color="auto" w:sz="12" w:space="0"/>
                  </w:tcBorders>
                  <w:noWrap w:val="0"/>
                  <w:vAlign w:val="top"/>
                </w:tcPr>
                <w:p w14:paraId="745B246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监测点</w:t>
                  </w:r>
                </w:p>
              </w:tc>
              <w:tc>
                <w:tcPr>
                  <w:tcW w:w="4786" w:type="dxa"/>
                  <w:gridSpan w:val="2"/>
                  <w:tcBorders>
                    <w:top w:val="single" w:color="auto" w:sz="12" w:space="0"/>
                    <w:right w:val="single" w:color="auto" w:sz="12" w:space="0"/>
                  </w:tcBorders>
                  <w:noWrap w:val="0"/>
                  <w:vAlign w:val="top"/>
                </w:tcPr>
                <w:p w14:paraId="0F9DEA7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监测结果（</w:t>
                  </w:r>
                  <w:r>
                    <w:rPr>
                      <w:rFonts w:hint="eastAsia" w:ascii="Times New Roman" w:hAnsi="Times New Roman" w:eastAsia="宋体" w:cs="Times New Roman"/>
                      <w:color w:val="auto"/>
                      <w:sz w:val="21"/>
                      <w:szCs w:val="21"/>
                      <w:u w:val="none" w:color="auto"/>
                      <w:vertAlign w:val="baseline"/>
                      <w:lang w:val="en-US" w:eastAsia="zh-CN"/>
                    </w:rPr>
                    <w:t>2025.7.18</w:t>
                  </w:r>
                  <w:r>
                    <w:rPr>
                      <w:rFonts w:hint="eastAsia" w:cs="Times New Roman"/>
                      <w:color w:val="auto"/>
                      <w:sz w:val="21"/>
                      <w:szCs w:val="21"/>
                      <w:u w:val="none" w:color="auto"/>
                      <w:vertAlign w:val="baseline"/>
                      <w:lang w:val="en-US" w:eastAsia="zh-CN"/>
                    </w:rPr>
                    <w:t>-</w:t>
                  </w:r>
                  <w:r>
                    <w:rPr>
                      <w:rFonts w:hint="eastAsia" w:ascii="Times New Roman" w:hAnsi="Times New Roman" w:eastAsia="宋体" w:cs="Times New Roman"/>
                      <w:color w:val="auto"/>
                      <w:sz w:val="21"/>
                      <w:szCs w:val="21"/>
                      <w:u w:val="none" w:color="auto"/>
                      <w:vertAlign w:val="baseline"/>
                      <w:lang w:val="en-US" w:eastAsia="zh-CN"/>
                    </w:rPr>
                    <w:t>2025.7.19</w:t>
                  </w:r>
                  <w:r>
                    <w:rPr>
                      <w:rFonts w:hint="default" w:ascii="Times New Roman" w:hAnsi="Times New Roman" w:eastAsia="宋体" w:cs="Times New Roman"/>
                      <w:color w:val="auto"/>
                      <w:sz w:val="21"/>
                      <w:szCs w:val="21"/>
                      <w:u w:val="none" w:color="auto"/>
                      <w:vertAlign w:val="baseline"/>
                      <w:lang w:val="en-US" w:eastAsia="zh-CN"/>
                    </w:rPr>
                    <w:t>）</w:t>
                  </w:r>
                </w:p>
              </w:tc>
            </w:tr>
            <w:tr w14:paraId="7D2E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38" w:type="dxa"/>
                  <w:vMerge w:val="continue"/>
                  <w:tcBorders>
                    <w:left w:val="single" w:color="auto" w:sz="4" w:space="0"/>
                  </w:tcBorders>
                  <w:noWrap w:val="0"/>
                  <w:vAlign w:val="top"/>
                </w:tcPr>
                <w:p w14:paraId="5D6AC79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c>
                <w:tcPr>
                  <w:tcW w:w="2523" w:type="dxa"/>
                  <w:tcBorders>
                    <w:right w:val="single" w:color="auto" w:sz="12" w:space="0"/>
                  </w:tcBorders>
                  <w:noWrap w:val="0"/>
                  <w:vAlign w:val="top"/>
                </w:tcPr>
                <w:p w14:paraId="04CFF74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昼间</w:t>
                  </w:r>
                </w:p>
              </w:tc>
              <w:tc>
                <w:tcPr>
                  <w:tcW w:w="2263" w:type="dxa"/>
                  <w:tcBorders>
                    <w:right w:val="single" w:color="auto" w:sz="12" w:space="0"/>
                  </w:tcBorders>
                  <w:noWrap w:val="0"/>
                  <w:vAlign w:val="top"/>
                </w:tcPr>
                <w:p w14:paraId="4C486A5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夜间</w:t>
                  </w:r>
                </w:p>
              </w:tc>
            </w:tr>
            <w:tr w14:paraId="1672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38" w:type="dxa"/>
                  <w:tcBorders>
                    <w:left w:val="single" w:color="auto" w:sz="4" w:space="0"/>
                  </w:tcBorders>
                  <w:noWrap w:val="0"/>
                  <w:vAlign w:val="top"/>
                </w:tcPr>
                <w:p w14:paraId="2F90E929">
                  <w:pPr>
                    <w:keepNext w:val="0"/>
                    <w:keepLines w:val="0"/>
                    <w:widowControl/>
                    <w:suppressLineNumbers w:val="0"/>
                    <w:jc w:val="center"/>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000000"/>
                      <w:kern w:val="0"/>
                      <w:sz w:val="20"/>
                      <w:szCs w:val="20"/>
                      <w:lang w:val="en-US" w:eastAsia="zh-CN" w:bidi="ar"/>
                    </w:rPr>
                    <w:t xml:space="preserve">N1 </w:t>
                  </w:r>
                  <w:r>
                    <w:rPr>
                      <w:rFonts w:hint="eastAsia" w:ascii="宋体" w:hAnsi="宋体" w:eastAsia="宋体" w:cs="宋体"/>
                      <w:color w:val="000000"/>
                      <w:kern w:val="0"/>
                      <w:sz w:val="20"/>
                      <w:szCs w:val="20"/>
                      <w:lang w:val="en-US" w:eastAsia="zh-CN" w:bidi="ar"/>
                    </w:rPr>
                    <w:t xml:space="preserve">厂区西侧约 </w:t>
                  </w:r>
                  <w:r>
                    <w:rPr>
                      <w:rFonts w:hint="default" w:ascii="Times New Roman" w:hAnsi="Times New Roman" w:eastAsia="宋体" w:cs="Times New Roman"/>
                      <w:color w:val="000000"/>
                      <w:kern w:val="0"/>
                      <w:sz w:val="20"/>
                      <w:szCs w:val="20"/>
                      <w:lang w:val="en-US" w:eastAsia="zh-CN" w:bidi="ar"/>
                    </w:rPr>
                    <w:t xml:space="preserve">35m </w:t>
                  </w:r>
                  <w:r>
                    <w:rPr>
                      <w:rFonts w:hint="eastAsia" w:ascii="宋体" w:hAnsi="宋体" w:eastAsia="宋体" w:cs="宋体"/>
                      <w:color w:val="000000"/>
                      <w:kern w:val="0"/>
                      <w:sz w:val="20"/>
                      <w:szCs w:val="20"/>
                      <w:lang w:val="en-US" w:eastAsia="zh-CN" w:bidi="ar"/>
                    </w:rPr>
                    <w:t>居民点</w:t>
                  </w:r>
                </w:p>
              </w:tc>
              <w:tc>
                <w:tcPr>
                  <w:tcW w:w="2523" w:type="dxa"/>
                  <w:tcBorders>
                    <w:right w:val="single" w:color="auto" w:sz="12" w:space="0"/>
                  </w:tcBorders>
                  <w:noWrap w:val="0"/>
                  <w:vAlign w:val="top"/>
                </w:tcPr>
                <w:p w14:paraId="73B4DE5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54</w:t>
                  </w:r>
                </w:p>
              </w:tc>
              <w:tc>
                <w:tcPr>
                  <w:tcW w:w="2263" w:type="dxa"/>
                  <w:tcBorders>
                    <w:right w:val="single" w:color="auto" w:sz="12" w:space="0"/>
                  </w:tcBorders>
                  <w:noWrap w:val="0"/>
                  <w:vAlign w:val="top"/>
                </w:tcPr>
                <w:p w14:paraId="56C656B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42</w:t>
                  </w:r>
                </w:p>
              </w:tc>
            </w:tr>
            <w:tr w14:paraId="067E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38" w:type="dxa"/>
                  <w:tcBorders>
                    <w:left w:val="single" w:color="auto" w:sz="4" w:space="0"/>
                  </w:tcBorders>
                  <w:noWrap w:val="0"/>
                  <w:vAlign w:val="top"/>
                </w:tcPr>
                <w:p w14:paraId="1CF3DB05">
                  <w:pPr>
                    <w:keepNext w:val="0"/>
                    <w:keepLines w:val="0"/>
                    <w:widowControl/>
                    <w:suppressLineNumbers w:val="0"/>
                    <w:jc w:val="center"/>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000000"/>
                      <w:kern w:val="0"/>
                      <w:sz w:val="20"/>
                      <w:szCs w:val="20"/>
                      <w:lang w:val="en-US" w:eastAsia="zh-CN" w:bidi="ar"/>
                    </w:rPr>
                    <w:t xml:space="preserve">N2 </w:t>
                  </w:r>
                  <w:r>
                    <w:rPr>
                      <w:rFonts w:hint="eastAsia" w:ascii="宋体" w:hAnsi="宋体" w:eastAsia="宋体" w:cs="宋体"/>
                      <w:color w:val="000000"/>
                      <w:kern w:val="0"/>
                      <w:sz w:val="20"/>
                      <w:szCs w:val="20"/>
                      <w:lang w:val="en-US" w:eastAsia="zh-CN" w:bidi="ar"/>
                    </w:rPr>
                    <w:t xml:space="preserve">厂区南侧约 </w:t>
                  </w:r>
                  <w:r>
                    <w:rPr>
                      <w:rFonts w:hint="default" w:ascii="Times New Roman" w:hAnsi="Times New Roman" w:eastAsia="宋体" w:cs="Times New Roman"/>
                      <w:color w:val="000000"/>
                      <w:kern w:val="0"/>
                      <w:sz w:val="20"/>
                      <w:szCs w:val="20"/>
                      <w:lang w:val="en-US" w:eastAsia="zh-CN" w:bidi="ar"/>
                    </w:rPr>
                    <w:t xml:space="preserve">25m </w:t>
                  </w:r>
                  <w:r>
                    <w:rPr>
                      <w:rFonts w:hint="eastAsia" w:ascii="宋体" w:hAnsi="宋体" w:eastAsia="宋体" w:cs="宋体"/>
                      <w:color w:val="000000"/>
                      <w:kern w:val="0"/>
                      <w:sz w:val="20"/>
                      <w:szCs w:val="20"/>
                      <w:lang w:val="en-US" w:eastAsia="zh-CN" w:bidi="ar"/>
                    </w:rPr>
                    <w:t>居民点</w:t>
                  </w:r>
                </w:p>
              </w:tc>
              <w:tc>
                <w:tcPr>
                  <w:tcW w:w="2523" w:type="dxa"/>
                  <w:tcBorders>
                    <w:right w:val="single" w:color="auto" w:sz="12" w:space="0"/>
                  </w:tcBorders>
                  <w:noWrap w:val="0"/>
                  <w:vAlign w:val="top"/>
                </w:tcPr>
                <w:p w14:paraId="5007880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54</w:t>
                  </w:r>
                </w:p>
              </w:tc>
              <w:tc>
                <w:tcPr>
                  <w:tcW w:w="2263" w:type="dxa"/>
                  <w:tcBorders>
                    <w:right w:val="single" w:color="auto" w:sz="12" w:space="0"/>
                  </w:tcBorders>
                  <w:noWrap w:val="0"/>
                  <w:vAlign w:val="top"/>
                </w:tcPr>
                <w:p w14:paraId="6518B43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44</w:t>
                  </w:r>
                </w:p>
              </w:tc>
            </w:tr>
            <w:tr w14:paraId="78D0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38" w:type="dxa"/>
                  <w:tcBorders>
                    <w:left w:val="single" w:color="auto" w:sz="4" w:space="0"/>
                  </w:tcBorders>
                  <w:noWrap w:val="0"/>
                  <w:vAlign w:val="top"/>
                </w:tcPr>
                <w:p w14:paraId="4440611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《声环境质量标准》GB3096-2008 中2类标准</w:t>
                  </w:r>
                </w:p>
              </w:tc>
              <w:tc>
                <w:tcPr>
                  <w:tcW w:w="2523" w:type="dxa"/>
                  <w:tcBorders>
                    <w:right w:val="single" w:color="auto" w:sz="12" w:space="0"/>
                  </w:tcBorders>
                  <w:noWrap w:val="0"/>
                  <w:vAlign w:val="top"/>
                </w:tcPr>
                <w:p w14:paraId="039F8F3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60</w:t>
                  </w:r>
                </w:p>
              </w:tc>
              <w:tc>
                <w:tcPr>
                  <w:tcW w:w="2263" w:type="dxa"/>
                  <w:tcBorders>
                    <w:right w:val="single" w:color="auto" w:sz="12" w:space="0"/>
                  </w:tcBorders>
                  <w:noWrap w:val="0"/>
                  <w:vAlign w:val="top"/>
                </w:tcPr>
                <w:p w14:paraId="092E316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50</w:t>
                  </w:r>
                </w:p>
              </w:tc>
            </w:tr>
            <w:tr w14:paraId="0F93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3238" w:type="dxa"/>
                  <w:tcBorders>
                    <w:left w:val="single" w:color="auto" w:sz="4" w:space="0"/>
                    <w:bottom w:val="single" w:color="auto" w:sz="12" w:space="0"/>
                  </w:tcBorders>
                  <w:noWrap w:val="0"/>
                  <w:vAlign w:val="top"/>
                </w:tcPr>
                <w:p w14:paraId="107B8E7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是否达标</w:t>
                  </w:r>
                </w:p>
              </w:tc>
              <w:tc>
                <w:tcPr>
                  <w:tcW w:w="2523" w:type="dxa"/>
                  <w:tcBorders>
                    <w:bottom w:val="single" w:color="auto" w:sz="12" w:space="0"/>
                    <w:right w:val="single" w:color="auto" w:sz="12" w:space="0"/>
                  </w:tcBorders>
                  <w:noWrap w:val="0"/>
                  <w:vAlign w:val="top"/>
                </w:tcPr>
                <w:p w14:paraId="1DAE297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达标</w:t>
                  </w:r>
                </w:p>
              </w:tc>
              <w:tc>
                <w:tcPr>
                  <w:tcW w:w="2263" w:type="dxa"/>
                  <w:tcBorders>
                    <w:bottom w:val="single" w:color="auto" w:sz="12" w:space="0"/>
                    <w:right w:val="single" w:color="auto" w:sz="12" w:space="0"/>
                  </w:tcBorders>
                  <w:noWrap w:val="0"/>
                  <w:vAlign w:val="top"/>
                </w:tcPr>
                <w:p w14:paraId="132A1DD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达标</w:t>
                  </w:r>
                </w:p>
              </w:tc>
            </w:tr>
          </w:tbl>
          <w:p w14:paraId="5193E37A">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u w:val="none" w:color="auto"/>
                <w:lang w:val="en-US" w:eastAsia="zh-CN"/>
              </w:rPr>
              <w:t>根据监测结果，本项目所在地声环境质量满足《声环境质量标准》GB3096-2008)中2类标准，本项目所在地声环境质量良好。</w:t>
            </w:r>
          </w:p>
          <w:p w14:paraId="150BFEF7">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lang w:val="en-GB"/>
              </w:rPr>
            </w:pPr>
            <w:r>
              <w:rPr>
                <w:rFonts w:hint="default" w:ascii="Times New Roman" w:hAnsi="Times New Roman" w:eastAsia="宋体" w:cs="Times New Roman"/>
                <w:b/>
                <w:bCs/>
                <w:color w:val="auto"/>
                <w:kern w:val="0"/>
                <w:sz w:val="24"/>
                <w:szCs w:val="24"/>
                <w:u w:val="none" w:color="auto"/>
                <w:lang w:val="en-US" w:eastAsia="zh-CN"/>
              </w:rPr>
              <w:t>4</w:t>
            </w:r>
            <w:r>
              <w:rPr>
                <w:rFonts w:hint="default" w:ascii="Times New Roman" w:hAnsi="Times New Roman" w:eastAsia="宋体" w:cs="Times New Roman"/>
                <w:b/>
                <w:bCs/>
                <w:color w:val="auto"/>
                <w:kern w:val="0"/>
                <w:sz w:val="24"/>
                <w:szCs w:val="24"/>
                <w:u w:val="none" w:color="auto"/>
              </w:rPr>
              <w:t>、</w:t>
            </w:r>
            <w:r>
              <w:rPr>
                <w:rFonts w:hint="default" w:ascii="Times New Roman" w:hAnsi="Times New Roman" w:eastAsia="宋体" w:cs="Times New Roman"/>
                <w:b/>
                <w:color w:val="auto"/>
                <w:kern w:val="0"/>
                <w:sz w:val="24"/>
                <w:u w:val="none" w:color="auto"/>
                <w:lang w:val="en-US" w:eastAsia="zh-CN"/>
              </w:rPr>
              <w:t>地下水环境、</w:t>
            </w:r>
            <w:r>
              <w:rPr>
                <w:rFonts w:hint="default" w:ascii="Times New Roman" w:hAnsi="Times New Roman" w:eastAsia="宋体" w:cs="Times New Roman"/>
                <w:b/>
                <w:color w:val="auto"/>
                <w:kern w:val="0"/>
                <w:sz w:val="24"/>
                <w:u w:val="none" w:color="auto"/>
              </w:rPr>
              <w:t>土壤环境</w:t>
            </w:r>
          </w:p>
          <w:p w14:paraId="2A28BB39">
            <w:pPr>
              <w:spacing w:line="360" w:lineRule="auto"/>
              <w:ind w:firstLine="48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根据国家生态环境部《关于印发&lt;建设项目环境影响报告表&gt;内容、格式及编制技术指南的通知》(环办环评[2020]33号)中《建设项目环境影响报告表编制技术指南(污染影响类)(试行)》：“地下水、土壤环境。原则上不开展环境质量现状调查。建设项目存在土壤、地下水环境污染途径的，应结合污染源、保护目标分布情况开展现状调查以留作背景值”。</w:t>
            </w:r>
          </w:p>
          <w:p w14:paraId="1FBAA5F1">
            <w:pPr>
              <w:spacing w:line="360" w:lineRule="auto"/>
              <w:ind w:firstLine="48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项目不存在地下水</w:t>
            </w:r>
            <w:r>
              <w:rPr>
                <w:rFonts w:hint="default" w:ascii="Times New Roman" w:hAnsi="Times New Roman" w:eastAsia="宋体" w:cs="Times New Roman"/>
                <w:color w:val="auto"/>
                <w:sz w:val="24"/>
                <w:u w:val="none" w:color="auto"/>
                <w:lang w:eastAsia="zh-CN"/>
              </w:rPr>
              <w:t>和土壤</w:t>
            </w:r>
            <w:r>
              <w:rPr>
                <w:rFonts w:hint="default" w:ascii="Times New Roman" w:hAnsi="Times New Roman" w:eastAsia="宋体" w:cs="Times New Roman"/>
                <w:color w:val="auto"/>
                <w:sz w:val="24"/>
                <w:u w:val="none" w:color="auto"/>
              </w:rPr>
              <w:t>污染途径，故本次评价不开展地下水</w:t>
            </w:r>
            <w:r>
              <w:rPr>
                <w:rFonts w:hint="default" w:ascii="Times New Roman" w:hAnsi="Times New Roman" w:eastAsia="宋体" w:cs="Times New Roman"/>
                <w:color w:val="auto"/>
                <w:sz w:val="24"/>
                <w:u w:val="none" w:color="auto"/>
                <w:lang w:eastAsia="zh-CN"/>
              </w:rPr>
              <w:t>、土壤</w:t>
            </w:r>
            <w:r>
              <w:rPr>
                <w:rFonts w:hint="default" w:ascii="Times New Roman" w:hAnsi="Times New Roman" w:eastAsia="宋体" w:cs="Times New Roman"/>
                <w:color w:val="auto"/>
                <w:sz w:val="24"/>
                <w:u w:val="none" w:color="auto"/>
              </w:rPr>
              <w:t>环境质量现状监测和评价。</w:t>
            </w:r>
          </w:p>
          <w:p w14:paraId="27059242">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lang w:val="en-US" w:eastAsia="zh-CN"/>
              </w:rPr>
            </w:pPr>
            <w:r>
              <w:rPr>
                <w:rFonts w:hint="default" w:ascii="Times New Roman" w:hAnsi="Times New Roman" w:eastAsia="宋体" w:cs="Times New Roman"/>
                <w:b/>
                <w:bCs/>
                <w:color w:val="auto"/>
                <w:kern w:val="0"/>
                <w:sz w:val="24"/>
                <w:szCs w:val="24"/>
                <w:u w:val="none" w:color="auto"/>
                <w:lang w:val="en-US" w:eastAsia="zh-CN"/>
              </w:rPr>
              <w:t>5、生态环境质量现状</w:t>
            </w:r>
          </w:p>
          <w:p w14:paraId="531DEBB3">
            <w:pPr>
              <w:autoSpaceDE w:val="0"/>
              <w:autoSpaceDN w:val="0"/>
              <w:adjustRightInd w:val="0"/>
              <w:snapToGrid w:val="0"/>
              <w:spacing w:line="360" w:lineRule="auto"/>
              <w:ind w:firstLine="480" w:firstLineChars="20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b w:val="0"/>
                <w:bCs w:val="0"/>
                <w:color w:val="auto"/>
                <w:kern w:val="0"/>
                <w:sz w:val="24"/>
                <w:szCs w:val="24"/>
                <w:u w:val="none" w:color="auto"/>
                <w:lang w:val="en-US" w:eastAsia="zh-CN"/>
              </w:rPr>
              <w:t>本次</w:t>
            </w:r>
            <w:r>
              <w:rPr>
                <w:rFonts w:hint="default" w:ascii="Times New Roman" w:hAnsi="Times New Roman" w:eastAsia="宋体" w:cs="Times New Roman"/>
                <w:b w:val="0"/>
                <w:bCs w:val="0"/>
                <w:color w:val="auto"/>
                <w:kern w:val="0"/>
                <w:sz w:val="24"/>
                <w:szCs w:val="24"/>
                <w:u w:val="none" w:color="auto"/>
                <w:lang w:val="en-GB" w:eastAsia="zh-CN"/>
              </w:rPr>
              <w:t>新建项目位于</w:t>
            </w:r>
            <w:r>
              <w:rPr>
                <w:rFonts w:hint="default" w:ascii="Times New Roman" w:hAnsi="Times New Roman" w:eastAsia="宋体" w:cs="Times New Roman"/>
                <w:sz w:val="24"/>
                <w:szCs w:val="24"/>
                <w:u w:val="none" w:color="auto"/>
              </w:rPr>
              <w:t>华容高新技术产业开发区</w:t>
            </w:r>
            <w:r>
              <w:rPr>
                <w:rFonts w:hint="default" w:ascii="Times New Roman" w:hAnsi="Times New Roman" w:eastAsia="宋体" w:cs="Times New Roman"/>
                <w:sz w:val="24"/>
                <w:szCs w:val="24"/>
                <w:u w:val="none" w:color="auto"/>
                <w:lang w:val="en-US" w:eastAsia="zh-CN"/>
              </w:rPr>
              <w:t>石伏片区</w:t>
            </w:r>
            <w:r>
              <w:rPr>
                <w:rFonts w:hint="default" w:ascii="Times New Roman" w:hAnsi="Times New Roman" w:eastAsia="宋体" w:cs="Times New Roman"/>
                <w:b w:val="0"/>
                <w:bCs w:val="0"/>
                <w:color w:val="auto"/>
                <w:kern w:val="0"/>
                <w:sz w:val="24"/>
                <w:szCs w:val="24"/>
                <w:u w:val="none" w:color="auto"/>
                <w:lang w:val="en-GB" w:eastAsia="zh-CN"/>
              </w:rPr>
              <w:t>，评价区域人类活动频繁，开发强度较高，市政配套设施完善，区域生态环境为城市生态环境，生态环境质量一般；各单位和区域主要交通干线的绿化工作基本上按照</w:t>
            </w:r>
            <w:r>
              <w:rPr>
                <w:rFonts w:hint="default" w:ascii="Times New Roman" w:hAnsi="Times New Roman" w:eastAsia="宋体" w:cs="Times New Roman"/>
                <w:b w:val="0"/>
                <w:bCs w:val="0"/>
                <w:color w:val="auto"/>
                <w:kern w:val="0"/>
                <w:sz w:val="24"/>
                <w:szCs w:val="24"/>
                <w:u w:val="none" w:color="auto"/>
                <w:lang w:val="en-US" w:eastAsia="zh-CN"/>
              </w:rPr>
              <w:t>岳阳市</w:t>
            </w:r>
            <w:r>
              <w:rPr>
                <w:rFonts w:hint="default" w:ascii="Times New Roman" w:hAnsi="Times New Roman" w:eastAsia="宋体" w:cs="Times New Roman"/>
                <w:b w:val="0"/>
                <w:bCs w:val="0"/>
                <w:color w:val="auto"/>
                <w:kern w:val="0"/>
                <w:sz w:val="24"/>
                <w:szCs w:val="24"/>
                <w:u w:val="none" w:color="auto"/>
                <w:lang w:val="en-GB" w:eastAsia="zh-CN"/>
              </w:rPr>
              <w:t>总体规划要求实施，所在区域土地利用率高，植被覆盖率较低。主要树种为绿化园林，街道和空隙地的观赏树木和花草；区域内野生动物为城市主要常见动物；通过走访调查，</w:t>
            </w:r>
            <w:r>
              <w:rPr>
                <w:rFonts w:hint="default" w:ascii="Times New Roman" w:hAnsi="Times New Roman" w:eastAsia="宋体" w:cs="Times New Roman"/>
                <w:b w:val="0"/>
                <w:bCs w:val="0"/>
                <w:color w:val="auto"/>
                <w:kern w:val="0"/>
                <w:sz w:val="24"/>
                <w:szCs w:val="24"/>
                <w:u w:val="none" w:color="auto"/>
                <w:lang w:val="en-US" w:eastAsia="zh-CN"/>
              </w:rPr>
              <w:t>本</w:t>
            </w:r>
            <w:r>
              <w:rPr>
                <w:rFonts w:hint="default" w:ascii="Times New Roman" w:hAnsi="Times New Roman" w:eastAsia="宋体" w:cs="Times New Roman"/>
                <w:b w:val="0"/>
                <w:bCs w:val="0"/>
                <w:color w:val="auto"/>
                <w:kern w:val="0"/>
                <w:sz w:val="24"/>
                <w:szCs w:val="24"/>
                <w:u w:val="none" w:color="auto"/>
                <w:lang w:val="en-GB" w:eastAsia="zh-CN"/>
              </w:rPr>
              <w:t>项目所在区域内没有珍稀动植物和古树木。</w:t>
            </w:r>
          </w:p>
        </w:tc>
      </w:tr>
      <w:tr w14:paraId="7883C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00" w:type="dxa"/>
            <w:noWrap w:val="0"/>
            <w:vAlign w:val="center"/>
          </w:tcPr>
          <w:p w14:paraId="64AF4CEB">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环境</w:t>
            </w:r>
          </w:p>
          <w:p w14:paraId="11171E24">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保护</w:t>
            </w:r>
          </w:p>
          <w:p w14:paraId="031C2D2F">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目标</w:t>
            </w:r>
          </w:p>
        </w:tc>
        <w:tc>
          <w:tcPr>
            <w:tcW w:w="8190" w:type="dxa"/>
            <w:noWrap w:val="0"/>
            <w:vAlign w:val="center"/>
          </w:tcPr>
          <w:p w14:paraId="3C59BB20">
            <w:pPr>
              <w:keepNext w:val="0"/>
              <w:keepLines w:val="0"/>
              <w:pageBreakBefore w:val="0"/>
              <w:widowControl w:val="0"/>
              <w:kinsoku/>
              <w:wordWrap/>
              <w:overflowPunct/>
              <w:topLinePunct w:val="0"/>
              <w:autoSpaceDE/>
              <w:autoSpaceDN/>
              <w:bidi w:val="0"/>
              <w:adjustRightInd w:val="0"/>
              <w:snapToGrid w:val="0"/>
              <w:spacing w:line="360" w:lineRule="auto"/>
              <w:ind w:firstLine="464" w:firstLineChars="200"/>
              <w:jc w:val="both"/>
              <w:textAlignment w:val="auto"/>
              <w:rPr>
                <w:rFonts w:hint="default" w:ascii="Times New Roman" w:hAnsi="Times New Roman" w:eastAsia="宋体" w:cs="Times New Roman"/>
                <w:color w:val="auto"/>
                <w:spacing w:val="-4"/>
                <w:kern w:val="0"/>
                <w:sz w:val="24"/>
                <w:u w:val="none" w:color="auto"/>
              </w:rPr>
            </w:pPr>
            <w:r>
              <w:rPr>
                <w:rFonts w:hint="default" w:ascii="Times New Roman" w:hAnsi="Times New Roman" w:eastAsia="宋体" w:cs="Times New Roman"/>
                <w:color w:val="auto"/>
                <w:spacing w:val="-4"/>
                <w:kern w:val="0"/>
                <w:sz w:val="24"/>
                <w:u w:val="none" w:color="auto"/>
              </w:rPr>
              <w:t>根据现场踏勘，</w:t>
            </w:r>
            <w:r>
              <w:rPr>
                <w:rFonts w:hint="default" w:ascii="Times New Roman" w:hAnsi="Times New Roman" w:eastAsia="宋体" w:cs="Times New Roman"/>
                <w:color w:val="auto"/>
                <w:spacing w:val="-4"/>
                <w:kern w:val="0"/>
                <w:sz w:val="24"/>
                <w:u w:val="none" w:color="auto"/>
                <w:lang w:eastAsia="zh-CN"/>
              </w:rPr>
              <w:t>项目</w:t>
            </w:r>
            <w:r>
              <w:rPr>
                <w:rFonts w:hint="default" w:ascii="Times New Roman" w:hAnsi="Times New Roman" w:eastAsia="宋体" w:cs="Times New Roman"/>
                <w:color w:val="auto"/>
                <w:spacing w:val="-4"/>
                <w:kern w:val="0"/>
                <w:sz w:val="24"/>
                <w:u w:val="none" w:color="auto"/>
              </w:rPr>
              <w:t>主要环境保护目标见下</w:t>
            </w:r>
            <w:r>
              <w:rPr>
                <w:rFonts w:hint="default" w:ascii="Times New Roman" w:hAnsi="Times New Roman" w:eastAsia="宋体" w:cs="Times New Roman"/>
                <w:color w:val="auto"/>
                <w:spacing w:val="-4"/>
                <w:sz w:val="24"/>
                <w:u w:val="none" w:color="auto"/>
              </w:rPr>
              <w:t>表</w:t>
            </w:r>
            <w:r>
              <w:rPr>
                <w:rFonts w:hint="default" w:ascii="Times New Roman" w:hAnsi="Times New Roman" w:eastAsia="宋体" w:cs="Times New Roman"/>
                <w:color w:val="auto"/>
                <w:spacing w:val="-4"/>
                <w:kern w:val="0"/>
                <w:sz w:val="24"/>
                <w:u w:val="none" w:color="auto"/>
                <w:lang w:eastAsia="zh-CN"/>
              </w:rPr>
              <w:t>：</w:t>
            </w:r>
          </w:p>
          <w:p w14:paraId="7719E651">
            <w:pPr>
              <w:spacing w:line="240" w:lineRule="auto"/>
              <w:jc w:val="center"/>
              <w:rPr>
                <w:rFonts w:hint="default" w:ascii="Times New Roman" w:hAnsi="Times New Roman" w:eastAsia="宋体" w:cs="Times New Roman"/>
                <w:b/>
                <w:bCs/>
                <w:color w:val="auto"/>
                <w:kern w:val="0"/>
                <w:sz w:val="21"/>
                <w:szCs w:val="21"/>
                <w:u w:val="none" w:color="auto"/>
                <w:lang w:val="en-GB"/>
              </w:rPr>
            </w:pPr>
            <w:r>
              <w:rPr>
                <w:rFonts w:hint="default" w:ascii="Times New Roman" w:hAnsi="Times New Roman" w:eastAsia="宋体" w:cs="Times New Roman"/>
                <w:b/>
                <w:bCs/>
                <w:color w:val="auto"/>
                <w:kern w:val="0"/>
                <w:sz w:val="21"/>
                <w:szCs w:val="21"/>
                <w:u w:val="none" w:color="auto"/>
                <w:lang w:val="en-GB"/>
              </w:rPr>
              <w:t>表3-</w:t>
            </w:r>
            <w:r>
              <w:rPr>
                <w:rFonts w:hint="default" w:ascii="Times New Roman" w:hAnsi="Times New Roman" w:eastAsia="宋体" w:cs="Times New Roman"/>
                <w:b/>
                <w:bCs/>
                <w:color w:val="auto"/>
                <w:kern w:val="0"/>
                <w:sz w:val="21"/>
                <w:szCs w:val="21"/>
                <w:u w:val="none" w:color="auto"/>
                <w:lang w:val="en-US" w:eastAsia="zh-CN"/>
              </w:rPr>
              <w:t>5</w:t>
            </w:r>
            <w:r>
              <w:rPr>
                <w:rFonts w:hint="default" w:ascii="Times New Roman" w:hAnsi="Times New Roman" w:eastAsia="宋体" w:cs="Times New Roman"/>
                <w:b/>
                <w:bCs/>
                <w:color w:val="auto"/>
                <w:kern w:val="0"/>
                <w:sz w:val="21"/>
                <w:szCs w:val="21"/>
                <w:u w:val="none" w:color="auto"/>
                <w:lang w:val="en-GB"/>
              </w:rPr>
              <w:t xml:space="preserve">  环境保护目标一览表</w:t>
            </w:r>
          </w:p>
          <w:tbl>
            <w:tblPr>
              <w:tblStyle w:val="26"/>
              <w:tblW w:w="49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1"/>
              <w:gridCol w:w="804"/>
              <w:gridCol w:w="1407"/>
              <w:gridCol w:w="622"/>
              <w:gridCol w:w="756"/>
              <w:gridCol w:w="783"/>
              <w:gridCol w:w="882"/>
              <w:gridCol w:w="2012"/>
            </w:tblGrid>
            <w:tr w14:paraId="07543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05" w:type="pct"/>
                  <w:tcBorders>
                    <w:tl2br w:val="nil"/>
                    <w:tr2bl w:val="nil"/>
                  </w:tcBorders>
                  <w:noWrap w:val="0"/>
                  <w:vAlign w:val="center"/>
                </w:tcPr>
                <w:p w14:paraId="6A1C465C">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环境</w:t>
                  </w:r>
                </w:p>
                <w:p w14:paraId="1DBE56EF">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要素</w:t>
                  </w:r>
                </w:p>
              </w:tc>
              <w:tc>
                <w:tcPr>
                  <w:tcW w:w="508" w:type="pct"/>
                  <w:tcBorders>
                    <w:tl2br w:val="nil"/>
                    <w:tr2bl w:val="nil"/>
                  </w:tcBorders>
                  <w:noWrap w:val="0"/>
                  <w:vAlign w:val="center"/>
                </w:tcPr>
                <w:p w14:paraId="673FA0B6">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保护</w:t>
                  </w:r>
                </w:p>
                <w:p w14:paraId="1F895168">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目标</w:t>
                  </w:r>
                </w:p>
              </w:tc>
              <w:tc>
                <w:tcPr>
                  <w:tcW w:w="889" w:type="pct"/>
                  <w:tcBorders>
                    <w:tl2br w:val="nil"/>
                    <w:tr2bl w:val="nil"/>
                  </w:tcBorders>
                  <w:noWrap w:val="0"/>
                  <w:vAlign w:val="center"/>
                </w:tcPr>
                <w:p w14:paraId="0F72DFE0">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坐标</w:t>
                  </w:r>
                </w:p>
              </w:tc>
              <w:tc>
                <w:tcPr>
                  <w:tcW w:w="393" w:type="pct"/>
                  <w:tcBorders>
                    <w:tl2br w:val="nil"/>
                    <w:tr2bl w:val="nil"/>
                  </w:tcBorders>
                  <w:noWrap w:val="0"/>
                  <w:vAlign w:val="center"/>
                </w:tcPr>
                <w:p w14:paraId="00CC4FBB">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方位</w:t>
                  </w:r>
                </w:p>
              </w:tc>
              <w:tc>
                <w:tcPr>
                  <w:tcW w:w="478" w:type="pct"/>
                  <w:tcBorders>
                    <w:tl2br w:val="nil"/>
                    <w:tr2bl w:val="nil"/>
                  </w:tcBorders>
                  <w:noWrap w:val="0"/>
                  <w:vAlign w:val="center"/>
                </w:tcPr>
                <w:p w14:paraId="64612E22">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lang w:eastAsia="zh-CN"/>
                    </w:rPr>
                  </w:pPr>
                  <w:r>
                    <w:rPr>
                      <w:rFonts w:hint="default" w:ascii="Times New Roman" w:hAnsi="Times New Roman" w:eastAsia="宋体" w:cs="Times New Roman"/>
                      <w:b/>
                      <w:bCs/>
                      <w:color w:val="auto"/>
                      <w:sz w:val="18"/>
                      <w:szCs w:val="18"/>
                      <w:u w:val="none" w:color="auto"/>
                      <w:lang w:eastAsia="zh-CN"/>
                    </w:rPr>
                    <w:t>相对</w:t>
                  </w:r>
                </w:p>
                <w:p w14:paraId="25E82403">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距离(m)</w:t>
                  </w:r>
                </w:p>
              </w:tc>
              <w:tc>
                <w:tcPr>
                  <w:tcW w:w="495" w:type="pct"/>
                  <w:tcBorders>
                    <w:tl2br w:val="nil"/>
                    <w:tr2bl w:val="nil"/>
                  </w:tcBorders>
                  <w:noWrap w:val="0"/>
                  <w:vAlign w:val="center"/>
                </w:tcPr>
                <w:p w14:paraId="67F63E7A">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规模</w:t>
                  </w:r>
                </w:p>
              </w:tc>
              <w:tc>
                <w:tcPr>
                  <w:tcW w:w="557" w:type="pct"/>
                  <w:tcBorders>
                    <w:tl2br w:val="nil"/>
                    <w:tr2bl w:val="nil"/>
                  </w:tcBorders>
                  <w:noWrap w:val="0"/>
                  <w:vAlign w:val="center"/>
                </w:tcPr>
                <w:p w14:paraId="2B3BD2DD">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功能</w:t>
                  </w:r>
                </w:p>
              </w:tc>
              <w:tc>
                <w:tcPr>
                  <w:tcW w:w="1272" w:type="pct"/>
                  <w:tcBorders>
                    <w:tl2br w:val="nil"/>
                    <w:tr2bl w:val="nil"/>
                  </w:tcBorders>
                  <w:noWrap w:val="0"/>
                  <w:vAlign w:val="center"/>
                </w:tcPr>
                <w:p w14:paraId="1667F34E">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lang w:eastAsia="zh-CN"/>
                    </w:rPr>
                  </w:pPr>
                  <w:r>
                    <w:rPr>
                      <w:rFonts w:hint="default" w:ascii="Times New Roman" w:hAnsi="Times New Roman" w:eastAsia="宋体" w:cs="Times New Roman"/>
                      <w:b/>
                      <w:bCs/>
                      <w:color w:val="auto"/>
                      <w:sz w:val="18"/>
                      <w:szCs w:val="18"/>
                      <w:u w:val="none" w:color="auto"/>
                      <w:lang w:eastAsia="zh-CN"/>
                    </w:rPr>
                    <w:t>保护</w:t>
                  </w:r>
                </w:p>
                <w:p w14:paraId="1A95CD90">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bCs/>
                      <w:color w:val="auto"/>
                      <w:sz w:val="18"/>
                      <w:szCs w:val="18"/>
                      <w:u w:val="none" w:color="auto"/>
                    </w:rPr>
                  </w:pPr>
                  <w:r>
                    <w:rPr>
                      <w:rFonts w:hint="default" w:ascii="Times New Roman" w:hAnsi="Times New Roman" w:eastAsia="宋体" w:cs="Times New Roman"/>
                      <w:b/>
                      <w:bCs/>
                      <w:color w:val="auto"/>
                      <w:sz w:val="18"/>
                      <w:szCs w:val="18"/>
                      <w:u w:val="none" w:color="auto"/>
                    </w:rPr>
                    <w:t>级别</w:t>
                  </w:r>
                </w:p>
              </w:tc>
            </w:tr>
            <w:tr w14:paraId="6A508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restart"/>
                  <w:tcBorders>
                    <w:tl2br w:val="nil"/>
                    <w:tr2bl w:val="nil"/>
                  </w:tcBorders>
                  <w:noWrap w:val="0"/>
                  <w:vAlign w:val="center"/>
                </w:tcPr>
                <w:p w14:paraId="4265B482">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eastAsia="zh-CN"/>
                    </w:rPr>
                    <w:t>大气</w:t>
                  </w:r>
                </w:p>
                <w:p w14:paraId="29385884">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lang w:eastAsia="zh-CN"/>
                    </w:rPr>
                    <w:t>环境</w:t>
                  </w:r>
                </w:p>
              </w:tc>
              <w:tc>
                <w:tcPr>
                  <w:tcW w:w="508" w:type="pct"/>
                  <w:tcBorders>
                    <w:tl2br w:val="nil"/>
                    <w:tr2bl w:val="nil"/>
                  </w:tcBorders>
                  <w:noWrap w:val="0"/>
                  <w:vAlign w:val="center"/>
                </w:tcPr>
                <w:p w14:paraId="214C819C">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39265E90">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rPr>
                    <w:t>112.61525364</w:t>
                  </w:r>
                  <w:r>
                    <w:rPr>
                      <w:rFonts w:hint="default" w:ascii="Times New Roman" w:hAnsi="Times New Roman" w:eastAsia="宋体" w:cs="Times New Roman"/>
                      <w:color w:val="auto"/>
                      <w:kern w:val="0"/>
                      <w:sz w:val="18"/>
                      <w:szCs w:val="18"/>
                      <w:u w:val="none" w:color="auto"/>
                      <w:lang w:eastAsia="zh-CN"/>
                    </w:rPr>
                    <w:t>，29.53799246</w:t>
                  </w:r>
                </w:p>
              </w:tc>
              <w:tc>
                <w:tcPr>
                  <w:tcW w:w="393" w:type="pct"/>
                  <w:tcBorders>
                    <w:tl2br w:val="nil"/>
                    <w:tr2bl w:val="nil"/>
                  </w:tcBorders>
                  <w:noWrap w:val="0"/>
                  <w:vAlign w:val="center"/>
                </w:tcPr>
                <w:p w14:paraId="5CAC08FE">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西北侧</w:t>
                  </w:r>
                </w:p>
              </w:tc>
              <w:tc>
                <w:tcPr>
                  <w:tcW w:w="478" w:type="pct"/>
                  <w:tcBorders>
                    <w:tl2br w:val="nil"/>
                    <w:tr2bl w:val="nil"/>
                  </w:tcBorders>
                  <w:noWrap w:val="0"/>
                  <w:vAlign w:val="center"/>
                </w:tcPr>
                <w:p w14:paraId="6BD2B537">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30-500</w:t>
                  </w:r>
                </w:p>
              </w:tc>
              <w:tc>
                <w:tcPr>
                  <w:tcW w:w="495" w:type="pct"/>
                  <w:tcBorders>
                    <w:tl2br w:val="nil"/>
                    <w:tr2bl w:val="nil"/>
                  </w:tcBorders>
                  <w:noWrap w:val="0"/>
                  <w:vAlign w:val="center"/>
                </w:tcPr>
                <w:p w14:paraId="272CA96A">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eastAsia="zh-CN"/>
                    </w:rPr>
                    <w:t>约</w:t>
                  </w:r>
                  <w:r>
                    <w:rPr>
                      <w:rFonts w:hint="default" w:ascii="Times New Roman" w:hAnsi="Times New Roman" w:eastAsia="宋体" w:cs="Times New Roman"/>
                      <w:color w:val="auto"/>
                      <w:kern w:val="0"/>
                      <w:sz w:val="18"/>
                      <w:szCs w:val="18"/>
                      <w:u w:val="none" w:color="auto"/>
                      <w:lang w:val="en-US" w:eastAsia="zh-CN"/>
                    </w:rPr>
                    <w:t>70户，210人</w:t>
                  </w:r>
                </w:p>
              </w:tc>
              <w:tc>
                <w:tcPr>
                  <w:tcW w:w="557" w:type="pct"/>
                  <w:tcBorders>
                    <w:tl2br w:val="nil"/>
                    <w:tr2bl w:val="nil"/>
                  </w:tcBorders>
                  <w:noWrap w:val="0"/>
                  <w:vAlign w:val="center"/>
                </w:tcPr>
                <w:p w14:paraId="07E1FDA4">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6E191C3B">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《环境空气质量标准》（GB3095-2012）</w:t>
                  </w:r>
                </w:p>
                <w:p w14:paraId="0A242107">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二类标准</w:t>
                  </w:r>
                  <w:r>
                    <w:rPr>
                      <w:rFonts w:hint="default" w:ascii="Times New Roman" w:hAnsi="Times New Roman" w:eastAsia="宋体" w:cs="Times New Roman"/>
                      <w:color w:val="auto"/>
                      <w:sz w:val="18"/>
                      <w:szCs w:val="18"/>
                      <w:u w:val="none" w:color="auto"/>
                      <w:lang w:eastAsia="zh-CN"/>
                    </w:rPr>
                    <w:t>及</w:t>
                  </w:r>
                  <w:r>
                    <w:rPr>
                      <w:rFonts w:hint="default" w:ascii="Times New Roman" w:hAnsi="Times New Roman" w:eastAsia="宋体" w:cs="Times New Roman"/>
                      <w:color w:val="auto"/>
                      <w:sz w:val="18"/>
                      <w:szCs w:val="18"/>
                      <w:u w:val="none" w:color="auto"/>
                      <w:lang w:val="en-US" w:eastAsia="zh-CN"/>
                    </w:rPr>
                    <w:t>2018年修改单</w:t>
                  </w:r>
                </w:p>
              </w:tc>
            </w:tr>
            <w:tr w14:paraId="03414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737C219A">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2F4C8D3B">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5070C747">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rPr>
                    <w:t>112.61446975</w:t>
                  </w:r>
                  <w:r>
                    <w:rPr>
                      <w:rFonts w:hint="default" w:ascii="Times New Roman" w:hAnsi="Times New Roman" w:eastAsia="宋体" w:cs="Times New Roman"/>
                      <w:color w:val="auto"/>
                      <w:kern w:val="0"/>
                      <w:sz w:val="18"/>
                      <w:szCs w:val="18"/>
                      <w:u w:val="none" w:color="auto"/>
                      <w:lang w:eastAsia="zh-CN"/>
                    </w:rPr>
                    <w:t>，29.53665676</w:t>
                  </w:r>
                </w:p>
              </w:tc>
              <w:tc>
                <w:tcPr>
                  <w:tcW w:w="393" w:type="pct"/>
                  <w:tcBorders>
                    <w:tl2br w:val="nil"/>
                    <w:tr2bl w:val="nil"/>
                  </w:tcBorders>
                  <w:noWrap w:val="0"/>
                  <w:vAlign w:val="center"/>
                </w:tcPr>
                <w:p w14:paraId="6AA54B14">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西侧</w:t>
                  </w:r>
                </w:p>
              </w:tc>
              <w:tc>
                <w:tcPr>
                  <w:tcW w:w="478" w:type="pct"/>
                  <w:tcBorders>
                    <w:tl2br w:val="nil"/>
                    <w:tr2bl w:val="nil"/>
                  </w:tcBorders>
                  <w:noWrap w:val="0"/>
                  <w:vAlign w:val="center"/>
                </w:tcPr>
                <w:p w14:paraId="548E7CB6">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30-450</w:t>
                  </w:r>
                </w:p>
              </w:tc>
              <w:tc>
                <w:tcPr>
                  <w:tcW w:w="495" w:type="pct"/>
                  <w:tcBorders>
                    <w:tl2br w:val="nil"/>
                    <w:tr2bl w:val="nil"/>
                  </w:tcBorders>
                  <w:noWrap w:val="0"/>
                  <w:vAlign w:val="center"/>
                </w:tcPr>
                <w:p w14:paraId="03068E84">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约30户，90人</w:t>
                  </w:r>
                </w:p>
              </w:tc>
              <w:tc>
                <w:tcPr>
                  <w:tcW w:w="557" w:type="pct"/>
                  <w:tcBorders>
                    <w:tl2br w:val="nil"/>
                    <w:tr2bl w:val="nil"/>
                  </w:tcBorders>
                  <w:noWrap w:val="0"/>
                  <w:vAlign w:val="center"/>
                </w:tcPr>
                <w:p w14:paraId="42D5E088">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1569A583">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《环境空气质量标准》（GB3095-2012）</w:t>
                  </w:r>
                </w:p>
                <w:p w14:paraId="3E7DB944">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二类标准</w:t>
                  </w:r>
                  <w:r>
                    <w:rPr>
                      <w:rFonts w:hint="default" w:ascii="Times New Roman" w:hAnsi="Times New Roman" w:eastAsia="宋体" w:cs="Times New Roman"/>
                      <w:color w:val="auto"/>
                      <w:sz w:val="18"/>
                      <w:szCs w:val="18"/>
                      <w:u w:val="none" w:color="auto"/>
                      <w:lang w:eastAsia="zh-CN"/>
                    </w:rPr>
                    <w:t>及</w:t>
                  </w:r>
                  <w:r>
                    <w:rPr>
                      <w:rFonts w:hint="default" w:ascii="Times New Roman" w:hAnsi="Times New Roman" w:eastAsia="宋体" w:cs="Times New Roman"/>
                      <w:color w:val="auto"/>
                      <w:sz w:val="18"/>
                      <w:szCs w:val="18"/>
                      <w:u w:val="none" w:color="auto"/>
                      <w:lang w:val="en-US" w:eastAsia="zh-CN"/>
                    </w:rPr>
                    <w:t>2018年修改单</w:t>
                  </w:r>
                </w:p>
              </w:tc>
            </w:tr>
            <w:tr w14:paraId="184D0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4F7E2A79">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610D8E6B">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春苗幼儿园</w:t>
                  </w:r>
                </w:p>
              </w:tc>
              <w:tc>
                <w:tcPr>
                  <w:tcW w:w="889" w:type="pct"/>
                  <w:tcBorders>
                    <w:tl2br w:val="nil"/>
                    <w:tr2bl w:val="nil"/>
                  </w:tcBorders>
                  <w:noWrap w:val="0"/>
                  <w:vAlign w:val="center"/>
                </w:tcPr>
                <w:p w14:paraId="328A2B2E">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rPr>
                    <w:t>112.61627358</w:t>
                  </w:r>
                  <w:r>
                    <w:rPr>
                      <w:rFonts w:hint="default" w:ascii="Times New Roman" w:hAnsi="Times New Roman" w:eastAsia="宋体" w:cs="Times New Roman"/>
                      <w:color w:val="auto"/>
                      <w:kern w:val="0"/>
                      <w:sz w:val="18"/>
                      <w:szCs w:val="18"/>
                      <w:u w:val="none" w:color="auto"/>
                      <w:lang w:eastAsia="zh-CN"/>
                    </w:rPr>
                    <w:t>，29.53698453</w:t>
                  </w:r>
                </w:p>
              </w:tc>
              <w:tc>
                <w:tcPr>
                  <w:tcW w:w="393" w:type="pct"/>
                  <w:tcBorders>
                    <w:tl2br w:val="nil"/>
                    <w:tr2bl w:val="nil"/>
                  </w:tcBorders>
                  <w:noWrap w:val="0"/>
                  <w:vAlign w:val="center"/>
                </w:tcPr>
                <w:p w14:paraId="1DFDB28E">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西侧</w:t>
                  </w:r>
                </w:p>
              </w:tc>
              <w:tc>
                <w:tcPr>
                  <w:tcW w:w="478" w:type="pct"/>
                  <w:tcBorders>
                    <w:tl2br w:val="nil"/>
                    <w:tr2bl w:val="nil"/>
                  </w:tcBorders>
                  <w:noWrap w:val="0"/>
                  <w:vAlign w:val="center"/>
                </w:tcPr>
                <w:p w14:paraId="785ED8DF">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50</w:t>
                  </w:r>
                </w:p>
              </w:tc>
              <w:tc>
                <w:tcPr>
                  <w:tcW w:w="495" w:type="pct"/>
                  <w:tcBorders>
                    <w:tl2br w:val="nil"/>
                    <w:tr2bl w:val="nil"/>
                  </w:tcBorders>
                  <w:noWrap w:val="0"/>
                  <w:vAlign w:val="center"/>
                </w:tcPr>
                <w:p w14:paraId="36BA66AE">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约100人</w:t>
                  </w:r>
                </w:p>
              </w:tc>
              <w:tc>
                <w:tcPr>
                  <w:tcW w:w="557" w:type="pct"/>
                  <w:tcBorders>
                    <w:tl2br w:val="nil"/>
                    <w:tr2bl w:val="nil"/>
                  </w:tcBorders>
                  <w:noWrap w:val="0"/>
                  <w:vAlign w:val="center"/>
                </w:tcPr>
                <w:p w14:paraId="42A71453">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学校</w:t>
                  </w:r>
                </w:p>
              </w:tc>
              <w:tc>
                <w:tcPr>
                  <w:tcW w:w="1272" w:type="pct"/>
                  <w:tcBorders>
                    <w:tl2br w:val="nil"/>
                    <w:tr2bl w:val="nil"/>
                  </w:tcBorders>
                  <w:noWrap w:val="0"/>
                  <w:vAlign w:val="center"/>
                </w:tcPr>
                <w:p w14:paraId="18CEBD14">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《环境空气质量标准》（GB3095-2012）</w:t>
                  </w:r>
                </w:p>
                <w:p w14:paraId="011968EE">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二类标准</w:t>
                  </w:r>
                  <w:r>
                    <w:rPr>
                      <w:rFonts w:hint="default" w:ascii="Times New Roman" w:hAnsi="Times New Roman" w:eastAsia="宋体" w:cs="Times New Roman"/>
                      <w:color w:val="auto"/>
                      <w:sz w:val="18"/>
                      <w:szCs w:val="18"/>
                      <w:u w:val="none" w:color="auto"/>
                      <w:lang w:eastAsia="zh-CN"/>
                    </w:rPr>
                    <w:t>及</w:t>
                  </w:r>
                  <w:r>
                    <w:rPr>
                      <w:rFonts w:hint="default" w:ascii="Times New Roman" w:hAnsi="Times New Roman" w:eastAsia="宋体" w:cs="Times New Roman"/>
                      <w:color w:val="auto"/>
                      <w:sz w:val="18"/>
                      <w:szCs w:val="18"/>
                      <w:u w:val="none" w:color="auto"/>
                      <w:lang w:val="en-US" w:eastAsia="zh-CN"/>
                    </w:rPr>
                    <w:t>2018年修改单</w:t>
                  </w:r>
                </w:p>
              </w:tc>
            </w:tr>
            <w:tr w14:paraId="5F604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6BD0D289">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7CA78E8C">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5AE1F761">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rPr>
                    <w:t>112.61763701</w:t>
                  </w:r>
                  <w:r>
                    <w:rPr>
                      <w:rFonts w:hint="default" w:ascii="Times New Roman" w:hAnsi="Times New Roman" w:eastAsia="宋体" w:cs="Times New Roman"/>
                      <w:color w:val="auto"/>
                      <w:kern w:val="0"/>
                      <w:sz w:val="18"/>
                      <w:szCs w:val="18"/>
                      <w:u w:val="none" w:color="auto"/>
                      <w:lang w:eastAsia="zh-CN"/>
                    </w:rPr>
                    <w:t>，29.53380574</w:t>
                  </w:r>
                </w:p>
              </w:tc>
              <w:tc>
                <w:tcPr>
                  <w:tcW w:w="393" w:type="pct"/>
                  <w:tcBorders>
                    <w:tl2br w:val="nil"/>
                    <w:tr2bl w:val="nil"/>
                  </w:tcBorders>
                  <w:noWrap w:val="0"/>
                  <w:vAlign w:val="center"/>
                </w:tcPr>
                <w:p w14:paraId="3AD31138">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南侧</w:t>
                  </w:r>
                </w:p>
              </w:tc>
              <w:tc>
                <w:tcPr>
                  <w:tcW w:w="478" w:type="pct"/>
                  <w:tcBorders>
                    <w:tl2br w:val="nil"/>
                    <w:tr2bl w:val="nil"/>
                  </w:tcBorders>
                  <w:noWrap w:val="0"/>
                  <w:vAlign w:val="center"/>
                </w:tcPr>
                <w:p w14:paraId="4AC630F3">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50</w:t>
                  </w:r>
                </w:p>
              </w:tc>
              <w:tc>
                <w:tcPr>
                  <w:tcW w:w="495" w:type="pct"/>
                  <w:tcBorders>
                    <w:tl2br w:val="nil"/>
                    <w:tr2bl w:val="nil"/>
                  </w:tcBorders>
                  <w:noWrap w:val="0"/>
                  <w:vAlign w:val="center"/>
                </w:tcPr>
                <w:p w14:paraId="69285674">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约8户，24人</w:t>
                  </w:r>
                </w:p>
              </w:tc>
              <w:tc>
                <w:tcPr>
                  <w:tcW w:w="557" w:type="pct"/>
                  <w:tcBorders>
                    <w:tl2br w:val="nil"/>
                    <w:tr2bl w:val="nil"/>
                  </w:tcBorders>
                  <w:noWrap w:val="0"/>
                  <w:vAlign w:val="center"/>
                </w:tcPr>
                <w:p w14:paraId="5BAC3748">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728FA071">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《环境空气质量标准》（GB3095-2012）</w:t>
                  </w:r>
                </w:p>
                <w:p w14:paraId="44D41E94">
                  <w:pPr>
                    <w:pStyle w:val="25"/>
                    <w:keepNext w:val="0"/>
                    <w:keepLines w:val="0"/>
                    <w:pageBreakBefore w:val="0"/>
                    <w:widowControl/>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二类标准</w:t>
                  </w:r>
                  <w:r>
                    <w:rPr>
                      <w:rFonts w:hint="default" w:ascii="Times New Roman" w:hAnsi="Times New Roman" w:eastAsia="宋体" w:cs="Times New Roman"/>
                      <w:color w:val="auto"/>
                      <w:sz w:val="18"/>
                      <w:szCs w:val="18"/>
                      <w:u w:val="none" w:color="auto"/>
                      <w:lang w:eastAsia="zh-CN"/>
                    </w:rPr>
                    <w:t>及</w:t>
                  </w:r>
                  <w:r>
                    <w:rPr>
                      <w:rFonts w:hint="default" w:ascii="Times New Roman" w:hAnsi="Times New Roman" w:eastAsia="宋体" w:cs="Times New Roman"/>
                      <w:color w:val="auto"/>
                      <w:sz w:val="18"/>
                      <w:szCs w:val="18"/>
                      <w:u w:val="none" w:color="auto"/>
                      <w:lang w:val="en-US" w:eastAsia="zh-CN"/>
                    </w:rPr>
                    <w:t>2018年修改单</w:t>
                  </w:r>
                </w:p>
              </w:tc>
            </w:tr>
            <w:tr w14:paraId="1A6F9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restart"/>
                  <w:tcBorders>
                    <w:tl2br w:val="nil"/>
                    <w:tr2bl w:val="nil"/>
                  </w:tcBorders>
                  <w:noWrap w:val="0"/>
                  <w:vAlign w:val="center"/>
                </w:tcPr>
                <w:p w14:paraId="66AA99CE">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r>
                    <w:rPr>
                      <w:rFonts w:hint="default" w:ascii="Times New Roman" w:hAnsi="Times New Roman" w:eastAsia="宋体" w:cs="Times New Roman"/>
                      <w:color w:val="auto"/>
                      <w:sz w:val="18"/>
                      <w:szCs w:val="18"/>
                      <w:u w:val="none" w:color="auto"/>
                    </w:rPr>
                    <w:t>声环境</w:t>
                  </w:r>
                </w:p>
              </w:tc>
              <w:tc>
                <w:tcPr>
                  <w:tcW w:w="508" w:type="pct"/>
                  <w:tcBorders>
                    <w:tl2br w:val="nil"/>
                    <w:tr2bl w:val="nil"/>
                  </w:tcBorders>
                  <w:noWrap w:val="0"/>
                  <w:vAlign w:val="center"/>
                </w:tcPr>
                <w:p w14:paraId="6256A299">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2611924A">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rPr>
                  </w:pPr>
                  <w:r>
                    <w:rPr>
                      <w:rFonts w:hint="default" w:ascii="Times New Roman" w:hAnsi="Times New Roman" w:eastAsia="宋体" w:cs="Times New Roman"/>
                      <w:color w:val="auto"/>
                      <w:kern w:val="0"/>
                      <w:sz w:val="18"/>
                      <w:szCs w:val="18"/>
                      <w:u w:val="none" w:color="auto"/>
                    </w:rPr>
                    <w:t>112.61525364</w:t>
                  </w:r>
                  <w:r>
                    <w:rPr>
                      <w:rFonts w:hint="default" w:ascii="Times New Roman" w:hAnsi="Times New Roman" w:eastAsia="宋体" w:cs="Times New Roman"/>
                      <w:color w:val="auto"/>
                      <w:kern w:val="0"/>
                      <w:sz w:val="18"/>
                      <w:szCs w:val="18"/>
                      <w:u w:val="none" w:color="auto"/>
                      <w:lang w:eastAsia="zh-CN"/>
                    </w:rPr>
                    <w:t>，29.53799246</w:t>
                  </w:r>
                </w:p>
              </w:tc>
              <w:tc>
                <w:tcPr>
                  <w:tcW w:w="393" w:type="pct"/>
                  <w:tcBorders>
                    <w:tl2br w:val="nil"/>
                    <w:tr2bl w:val="nil"/>
                  </w:tcBorders>
                  <w:noWrap w:val="0"/>
                  <w:vAlign w:val="center"/>
                </w:tcPr>
                <w:p w14:paraId="1CEBF3D4">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西北侧</w:t>
                  </w:r>
                </w:p>
              </w:tc>
              <w:tc>
                <w:tcPr>
                  <w:tcW w:w="478" w:type="pct"/>
                  <w:tcBorders>
                    <w:tl2br w:val="nil"/>
                    <w:tr2bl w:val="nil"/>
                  </w:tcBorders>
                  <w:noWrap w:val="0"/>
                  <w:vAlign w:val="center"/>
                </w:tcPr>
                <w:p w14:paraId="6778E338">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30-50</w:t>
                  </w:r>
                </w:p>
              </w:tc>
              <w:tc>
                <w:tcPr>
                  <w:tcW w:w="495" w:type="pct"/>
                  <w:tcBorders>
                    <w:tl2br w:val="nil"/>
                    <w:tr2bl w:val="nil"/>
                  </w:tcBorders>
                  <w:noWrap w:val="0"/>
                  <w:vAlign w:val="center"/>
                </w:tcPr>
                <w:p w14:paraId="54393D1C">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约</w:t>
                  </w:r>
                  <w:r>
                    <w:rPr>
                      <w:rFonts w:hint="default" w:ascii="Times New Roman" w:hAnsi="Times New Roman" w:eastAsia="宋体" w:cs="Times New Roman"/>
                      <w:color w:val="auto"/>
                      <w:kern w:val="0"/>
                      <w:sz w:val="18"/>
                      <w:szCs w:val="18"/>
                      <w:u w:val="none" w:color="auto"/>
                      <w:lang w:val="en-US" w:eastAsia="zh-CN"/>
                    </w:rPr>
                    <w:t>5户，15人</w:t>
                  </w:r>
                </w:p>
              </w:tc>
              <w:tc>
                <w:tcPr>
                  <w:tcW w:w="557" w:type="pct"/>
                  <w:tcBorders>
                    <w:tl2br w:val="nil"/>
                    <w:tr2bl w:val="nil"/>
                  </w:tcBorders>
                  <w:noWrap w:val="0"/>
                  <w:vAlign w:val="center"/>
                </w:tcPr>
                <w:p w14:paraId="45A72400">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73D1992D">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《声环境质量标准》（GB3096-2008）</w:t>
                  </w:r>
                </w:p>
                <w:p w14:paraId="10BFABAD">
                  <w:pPr>
                    <w:pStyle w:val="25"/>
                    <w:keepNext w:val="0"/>
                    <w:keepLines w:val="0"/>
                    <w:pageBreakBefore w:val="0"/>
                    <w:widowControl/>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2</w:t>
                  </w:r>
                  <w:r>
                    <w:rPr>
                      <w:rFonts w:hint="default" w:ascii="Times New Roman" w:hAnsi="Times New Roman" w:eastAsia="宋体" w:cs="Times New Roman"/>
                      <w:color w:val="auto"/>
                      <w:sz w:val="18"/>
                      <w:szCs w:val="18"/>
                      <w:u w:val="none" w:color="auto"/>
                    </w:rPr>
                    <w:t>类标准</w:t>
                  </w:r>
                </w:p>
              </w:tc>
            </w:tr>
            <w:tr w14:paraId="2E234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5306D392">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1AF981D5">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34458496">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rPr>
                  </w:pPr>
                  <w:r>
                    <w:rPr>
                      <w:rFonts w:hint="default" w:ascii="Times New Roman" w:hAnsi="Times New Roman" w:eastAsia="宋体" w:cs="Times New Roman"/>
                      <w:color w:val="auto"/>
                      <w:kern w:val="0"/>
                      <w:sz w:val="18"/>
                      <w:szCs w:val="18"/>
                      <w:u w:val="none" w:color="auto"/>
                    </w:rPr>
                    <w:t>112.61446975</w:t>
                  </w:r>
                  <w:r>
                    <w:rPr>
                      <w:rFonts w:hint="default" w:ascii="Times New Roman" w:hAnsi="Times New Roman" w:eastAsia="宋体" w:cs="Times New Roman"/>
                      <w:color w:val="auto"/>
                      <w:kern w:val="0"/>
                      <w:sz w:val="18"/>
                      <w:szCs w:val="18"/>
                      <w:u w:val="none" w:color="auto"/>
                      <w:lang w:eastAsia="zh-CN"/>
                    </w:rPr>
                    <w:t>，29.53665676</w:t>
                  </w:r>
                </w:p>
              </w:tc>
              <w:tc>
                <w:tcPr>
                  <w:tcW w:w="393" w:type="pct"/>
                  <w:tcBorders>
                    <w:tl2br w:val="nil"/>
                    <w:tr2bl w:val="nil"/>
                  </w:tcBorders>
                  <w:noWrap w:val="0"/>
                  <w:vAlign w:val="center"/>
                </w:tcPr>
                <w:p w14:paraId="2E1E03A7">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西侧</w:t>
                  </w:r>
                </w:p>
              </w:tc>
              <w:tc>
                <w:tcPr>
                  <w:tcW w:w="478" w:type="pct"/>
                  <w:tcBorders>
                    <w:tl2br w:val="nil"/>
                    <w:tr2bl w:val="nil"/>
                  </w:tcBorders>
                  <w:noWrap w:val="0"/>
                  <w:vAlign w:val="center"/>
                </w:tcPr>
                <w:p w14:paraId="2FEBF22C">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30-50</w:t>
                  </w:r>
                </w:p>
              </w:tc>
              <w:tc>
                <w:tcPr>
                  <w:tcW w:w="495" w:type="pct"/>
                  <w:tcBorders>
                    <w:tl2br w:val="nil"/>
                    <w:tr2bl w:val="nil"/>
                  </w:tcBorders>
                  <w:noWrap w:val="0"/>
                  <w:vAlign w:val="center"/>
                </w:tcPr>
                <w:p w14:paraId="67927684">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约3户，9人</w:t>
                  </w:r>
                </w:p>
              </w:tc>
              <w:tc>
                <w:tcPr>
                  <w:tcW w:w="557" w:type="pct"/>
                  <w:tcBorders>
                    <w:tl2br w:val="nil"/>
                    <w:tr2bl w:val="nil"/>
                  </w:tcBorders>
                  <w:noWrap w:val="0"/>
                  <w:vAlign w:val="center"/>
                </w:tcPr>
                <w:p w14:paraId="1A919EFC">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35AD005C">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《声环境质量标准》（GB3096-2008）</w:t>
                  </w:r>
                </w:p>
                <w:p w14:paraId="5BFD2648">
                  <w:pPr>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2</w:t>
                  </w:r>
                  <w:r>
                    <w:rPr>
                      <w:rFonts w:hint="default" w:ascii="Times New Roman" w:hAnsi="Times New Roman" w:eastAsia="宋体" w:cs="Times New Roman"/>
                      <w:color w:val="auto"/>
                      <w:sz w:val="18"/>
                      <w:szCs w:val="18"/>
                      <w:u w:val="none" w:color="auto"/>
                    </w:rPr>
                    <w:t>类标准</w:t>
                  </w:r>
                </w:p>
              </w:tc>
            </w:tr>
            <w:tr w14:paraId="15C27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0D439A60">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5610994C">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春苗幼儿园</w:t>
                  </w:r>
                </w:p>
              </w:tc>
              <w:tc>
                <w:tcPr>
                  <w:tcW w:w="889" w:type="pct"/>
                  <w:tcBorders>
                    <w:tl2br w:val="nil"/>
                    <w:tr2bl w:val="nil"/>
                  </w:tcBorders>
                  <w:noWrap w:val="0"/>
                  <w:vAlign w:val="center"/>
                </w:tcPr>
                <w:p w14:paraId="69A7EF58">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rPr>
                  </w:pPr>
                  <w:r>
                    <w:rPr>
                      <w:rFonts w:hint="default" w:ascii="Times New Roman" w:hAnsi="Times New Roman" w:eastAsia="宋体" w:cs="Times New Roman"/>
                      <w:color w:val="auto"/>
                      <w:kern w:val="0"/>
                      <w:sz w:val="18"/>
                      <w:szCs w:val="18"/>
                      <w:u w:val="none" w:color="auto"/>
                    </w:rPr>
                    <w:t>112.61627358</w:t>
                  </w:r>
                  <w:r>
                    <w:rPr>
                      <w:rFonts w:hint="default" w:ascii="Times New Roman" w:hAnsi="Times New Roman" w:eastAsia="宋体" w:cs="Times New Roman"/>
                      <w:color w:val="auto"/>
                      <w:kern w:val="0"/>
                      <w:sz w:val="18"/>
                      <w:szCs w:val="18"/>
                      <w:u w:val="none" w:color="auto"/>
                      <w:lang w:eastAsia="zh-CN"/>
                    </w:rPr>
                    <w:t>，29.53698453</w:t>
                  </w:r>
                </w:p>
              </w:tc>
              <w:tc>
                <w:tcPr>
                  <w:tcW w:w="393" w:type="pct"/>
                  <w:tcBorders>
                    <w:tl2br w:val="nil"/>
                    <w:tr2bl w:val="nil"/>
                  </w:tcBorders>
                  <w:noWrap w:val="0"/>
                  <w:vAlign w:val="center"/>
                </w:tcPr>
                <w:p w14:paraId="17D2FB7F">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西侧</w:t>
                  </w:r>
                </w:p>
              </w:tc>
              <w:tc>
                <w:tcPr>
                  <w:tcW w:w="478" w:type="pct"/>
                  <w:tcBorders>
                    <w:tl2br w:val="nil"/>
                    <w:tr2bl w:val="nil"/>
                  </w:tcBorders>
                  <w:noWrap w:val="0"/>
                  <w:vAlign w:val="center"/>
                </w:tcPr>
                <w:p w14:paraId="39DECBA3">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50</w:t>
                  </w:r>
                </w:p>
              </w:tc>
              <w:tc>
                <w:tcPr>
                  <w:tcW w:w="495" w:type="pct"/>
                  <w:tcBorders>
                    <w:tl2br w:val="nil"/>
                    <w:tr2bl w:val="nil"/>
                  </w:tcBorders>
                  <w:noWrap w:val="0"/>
                  <w:vAlign w:val="center"/>
                </w:tcPr>
                <w:p w14:paraId="2E2AF15F">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约100人</w:t>
                  </w:r>
                </w:p>
              </w:tc>
              <w:tc>
                <w:tcPr>
                  <w:tcW w:w="557" w:type="pct"/>
                  <w:tcBorders>
                    <w:tl2br w:val="nil"/>
                    <w:tr2bl w:val="nil"/>
                  </w:tcBorders>
                  <w:noWrap w:val="0"/>
                  <w:vAlign w:val="center"/>
                </w:tcPr>
                <w:p w14:paraId="5B29BBD6">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学校</w:t>
                  </w:r>
                </w:p>
              </w:tc>
              <w:tc>
                <w:tcPr>
                  <w:tcW w:w="1272" w:type="pct"/>
                  <w:tcBorders>
                    <w:tl2br w:val="nil"/>
                    <w:tr2bl w:val="nil"/>
                  </w:tcBorders>
                  <w:noWrap w:val="0"/>
                  <w:vAlign w:val="center"/>
                </w:tcPr>
                <w:p w14:paraId="28A6A55D">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《声环境质量标准》（GB3096-2008）</w:t>
                  </w:r>
                </w:p>
                <w:p w14:paraId="731E0367">
                  <w:pPr>
                    <w:pStyle w:val="25"/>
                    <w:keepNext w:val="0"/>
                    <w:keepLines w:val="0"/>
                    <w:pageBreakBefore w:val="0"/>
                    <w:widowControl/>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2</w:t>
                  </w:r>
                  <w:r>
                    <w:rPr>
                      <w:rFonts w:hint="default" w:ascii="Times New Roman" w:hAnsi="Times New Roman" w:eastAsia="宋体" w:cs="Times New Roman"/>
                      <w:color w:val="auto"/>
                      <w:sz w:val="18"/>
                      <w:szCs w:val="18"/>
                      <w:u w:val="none" w:color="auto"/>
                    </w:rPr>
                    <w:t>类标准</w:t>
                  </w:r>
                </w:p>
              </w:tc>
            </w:tr>
            <w:tr w14:paraId="5A3EB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vMerge w:val="continue"/>
                  <w:tcBorders>
                    <w:tl2br w:val="nil"/>
                    <w:tr2bl w:val="nil"/>
                  </w:tcBorders>
                  <w:noWrap w:val="0"/>
                  <w:vAlign w:val="center"/>
                </w:tcPr>
                <w:p w14:paraId="2C96EEFF">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eastAsia="zh-CN"/>
                    </w:rPr>
                  </w:pPr>
                </w:p>
              </w:tc>
              <w:tc>
                <w:tcPr>
                  <w:tcW w:w="508" w:type="pct"/>
                  <w:tcBorders>
                    <w:tl2br w:val="nil"/>
                    <w:tr2bl w:val="nil"/>
                  </w:tcBorders>
                  <w:noWrap w:val="0"/>
                  <w:vAlign w:val="center"/>
                </w:tcPr>
                <w:p w14:paraId="5C3BC668">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散户居民</w:t>
                  </w:r>
                </w:p>
              </w:tc>
              <w:tc>
                <w:tcPr>
                  <w:tcW w:w="889" w:type="pct"/>
                  <w:tcBorders>
                    <w:tl2br w:val="nil"/>
                    <w:tr2bl w:val="nil"/>
                  </w:tcBorders>
                  <w:noWrap w:val="0"/>
                  <w:vAlign w:val="center"/>
                </w:tcPr>
                <w:p w14:paraId="2EAB7808">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rPr>
                  </w:pPr>
                  <w:r>
                    <w:rPr>
                      <w:rFonts w:hint="default" w:ascii="Times New Roman" w:hAnsi="Times New Roman" w:eastAsia="宋体" w:cs="Times New Roman"/>
                      <w:color w:val="auto"/>
                      <w:kern w:val="0"/>
                      <w:sz w:val="18"/>
                      <w:szCs w:val="18"/>
                      <w:u w:val="none" w:color="auto"/>
                    </w:rPr>
                    <w:t>112.61763701</w:t>
                  </w:r>
                  <w:r>
                    <w:rPr>
                      <w:rFonts w:hint="default" w:ascii="Times New Roman" w:hAnsi="Times New Roman" w:eastAsia="宋体" w:cs="Times New Roman"/>
                      <w:color w:val="auto"/>
                      <w:kern w:val="0"/>
                      <w:sz w:val="18"/>
                      <w:szCs w:val="18"/>
                      <w:u w:val="none" w:color="auto"/>
                      <w:lang w:eastAsia="zh-CN"/>
                    </w:rPr>
                    <w:t>，29.53380574</w:t>
                  </w:r>
                </w:p>
              </w:tc>
              <w:tc>
                <w:tcPr>
                  <w:tcW w:w="393" w:type="pct"/>
                  <w:tcBorders>
                    <w:tl2br w:val="nil"/>
                    <w:tr2bl w:val="nil"/>
                  </w:tcBorders>
                  <w:noWrap w:val="0"/>
                  <w:vAlign w:val="center"/>
                </w:tcPr>
                <w:p w14:paraId="2469AF9B">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南侧</w:t>
                  </w:r>
                </w:p>
              </w:tc>
              <w:tc>
                <w:tcPr>
                  <w:tcW w:w="478" w:type="pct"/>
                  <w:tcBorders>
                    <w:tl2br w:val="nil"/>
                    <w:tr2bl w:val="nil"/>
                  </w:tcBorders>
                  <w:noWrap w:val="0"/>
                  <w:vAlign w:val="center"/>
                </w:tcPr>
                <w:p w14:paraId="30B398E4">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50</w:t>
                  </w:r>
                </w:p>
              </w:tc>
              <w:tc>
                <w:tcPr>
                  <w:tcW w:w="495" w:type="pct"/>
                  <w:tcBorders>
                    <w:tl2br w:val="nil"/>
                    <w:tr2bl w:val="nil"/>
                  </w:tcBorders>
                  <w:noWrap w:val="0"/>
                  <w:vAlign w:val="center"/>
                </w:tcPr>
                <w:p w14:paraId="5595A0FE">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val="en-US" w:eastAsia="zh-CN"/>
                    </w:rPr>
                    <w:t>约8户，24人</w:t>
                  </w:r>
                </w:p>
              </w:tc>
              <w:tc>
                <w:tcPr>
                  <w:tcW w:w="557" w:type="pct"/>
                  <w:tcBorders>
                    <w:tl2br w:val="nil"/>
                    <w:tr2bl w:val="nil"/>
                  </w:tcBorders>
                  <w:noWrap w:val="0"/>
                  <w:vAlign w:val="center"/>
                </w:tcPr>
                <w:p w14:paraId="276EFF38">
                  <w:pPr>
                    <w:pStyle w:val="84"/>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kern w:val="0"/>
                      <w:sz w:val="18"/>
                      <w:szCs w:val="18"/>
                      <w:u w:val="none" w:color="auto"/>
                      <w:lang w:eastAsia="zh-CN"/>
                    </w:rPr>
                    <w:t>居民</w:t>
                  </w:r>
                  <w:r>
                    <w:rPr>
                      <w:rFonts w:hint="default" w:ascii="Times New Roman" w:hAnsi="Times New Roman" w:eastAsia="宋体" w:cs="Times New Roman"/>
                      <w:color w:val="auto"/>
                      <w:kern w:val="0"/>
                      <w:sz w:val="18"/>
                      <w:szCs w:val="18"/>
                      <w:u w:val="none" w:color="auto"/>
                    </w:rPr>
                    <w:t>区</w:t>
                  </w:r>
                </w:p>
              </w:tc>
              <w:tc>
                <w:tcPr>
                  <w:tcW w:w="1272" w:type="pct"/>
                  <w:tcBorders>
                    <w:tl2br w:val="nil"/>
                    <w:tr2bl w:val="nil"/>
                  </w:tcBorders>
                  <w:noWrap w:val="0"/>
                  <w:vAlign w:val="center"/>
                </w:tcPr>
                <w:p w14:paraId="019A8710">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《声环境质量标准》（GB3096-2008）</w:t>
                  </w:r>
                </w:p>
                <w:p w14:paraId="6979D426">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2</w:t>
                  </w:r>
                  <w:r>
                    <w:rPr>
                      <w:rFonts w:hint="default" w:ascii="Times New Roman" w:hAnsi="Times New Roman" w:eastAsia="宋体" w:cs="Times New Roman"/>
                      <w:color w:val="auto"/>
                      <w:sz w:val="18"/>
                      <w:szCs w:val="18"/>
                      <w:u w:val="none" w:color="auto"/>
                    </w:rPr>
                    <w:t>类标准</w:t>
                  </w:r>
                </w:p>
              </w:tc>
            </w:tr>
            <w:tr w14:paraId="1F4D3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05" w:type="pct"/>
                  <w:vMerge w:val="restart"/>
                  <w:tcBorders>
                    <w:tl2br w:val="nil"/>
                    <w:tr2bl w:val="nil"/>
                  </w:tcBorders>
                  <w:noWrap w:val="0"/>
                  <w:vAlign w:val="center"/>
                </w:tcPr>
                <w:p w14:paraId="2C8E6306">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地表水环境</w:t>
                  </w:r>
                </w:p>
              </w:tc>
              <w:tc>
                <w:tcPr>
                  <w:tcW w:w="508" w:type="pct"/>
                  <w:tcBorders>
                    <w:tl2br w:val="nil"/>
                    <w:tr2bl w:val="nil"/>
                  </w:tcBorders>
                  <w:noWrap w:val="0"/>
                  <w:vAlign w:val="center"/>
                </w:tcPr>
                <w:p w14:paraId="2D6DB458">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kern w:val="0"/>
                      <w:sz w:val="18"/>
                      <w:szCs w:val="18"/>
                      <w:u w:val="none" w:color="auto"/>
                      <w:lang w:eastAsia="zh-CN"/>
                    </w:rPr>
                  </w:pPr>
                  <w:r>
                    <w:rPr>
                      <w:rFonts w:hint="default" w:ascii="Times New Roman" w:hAnsi="Times New Roman" w:eastAsia="宋体" w:cs="Times New Roman"/>
                      <w:color w:val="auto"/>
                      <w:sz w:val="18"/>
                      <w:szCs w:val="18"/>
                      <w:u w:val="none" w:color="auto"/>
                      <w:lang w:val="en-US" w:eastAsia="zh-CN"/>
                    </w:rPr>
                    <w:t>华容河</w:t>
                  </w:r>
                </w:p>
              </w:tc>
              <w:tc>
                <w:tcPr>
                  <w:tcW w:w="889" w:type="pct"/>
                  <w:tcBorders>
                    <w:tl2br w:val="nil"/>
                    <w:tr2bl w:val="nil"/>
                  </w:tcBorders>
                  <w:noWrap w:val="0"/>
                  <w:vAlign w:val="center"/>
                </w:tcPr>
                <w:p w14:paraId="3D4FBA86">
                  <w:pPr>
                    <w:pStyle w:val="84"/>
                    <w:keepNext w:val="0"/>
                    <w:keepLines w:val="0"/>
                    <w:pageBreakBefore w:val="0"/>
                    <w:widowControl w:val="0"/>
                    <w:kinsoku/>
                    <w:wordWrap/>
                    <w:overflowPunct/>
                    <w:topLinePunct w:val="0"/>
                    <w:autoSpaceDE/>
                    <w:autoSpaceDN/>
                    <w:bidi w:val="0"/>
                    <w:adjustRightInd/>
                    <w:snapToGrid/>
                    <w:ind w:right="0" w:rightChars="0"/>
                    <w:jc w:val="both"/>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112.61922616，29.53204650</w:t>
                  </w:r>
                </w:p>
              </w:tc>
              <w:tc>
                <w:tcPr>
                  <w:tcW w:w="393" w:type="pct"/>
                  <w:tcBorders>
                    <w:tl2br w:val="nil"/>
                    <w:tr2bl w:val="nil"/>
                  </w:tcBorders>
                  <w:noWrap w:val="0"/>
                  <w:vAlign w:val="center"/>
                </w:tcPr>
                <w:p w14:paraId="79309057">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南侧</w:t>
                  </w:r>
                </w:p>
              </w:tc>
              <w:tc>
                <w:tcPr>
                  <w:tcW w:w="478" w:type="pct"/>
                  <w:tcBorders>
                    <w:tl2br w:val="nil"/>
                    <w:tr2bl w:val="nil"/>
                  </w:tcBorders>
                  <w:noWrap w:val="0"/>
                  <w:vAlign w:val="center"/>
                </w:tcPr>
                <w:p w14:paraId="1127BC0D">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220</w:t>
                  </w:r>
                </w:p>
              </w:tc>
              <w:tc>
                <w:tcPr>
                  <w:tcW w:w="495" w:type="pct"/>
                  <w:tcBorders>
                    <w:tl2br w:val="nil"/>
                    <w:tr2bl w:val="nil"/>
                  </w:tcBorders>
                  <w:noWrap w:val="0"/>
                  <w:vAlign w:val="center"/>
                </w:tcPr>
                <w:p w14:paraId="45EB9538">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中型</w:t>
                  </w:r>
                </w:p>
              </w:tc>
              <w:tc>
                <w:tcPr>
                  <w:tcW w:w="557" w:type="pct"/>
                  <w:tcBorders>
                    <w:tl2br w:val="nil"/>
                    <w:tr2bl w:val="nil"/>
                  </w:tcBorders>
                  <w:noWrap w:val="0"/>
                  <w:vAlign w:val="center"/>
                </w:tcPr>
                <w:p w14:paraId="4E5C1C3F">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河流</w:t>
                  </w:r>
                </w:p>
              </w:tc>
              <w:tc>
                <w:tcPr>
                  <w:tcW w:w="1272" w:type="pct"/>
                  <w:tcBorders>
                    <w:tl2br w:val="nil"/>
                    <w:tr2bl w:val="nil"/>
                  </w:tcBorders>
                  <w:noWrap w:val="0"/>
                  <w:vAlign w:val="center"/>
                </w:tcPr>
                <w:p w14:paraId="509510FB">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《地表水环境质量标准》（GB3838-2002）</w:t>
                  </w:r>
                  <w:r>
                    <w:rPr>
                      <w:rFonts w:hint="default" w:ascii="Times New Roman" w:hAnsi="Times New Roman" w:eastAsia="宋体" w:cs="Times New Roman"/>
                      <w:bCs/>
                      <w:iCs/>
                      <w:color w:val="auto"/>
                      <w:spacing w:val="-8"/>
                      <w:sz w:val="18"/>
                      <w:szCs w:val="18"/>
                      <w:u w:val="none" w:color="auto"/>
                      <w:lang w:val="zh-CN"/>
                    </w:rPr>
                    <w:t>Ⅲ</w:t>
                  </w:r>
                  <w:r>
                    <w:rPr>
                      <w:rFonts w:hint="default" w:ascii="Times New Roman" w:hAnsi="Times New Roman" w:eastAsia="宋体" w:cs="Times New Roman"/>
                      <w:color w:val="auto"/>
                      <w:sz w:val="18"/>
                      <w:szCs w:val="18"/>
                      <w:u w:val="none" w:color="auto"/>
                    </w:rPr>
                    <w:t>类标准</w:t>
                  </w:r>
                </w:p>
              </w:tc>
            </w:tr>
            <w:tr w14:paraId="620DF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05" w:type="pct"/>
                  <w:vMerge w:val="continue"/>
                  <w:tcBorders>
                    <w:tl2br w:val="nil"/>
                    <w:tr2bl w:val="nil"/>
                  </w:tcBorders>
                  <w:noWrap w:val="0"/>
                  <w:vAlign w:val="center"/>
                </w:tcPr>
                <w:p w14:paraId="0A82784C">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val="en-US" w:eastAsia="zh-CN"/>
                    </w:rPr>
                  </w:pPr>
                </w:p>
              </w:tc>
              <w:tc>
                <w:tcPr>
                  <w:tcW w:w="508" w:type="pct"/>
                  <w:tcBorders>
                    <w:tl2br w:val="nil"/>
                    <w:tr2bl w:val="nil"/>
                  </w:tcBorders>
                  <w:noWrap w:val="0"/>
                  <w:vAlign w:val="center"/>
                </w:tcPr>
                <w:p w14:paraId="7F2A7630">
                  <w:pPr>
                    <w:pStyle w:val="84"/>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szCs w:val="21"/>
                      <w:u w:val="none" w:color="auto"/>
                    </w:rPr>
                    <w:t>蔡家港</w:t>
                  </w:r>
                </w:p>
              </w:tc>
              <w:tc>
                <w:tcPr>
                  <w:tcW w:w="889" w:type="pct"/>
                  <w:tcBorders>
                    <w:tl2br w:val="nil"/>
                    <w:tr2bl w:val="nil"/>
                  </w:tcBorders>
                  <w:noWrap w:val="0"/>
                  <w:vAlign w:val="center"/>
                </w:tcPr>
                <w:p w14:paraId="23A614A1">
                  <w:pPr>
                    <w:pStyle w:val="84"/>
                    <w:keepNext w:val="0"/>
                    <w:keepLines w:val="0"/>
                    <w:pageBreakBefore w:val="0"/>
                    <w:widowControl w:val="0"/>
                    <w:kinsoku/>
                    <w:wordWrap/>
                    <w:overflowPunct/>
                    <w:topLinePunct w:val="0"/>
                    <w:autoSpaceDE/>
                    <w:autoSpaceDN/>
                    <w:bidi w:val="0"/>
                    <w:adjustRightInd/>
                    <w:snapToGrid/>
                    <w:ind w:right="0" w:rightChars="0"/>
                    <w:jc w:val="both"/>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112.62126718,29.53864992</w:t>
                  </w:r>
                </w:p>
              </w:tc>
              <w:tc>
                <w:tcPr>
                  <w:tcW w:w="393" w:type="pct"/>
                  <w:tcBorders>
                    <w:tl2br w:val="nil"/>
                    <w:tr2bl w:val="nil"/>
                  </w:tcBorders>
                  <w:noWrap w:val="0"/>
                  <w:vAlign w:val="center"/>
                </w:tcPr>
                <w:p w14:paraId="114D5316">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szCs w:val="21"/>
                      <w:u w:val="none" w:color="auto"/>
                    </w:rPr>
                    <w:t>东北</w:t>
                  </w:r>
                </w:p>
              </w:tc>
              <w:tc>
                <w:tcPr>
                  <w:tcW w:w="478" w:type="pct"/>
                  <w:tcBorders>
                    <w:tl2br w:val="nil"/>
                    <w:tr2bl w:val="nil"/>
                  </w:tcBorders>
                  <w:noWrap w:val="0"/>
                  <w:vAlign w:val="center"/>
                </w:tcPr>
                <w:p w14:paraId="2E08D8B9">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70</w:t>
                  </w:r>
                </w:p>
              </w:tc>
              <w:tc>
                <w:tcPr>
                  <w:tcW w:w="495" w:type="pct"/>
                  <w:tcBorders>
                    <w:tl2br w:val="nil"/>
                    <w:tr2bl w:val="nil"/>
                  </w:tcBorders>
                  <w:noWrap w:val="0"/>
                  <w:vAlign w:val="center"/>
                </w:tcPr>
                <w:p w14:paraId="6BCFF299">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w:t>
                  </w:r>
                </w:p>
              </w:tc>
              <w:tc>
                <w:tcPr>
                  <w:tcW w:w="557" w:type="pct"/>
                  <w:tcBorders>
                    <w:tl2br w:val="nil"/>
                    <w:tr2bl w:val="nil"/>
                  </w:tcBorders>
                  <w:noWrap w:val="0"/>
                  <w:vAlign w:val="center"/>
                </w:tcPr>
                <w:p w14:paraId="5EB77BC4">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河流</w:t>
                  </w:r>
                </w:p>
              </w:tc>
              <w:tc>
                <w:tcPr>
                  <w:tcW w:w="1272" w:type="pct"/>
                  <w:tcBorders>
                    <w:tl2br w:val="nil"/>
                    <w:tr2bl w:val="nil"/>
                  </w:tcBorders>
                  <w:noWrap w:val="0"/>
                  <w:vAlign w:val="center"/>
                </w:tcPr>
                <w:p w14:paraId="098F82A2">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rPr>
                    <w:t>《地表水环境质量标准》（GB3838-2002）</w:t>
                  </w:r>
                  <w:r>
                    <w:rPr>
                      <w:rFonts w:hint="default" w:ascii="Times New Roman" w:hAnsi="Times New Roman" w:eastAsia="宋体" w:cs="Times New Roman"/>
                      <w:bCs/>
                      <w:iCs/>
                      <w:color w:val="auto"/>
                      <w:spacing w:val="-8"/>
                      <w:sz w:val="18"/>
                      <w:szCs w:val="18"/>
                      <w:u w:val="none" w:color="auto"/>
                      <w:lang w:val="zh-CN"/>
                    </w:rPr>
                    <w:t>Ⅲ</w:t>
                  </w:r>
                  <w:r>
                    <w:rPr>
                      <w:rFonts w:hint="default" w:ascii="Times New Roman" w:hAnsi="Times New Roman" w:eastAsia="宋体" w:cs="Times New Roman"/>
                      <w:color w:val="auto"/>
                      <w:sz w:val="18"/>
                      <w:szCs w:val="18"/>
                      <w:u w:val="none" w:color="auto"/>
                    </w:rPr>
                    <w:t>类标准</w:t>
                  </w:r>
                </w:p>
              </w:tc>
            </w:tr>
            <w:tr w14:paraId="2037C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05" w:type="pct"/>
                  <w:tcBorders>
                    <w:tl2br w:val="nil"/>
                    <w:tr2bl w:val="nil"/>
                  </w:tcBorders>
                  <w:noWrap w:val="0"/>
                  <w:vAlign w:val="center"/>
                </w:tcPr>
                <w:p w14:paraId="3BE6108A">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生态环境</w:t>
                  </w:r>
                </w:p>
              </w:tc>
              <w:tc>
                <w:tcPr>
                  <w:tcW w:w="508" w:type="pct"/>
                  <w:tcBorders>
                    <w:tl2br w:val="nil"/>
                    <w:tr2bl w:val="nil"/>
                  </w:tcBorders>
                  <w:noWrap w:val="0"/>
                  <w:vAlign w:val="center"/>
                </w:tcPr>
                <w:p w14:paraId="603E3614">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东洞庭湖中国圆田螺国家级水产种质资源保护区的实验区</w:t>
                  </w:r>
                </w:p>
              </w:tc>
              <w:tc>
                <w:tcPr>
                  <w:tcW w:w="889" w:type="pct"/>
                  <w:tcBorders>
                    <w:tl2br w:val="nil"/>
                    <w:tr2bl w:val="nil"/>
                  </w:tcBorders>
                  <w:noWrap w:val="0"/>
                  <w:vAlign w:val="center"/>
                </w:tcPr>
                <w:p w14:paraId="7A0DFECD">
                  <w:pPr>
                    <w:pStyle w:val="84"/>
                    <w:keepNext w:val="0"/>
                    <w:keepLines w:val="0"/>
                    <w:pageBreakBefore w:val="0"/>
                    <w:widowControl w:val="0"/>
                    <w:kinsoku/>
                    <w:wordWrap/>
                    <w:overflowPunct/>
                    <w:topLinePunct w:val="0"/>
                    <w:autoSpaceDE/>
                    <w:autoSpaceDN/>
                    <w:bidi w:val="0"/>
                    <w:adjustRightInd/>
                    <w:snapToGrid/>
                    <w:ind w:right="0" w:rightChars="0"/>
                    <w:jc w:val="both"/>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112.61922616，29.53204650</w:t>
                  </w:r>
                </w:p>
              </w:tc>
              <w:tc>
                <w:tcPr>
                  <w:tcW w:w="393" w:type="pct"/>
                  <w:tcBorders>
                    <w:tl2br w:val="nil"/>
                    <w:tr2bl w:val="nil"/>
                  </w:tcBorders>
                  <w:noWrap w:val="0"/>
                  <w:vAlign w:val="center"/>
                </w:tcPr>
                <w:p w14:paraId="5CC42D91">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南侧</w:t>
                  </w:r>
                </w:p>
              </w:tc>
              <w:tc>
                <w:tcPr>
                  <w:tcW w:w="478" w:type="pct"/>
                  <w:tcBorders>
                    <w:tl2br w:val="nil"/>
                    <w:tr2bl w:val="nil"/>
                  </w:tcBorders>
                  <w:noWrap w:val="0"/>
                  <w:vAlign w:val="center"/>
                </w:tcPr>
                <w:p w14:paraId="6CC39618">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kern w:val="0"/>
                      <w:sz w:val="18"/>
                      <w:szCs w:val="18"/>
                      <w:u w:val="none" w:color="auto"/>
                      <w:lang w:val="en-US" w:eastAsia="zh-CN"/>
                    </w:rPr>
                    <w:t>220</w:t>
                  </w:r>
                </w:p>
              </w:tc>
              <w:tc>
                <w:tcPr>
                  <w:tcW w:w="495" w:type="pct"/>
                  <w:tcBorders>
                    <w:tl2br w:val="nil"/>
                    <w:tr2bl w:val="nil"/>
                  </w:tcBorders>
                  <w:noWrap w:val="0"/>
                  <w:vAlign w:val="center"/>
                </w:tcPr>
                <w:p w14:paraId="515253C2">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实验区</w:t>
                  </w:r>
                </w:p>
              </w:tc>
              <w:tc>
                <w:tcPr>
                  <w:tcW w:w="557" w:type="pct"/>
                  <w:tcBorders>
                    <w:tl2br w:val="nil"/>
                    <w:tr2bl w:val="nil"/>
                  </w:tcBorders>
                  <w:noWrap w:val="0"/>
                  <w:vAlign w:val="center"/>
                </w:tcPr>
                <w:p w14:paraId="08F595EC">
                  <w:pPr>
                    <w:pStyle w:val="84"/>
                    <w:keepNext w:val="0"/>
                    <w:keepLines w:val="0"/>
                    <w:pageBreakBefore w:val="0"/>
                    <w:widowControl/>
                    <w:kinsoku/>
                    <w:wordWrap/>
                    <w:overflowPunct/>
                    <w:topLinePunct w:val="0"/>
                    <w:autoSpaceDE/>
                    <w:autoSpaceDN/>
                    <w:bidi w:val="0"/>
                    <w:adjustRightInd/>
                    <w:snapToGrid/>
                    <w:spacing w:after="0" w:line="240" w:lineRule="auto"/>
                    <w:ind w:right="0" w:firstLineChars="0"/>
                    <w:textAlignment w:val="auto"/>
                    <w:rPr>
                      <w:rFonts w:hint="default" w:ascii="Times New Roman" w:hAnsi="Times New Roman" w:eastAsia="宋体" w:cs="Times New Roman"/>
                      <w:color w:val="auto"/>
                      <w:kern w:val="0"/>
                      <w:sz w:val="18"/>
                      <w:szCs w:val="18"/>
                      <w:u w:val="none" w:color="auto"/>
                      <w:lang w:val="en-US" w:eastAsia="zh-CN"/>
                    </w:rPr>
                  </w:pPr>
                  <w:r>
                    <w:rPr>
                      <w:rFonts w:hint="default" w:ascii="Times New Roman" w:hAnsi="Times New Roman" w:eastAsia="宋体" w:cs="Times New Roman"/>
                      <w:color w:val="auto"/>
                      <w:sz w:val="18"/>
                      <w:szCs w:val="18"/>
                      <w:u w:val="none" w:color="auto"/>
                      <w:lang w:val="en-US" w:eastAsia="zh-CN"/>
                    </w:rPr>
                    <w:t>国家级水产种质资源保护区</w:t>
                  </w:r>
                </w:p>
              </w:tc>
              <w:tc>
                <w:tcPr>
                  <w:tcW w:w="1272" w:type="pct"/>
                  <w:tcBorders>
                    <w:tl2br w:val="nil"/>
                    <w:tr2bl w:val="nil"/>
                  </w:tcBorders>
                  <w:noWrap w:val="0"/>
                  <w:vAlign w:val="center"/>
                </w:tcPr>
                <w:p w14:paraId="3BD77228">
                  <w:pPr>
                    <w:pStyle w:val="25"/>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color w:val="auto"/>
                      <w:sz w:val="18"/>
                      <w:szCs w:val="18"/>
                      <w:u w:val="none" w:color="auto"/>
                    </w:rPr>
                  </w:pPr>
                  <w:r>
                    <w:rPr>
                      <w:rFonts w:hint="default" w:ascii="Times New Roman" w:hAnsi="Times New Roman" w:eastAsia="宋体" w:cs="Times New Roman"/>
                      <w:color w:val="auto"/>
                      <w:sz w:val="18"/>
                      <w:szCs w:val="18"/>
                      <w:u w:val="none" w:color="auto"/>
                      <w:lang w:val="en-US" w:eastAsia="zh-CN"/>
                    </w:rPr>
                    <w:t>国家级水产种质资源保护区</w:t>
                  </w:r>
                </w:p>
              </w:tc>
            </w:tr>
          </w:tbl>
          <w:p w14:paraId="67D7B6D4">
            <w:pPr>
              <w:adjustRightInd w:val="0"/>
              <w:snapToGrid w:val="0"/>
              <w:spacing w:line="360" w:lineRule="auto"/>
              <w:jc w:val="both"/>
              <w:rPr>
                <w:rFonts w:hint="default" w:ascii="Times New Roman" w:hAnsi="Times New Roman" w:eastAsia="宋体" w:cs="Times New Roman"/>
                <w:color w:val="auto"/>
                <w:kern w:val="0"/>
                <w:sz w:val="24"/>
                <w:szCs w:val="24"/>
                <w:u w:val="none" w:color="auto"/>
              </w:rPr>
            </w:pPr>
          </w:p>
        </w:tc>
      </w:tr>
      <w:tr w14:paraId="5C177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3E587B13">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污染</w:t>
            </w:r>
          </w:p>
          <w:p w14:paraId="3474C451">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物排</w:t>
            </w:r>
          </w:p>
          <w:p w14:paraId="78D402D8">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放控</w:t>
            </w:r>
          </w:p>
          <w:p w14:paraId="2FD0D76A">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制标</w:t>
            </w:r>
          </w:p>
          <w:p w14:paraId="5B2492BD">
            <w:pPr>
              <w:adjustRightInd w:val="0"/>
              <w:snapToGrid w:val="0"/>
              <w:spacing w:line="360" w:lineRule="auto"/>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szCs w:val="24"/>
                <w:u w:val="none" w:color="auto"/>
              </w:rPr>
              <w:t>准</w:t>
            </w:r>
          </w:p>
        </w:tc>
        <w:tc>
          <w:tcPr>
            <w:tcW w:w="8190" w:type="dxa"/>
            <w:noWrap w:val="0"/>
            <w:vAlign w:val="center"/>
          </w:tcPr>
          <w:p w14:paraId="13015E5E">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lang w:val="en-GB"/>
              </w:rPr>
            </w:pPr>
            <w:r>
              <w:rPr>
                <w:rFonts w:hint="default" w:ascii="Times New Roman" w:hAnsi="Times New Roman" w:eastAsia="宋体" w:cs="Times New Roman"/>
                <w:b/>
                <w:bCs/>
                <w:color w:val="auto"/>
                <w:kern w:val="0"/>
                <w:sz w:val="24"/>
                <w:szCs w:val="24"/>
                <w:u w:val="none" w:color="auto"/>
                <w:lang w:val="en-GB"/>
              </w:rPr>
              <w:t>1、废气</w:t>
            </w:r>
          </w:p>
          <w:p w14:paraId="732967B5">
            <w:pPr>
              <w:adjustRightInd w:val="0"/>
              <w:snapToGrid w:val="0"/>
              <w:spacing w:before="156" w:beforeLines="50" w:line="360" w:lineRule="auto"/>
              <w:ind w:firstLine="480" w:firstLineChars="200"/>
              <w:rPr>
                <w:rFonts w:hint="default" w:ascii="Times New Roman" w:hAnsi="Times New Roman" w:eastAsia="宋体" w:cs="Times New Roman"/>
                <w:snapToGrid w:val="0"/>
                <w:kern w:val="0"/>
                <w:sz w:val="24"/>
                <w:szCs w:val="24"/>
                <w:u w:val="none" w:color="auto"/>
              </w:rPr>
            </w:pPr>
            <w:r>
              <w:rPr>
                <w:rFonts w:hint="default" w:ascii="Times New Roman" w:hAnsi="Times New Roman" w:eastAsia="宋体" w:cs="Times New Roman"/>
                <w:color w:val="auto"/>
                <w:sz w:val="24"/>
                <w:szCs w:val="24"/>
                <w:u w:val="none" w:color="auto"/>
                <w:lang w:eastAsia="zh-CN"/>
              </w:rPr>
              <w:t>本项目营运期</w:t>
            </w:r>
            <w:r>
              <w:rPr>
                <w:rFonts w:hint="default" w:ascii="Times New Roman" w:hAnsi="Times New Roman" w:eastAsia="宋体" w:cs="Times New Roman"/>
                <w:color w:val="auto"/>
                <w:sz w:val="24"/>
                <w:szCs w:val="24"/>
                <w:u w:val="none" w:color="auto"/>
                <w:lang w:val="en-US" w:eastAsia="zh-CN"/>
              </w:rPr>
              <w:t>锅炉燃烧废气执行</w:t>
            </w:r>
            <w:r>
              <w:rPr>
                <w:rFonts w:hint="default" w:ascii="Times New Roman" w:hAnsi="Times New Roman" w:eastAsia="宋体" w:cs="Times New Roman"/>
                <w:snapToGrid w:val="0"/>
                <w:kern w:val="0"/>
                <w:sz w:val="24"/>
                <w:szCs w:val="24"/>
                <w:u w:val="none" w:color="auto"/>
              </w:rPr>
              <w:t>《锅炉大气污染物排放标准》（GB13271-2014）中表</w:t>
            </w:r>
            <w:r>
              <w:rPr>
                <w:rFonts w:hint="default" w:ascii="Times New Roman" w:hAnsi="Times New Roman" w:eastAsia="宋体" w:cs="Times New Roman"/>
                <w:snapToGrid w:val="0"/>
                <w:kern w:val="0"/>
                <w:sz w:val="24"/>
                <w:szCs w:val="24"/>
                <w:u w:val="none" w:color="auto"/>
                <w:lang w:val="en-US" w:eastAsia="zh-CN"/>
              </w:rPr>
              <w:t>3</w:t>
            </w:r>
            <w:r>
              <w:rPr>
                <w:rFonts w:hint="default" w:ascii="Times New Roman" w:hAnsi="Times New Roman" w:eastAsia="宋体" w:cs="Times New Roman"/>
                <w:snapToGrid w:val="0"/>
                <w:kern w:val="0"/>
                <w:sz w:val="24"/>
                <w:szCs w:val="24"/>
                <w:u w:val="none" w:color="auto"/>
              </w:rPr>
              <w:t>中</w:t>
            </w:r>
            <w:r>
              <w:rPr>
                <w:rFonts w:hint="default" w:ascii="Times New Roman" w:hAnsi="Times New Roman" w:eastAsia="宋体" w:cs="Times New Roman"/>
                <w:snapToGrid w:val="0"/>
                <w:kern w:val="0"/>
                <w:sz w:val="24"/>
                <w:szCs w:val="24"/>
                <w:u w:val="none" w:color="auto"/>
                <w:lang w:eastAsia="zh-CN"/>
              </w:rPr>
              <w:t>大气污染物特别排放限值</w:t>
            </w:r>
            <w:r>
              <w:rPr>
                <w:rFonts w:hint="default" w:ascii="Times New Roman" w:hAnsi="Times New Roman" w:eastAsia="宋体" w:cs="Times New Roman"/>
                <w:snapToGrid w:val="0"/>
                <w:kern w:val="0"/>
                <w:sz w:val="24"/>
                <w:szCs w:val="24"/>
                <w:u w:val="none" w:color="auto"/>
              </w:rPr>
              <w:t>燃煤锅炉限值，</w:t>
            </w:r>
            <w:r>
              <w:rPr>
                <w:rFonts w:hint="default" w:ascii="Times New Roman" w:hAnsi="Times New Roman" w:eastAsia="宋体" w:cs="Times New Roman"/>
                <w:color w:val="auto"/>
                <w:sz w:val="24"/>
                <w:szCs w:val="24"/>
                <w:u w:val="none" w:color="auto"/>
                <w:lang w:eastAsia="zh-CN"/>
              </w:rPr>
              <w:t>无组织</w:t>
            </w:r>
            <w:r>
              <w:rPr>
                <w:rFonts w:hint="default" w:ascii="Times New Roman" w:hAnsi="Times New Roman" w:eastAsia="宋体" w:cs="Times New Roman"/>
                <w:color w:val="auto"/>
                <w:sz w:val="24"/>
                <w:szCs w:val="24"/>
                <w:u w:val="none" w:color="auto"/>
                <w:lang w:val="en-US" w:eastAsia="zh-CN"/>
              </w:rPr>
              <w:t>颗粒物执行</w:t>
            </w:r>
            <w:r>
              <w:rPr>
                <w:rFonts w:hint="default" w:ascii="Times New Roman" w:hAnsi="Times New Roman" w:eastAsia="宋体" w:cs="Times New Roman"/>
                <w:color w:val="auto"/>
                <w:sz w:val="24"/>
                <w:szCs w:val="24"/>
                <w:u w:val="none" w:color="auto"/>
                <w:lang w:eastAsia="zh-CN"/>
              </w:rPr>
              <w:t>《大气污染物综合排放标准》（GB 16297-1996）表</w:t>
            </w:r>
            <w:r>
              <w:rPr>
                <w:rFonts w:hint="default" w:ascii="Times New Roman" w:hAnsi="Times New Roman" w:eastAsia="宋体" w:cs="Times New Roman"/>
                <w:color w:val="auto"/>
                <w:sz w:val="24"/>
                <w:szCs w:val="24"/>
                <w:u w:val="none" w:color="auto"/>
                <w:lang w:val="en-US" w:eastAsia="zh-CN"/>
              </w:rPr>
              <w:t>2无组织排放监控浓度</w:t>
            </w:r>
            <w:r>
              <w:rPr>
                <w:rFonts w:hint="default" w:ascii="Times New Roman" w:hAnsi="Times New Roman" w:eastAsia="宋体" w:cs="Times New Roman"/>
                <w:color w:val="auto"/>
                <w:sz w:val="24"/>
                <w:szCs w:val="24"/>
                <w:u w:val="none" w:color="auto"/>
                <w:lang w:eastAsia="zh-CN"/>
              </w:rPr>
              <w:t>限值；</w:t>
            </w:r>
            <w:r>
              <w:rPr>
                <w:rFonts w:hint="default" w:ascii="Times New Roman" w:hAnsi="Times New Roman" w:eastAsia="宋体" w:cs="Times New Roman"/>
                <w:snapToGrid w:val="0"/>
                <w:kern w:val="0"/>
                <w:sz w:val="24"/>
                <w:szCs w:val="24"/>
                <w:u w:val="none" w:color="auto"/>
              </w:rPr>
              <w:t>具体标准值见表</w:t>
            </w:r>
            <w:r>
              <w:rPr>
                <w:rFonts w:hint="eastAsia" w:ascii="Times New Roman" w:hAnsi="Times New Roman" w:eastAsia="宋体" w:cs="Times New Roman"/>
                <w:snapToGrid w:val="0"/>
                <w:kern w:val="0"/>
                <w:sz w:val="24"/>
                <w:szCs w:val="24"/>
                <w:u w:val="none" w:color="auto"/>
                <w:lang w:val="en-US" w:eastAsia="zh-CN"/>
              </w:rPr>
              <w:t>3</w:t>
            </w:r>
            <w:r>
              <w:rPr>
                <w:rFonts w:hint="default" w:ascii="Times New Roman" w:hAnsi="Times New Roman" w:eastAsia="宋体" w:cs="Times New Roman"/>
                <w:snapToGrid w:val="0"/>
                <w:kern w:val="0"/>
                <w:sz w:val="24"/>
                <w:szCs w:val="24"/>
                <w:u w:val="none" w:color="auto"/>
              </w:rPr>
              <w:t>-</w:t>
            </w:r>
            <w:r>
              <w:rPr>
                <w:rFonts w:hint="eastAsia" w:ascii="Times New Roman" w:hAnsi="Times New Roman" w:eastAsia="宋体" w:cs="Times New Roman"/>
                <w:snapToGrid w:val="0"/>
                <w:kern w:val="0"/>
                <w:sz w:val="24"/>
                <w:szCs w:val="24"/>
                <w:u w:val="none" w:color="auto"/>
                <w:lang w:val="en-US" w:eastAsia="zh-CN"/>
              </w:rPr>
              <w:t>6、3</w:t>
            </w:r>
            <w:r>
              <w:rPr>
                <w:rFonts w:hint="default" w:ascii="Times New Roman" w:hAnsi="Times New Roman" w:eastAsia="宋体" w:cs="Times New Roman"/>
                <w:snapToGrid w:val="0"/>
                <w:kern w:val="0"/>
                <w:sz w:val="24"/>
                <w:szCs w:val="24"/>
                <w:u w:val="none" w:color="auto"/>
              </w:rPr>
              <w:t>-</w:t>
            </w:r>
            <w:r>
              <w:rPr>
                <w:rFonts w:hint="eastAsia" w:ascii="Times New Roman" w:hAnsi="Times New Roman" w:eastAsia="宋体" w:cs="Times New Roman"/>
                <w:snapToGrid w:val="0"/>
                <w:kern w:val="0"/>
                <w:sz w:val="24"/>
                <w:szCs w:val="24"/>
                <w:u w:val="none" w:color="auto"/>
                <w:lang w:val="en-US" w:eastAsia="zh-CN"/>
              </w:rPr>
              <w:t>７</w:t>
            </w:r>
            <w:r>
              <w:rPr>
                <w:rFonts w:hint="default" w:ascii="Times New Roman" w:hAnsi="Times New Roman" w:eastAsia="宋体" w:cs="Times New Roman"/>
                <w:snapToGrid w:val="0"/>
                <w:kern w:val="0"/>
                <w:sz w:val="24"/>
                <w:szCs w:val="24"/>
                <w:u w:val="none" w:color="auto"/>
              </w:rPr>
              <w:t>。</w:t>
            </w:r>
          </w:p>
          <w:p w14:paraId="0F809FAA">
            <w:pPr>
              <w:adjustRightInd w:val="0"/>
              <w:snapToGrid w:val="0"/>
              <w:spacing w:line="271" w:lineRule="auto"/>
              <w:ind w:firstLine="422" w:firstLineChars="200"/>
              <w:jc w:val="center"/>
              <w:rPr>
                <w:rFonts w:hint="default" w:ascii="Times New Roman" w:hAnsi="Times New Roman" w:eastAsia="宋体" w:cs="Times New Roman"/>
                <w:b/>
                <w:snapToGrid w:val="0"/>
                <w:kern w:val="0"/>
                <w:szCs w:val="21"/>
                <w:u w:val="none" w:color="auto"/>
              </w:rPr>
            </w:pPr>
            <w:r>
              <w:rPr>
                <w:rFonts w:hint="default" w:ascii="Times New Roman" w:hAnsi="Times New Roman" w:eastAsia="宋体" w:cs="Times New Roman"/>
                <w:b/>
                <w:snapToGrid w:val="0"/>
                <w:kern w:val="0"/>
                <w:szCs w:val="21"/>
                <w:u w:val="none" w:color="auto"/>
              </w:rPr>
              <w:t>表</w:t>
            </w:r>
            <w:r>
              <w:rPr>
                <w:rFonts w:hint="eastAsia" w:ascii="Times New Roman" w:hAnsi="Times New Roman" w:eastAsia="宋体" w:cs="Times New Roman"/>
                <w:b/>
                <w:snapToGrid w:val="0"/>
                <w:kern w:val="0"/>
                <w:szCs w:val="21"/>
                <w:u w:val="none" w:color="auto"/>
                <w:lang w:val="en-US" w:eastAsia="zh-CN"/>
              </w:rPr>
              <w:t>3</w:t>
            </w:r>
            <w:r>
              <w:rPr>
                <w:rFonts w:hint="default" w:ascii="Times New Roman" w:hAnsi="Times New Roman" w:eastAsia="宋体" w:cs="Times New Roman"/>
                <w:b/>
                <w:snapToGrid w:val="0"/>
                <w:kern w:val="0"/>
                <w:szCs w:val="21"/>
                <w:u w:val="none" w:color="auto"/>
              </w:rPr>
              <w:t>-</w:t>
            </w:r>
            <w:r>
              <w:rPr>
                <w:rFonts w:hint="eastAsia" w:ascii="Times New Roman" w:hAnsi="Times New Roman" w:eastAsia="宋体" w:cs="Times New Roman"/>
                <w:b/>
                <w:snapToGrid w:val="0"/>
                <w:kern w:val="0"/>
                <w:szCs w:val="21"/>
                <w:u w:val="none" w:color="auto"/>
                <w:lang w:val="en-US" w:eastAsia="zh-CN"/>
              </w:rPr>
              <w:t>6</w:t>
            </w:r>
            <w:r>
              <w:rPr>
                <w:rFonts w:hint="default" w:ascii="Times New Roman" w:hAnsi="Times New Roman" w:eastAsia="宋体" w:cs="Times New Roman"/>
                <w:b/>
                <w:snapToGrid w:val="0"/>
                <w:kern w:val="0"/>
                <w:szCs w:val="21"/>
                <w:u w:val="none" w:color="auto"/>
              </w:rPr>
              <w:t xml:space="preserve">   锅炉大气污染物排放限值</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0"/>
              <w:gridCol w:w="1726"/>
              <w:gridCol w:w="1538"/>
              <w:gridCol w:w="1556"/>
              <w:gridCol w:w="1608"/>
            </w:tblGrid>
            <w:tr w14:paraId="18DD9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noWrap w:val="0"/>
                  <w:vAlign w:val="center"/>
                </w:tcPr>
                <w:p w14:paraId="365B57E1">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燃煤锅炉</w:t>
                  </w:r>
                </w:p>
              </w:tc>
              <w:tc>
                <w:tcPr>
                  <w:tcW w:w="1726" w:type="dxa"/>
                  <w:noWrap w:val="0"/>
                  <w:vAlign w:val="center"/>
                </w:tcPr>
                <w:p w14:paraId="33E8FDC1">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颗粒物排放浓度mg/m</w:t>
                  </w:r>
                  <w:r>
                    <w:rPr>
                      <w:rFonts w:hint="default" w:ascii="Times New Roman" w:hAnsi="Times New Roman" w:eastAsia="宋体" w:cs="Times New Roman"/>
                      <w:b w:val="0"/>
                      <w:snapToGrid w:val="0"/>
                      <w:color w:val="auto"/>
                      <w:kern w:val="0"/>
                      <w:sz w:val="21"/>
                      <w:szCs w:val="21"/>
                      <w:u w:val="none" w:color="auto"/>
                      <w:vertAlign w:val="superscript"/>
                      <w:lang w:val="en-US" w:eastAsia="zh-CN"/>
                    </w:rPr>
                    <w:t>3</w:t>
                  </w:r>
                </w:p>
              </w:tc>
              <w:tc>
                <w:tcPr>
                  <w:tcW w:w="1538" w:type="dxa"/>
                  <w:noWrap w:val="0"/>
                  <w:vAlign w:val="center"/>
                </w:tcPr>
                <w:p w14:paraId="233F495F">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SO</w:t>
                  </w:r>
                  <w:r>
                    <w:rPr>
                      <w:rFonts w:hint="default" w:ascii="Times New Roman" w:hAnsi="Times New Roman" w:eastAsia="宋体" w:cs="Times New Roman"/>
                      <w:b w:val="0"/>
                      <w:snapToGrid w:val="0"/>
                      <w:color w:val="auto"/>
                      <w:kern w:val="0"/>
                      <w:sz w:val="21"/>
                      <w:szCs w:val="21"/>
                      <w:u w:val="none" w:color="auto"/>
                      <w:vertAlign w:val="subscript"/>
                      <w:lang w:val="en-US" w:eastAsia="zh-CN"/>
                    </w:rPr>
                    <w:t>2</w:t>
                  </w:r>
                  <w:r>
                    <w:rPr>
                      <w:rFonts w:hint="default" w:ascii="Times New Roman" w:hAnsi="Times New Roman" w:eastAsia="宋体" w:cs="Times New Roman"/>
                      <w:b w:val="0"/>
                      <w:snapToGrid w:val="0"/>
                      <w:color w:val="auto"/>
                      <w:kern w:val="0"/>
                      <w:sz w:val="21"/>
                      <w:szCs w:val="21"/>
                      <w:u w:val="none" w:color="auto"/>
                      <w:lang w:val="en-US" w:eastAsia="zh-CN"/>
                    </w:rPr>
                    <w:t>排放浓度mg/m</w:t>
                  </w:r>
                  <w:r>
                    <w:rPr>
                      <w:rFonts w:hint="default" w:ascii="Times New Roman" w:hAnsi="Times New Roman" w:eastAsia="宋体" w:cs="Times New Roman"/>
                      <w:b w:val="0"/>
                      <w:snapToGrid w:val="0"/>
                      <w:color w:val="auto"/>
                      <w:kern w:val="0"/>
                      <w:sz w:val="21"/>
                      <w:szCs w:val="21"/>
                      <w:u w:val="none" w:color="auto"/>
                      <w:vertAlign w:val="superscript"/>
                      <w:lang w:val="en-US" w:eastAsia="zh-CN"/>
                    </w:rPr>
                    <w:t>3</w:t>
                  </w:r>
                </w:p>
              </w:tc>
              <w:tc>
                <w:tcPr>
                  <w:tcW w:w="1556" w:type="dxa"/>
                  <w:noWrap w:val="0"/>
                  <w:vAlign w:val="center"/>
                </w:tcPr>
                <w:p w14:paraId="27FBA448">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NO</w:t>
                  </w:r>
                  <w:r>
                    <w:rPr>
                      <w:rFonts w:hint="default" w:ascii="Times New Roman" w:hAnsi="Times New Roman" w:eastAsia="宋体" w:cs="Times New Roman"/>
                      <w:b w:val="0"/>
                      <w:snapToGrid w:val="0"/>
                      <w:color w:val="auto"/>
                      <w:kern w:val="0"/>
                      <w:sz w:val="21"/>
                      <w:szCs w:val="21"/>
                      <w:u w:val="none" w:color="auto"/>
                      <w:vertAlign w:val="subscript"/>
                      <w:lang w:val="en-US" w:eastAsia="zh-CN"/>
                    </w:rPr>
                    <w:t>x</w:t>
                  </w:r>
                  <w:r>
                    <w:rPr>
                      <w:rFonts w:hint="default" w:ascii="Times New Roman" w:hAnsi="Times New Roman" w:eastAsia="宋体" w:cs="Times New Roman"/>
                      <w:b w:val="0"/>
                      <w:snapToGrid w:val="0"/>
                      <w:color w:val="auto"/>
                      <w:kern w:val="0"/>
                      <w:sz w:val="21"/>
                      <w:szCs w:val="21"/>
                      <w:u w:val="none" w:color="auto"/>
                      <w:lang w:val="en-US" w:eastAsia="zh-CN"/>
                    </w:rPr>
                    <w:t>排放浓度mg/m</w:t>
                  </w:r>
                  <w:r>
                    <w:rPr>
                      <w:rFonts w:hint="default" w:ascii="Times New Roman" w:hAnsi="Times New Roman" w:eastAsia="宋体" w:cs="Times New Roman"/>
                      <w:b w:val="0"/>
                      <w:snapToGrid w:val="0"/>
                      <w:color w:val="auto"/>
                      <w:kern w:val="0"/>
                      <w:sz w:val="21"/>
                      <w:szCs w:val="21"/>
                      <w:u w:val="none" w:color="auto"/>
                      <w:vertAlign w:val="superscript"/>
                      <w:lang w:val="en-US" w:eastAsia="zh-CN"/>
                    </w:rPr>
                    <w:t>3</w:t>
                  </w:r>
                </w:p>
              </w:tc>
              <w:tc>
                <w:tcPr>
                  <w:tcW w:w="1608" w:type="dxa"/>
                  <w:noWrap w:val="0"/>
                  <w:vAlign w:val="center"/>
                </w:tcPr>
                <w:p w14:paraId="791B7D7D">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烟气黑度（林格曼黑度，级）</w:t>
                  </w:r>
                </w:p>
              </w:tc>
            </w:tr>
            <w:tr w14:paraId="573BCC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noWrap w:val="0"/>
                  <w:vAlign w:val="center"/>
                </w:tcPr>
                <w:p w14:paraId="45C25963">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限值</w:t>
                  </w:r>
                </w:p>
              </w:tc>
              <w:tc>
                <w:tcPr>
                  <w:tcW w:w="1726" w:type="dxa"/>
                  <w:noWrap w:val="0"/>
                  <w:vAlign w:val="center"/>
                </w:tcPr>
                <w:p w14:paraId="1D1A8337">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30</w:t>
                  </w:r>
                </w:p>
              </w:tc>
              <w:tc>
                <w:tcPr>
                  <w:tcW w:w="1538" w:type="dxa"/>
                  <w:noWrap w:val="0"/>
                  <w:vAlign w:val="center"/>
                </w:tcPr>
                <w:p w14:paraId="428B99F5">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200</w:t>
                  </w:r>
                </w:p>
              </w:tc>
              <w:tc>
                <w:tcPr>
                  <w:tcW w:w="1556" w:type="dxa"/>
                  <w:noWrap w:val="0"/>
                  <w:vAlign w:val="center"/>
                </w:tcPr>
                <w:p w14:paraId="2C49479E">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200</w:t>
                  </w:r>
                </w:p>
              </w:tc>
              <w:tc>
                <w:tcPr>
                  <w:tcW w:w="1608" w:type="dxa"/>
                  <w:noWrap w:val="0"/>
                  <w:vAlign w:val="center"/>
                </w:tcPr>
                <w:p w14:paraId="3B4DF181">
                  <w:pPr>
                    <w:pStyle w:val="100"/>
                    <w:adjustRightInd w:val="0"/>
                    <w:snapToGrid w:val="0"/>
                    <w:spacing w:line="240" w:lineRule="auto"/>
                    <w:ind w:firstLine="0" w:firstLineChars="0"/>
                    <w:jc w:val="center"/>
                    <w:rPr>
                      <w:rFonts w:hint="default" w:ascii="Times New Roman" w:hAnsi="Times New Roman" w:eastAsia="宋体" w:cs="Times New Roman"/>
                      <w:b w:val="0"/>
                      <w:snapToGrid w:val="0"/>
                      <w:color w:val="auto"/>
                      <w:kern w:val="0"/>
                      <w:sz w:val="21"/>
                      <w:szCs w:val="21"/>
                      <w:u w:val="none" w:color="auto"/>
                      <w:lang w:val="en-US" w:eastAsia="zh-CN"/>
                    </w:rPr>
                  </w:pPr>
                  <w:r>
                    <w:rPr>
                      <w:rFonts w:hint="default" w:ascii="Times New Roman" w:hAnsi="Times New Roman" w:eastAsia="宋体" w:cs="Times New Roman"/>
                      <w:b w:val="0"/>
                      <w:snapToGrid w:val="0"/>
                      <w:color w:val="auto"/>
                      <w:kern w:val="0"/>
                      <w:sz w:val="21"/>
                      <w:szCs w:val="21"/>
                      <w:u w:val="none" w:color="auto"/>
                      <w:lang w:val="en-US" w:eastAsia="zh-CN"/>
                    </w:rPr>
                    <w:t>≤1</w:t>
                  </w:r>
                </w:p>
              </w:tc>
            </w:tr>
          </w:tbl>
          <w:p w14:paraId="15B65E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auto"/>
                <w:szCs w:val="21"/>
                <w:u w:val="none" w:color="auto"/>
                <w:lang w:val="en-GB"/>
              </w:rPr>
            </w:pPr>
            <w:r>
              <w:rPr>
                <w:rFonts w:hint="default" w:ascii="Times New Roman" w:hAnsi="Times New Roman" w:eastAsia="宋体" w:cs="Times New Roman"/>
                <w:b/>
                <w:color w:val="auto"/>
                <w:szCs w:val="21"/>
                <w:u w:val="none" w:color="auto"/>
                <w:lang w:val="en-GB"/>
              </w:rPr>
              <w:t>表3-</w:t>
            </w:r>
            <w:r>
              <w:rPr>
                <w:rFonts w:hint="eastAsia" w:ascii="Times New Roman" w:hAnsi="Times New Roman" w:eastAsia="宋体" w:cs="Times New Roman"/>
                <w:b/>
                <w:color w:val="auto"/>
                <w:szCs w:val="21"/>
                <w:u w:val="none" w:color="auto"/>
                <w:lang w:val="en-US" w:eastAsia="zh-CN"/>
              </w:rPr>
              <w:t>7</w:t>
            </w:r>
            <w:r>
              <w:rPr>
                <w:rFonts w:hint="default" w:ascii="Times New Roman" w:hAnsi="Times New Roman" w:eastAsia="宋体" w:cs="Times New Roman"/>
                <w:b/>
                <w:color w:val="auto"/>
                <w:szCs w:val="21"/>
                <w:u w:val="none" w:color="auto"/>
                <w:lang w:val="en-GB"/>
              </w:rPr>
              <w:t xml:space="preserve">  运营期污染物排放标准</w:t>
            </w:r>
          </w:p>
          <w:tbl>
            <w:tblPr>
              <w:tblStyle w:val="26"/>
              <w:tblW w:w="79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1243"/>
              <w:gridCol w:w="1277"/>
              <w:gridCol w:w="1170"/>
              <w:gridCol w:w="929"/>
              <w:gridCol w:w="1358"/>
            </w:tblGrid>
            <w:tr w14:paraId="4012C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41" w:type="dxa"/>
                  <w:vMerge w:val="restart"/>
                  <w:tcBorders>
                    <w:tl2br w:val="nil"/>
                    <w:tr2bl w:val="nil"/>
                  </w:tcBorders>
                  <w:noWrap w:val="0"/>
                  <w:vAlign w:val="center"/>
                </w:tcPr>
                <w:p w14:paraId="0A157A4D">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执行标准</w:t>
                  </w:r>
                </w:p>
              </w:tc>
              <w:tc>
                <w:tcPr>
                  <w:tcW w:w="1243" w:type="dxa"/>
                  <w:vMerge w:val="restart"/>
                  <w:tcBorders>
                    <w:tl2br w:val="nil"/>
                    <w:tr2bl w:val="nil"/>
                  </w:tcBorders>
                  <w:noWrap w:val="0"/>
                  <w:vAlign w:val="center"/>
                </w:tcPr>
                <w:p w14:paraId="77687397">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污染物</w:t>
                  </w:r>
                </w:p>
              </w:tc>
              <w:tc>
                <w:tcPr>
                  <w:tcW w:w="4734" w:type="dxa"/>
                  <w:gridSpan w:val="4"/>
                  <w:tcBorders>
                    <w:tl2br w:val="nil"/>
                    <w:tr2bl w:val="nil"/>
                  </w:tcBorders>
                  <w:noWrap w:val="0"/>
                  <w:vAlign w:val="center"/>
                </w:tcPr>
                <w:p w14:paraId="75252946">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标准限值</w:t>
                  </w:r>
                </w:p>
              </w:tc>
            </w:tr>
            <w:tr w14:paraId="61122A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941" w:type="dxa"/>
                  <w:vMerge w:val="continue"/>
                  <w:tcBorders>
                    <w:tl2br w:val="nil"/>
                    <w:tr2bl w:val="nil"/>
                  </w:tcBorders>
                  <w:noWrap w:val="0"/>
                  <w:vAlign w:val="center"/>
                </w:tcPr>
                <w:p w14:paraId="573F325B">
                  <w:pPr>
                    <w:spacing w:line="240" w:lineRule="exact"/>
                    <w:jc w:val="center"/>
                    <w:rPr>
                      <w:rFonts w:hint="default" w:ascii="Times New Roman" w:hAnsi="Times New Roman" w:eastAsia="宋体" w:cs="Times New Roman"/>
                      <w:b/>
                      <w:bCs/>
                      <w:color w:val="auto"/>
                      <w:szCs w:val="21"/>
                      <w:u w:val="none" w:color="auto"/>
                    </w:rPr>
                  </w:pPr>
                </w:p>
              </w:tc>
              <w:tc>
                <w:tcPr>
                  <w:tcW w:w="1243" w:type="dxa"/>
                  <w:vMerge w:val="continue"/>
                  <w:tcBorders>
                    <w:tl2br w:val="nil"/>
                    <w:tr2bl w:val="nil"/>
                  </w:tcBorders>
                  <w:noWrap w:val="0"/>
                  <w:vAlign w:val="center"/>
                </w:tcPr>
                <w:p w14:paraId="0B1971F2">
                  <w:pPr>
                    <w:spacing w:line="240" w:lineRule="exact"/>
                    <w:jc w:val="center"/>
                    <w:rPr>
                      <w:rFonts w:hint="default" w:ascii="Times New Roman" w:hAnsi="Times New Roman" w:eastAsia="宋体" w:cs="Times New Roman"/>
                      <w:b/>
                      <w:bCs/>
                      <w:color w:val="auto"/>
                      <w:szCs w:val="21"/>
                      <w:u w:val="none" w:color="auto"/>
                    </w:rPr>
                  </w:pPr>
                </w:p>
              </w:tc>
              <w:tc>
                <w:tcPr>
                  <w:tcW w:w="1277" w:type="dxa"/>
                  <w:tcBorders>
                    <w:tl2br w:val="nil"/>
                    <w:tr2bl w:val="nil"/>
                  </w:tcBorders>
                  <w:noWrap w:val="0"/>
                  <w:vAlign w:val="center"/>
                </w:tcPr>
                <w:p w14:paraId="04B46168">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最高允许排放浓度(mg/m</w:t>
                  </w:r>
                  <w:r>
                    <w:rPr>
                      <w:rFonts w:hint="default" w:ascii="Times New Roman" w:hAnsi="Times New Roman" w:eastAsia="宋体" w:cs="Times New Roman"/>
                      <w:b/>
                      <w:bCs/>
                      <w:color w:val="auto"/>
                      <w:szCs w:val="21"/>
                      <w:u w:val="none" w:color="auto"/>
                      <w:vertAlign w:val="superscript"/>
                    </w:rPr>
                    <w:t>3</w:t>
                  </w:r>
                  <w:r>
                    <w:rPr>
                      <w:rFonts w:hint="default" w:ascii="Times New Roman" w:hAnsi="Times New Roman" w:eastAsia="宋体" w:cs="Times New Roman"/>
                      <w:b/>
                      <w:bCs/>
                      <w:color w:val="auto"/>
                      <w:szCs w:val="21"/>
                      <w:u w:val="none" w:color="auto"/>
                    </w:rPr>
                    <w:t>)</w:t>
                  </w:r>
                </w:p>
              </w:tc>
              <w:tc>
                <w:tcPr>
                  <w:tcW w:w="1170" w:type="dxa"/>
                  <w:tcBorders>
                    <w:tl2br w:val="nil"/>
                    <w:tr2bl w:val="nil"/>
                  </w:tcBorders>
                  <w:noWrap w:val="0"/>
                  <w:vAlign w:val="center"/>
                </w:tcPr>
                <w:p w14:paraId="08BC5027">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排放速率(kg/h)</w:t>
                  </w:r>
                </w:p>
              </w:tc>
              <w:tc>
                <w:tcPr>
                  <w:tcW w:w="929" w:type="dxa"/>
                  <w:tcBorders>
                    <w:tl2br w:val="nil"/>
                    <w:tr2bl w:val="nil"/>
                  </w:tcBorders>
                  <w:noWrap w:val="0"/>
                  <w:vAlign w:val="center"/>
                </w:tcPr>
                <w:p w14:paraId="2ACD7FD5">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排气筒高度(m)</w:t>
                  </w:r>
                </w:p>
              </w:tc>
              <w:tc>
                <w:tcPr>
                  <w:tcW w:w="1358" w:type="dxa"/>
                  <w:tcBorders>
                    <w:tl2br w:val="nil"/>
                    <w:tr2bl w:val="nil"/>
                  </w:tcBorders>
                  <w:noWrap w:val="0"/>
                  <w:vAlign w:val="center"/>
                </w:tcPr>
                <w:p w14:paraId="191949C8">
                  <w:pPr>
                    <w:spacing w:line="240" w:lineRule="exact"/>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无组织监控浓度(mg/m</w:t>
                  </w:r>
                  <w:r>
                    <w:rPr>
                      <w:rFonts w:hint="default" w:ascii="Times New Roman" w:hAnsi="Times New Roman" w:eastAsia="宋体" w:cs="Times New Roman"/>
                      <w:b/>
                      <w:bCs/>
                      <w:color w:val="auto"/>
                      <w:szCs w:val="21"/>
                      <w:u w:val="none" w:color="auto"/>
                      <w:vertAlign w:val="superscript"/>
                    </w:rPr>
                    <w:t>3</w:t>
                  </w:r>
                  <w:r>
                    <w:rPr>
                      <w:rFonts w:hint="default" w:ascii="Times New Roman" w:hAnsi="Times New Roman" w:eastAsia="宋体" w:cs="Times New Roman"/>
                      <w:b/>
                      <w:bCs/>
                      <w:color w:val="auto"/>
                      <w:szCs w:val="21"/>
                      <w:u w:val="none" w:color="auto"/>
                    </w:rPr>
                    <w:t>)</w:t>
                  </w:r>
                </w:p>
              </w:tc>
            </w:tr>
            <w:tr w14:paraId="6BF4D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941" w:type="dxa"/>
                  <w:tcBorders>
                    <w:tl2br w:val="nil"/>
                    <w:tr2bl w:val="nil"/>
                  </w:tcBorders>
                  <w:noWrap w:val="0"/>
                  <w:vAlign w:val="center"/>
                </w:tcPr>
                <w:p w14:paraId="1B59B25B">
                  <w:pPr>
                    <w:spacing w:line="240" w:lineRule="exact"/>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eastAsia="zh-CN"/>
                    </w:rPr>
                    <w:t>《大气污染物综合排放标准》（GB 16297-1996）</w:t>
                  </w:r>
                </w:p>
              </w:tc>
              <w:tc>
                <w:tcPr>
                  <w:tcW w:w="1243" w:type="dxa"/>
                  <w:tcBorders>
                    <w:tl2br w:val="nil"/>
                    <w:tr2bl w:val="nil"/>
                  </w:tcBorders>
                  <w:noWrap w:val="0"/>
                  <w:vAlign w:val="center"/>
                </w:tcPr>
                <w:p w14:paraId="0179AC37">
                  <w:pPr>
                    <w:spacing w:line="240" w:lineRule="exact"/>
                    <w:jc w:val="center"/>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zCs w:val="21"/>
                      <w:u w:val="none" w:color="auto"/>
                      <w:lang w:eastAsia="zh-CN"/>
                    </w:rPr>
                    <w:t>颗粒物</w:t>
                  </w:r>
                </w:p>
              </w:tc>
              <w:tc>
                <w:tcPr>
                  <w:tcW w:w="1277" w:type="dxa"/>
                  <w:tcBorders>
                    <w:tl2br w:val="nil"/>
                    <w:tr2bl w:val="nil"/>
                  </w:tcBorders>
                  <w:noWrap w:val="0"/>
                  <w:vAlign w:val="center"/>
                </w:tcPr>
                <w:p w14:paraId="66CD50C6">
                  <w:pPr>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1170" w:type="dxa"/>
                  <w:tcBorders>
                    <w:tl2br w:val="nil"/>
                    <w:tr2bl w:val="nil"/>
                  </w:tcBorders>
                  <w:noWrap w:val="0"/>
                  <w:vAlign w:val="center"/>
                </w:tcPr>
                <w:p w14:paraId="4C3D2EF0">
                  <w:pPr>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929" w:type="dxa"/>
                  <w:tcBorders>
                    <w:tl2br w:val="nil"/>
                    <w:tr2bl w:val="nil"/>
                  </w:tcBorders>
                  <w:noWrap w:val="0"/>
                  <w:vAlign w:val="center"/>
                </w:tcPr>
                <w:p w14:paraId="065513C1">
                  <w:pPr>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1358" w:type="dxa"/>
                  <w:tcBorders>
                    <w:tl2br w:val="nil"/>
                    <w:tr2bl w:val="nil"/>
                  </w:tcBorders>
                  <w:noWrap w:val="0"/>
                  <w:vAlign w:val="center"/>
                </w:tcPr>
                <w:p w14:paraId="5E8524F4">
                  <w:pPr>
                    <w:spacing w:line="240" w:lineRule="exact"/>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w:t>
                  </w:r>
                </w:p>
              </w:tc>
            </w:tr>
          </w:tbl>
          <w:p w14:paraId="09EE8DB9">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lang w:val="en-GB"/>
              </w:rPr>
            </w:pPr>
            <w:r>
              <w:rPr>
                <w:rFonts w:hint="default" w:ascii="Times New Roman" w:hAnsi="Times New Roman" w:eastAsia="宋体" w:cs="Times New Roman"/>
                <w:b/>
                <w:bCs/>
                <w:color w:val="auto"/>
                <w:kern w:val="0"/>
                <w:sz w:val="24"/>
                <w:szCs w:val="24"/>
                <w:u w:val="none" w:color="auto"/>
                <w:lang w:val="en-GB"/>
              </w:rPr>
              <w:t>2、废水</w:t>
            </w:r>
          </w:p>
          <w:p w14:paraId="442D63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u w:val="none" w:color="auto"/>
              </w:rPr>
            </w:pPr>
            <w:r>
              <w:rPr>
                <w:rFonts w:hint="default" w:ascii="Times New Roman" w:hAnsi="Times New Roman" w:eastAsia="宋体" w:cs="Times New Roman"/>
                <w:sz w:val="24"/>
                <w:szCs w:val="24"/>
                <w:u w:val="none" w:color="auto"/>
              </w:rPr>
              <w:t>本项目锅炉在运行中产生的废水主要为锅炉定期排污水和</w:t>
            </w:r>
            <w:r>
              <w:rPr>
                <w:rFonts w:hint="default" w:ascii="Times New Roman" w:hAnsi="Times New Roman" w:eastAsia="宋体" w:cs="Times New Roman"/>
                <w:sz w:val="24"/>
                <w:szCs w:val="24"/>
                <w:u w:val="none" w:color="auto"/>
                <w:lang w:val="en-US" w:eastAsia="zh-CN"/>
              </w:rPr>
              <w:t>脱硫塔产生的废液</w:t>
            </w:r>
            <w:r>
              <w:rPr>
                <w:rFonts w:hint="default" w:ascii="Times New Roman" w:hAnsi="Times New Roman" w:eastAsia="宋体" w:cs="Times New Roman"/>
                <w:sz w:val="24"/>
                <w:szCs w:val="24"/>
                <w:u w:val="none" w:color="auto"/>
              </w:rPr>
              <w:t>，锅炉定期排污水进入沉淀池沉淀处理后回用，</w:t>
            </w:r>
            <w:r>
              <w:rPr>
                <w:rFonts w:hint="default" w:ascii="Times New Roman" w:hAnsi="Times New Roman" w:eastAsia="宋体" w:cs="Times New Roman"/>
                <w:sz w:val="24"/>
                <w:szCs w:val="24"/>
                <w:u w:val="none" w:color="auto"/>
                <w:lang w:val="en-US" w:eastAsia="zh-CN"/>
              </w:rPr>
              <w:t>脱硫塔产生的废液循环使用不外排</w:t>
            </w:r>
            <w:r>
              <w:rPr>
                <w:rFonts w:hint="default" w:ascii="Times New Roman" w:hAnsi="Times New Roman" w:eastAsia="宋体" w:cs="Times New Roman"/>
                <w:sz w:val="24"/>
                <w:szCs w:val="24"/>
                <w:u w:val="none" w:color="auto"/>
              </w:rPr>
              <w:t>。因此，本锅炉项目不设置废水排放标准。</w:t>
            </w:r>
          </w:p>
          <w:p w14:paraId="13F12E95">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lang w:val="en-GB"/>
              </w:rPr>
            </w:pPr>
            <w:r>
              <w:rPr>
                <w:rFonts w:hint="default" w:ascii="Times New Roman" w:hAnsi="Times New Roman" w:eastAsia="宋体" w:cs="Times New Roman"/>
                <w:b/>
                <w:bCs/>
                <w:color w:val="auto"/>
                <w:kern w:val="0"/>
                <w:sz w:val="24"/>
                <w:szCs w:val="24"/>
                <w:u w:val="none" w:color="auto"/>
                <w:lang w:val="en-GB"/>
              </w:rPr>
              <w:t>3、噪声</w:t>
            </w:r>
          </w:p>
          <w:p w14:paraId="1AFD0A99">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lang w:val="en-GB"/>
              </w:rPr>
            </w:pPr>
            <w:r>
              <w:rPr>
                <w:rFonts w:hint="default" w:ascii="Times New Roman" w:hAnsi="Times New Roman" w:eastAsia="宋体" w:cs="Times New Roman"/>
                <w:color w:val="auto"/>
                <w:kern w:val="0"/>
                <w:sz w:val="24"/>
                <w:szCs w:val="24"/>
                <w:u w:val="none" w:color="auto"/>
                <w:lang w:val="en-GB"/>
              </w:rPr>
              <w:t>运营期厂界噪声执行《工业企业厂界环境噪声排放标准》（GB12348-2008）中的</w:t>
            </w:r>
            <w:r>
              <w:rPr>
                <w:rFonts w:hint="default" w:ascii="Times New Roman" w:hAnsi="Times New Roman" w:eastAsia="宋体" w:cs="Times New Roman"/>
                <w:color w:val="auto"/>
                <w:kern w:val="0"/>
                <w:sz w:val="24"/>
                <w:szCs w:val="24"/>
                <w:u w:val="none" w:color="auto"/>
              </w:rPr>
              <w:t>3</w:t>
            </w:r>
            <w:r>
              <w:rPr>
                <w:rFonts w:hint="default" w:ascii="Times New Roman" w:hAnsi="Times New Roman" w:eastAsia="宋体" w:cs="Times New Roman"/>
                <w:color w:val="auto"/>
                <w:kern w:val="0"/>
                <w:sz w:val="24"/>
                <w:szCs w:val="24"/>
                <w:u w:val="none" w:color="auto"/>
                <w:lang w:val="en-GB"/>
              </w:rPr>
              <w:t>类标准，</w:t>
            </w:r>
            <w:r>
              <w:rPr>
                <w:rFonts w:hint="default" w:ascii="Times New Roman" w:hAnsi="Times New Roman" w:eastAsia="宋体" w:cs="Times New Roman"/>
                <w:color w:val="auto"/>
                <w:kern w:val="0"/>
                <w:sz w:val="24"/>
                <w:szCs w:val="24"/>
                <w:u w:val="none" w:color="auto"/>
                <w:lang w:val="zh-CN"/>
              </w:rPr>
              <w:t>具体标准限值见表</w:t>
            </w:r>
            <w:r>
              <w:rPr>
                <w:rFonts w:hint="default" w:ascii="Times New Roman" w:hAnsi="Times New Roman" w:eastAsia="宋体" w:cs="Times New Roman"/>
                <w:color w:val="auto"/>
                <w:kern w:val="0"/>
                <w:sz w:val="24"/>
                <w:szCs w:val="24"/>
                <w:u w:val="none" w:color="auto"/>
              </w:rPr>
              <w:t>3-</w:t>
            </w:r>
            <w:r>
              <w:rPr>
                <w:rFonts w:hint="default" w:ascii="Times New Roman" w:hAnsi="Times New Roman" w:eastAsia="宋体" w:cs="Times New Roman"/>
                <w:color w:val="auto"/>
                <w:kern w:val="0"/>
                <w:sz w:val="24"/>
                <w:szCs w:val="24"/>
                <w:u w:val="none" w:color="auto"/>
                <w:lang w:val="en-US" w:eastAsia="zh-CN"/>
              </w:rPr>
              <w:t>8</w:t>
            </w:r>
            <w:r>
              <w:rPr>
                <w:rFonts w:hint="default" w:ascii="Times New Roman" w:hAnsi="Times New Roman" w:eastAsia="宋体" w:cs="Times New Roman"/>
                <w:color w:val="auto"/>
                <w:kern w:val="0"/>
                <w:sz w:val="24"/>
                <w:szCs w:val="24"/>
                <w:u w:val="none" w:color="auto"/>
                <w:lang w:val="zh-CN"/>
              </w:rPr>
              <w:t>。</w:t>
            </w:r>
          </w:p>
          <w:p w14:paraId="6ADB9D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auto"/>
                <w:szCs w:val="21"/>
                <w:u w:val="none" w:color="auto"/>
                <w:lang w:val="en-GB"/>
              </w:rPr>
            </w:pPr>
            <w:r>
              <w:rPr>
                <w:rFonts w:hint="default" w:ascii="Times New Roman" w:hAnsi="Times New Roman" w:eastAsia="宋体" w:cs="Times New Roman"/>
                <w:b/>
                <w:color w:val="auto"/>
                <w:szCs w:val="21"/>
                <w:u w:val="none" w:color="auto"/>
                <w:lang w:val="en-GB"/>
              </w:rPr>
              <w:t>表</w:t>
            </w:r>
            <w:r>
              <w:rPr>
                <w:rFonts w:hint="default" w:ascii="Times New Roman" w:hAnsi="Times New Roman" w:eastAsia="宋体" w:cs="Times New Roman"/>
                <w:b/>
                <w:color w:val="auto"/>
                <w:szCs w:val="21"/>
                <w:u w:val="none" w:color="auto"/>
              </w:rPr>
              <w:t>3-</w:t>
            </w:r>
            <w:r>
              <w:rPr>
                <w:rFonts w:hint="eastAsia" w:cs="Times New Roman"/>
                <w:b/>
                <w:color w:val="auto"/>
                <w:szCs w:val="21"/>
                <w:u w:val="none" w:color="auto"/>
                <w:lang w:val="en-US" w:eastAsia="zh-CN"/>
              </w:rPr>
              <w:t>8</w:t>
            </w:r>
            <w:r>
              <w:rPr>
                <w:rFonts w:hint="default" w:ascii="Times New Roman" w:hAnsi="Times New Roman" w:eastAsia="宋体" w:cs="Times New Roman"/>
                <w:b/>
                <w:color w:val="auto"/>
                <w:szCs w:val="21"/>
                <w:u w:val="none" w:color="auto"/>
                <w:lang w:val="en-GB"/>
              </w:rPr>
              <w:t xml:space="preserve"> 厂界噪声评价标准  单位：dB（A）</w:t>
            </w:r>
          </w:p>
          <w:tbl>
            <w:tblPr>
              <w:tblStyle w:val="26"/>
              <w:tblW w:w="7939"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08"/>
              <w:gridCol w:w="1155"/>
              <w:gridCol w:w="1305"/>
              <w:gridCol w:w="1471"/>
            </w:tblGrid>
            <w:tr w14:paraId="2B16D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163" w:type="dxa"/>
                  <w:gridSpan w:val="2"/>
                  <w:vMerge w:val="restart"/>
                  <w:tcBorders>
                    <w:tl2br w:val="nil"/>
                    <w:tr2bl w:val="nil"/>
                  </w:tcBorders>
                  <w:noWrap w:val="0"/>
                  <w:vAlign w:val="center"/>
                </w:tcPr>
                <w:p w14:paraId="5798B9B1">
                  <w:pPr>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执行标准</w:t>
                  </w:r>
                </w:p>
              </w:tc>
              <w:tc>
                <w:tcPr>
                  <w:tcW w:w="2776" w:type="dxa"/>
                  <w:gridSpan w:val="2"/>
                  <w:tcBorders>
                    <w:tl2br w:val="nil"/>
                    <w:tr2bl w:val="nil"/>
                  </w:tcBorders>
                  <w:noWrap w:val="0"/>
                  <w:vAlign w:val="center"/>
                </w:tcPr>
                <w:p w14:paraId="03C25911">
                  <w:pPr>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标准值(dB(A))</w:t>
                  </w:r>
                </w:p>
              </w:tc>
            </w:tr>
            <w:tr w14:paraId="51E6C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163" w:type="dxa"/>
                  <w:gridSpan w:val="2"/>
                  <w:vMerge w:val="continue"/>
                  <w:tcBorders>
                    <w:tl2br w:val="nil"/>
                    <w:tr2bl w:val="nil"/>
                  </w:tcBorders>
                  <w:noWrap w:val="0"/>
                  <w:vAlign w:val="center"/>
                </w:tcPr>
                <w:p w14:paraId="7A704D16">
                  <w:pPr>
                    <w:jc w:val="center"/>
                    <w:rPr>
                      <w:rFonts w:hint="default" w:ascii="Times New Roman" w:hAnsi="Times New Roman" w:eastAsia="宋体" w:cs="Times New Roman"/>
                      <w:b/>
                      <w:bCs/>
                      <w:color w:val="auto"/>
                      <w:szCs w:val="21"/>
                      <w:u w:val="none" w:color="auto"/>
                    </w:rPr>
                  </w:pPr>
                </w:p>
              </w:tc>
              <w:tc>
                <w:tcPr>
                  <w:tcW w:w="1305" w:type="dxa"/>
                  <w:tcBorders>
                    <w:tl2br w:val="nil"/>
                    <w:tr2bl w:val="nil"/>
                  </w:tcBorders>
                  <w:noWrap w:val="0"/>
                  <w:vAlign w:val="center"/>
                </w:tcPr>
                <w:p w14:paraId="0B602FCB">
                  <w:pPr>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昼间</w:t>
                  </w:r>
                </w:p>
              </w:tc>
              <w:tc>
                <w:tcPr>
                  <w:tcW w:w="1471" w:type="dxa"/>
                  <w:tcBorders>
                    <w:tl2br w:val="nil"/>
                    <w:tr2bl w:val="nil"/>
                  </w:tcBorders>
                  <w:noWrap w:val="0"/>
                  <w:vAlign w:val="center"/>
                </w:tcPr>
                <w:p w14:paraId="41340161">
                  <w:pPr>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夜间</w:t>
                  </w:r>
                </w:p>
              </w:tc>
            </w:tr>
            <w:tr w14:paraId="4AB74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008" w:type="dxa"/>
                  <w:tcBorders>
                    <w:tl2br w:val="nil"/>
                    <w:tr2bl w:val="nil"/>
                  </w:tcBorders>
                  <w:noWrap w:val="0"/>
                  <w:vAlign w:val="center"/>
                </w:tcPr>
                <w:p w14:paraId="228D4E82">
                  <w:pPr>
                    <w:jc w:val="center"/>
                    <w:rPr>
                      <w:rFonts w:hint="default" w:ascii="Times New Roman" w:hAnsi="Times New Roman" w:eastAsia="宋体" w:cs="Times New Roman"/>
                      <w:bCs/>
                      <w:color w:val="auto"/>
                      <w:szCs w:val="21"/>
                      <w:u w:val="none" w:color="auto"/>
                    </w:rPr>
                  </w:pPr>
                  <w:r>
                    <w:rPr>
                      <w:rFonts w:hint="default" w:ascii="Times New Roman" w:hAnsi="Times New Roman" w:eastAsia="宋体" w:cs="Times New Roman"/>
                      <w:bCs/>
                      <w:color w:val="auto"/>
                      <w:szCs w:val="21"/>
                      <w:u w:val="none" w:color="auto"/>
                    </w:rPr>
                    <w:t>《工业企业厂界环境噪声排放标准》(G</w:t>
                  </w:r>
                  <w:r>
                    <w:rPr>
                      <w:rFonts w:hint="default" w:ascii="Times New Roman" w:hAnsi="Times New Roman" w:eastAsia="宋体" w:cs="Times New Roman"/>
                      <w:bCs/>
                      <w:color w:val="auto"/>
                      <w:szCs w:val="21"/>
                      <w:u w:val="none" w:color="auto"/>
                      <w:lang w:val="en-US" w:eastAsia="zh-CN"/>
                    </w:rPr>
                    <w:t>B</w:t>
                  </w:r>
                  <w:r>
                    <w:rPr>
                      <w:rFonts w:hint="default" w:ascii="Times New Roman" w:hAnsi="Times New Roman" w:eastAsia="宋体" w:cs="Times New Roman"/>
                      <w:bCs/>
                      <w:color w:val="auto"/>
                      <w:szCs w:val="21"/>
                      <w:u w:val="none" w:color="auto"/>
                    </w:rPr>
                    <w:t>12348-2008)</w:t>
                  </w:r>
                </w:p>
              </w:tc>
              <w:tc>
                <w:tcPr>
                  <w:tcW w:w="1155" w:type="dxa"/>
                  <w:tcBorders>
                    <w:tl2br w:val="nil"/>
                    <w:tr2bl w:val="nil"/>
                  </w:tcBorders>
                  <w:noWrap w:val="0"/>
                  <w:vAlign w:val="center"/>
                </w:tcPr>
                <w:p w14:paraId="7E1D9B03">
                  <w:pPr>
                    <w:jc w:val="center"/>
                    <w:rPr>
                      <w:rFonts w:hint="default" w:ascii="Times New Roman" w:hAnsi="Times New Roman" w:eastAsia="宋体" w:cs="Times New Roman"/>
                      <w:bCs/>
                      <w:color w:val="auto"/>
                      <w:szCs w:val="21"/>
                      <w:u w:val="none" w:color="auto"/>
                    </w:rPr>
                  </w:pPr>
                  <w:r>
                    <w:rPr>
                      <w:rFonts w:hint="default" w:ascii="Times New Roman" w:hAnsi="Times New Roman" w:eastAsia="宋体" w:cs="Times New Roman"/>
                      <w:bCs/>
                      <w:color w:val="auto"/>
                      <w:szCs w:val="21"/>
                      <w:u w:val="none" w:color="auto"/>
                    </w:rPr>
                    <w:t>3类</w:t>
                  </w:r>
                </w:p>
              </w:tc>
              <w:tc>
                <w:tcPr>
                  <w:tcW w:w="1305" w:type="dxa"/>
                  <w:tcBorders>
                    <w:tl2br w:val="nil"/>
                    <w:tr2bl w:val="nil"/>
                  </w:tcBorders>
                  <w:noWrap w:val="0"/>
                  <w:vAlign w:val="center"/>
                </w:tcPr>
                <w:p w14:paraId="493F127D">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65</w:t>
                  </w:r>
                </w:p>
              </w:tc>
              <w:tc>
                <w:tcPr>
                  <w:tcW w:w="1471" w:type="dxa"/>
                  <w:tcBorders>
                    <w:tl2br w:val="nil"/>
                    <w:tr2bl w:val="nil"/>
                  </w:tcBorders>
                  <w:noWrap w:val="0"/>
                  <w:vAlign w:val="center"/>
                </w:tcPr>
                <w:p w14:paraId="6EA1C5D4">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55</w:t>
                  </w:r>
                </w:p>
              </w:tc>
            </w:tr>
          </w:tbl>
          <w:p w14:paraId="45F440FE">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szCs w:val="24"/>
                <w:u w:val="none" w:color="auto"/>
              </w:rPr>
            </w:pPr>
            <w:r>
              <w:rPr>
                <w:rFonts w:hint="default" w:ascii="Times New Roman" w:hAnsi="Times New Roman" w:eastAsia="宋体" w:cs="Times New Roman"/>
                <w:b/>
                <w:bCs/>
                <w:color w:val="auto"/>
                <w:kern w:val="0"/>
                <w:sz w:val="24"/>
                <w:szCs w:val="24"/>
                <w:u w:val="none" w:color="auto"/>
              </w:rPr>
              <w:t>4、固体废弃物</w:t>
            </w:r>
          </w:p>
          <w:p w14:paraId="34AFC23F">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sz w:val="24"/>
                <w:u w:val="none" w:color="auto"/>
              </w:rPr>
              <w:t>一般工业废物执行《一般工业固体废物贮存和填埋污染控制标准》（GB18599-2020）。</w:t>
            </w:r>
          </w:p>
        </w:tc>
      </w:tr>
      <w:tr w14:paraId="780C1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00" w:type="dxa"/>
            <w:noWrap w:val="0"/>
            <w:tcMar>
              <w:left w:w="28" w:type="dxa"/>
              <w:right w:w="28" w:type="dxa"/>
            </w:tcMar>
            <w:vAlign w:val="center"/>
          </w:tcPr>
          <w:p w14:paraId="13BF2804">
            <w:pPr>
              <w:adjustRightInd w:val="0"/>
              <w:snapToGrid w:val="0"/>
              <w:jc w:val="center"/>
              <w:rPr>
                <w:rFonts w:hint="default" w:ascii="Times New Roman" w:hAnsi="Times New Roman" w:eastAsia="宋体" w:cs="Times New Roman"/>
                <w:color w:val="auto"/>
                <w:kern w:val="0"/>
                <w:sz w:val="24"/>
                <w:u w:val="none" w:color="auto"/>
              </w:rPr>
            </w:pPr>
            <w:r>
              <w:rPr>
                <w:rFonts w:hint="default" w:ascii="Times New Roman" w:hAnsi="Times New Roman" w:eastAsia="宋体" w:cs="Times New Roman"/>
                <w:color w:val="auto"/>
                <w:kern w:val="0"/>
                <w:sz w:val="24"/>
                <w:u w:val="none" w:color="auto"/>
              </w:rPr>
              <w:t>总量</w:t>
            </w:r>
          </w:p>
          <w:p w14:paraId="35C11455">
            <w:pPr>
              <w:adjustRightInd w:val="0"/>
              <w:snapToGrid w:val="0"/>
              <w:jc w:val="center"/>
              <w:rPr>
                <w:rFonts w:hint="default" w:ascii="Times New Roman" w:hAnsi="Times New Roman" w:eastAsia="宋体" w:cs="Times New Roman"/>
                <w:color w:val="auto"/>
                <w:kern w:val="0"/>
                <w:sz w:val="24"/>
                <w:u w:val="none" w:color="auto"/>
              </w:rPr>
            </w:pPr>
            <w:r>
              <w:rPr>
                <w:rFonts w:hint="default" w:ascii="Times New Roman" w:hAnsi="Times New Roman" w:eastAsia="宋体" w:cs="Times New Roman"/>
                <w:color w:val="auto"/>
                <w:kern w:val="0"/>
                <w:sz w:val="24"/>
                <w:u w:val="none" w:color="auto"/>
              </w:rPr>
              <w:t>控制</w:t>
            </w:r>
          </w:p>
          <w:p w14:paraId="5F99832A">
            <w:pPr>
              <w:adjustRightInd w:val="0"/>
              <w:snapToGrid w:val="0"/>
              <w:jc w:val="center"/>
              <w:rPr>
                <w:rFonts w:hint="default" w:ascii="Times New Roman" w:hAnsi="Times New Roman" w:eastAsia="宋体" w:cs="Times New Roman"/>
                <w:color w:val="auto"/>
                <w:kern w:val="0"/>
                <w:sz w:val="24"/>
                <w:szCs w:val="24"/>
                <w:u w:val="none" w:color="auto"/>
              </w:rPr>
            </w:pPr>
            <w:r>
              <w:rPr>
                <w:rFonts w:hint="default" w:ascii="Times New Roman" w:hAnsi="Times New Roman" w:eastAsia="宋体" w:cs="Times New Roman"/>
                <w:color w:val="auto"/>
                <w:kern w:val="0"/>
                <w:sz w:val="24"/>
                <w:u w:val="none" w:color="auto"/>
              </w:rPr>
              <w:t>指标</w:t>
            </w:r>
          </w:p>
        </w:tc>
        <w:tc>
          <w:tcPr>
            <w:tcW w:w="8190" w:type="dxa"/>
            <w:noWrap w:val="0"/>
            <w:vAlign w:val="top"/>
          </w:tcPr>
          <w:p w14:paraId="1E82D756">
            <w:pPr>
              <w:autoSpaceDE w:val="0"/>
              <w:autoSpaceDN w:val="0"/>
              <w:adjustRightInd w:val="0"/>
              <w:snapToGrid w:val="0"/>
              <w:spacing w:before="156" w:beforeLines="50"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按国家对污染物排放总量控制指标的要求，在核算污染物排放量的基础上提出工程污染物总量控制建议指标，是建设项目环境影响评价的任务之一，污染物总量控制建议指标应包括国家规定的指标和项目的特征污染物。并结合本项目工程特征，确定本项目的总量控制因子为：废水：COD、氨氮。废气：</w:t>
            </w:r>
            <w:r>
              <w:rPr>
                <w:rFonts w:hint="default" w:ascii="Times New Roman" w:hAnsi="Times New Roman" w:eastAsia="宋体" w:cs="Times New Roman"/>
                <w:snapToGrid w:val="0"/>
                <w:sz w:val="24"/>
                <w:szCs w:val="24"/>
                <w:u w:val="none" w:color="auto"/>
              </w:rPr>
              <w:t>SO</w:t>
            </w:r>
            <w:r>
              <w:rPr>
                <w:rFonts w:hint="default" w:ascii="Times New Roman" w:hAnsi="Times New Roman" w:eastAsia="宋体" w:cs="Times New Roman"/>
                <w:snapToGrid w:val="0"/>
                <w:sz w:val="24"/>
                <w:szCs w:val="24"/>
                <w:u w:val="none" w:color="auto"/>
                <w:vertAlign w:val="subscript"/>
              </w:rPr>
              <w:t>2</w:t>
            </w:r>
            <w:r>
              <w:rPr>
                <w:rFonts w:hint="default" w:ascii="Times New Roman" w:hAnsi="Times New Roman" w:eastAsia="宋体" w:cs="Times New Roman"/>
                <w:snapToGrid w:val="0"/>
                <w:sz w:val="24"/>
                <w:szCs w:val="24"/>
                <w:u w:val="none" w:color="auto"/>
              </w:rPr>
              <w:t>、NO</w:t>
            </w:r>
            <w:r>
              <w:rPr>
                <w:rFonts w:hint="default" w:ascii="Times New Roman" w:hAnsi="Times New Roman" w:eastAsia="宋体" w:cs="Times New Roman"/>
                <w:snapToGrid w:val="0"/>
                <w:sz w:val="24"/>
                <w:szCs w:val="24"/>
                <w:u w:val="none" w:color="auto"/>
                <w:vertAlign w:val="subscript"/>
              </w:rPr>
              <w:t>x</w:t>
            </w:r>
            <w:r>
              <w:rPr>
                <w:rFonts w:hint="default" w:ascii="Times New Roman" w:hAnsi="Times New Roman" w:eastAsia="宋体" w:cs="Times New Roman"/>
                <w:sz w:val="24"/>
                <w:szCs w:val="24"/>
                <w:u w:val="none" w:color="auto"/>
              </w:rPr>
              <w:t>。</w:t>
            </w:r>
          </w:p>
          <w:p w14:paraId="0697289C">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水污染物控制指标：</w:t>
            </w:r>
          </w:p>
          <w:p w14:paraId="275209EA">
            <w:pPr>
              <w:adjustRightInd w:val="0"/>
              <w:snapToGrid w:val="0"/>
              <w:spacing w:line="360" w:lineRule="auto"/>
              <w:ind w:firstLine="480" w:firstLineChars="200"/>
              <w:rPr>
                <w:rFonts w:hint="default" w:ascii="Times New Roman" w:hAnsi="Times New Roman" w:eastAsia="宋体" w:cs="Times New Roman"/>
                <w:sz w:val="24"/>
                <w:szCs w:val="24"/>
                <w:u w:val="none" w:color="auto"/>
                <w:lang w:val="fr-FR"/>
              </w:rPr>
            </w:pPr>
            <w:r>
              <w:rPr>
                <w:rFonts w:hint="default" w:ascii="Times New Roman" w:hAnsi="Times New Roman" w:eastAsia="宋体" w:cs="Times New Roman"/>
                <w:sz w:val="24"/>
                <w:szCs w:val="24"/>
                <w:u w:val="none" w:color="auto"/>
              </w:rPr>
              <w:t>本项目锅炉在运行中产生的废水主要为锅炉定期排污水和</w:t>
            </w:r>
            <w:r>
              <w:rPr>
                <w:rFonts w:hint="default" w:ascii="Times New Roman" w:hAnsi="Times New Roman" w:eastAsia="宋体" w:cs="Times New Roman"/>
                <w:sz w:val="24"/>
                <w:szCs w:val="24"/>
                <w:u w:val="none" w:color="auto"/>
                <w:lang w:val="en-US" w:eastAsia="zh-CN"/>
              </w:rPr>
              <w:t>脱硫塔产生的废液</w:t>
            </w:r>
            <w:r>
              <w:rPr>
                <w:rFonts w:hint="default" w:ascii="Times New Roman" w:hAnsi="Times New Roman" w:eastAsia="宋体" w:cs="Times New Roman"/>
                <w:sz w:val="24"/>
                <w:szCs w:val="24"/>
                <w:u w:val="none" w:color="auto"/>
              </w:rPr>
              <w:t>，锅炉定期排污水进入沉淀池沉淀处理后回用，</w:t>
            </w:r>
            <w:r>
              <w:rPr>
                <w:rFonts w:hint="default" w:ascii="Times New Roman" w:hAnsi="Times New Roman" w:eastAsia="宋体" w:cs="Times New Roman"/>
                <w:sz w:val="24"/>
                <w:szCs w:val="24"/>
                <w:u w:val="none" w:color="auto"/>
                <w:lang w:val="en-US" w:eastAsia="zh-CN"/>
              </w:rPr>
              <w:t>脱硫塔产生的废液循环使用不外排</w:t>
            </w:r>
            <w:r>
              <w:rPr>
                <w:rFonts w:hint="default" w:ascii="Times New Roman" w:hAnsi="Times New Roman" w:eastAsia="宋体" w:cs="Times New Roman"/>
                <w:sz w:val="24"/>
                <w:szCs w:val="24"/>
                <w:u w:val="none" w:color="auto"/>
              </w:rPr>
              <w:t>。</w:t>
            </w:r>
            <w:r>
              <w:rPr>
                <w:rFonts w:hint="default" w:ascii="Times New Roman" w:hAnsi="Times New Roman" w:eastAsia="宋体" w:cs="Times New Roman"/>
                <w:sz w:val="24"/>
                <w:szCs w:val="24"/>
                <w:u w:val="none" w:color="auto"/>
                <w:lang w:val="fr-FR"/>
              </w:rPr>
              <w:t>因此，本项目不需要申请水污染物控制指标。</w:t>
            </w:r>
          </w:p>
          <w:p w14:paraId="651DD409">
            <w:pPr>
              <w:autoSpaceDE w:val="0"/>
              <w:autoSpaceDN w:val="0"/>
              <w:snapToGrid w:val="0"/>
              <w:spacing w:line="360" w:lineRule="auto"/>
              <w:ind w:firstLine="480" w:firstLineChars="200"/>
              <w:rPr>
                <w:rFonts w:hint="default" w:ascii="Times New Roman" w:hAnsi="Times New Roman" w:eastAsia="宋体" w:cs="Times New Roman"/>
                <w:sz w:val="24"/>
                <w:szCs w:val="24"/>
                <w:highlight w:val="none"/>
                <w:u w:val="none" w:color="auto"/>
              </w:rPr>
            </w:pPr>
            <w:r>
              <w:rPr>
                <w:rFonts w:hint="default" w:ascii="Times New Roman" w:hAnsi="Times New Roman" w:eastAsia="宋体" w:cs="Times New Roman"/>
                <w:sz w:val="24"/>
                <w:szCs w:val="24"/>
                <w:highlight w:val="none"/>
                <w:u w:val="none" w:color="auto"/>
              </w:rPr>
              <w:t>②大气总量</w:t>
            </w:r>
            <w:r>
              <w:rPr>
                <w:rFonts w:hint="default" w:ascii="Times New Roman" w:hAnsi="Times New Roman" w:eastAsia="宋体" w:cs="Times New Roman"/>
                <w:bCs/>
                <w:snapToGrid w:val="0"/>
                <w:kern w:val="0"/>
                <w:sz w:val="24"/>
                <w:szCs w:val="24"/>
                <w:highlight w:val="none"/>
                <w:u w:val="none" w:color="auto"/>
              </w:rPr>
              <w:t>控制指标：</w:t>
            </w:r>
          </w:p>
          <w:p w14:paraId="62DD432E">
            <w:pPr>
              <w:pStyle w:val="101"/>
              <w:adjustRightInd w:val="0"/>
              <w:snapToGrid w:val="0"/>
              <w:ind w:firstLine="480"/>
              <w:rPr>
                <w:rFonts w:hint="default" w:ascii="Times New Roman" w:hAnsi="Times New Roman" w:eastAsia="宋体" w:cs="Times New Roman"/>
                <w:snapToGrid w:val="0"/>
                <w:highlight w:val="none"/>
                <w:u w:val="none" w:color="auto"/>
              </w:rPr>
            </w:pPr>
            <w:r>
              <w:rPr>
                <w:rFonts w:hint="default" w:ascii="Times New Roman" w:hAnsi="Times New Roman" w:eastAsia="宋体" w:cs="Times New Roman"/>
                <w:snapToGrid w:val="0"/>
                <w:highlight w:val="none"/>
                <w:u w:val="none" w:color="auto"/>
              </w:rPr>
              <w:t>本项目大气总量控制指标为锅炉废气中的SO</w:t>
            </w:r>
            <w:r>
              <w:rPr>
                <w:rFonts w:hint="default" w:ascii="Times New Roman" w:hAnsi="Times New Roman" w:eastAsia="宋体" w:cs="Times New Roman"/>
                <w:snapToGrid w:val="0"/>
                <w:highlight w:val="none"/>
                <w:u w:val="none" w:color="auto"/>
                <w:vertAlign w:val="subscript"/>
              </w:rPr>
              <w:t>2</w:t>
            </w:r>
            <w:r>
              <w:rPr>
                <w:rFonts w:hint="default" w:ascii="Times New Roman" w:hAnsi="Times New Roman" w:eastAsia="宋体" w:cs="Times New Roman"/>
                <w:snapToGrid w:val="0"/>
                <w:highlight w:val="none"/>
                <w:u w:val="none" w:color="auto"/>
              </w:rPr>
              <w:t>、NO</w:t>
            </w:r>
            <w:r>
              <w:rPr>
                <w:rFonts w:hint="default" w:ascii="Times New Roman" w:hAnsi="Times New Roman" w:eastAsia="宋体" w:cs="Times New Roman"/>
                <w:snapToGrid w:val="0"/>
                <w:highlight w:val="none"/>
                <w:u w:val="none" w:color="auto"/>
                <w:vertAlign w:val="subscript"/>
              </w:rPr>
              <w:t>x</w:t>
            </w:r>
            <w:r>
              <w:rPr>
                <w:rFonts w:hint="default" w:ascii="Times New Roman" w:hAnsi="Times New Roman" w:eastAsia="宋体" w:cs="Times New Roman"/>
                <w:snapToGrid w:val="0"/>
                <w:highlight w:val="none"/>
                <w:u w:val="none" w:color="auto"/>
              </w:rPr>
              <w:t>。</w:t>
            </w:r>
          </w:p>
          <w:p w14:paraId="1A6A5DB5">
            <w:pPr>
              <w:pStyle w:val="101"/>
              <w:adjustRightInd w:val="0"/>
              <w:snapToGrid w:val="0"/>
              <w:spacing w:line="271" w:lineRule="auto"/>
              <w:ind w:firstLine="0" w:firstLineChars="0"/>
              <w:jc w:val="center"/>
              <w:rPr>
                <w:rFonts w:hint="default" w:ascii="Times New Roman" w:hAnsi="Times New Roman" w:eastAsia="宋体" w:cs="Times New Roman"/>
                <w:b/>
                <w:bCs/>
                <w:sz w:val="21"/>
                <w:szCs w:val="21"/>
                <w:highlight w:val="none"/>
                <w:u w:val="none" w:color="auto"/>
              </w:rPr>
            </w:pPr>
            <w:r>
              <w:rPr>
                <w:rFonts w:hint="default" w:ascii="Times New Roman" w:hAnsi="Times New Roman" w:eastAsia="宋体" w:cs="Times New Roman"/>
                <w:b/>
                <w:snapToGrid w:val="0"/>
                <w:sz w:val="21"/>
                <w:szCs w:val="21"/>
                <w:highlight w:val="none"/>
                <w:u w:val="none" w:color="auto"/>
              </w:rPr>
              <w:t>表</w:t>
            </w:r>
            <w:r>
              <w:rPr>
                <w:rFonts w:hint="eastAsia" w:ascii="Times New Roman" w:hAnsi="Times New Roman" w:eastAsia="宋体" w:cs="Times New Roman"/>
                <w:b/>
                <w:snapToGrid w:val="0"/>
                <w:sz w:val="21"/>
                <w:szCs w:val="21"/>
                <w:highlight w:val="none"/>
                <w:u w:val="none" w:color="auto"/>
                <w:lang w:val="en-US" w:eastAsia="zh-CN"/>
              </w:rPr>
              <w:t>3</w:t>
            </w:r>
            <w:r>
              <w:rPr>
                <w:rFonts w:hint="default" w:ascii="Times New Roman" w:hAnsi="Times New Roman" w:eastAsia="宋体" w:cs="Times New Roman"/>
                <w:b/>
                <w:snapToGrid w:val="0"/>
                <w:sz w:val="21"/>
                <w:szCs w:val="21"/>
                <w:highlight w:val="none"/>
                <w:u w:val="none" w:color="auto"/>
              </w:rPr>
              <w:t>-</w:t>
            </w:r>
            <w:r>
              <w:rPr>
                <w:rFonts w:hint="eastAsia" w:ascii="Times New Roman" w:hAnsi="Times New Roman" w:eastAsia="宋体" w:cs="Times New Roman"/>
                <w:b/>
                <w:snapToGrid w:val="0"/>
                <w:sz w:val="21"/>
                <w:szCs w:val="21"/>
                <w:highlight w:val="none"/>
                <w:u w:val="none" w:color="auto"/>
                <w:lang w:val="en-US" w:eastAsia="zh-CN"/>
              </w:rPr>
              <w:t>9</w:t>
            </w:r>
            <w:r>
              <w:rPr>
                <w:rFonts w:hint="default" w:ascii="Times New Roman" w:hAnsi="Times New Roman" w:eastAsia="宋体" w:cs="Times New Roman"/>
                <w:b/>
                <w:snapToGrid w:val="0"/>
                <w:sz w:val="21"/>
                <w:szCs w:val="21"/>
                <w:highlight w:val="none"/>
                <w:u w:val="none" w:color="auto"/>
              </w:rPr>
              <w:t xml:space="preserve">   </w:t>
            </w:r>
            <w:r>
              <w:rPr>
                <w:rFonts w:hint="default" w:ascii="Times New Roman" w:hAnsi="Times New Roman" w:eastAsia="宋体" w:cs="Times New Roman"/>
                <w:b/>
                <w:bCs/>
                <w:sz w:val="21"/>
                <w:szCs w:val="21"/>
                <w:highlight w:val="none"/>
                <w:u w:val="none" w:color="auto"/>
              </w:rPr>
              <w:t>项目大气污染物总量控制指标   单位：t/a</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4"/>
              <w:gridCol w:w="1048"/>
              <w:gridCol w:w="1164"/>
              <w:gridCol w:w="1281"/>
              <w:gridCol w:w="1280"/>
              <w:gridCol w:w="1280"/>
              <w:gridCol w:w="1280"/>
            </w:tblGrid>
            <w:tr w14:paraId="10872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trPr>
              <w:tc>
                <w:tcPr>
                  <w:tcW w:w="564" w:type="dxa"/>
                  <w:noWrap w:val="0"/>
                  <w:vAlign w:val="center"/>
                </w:tcPr>
                <w:p w14:paraId="619C560D">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类别</w:t>
                  </w:r>
                </w:p>
              </w:tc>
              <w:tc>
                <w:tcPr>
                  <w:tcW w:w="1048" w:type="dxa"/>
                  <w:noWrap w:val="0"/>
                  <w:vAlign w:val="center"/>
                </w:tcPr>
                <w:p w14:paraId="7F2DB28A">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污染物</w:t>
                  </w:r>
                </w:p>
              </w:tc>
              <w:tc>
                <w:tcPr>
                  <w:tcW w:w="1164" w:type="dxa"/>
                  <w:noWrap w:val="0"/>
                  <w:vAlign w:val="center"/>
                </w:tcPr>
                <w:p w14:paraId="15C0EF46">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排污许可证污染物量</w:t>
                  </w:r>
                </w:p>
              </w:tc>
              <w:tc>
                <w:tcPr>
                  <w:tcW w:w="1281" w:type="dxa"/>
                  <w:noWrap w:val="0"/>
                  <w:vAlign w:val="center"/>
                </w:tcPr>
                <w:p w14:paraId="1DE9CDC8">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现有锅炉污染物量</w:t>
                  </w:r>
                </w:p>
              </w:tc>
              <w:tc>
                <w:tcPr>
                  <w:tcW w:w="1280" w:type="dxa"/>
                  <w:noWrap w:val="0"/>
                  <w:vAlign w:val="center"/>
                </w:tcPr>
                <w:p w14:paraId="249F218E">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lang w:val="en-US" w:eastAsia="zh-CN"/>
                    </w:rPr>
                  </w:pPr>
                  <w:r>
                    <w:rPr>
                      <w:rFonts w:hint="default" w:ascii="Times New Roman" w:hAnsi="Times New Roman" w:eastAsia="宋体" w:cs="Times New Roman"/>
                      <w:bCs/>
                      <w:sz w:val="21"/>
                      <w:szCs w:val="21"/>
                      <w:highlight w:val="none"/>
                      <w:u w:val="none" w:color="auto"/>
                      <w:lang w:val="en-US" w:eastAsia="zh-CN"/>
                    </w:rPr>
                    <w:t>以新代老</w:t>
                  </w:r>
                  <w:r>
                    <w:rPr>
                      <w:rFonts w:hint="default" w:ascii="Times New Roman" w:hAnsi="Times New Roman" w:eastAsia="宋体" w:cs="Times New Roman"/>
                      <w:bCs/>
                      <w:sz w:val="21"/>
                      <w:szCs w:val="21"/>
                      <w:highlight w:val="none"/>
                      <w:u w:val="none" w:color="auto"/>
                    </w:rPr>
                    <w:t>污染物量</w:t>
                  </w:r>
                </w:p>
              </w:tc>
              <w:tc>
                <w:tcPr>
                  <w:tcW w:w="1280" w:type="dxa"/>
                  <w:noWrap w:val="0"/>
                  <w:vAlign w:val="center"/>
                </w:tcPr>
                <w:p w14:paraId="3971F8F1">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本次新增污染物排放量</w:t>
                  </w:r>
                </w:p>
              </w:tc>
              <w:tc>
                <w:tcPr>
                  <w:tcW w:w="1280" w:type="dxa"/>
                  <w:tcBorders>
                    <w:right w:val="single" w:color="auto" w:sz="12" w:space="0"/>
                  </w:tcBorders>
                  <w:noWrap w:val="0"/>
                  <w:vAlign w:val="center"/>
                </w:tcPr>
                <w:p w14:paraId="17CB5206">
                  <w:pPr>
                    <w:pStyle w:val="101"/>
                    <w:adjustRightInd w:val="0"/>
                    <w:snapToGrid w:val="0"/>
                    <w:spacing w:line="240"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拟申请新增总量控制指标</w:t>
                  </w:r>
                </w:p>
              </w:tc>
            </w:tr>
            <w:tr w14:paraId="311A4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64" w:type="dxa"/>
                  <w:vMerge w:val="restart"/>
                  <w:noWrap w:val="0"/>
                  <w:vAlign w:val="center"/>
                </w:tcPr>
                <w:p w14:paraId="19E13A9A">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废气</w:t>
                  </w:r>
                </w:p>
              </w:tc>
              <w:tc>
                <w:tcPr>
                  <w:tcW w:w="1048" w:type="dxa"/>
                  <w:noWrap w:val="0"/>
                  <w:vAlign w:val="center"/>
                </w:tcPr>
                <w:p w14:paraId="4C97DA06">
                  <w:pPr>
                    <w:adjustRightInd w:val="0"/>
                    <w:snapToGrid w:val="0"/>
                    <w:jc w:val="center"/>
                    <w:rPr>
                      <w:rFonts w:hint="default" w:ascii="Times New Roman" w:hAnsi="Times New Roman" w:eastAsia="宋体" w:cs="Times New Roman"/>
                      <w:snapToGrid w:val="0"/>
                      <w:kern w:val="0"/>
                      <w:szCs w:val="21"/>
                      <w:highlight w:val="none"/>
                      <w:u w:val="none" w:color="auto"/>
                    </w:rPr>
                  </w:pPr>
                  <w:r>
                    <w:rPr>
                      <w:rFonts w:hint="default" w:ascii="Times New Roman" w:hAnsi="Times New Roman" w:eastAsia="宋体" w:cs="Times New Roman"/>
                      <w:snapToGrid w:val="0"/>
                      <w:kern w:val="0"/>
                      <w:szCs w:val="21"/>
                      <w:highlight w:val="none"/>
                      <w:u w:val="none" w:color="auto"/>
                    </w:rPr>
                    <w:t>SO</w:t>
                  </w:r>
                  <w:r>
                    <w:rPr>
                      <w:rFonts w:hint="default" w:ascii="Times New Roman" w:hAnsi="Times New Roman" w:eastAsia="宋体" w:cs="Times New Roman"/>
                      <w:snapToGrid w:val="0"/>
                      <w:kern w:val="0"/>
                      <w:szCs w:val="21"/>
                      <w:highlight w:val="none"/>
                      <w:u w:val="none" w:color="auto"/>
                      <w:vertAlign w:val="subscript"/>
                    </w:rPr>
                    <w:t>2</w:t>
                  </w:r>
                </w:p>
              </w:tc>
              <w:tc>
                <w:tcPr>
                  <w:tcW w:w="1164" w:type="dxa"/>
                  <w:noWrap w:val="0"/>
                  <w:vAlign w:val="center"/>
                </w:tcPr>
                <w:p w14:paraId="7E2EDCEE">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55t</w:t>
                  </w:r>
                </w:p>
              </w:tc>
              <w:tc>
                <w:tcPr>
                  <w:tcW w:w="1281" w:type="dxa"/>
                  <w:noWrap w:val="0"/>
                  <w:vAlign w:val="center"/>
                </w:tcPr>
                <w:p w14:paraId="673B4D23">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lang w:val="en-US" w:eastAsia="zh-CN"/>
                    </w:rPr>
                    <w:t>1.14</w:t>
                  </w:r>
                  <w:r>
                    <w:rPr>
                      <w:rFonts w:hint="default" w:ascii="Times New Roman" w:hAnsi="Times New Roman" w:eastAsia="宋体" w:cs="Times New Roman"/>
                      <w:bCs/>
                      <w:sz w:val="21"/>
                      <w:szCs w:val="21"/>
                      <w:highlight w:val="none"/>
                      <w:u w:val="none" w:color="auto"/>
                    </w:rPr>
                    <w:t>t</w:t>
                  </w:r>
                </w:p>
              </w:tc>
              <w:tc>
                <w:tcPr>
                  <w:tcW w:w="1280" w:type="dxa"/>
                  <w:noWrap w:val="0"/>
                  <w:vAlign w:val="center"/>
                </w:tcPr>
                <w:p w14:paraId="07E2E3E6">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lang w:val="en-US" w:eastAsia="zh-CN"/>
                    </w:rPr>
                    <w:t>1.14</w:t>
                  </w:r>
                  <w:r>
                    <w:rPr>
                      <w:rFonts w:hint="default" w:ascii="Times New Roman" w:hAnsi="Times New Roman" w:eastAsia="宋体" w:cs="Times New Roman"/>
                      <w:bCs/>
                      <w:sz w:val="21"/>
                      <w:szCs w:val="21"/>
                      <w:highlight w:val="none"/>
                      <w:u w:val="none" w:color="auto"/>
                    </w:rPr>
                    <w:t>t</w:t>
                  </w:r>
                </w:p>
              </w:tc>
              <w:tc>
                <w:tcPr>
                  <w:tcW w:w="1280" w:type="dxa"/>
                  <w:noWrap w:val="0"/>
                  <w:vAlign w:val="center"/>
                </w:tcPr>
                <w:p w14:paraId="37162A72">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lang w:val="en-US" w:eastAsia="zh-CN"/>
                    </w:rPr>
                  </w:pPr>
                  <w:r>
                    <w:rPr>
                      <w:rFonts w:hint="default" w:ascii="Times New Roman" w:hAnsi="Times New Roman" w:eastAsia="宋体" w:cs="Times New Roman"/>
                      <w:bCs/>
                      <w:sz w:val="21"/>
                      <w:szCs w:val="21"/>
                      <w:highlight w:val="none"/>
                      <w:u w:val="none" w:color="auto"/>
                      <w:lang w:val="en-US" w:eastAsia="zh-CN"/>
                    </w:rPr>
                    <w:t>2.</w:t>
                  </w:r>
                  <w:r>
                    <w:rPr>
                      <w:rFonts w:hint="eastAsia" w:ascii="Times New Roman" w:hAnsi="Times New Roman" w:cs="Times New Roman"/>
                      <w:bCs/>
                      <w:sz w:val="21"/>
                      <w:szCs w:val="21"/>
                      <w:highlight w:val="none"/>
                      <w:u w:val="none" w:color="auto"/>
                      <w:lang w:val="en-US" w:eastAsia="zh-CN"/>
                    </w:rPr>
                    <w:t>361</w:t>
                  </w:r>
                  <w:r>
                    <w:rPr>
                      <w:rFonts w:hint="default" w:ascii="Times New Roman" w:hAnsi="Times New Roman" w:eastAsia="宋体" w:cs="Times New Roman"/>
                      <w:bCs/>
                      <w:sz w:val="21"/>
                      <w:szCs w:val="21"/>
                      <w:highlight w:val="none"/>
                      <w:u w:val="none" w:color="auto"/>
                      <w:lang w:val="en-US" w:eastAsia="zh-CN"/>
                    </w:rPr>
                    <w:t>t</w:t>
                  </w:r>
                </w:p>
              </w:tc>
              <w:tc>
                <w:tcPr>
                  <w:tcW w:w="1280" w:type="dxa"/>
                  <w:tcBorders>
                    <w:right w:val="single" w:color="auto" w:sz="12" w:space="0"/>
                  </w:tcBorders>
                  <w:noWrap w:val="0"/>
                  <w:vAlign w:val="center"/>
                </w:tcPr>
                <w:p w14:paraId="3A7E2096">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0</w:t>
                  </w:r>
                </w:p>
              </w:tc>
            </w:tr>
            <w:tr w14:paraId="3ED38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trPr>
              <w:tc>
                <w:tcPr>
                  <w:tcW w:w="564" w:type="dxa"/>
                  <w:vMerge w:val="continue"/>
                  <w:noWrap w:val="0"/>
                  <w:vAlign w:val="center"/>
                </w:tcPr>
                <w:p w14:paraId="0CBFB9A4">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p>
              </w:tc>
              <w:tc>
                <w:tcPr>
                  <w:tcW w:w="1048" w:type="dxa"/>
                  <w:noWrap w:val="0"/>
                  <w:vAlign w:val="center"/>
                </w:tcPr>
                <w:p w14:paraId="6879CEA4">
                  <w:pPr>
                    <w:adjustRightInd w:val="0"/>
                    <w:snapToGrid w:val="0"/>
                    <w:jc w:val="center"/>
                    <w:rPr>
                      <w:rFonts w:hint="default" w:ascii="Times New Roman" w:hAnsi="Times New Roman" w:eastAsia="宋体" w:cs="Times New Roman"/>
                      <w:snapToGrid w:val="0"/>
                      <w:kern w:val="0"/>
                      <w:szCs w:val="21"/>
                      <w:highlight w:val="none"/>
                      <w:u w:val="none" w:color="auto"/>
                    </w:rPr>
                  </w:pPr>
                  <w:r>
                    <w:rPr>
                      <w:rFonts w:hint="default" w:ascii="Times New Roman" w:hAnsi="Times New Roman" w:eastAsia="宋体" w:cs="Times New Roman"/>
                      <w:snapToGrid w:val="0"/>
                      <w:kern w:val="0"/>
                      <w:szCs w:val="21"/>
                      <w:highlight w:val="none"/>
                      <w:u w:val="none" w:color="auto"/>
                    </w:rPr>
                    <w:t>NO</w:t>
                  </w:r>
                  <w:r>
                    <w:rPr>
                      <w:rFonts w:hint="default" w:ascii="Times New Roman" w:hAnsi="Times New Roman" w:eastAsia="宋体" w:cs="Times New Roman"/>
                      <w:snapToGrid w:val="0"/>
                      <w:kern w:val="0"/>
                      <w:szCs w:val="21"/>
                      <w:highlight w:val="none"/>
                      <w:u w:val="none" w:color="auto"/>
                      <w:vertAlign w:val="subscript"/>
                    </w:rPr>
                    <w:t>X</w:t>
                  </w:r>
                </w:p>
              </w:tc>
              <w:tc>
                <w:tcPr>
                  <w:tcW w:w="1164" w:type="dxa"/>
                  <w:noWrap w:val="0"/>
                  <w:vAlign w:val="center"/>
                </w:tcPr>
                <w:p w14:paraId="6EB2B0AF">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31t</w:t>
                  </w:r>
                </w:p>
              </w:tc>
              <w:tc>
                <w:tcPr>
                  <w:tcW w:w="1281" w:type="dxa"/>
                  <w:noWrap w:val="0"/>
                  <w:vAlign w:val="center"/>
                </w:tcPr>
                <w:p w14:paraId="6EFC2383">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lang w:val="en-US" w:eastAsia="zh-CN"/>
                    </w:rPr>
                    <w:t>8.6</w:t>
                  </w:r>
                  <w:r>
                    <w:rPr>
                      <w:rFonts w:hint="default" w:ascii="Times New Roman" w:hAnsi="Times New Roman" w:eastAsia="宋体" w:cs="Times New Roman"/>
                      <w:bCs/>
                      <w:sz w:val="21"/>
                      <w:szCs w:val="21"/>
                      <w:highlight w:val="none"/>
                      <w:u w:val="none" w:color="auto"/>
                    </w:rPr>
                    <w:t>t</w:t>
                  </w:r>
                </w:p>
              </w:tc>
              <w:tc>
                <w:tcPr>
                  <w:tcW w:w="1280" w:type="dxa"/>
                  <w:noWrap w:val="0"/>
                  <w:vAlign w:val="center"/>
                </w:tcPr>
                <w:p w14:paraId="7F7806DF">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lang w:val="en-US" w:eastAsia="zh-CN"/>
                    </w:rPr>
                    <w:t>8.6</w:t>
                  </w:r>
                  <w:r>
                    <w:rPr>
                      <w:rFonts w:hint="default" w:ascii="Times New Roman" w:hAnsi="Times New Roman" w:eastAsia="宋体" w:cs="Times New Roman"/>
                      <w:bCs/>
                      <w:sz w:val="21"/>
                      <w:szCs w:val="21"/>
                      <w:highlight w:val="none"/>
                      <w:u w:val="none" w:color="auto"/>
                    </w:rPr>
                    <w:t>t</w:t>
                  </w:r>
                </w:p>
              </w:tc>
              <w:tc>
                <w:tcPr>
                  <w:tcW w:w="1280" w:type="dxa"/>
                  <w:noWrap w:val="0"/>
                  <w:vAlign w:val="center"/>
                </w:tcPr>
                <w:p w14:paraId="55357A30">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lang w:val="en-US" w:eastAsia="zh-CN"/>
                    </w:rPr>
                  </w:pPr>
                  <w:r>
                    <w:rPr>
                      <w:rFonts w:hint="eastAsia" w:ascii="Times New Roman" w:hAnsi="Times New Roman" w:cs="Times New Roman"/>
                      <w:bCs/>
                      <w:sz w:val="21"/>
                      <w:szCs w:val="21"/>
                      <w:highlight w:val="none"/>
                      <w:u w:val="none" w:color="auto"/>
                      <w:lang w:val="en-US" w:eastAsia="zh-CN"/>
                    </w:rPr>
                    <w:t>11.93</w:t>
                  </w:r>
                  <w:r>
                    <w:rPr>
                      <w:rFonts w:hint="default" w:ascii="Times New Roman" w:hAnsi="Times New Roman" w:eastAsia="宋体" w:cs="Times New Roman"/>
                      <w:bCs/>
                      <w:sz w:val="21"/>
                      <w:szCs w:val="21"/>
                      <w:highlight w:val="none"/>
                      <w:u w:val="none" w:color="auto"/>
                      <w:lang w:val="en-US" w:eastAsia="zh-CN"/>
                    </w:rPr>
                    <w:t>t</w:t>
                  </w:r>
                </w:p>
              </w:tc>
              <w:tc>
                <w:tcPr>
                  <w:tcW w:w="1280" w:type="dxa"/>
                  <w:tcBorders>
                    <w:right w:val="single" w:color="auto" w:sz="12" w:space="0"/>
                  </w:tcBorders>
                  <w:noWrap w:val="0"/>
                  <w:vAlign w:val="center"/>
                </w:tcPr>
                <w:p w14:paraId="4D8E83A5">
                  <w:pPr>
                    <w:pStyle w:val="101"/>
                    <w:adjustRightInd w:val="0"/>
                    <w:snapToGrid w:val="0"/>
                    <w:spacing w:line="271" w:lineRule="auto"/>
                    <w:ind w:firstLine="0" w:firstLineChars="0"/>
                    <w:jc w:val="center"/>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0</w:t>
                  </w:r>
                </w:p>
              </w:tc>
            </w:tr>
            <w:tr w14:paraId="5F6A9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7897" w:type="dxa"/>
                  <w:gridSpan w:val="7"/>
                  <w:tcBorders>
                    <w:right w:val="single" w:color="auto" w:sz="12" w:space="0"/>
                  </w:tcBorders>
                  <w:noWrap w:val="0"/>
                  <w:vAlign w:val="center"/>
                </w:tcPr>
                <w:p w14:paraId="1F665926">
                  <w:pPr>
                    <w:pStyle w:val="101"/>
                    <w:adjustRightInd w:val="0"/>
                    <w:snapToGrid w:val="0"/>
                    <w:spacing w:line="240" w:lineRule="auto"/>
                    <w:ind w:firstLine="420"/>
                    <w:rPr>
                      <w:rFonts w:hint="default" w:ascii="Times New Roman" w:hAnsi="Times New Roman" w:eastAsia="宋体" w:cs="Times New Roman"/>
                      <w:bCs/>
                      <w:sz w:val="21"/>
                      <w:szCs w:val="21"/>
                      <w:highlight w:val="none"/>
                      <w:u w:val="none" w:color="auto"/>
                    </w:rPr>
                  </w:pPr>
                  <w:r>
                    <w:rPr>
                      <w:rFonts w:hint="default" w:ascii="Times New Roman" w:hAnsi="Times New Roman" w:eastAsia="宋体" w:cs="Times New Roman"/>
                      <w:bCs/>
                      <w:sz w:val="21"/>
                      <w:szCs w:val="21"/>
                      <w:highlight w:val="none"/>
                      <w:u w:val="none" w:color="auto"/>
                    </w:rPr>
                    <w:t>备注：根据岳阳市</w:t>
                  </w:r>
                  <w:r>
                    <w:rPr>
                      <w:rFonts w:hint="default" w:ascii="Times New Roman" w:hAnsi="Times New Roman" w:eastAsia="宋体" w:cs="Times New Roman"/>
                      <w:snapToGrid w:val="0"/>
                      <w:sz w:val="21"/>
                      <w:szCs w:val="21"/>
                      <w:highlight w:val="none"/>
                      <w:u w:val="none" w:color="auto"/>
                    </w:rPr>
                    <w:t>排污权管理中心印发的排污许可证</w:t>
                  </w:r>
                  <w:r>
                    <w:rPr>
                      <w:rFonts w:hint="default" w:ascii="Times New Roman" w:hAnsi="Times New Roman" w:eastAsia="宋体" w:cs="Times New Roman"/>
                      <w:bCs/>
                      <w:sz w:val="21"/>
                      <w:szCs w:val="21"/>
                      <w:highlight w:val="none"/>
                      <w:u w:val="none" w:color="auto"/>
                    </w:rPr>
                    <w:t>，厂区现有SO</w:t>
                  </w:r>
                  <w:r>
                    <w:rPr>
                      <w:rFonts w:hint="default" w:ascii="Times New Roman" w:hAnsi="Times New Roman" w:eastAsia="宋体" w:cs="Times New Roman"/>
                      <w:bCs/>
                      <w:sz w:val="21"/>
                      <w:szCs w:val="21"/>
                      <w:highlight w:val="none"/>
                      <w:u w:val="none" w:color="auto"/>
                      <w:vertAlign w:val="subscript"/>
                    </w:rPr>
                    <w:t>2</w:t>
                  </w:r>
                  <w:r>
                    <w:rPr>
                      <w:rFonts w:hint="default" w:ascii="Times New Roman" w:hAnsi="Times New Roman" w:eastAsia="宋体" w:cs="Times New Roman"/>
                      <w:bCs/>
                      <w:sz w:val="21"/>
                      <w:szCs w:val="21"/>
                      <w:highlight w:val="none"/>
                      <w:u w:val="none" w:color="auto"/>
                    </w:rPr>
                    <w:t>总量55t/a。NO</w:t>
                  </w:r>
                  <w:r>
                    <w:rPr>
                      <w:rFonts w:hint="default" w:ascii="Times New Roman" w:hAnsi="Times New Roman" w:eastAsia="宋体" w:cs="Times New Roman"/>
                      <w:bCs/>
                      <w:sz w:val="21"/>
                      <w:szCs w:val="21"/>
                      <w:highlight w:val="none"/>
                      <w:u w:val="none" w:color="auto"/>
                      <w:vertAlign w:val="subscript"/>
                    </w:rPr>
                    <w:t>X</w:t>
                  </w:r>
                  <w:r>
                    <w:rPr>
                      <w:rFonts w:hint="default" w:ascii="Times New Roman" w:hAnsi="Times New Roman" w:eastAsia="宋体" w:cs="Times New Roman"/>
                      <w:bCs/>
                      <w:sz w:val="21"/>
                      <w:szCs w:val="21"/>
                      <w:highlight w:val="none"/>
                      <w:u w:val="none" w:color="auto"/>
                    </w:rPr>
                    <w:t>总量31t/a，故本项目营运后，SO</w:t>
                  </w:r>
                  <w:r>
                    <w:rPr>
                      <w:rFonts w:hint="default" w:ascii="Times New Roman" w:hAnsi="Times New Roman" w:eastAsia="宋体" w:cs="Times New Roman"/>
                      <w:bCs/>
                      <w:sz w:val="21"/>
                      <w:szCs w:val="21"/>
                      <w:highlight w:val="none"/>
                      <w:u w:val="none" w:color="auto"/>
                      <w:vertAlign w:val="subscript"/>
                    </w:rPr>
                    <w:t>2</w:t>
                  </w:r>
                  <w:r>
                    <w:rPr>
                      <w:rFonts w:hint="default" w:ascii="Times New Roman" w:hAnsi="Times New Roman" w:eastAsia="宋体" w:cs="Times New Roman"/>
                      <w:bCs/>
                      <w:sz w:val="21"/>
                      <w:szCs w:val="21"/>
                      <w:highlight w:val="none"/>
                      <w:u w:val="none" w:color="auto"/>
                    </w:rPr>
                    <w:t>、NO</w:t>
                  </w:r>
                  <w:r>
                    <w:rPr>
                      <w:rFonts w:hint="default" w:ascii="Times New Roman" w:hAnsi="Times New Roman" w:eastAsia="宋体" w:cs="Times New Roman"/>
                      <w:bCs/>
                      <w:sz w:val="21"/>
                      <w:szCs w:val="21"/>
                      <w:highlight w:val="none"/>
                      <w:u w:val="none" w:color="auto"/>
                      <w:vertAlign w:val="subscript"/>
                    </w:rPr>
                    <w:t>X</w:t>
                  </w:r>
                  <w:r>
                    <w:rPr>
                      <w:rFonts w:hint="default" w:ascii="Times New Roman" w:hAnsi="Times New Roman" w:eastAsia="宋体" w:cs="Times New Roman"/>
                      <w:bCs/>
                      <w:sz w:val="21"/>
                      <w:szCs w:val="21"/>
                      <w:highlight w:val="none"/>
                      <w:u w:val="none" w:color="auto"/>
                    </w:rPr>
                    <w:t>可不需要再申请总量。</w:t>
                  </w:r>
                </w:p>
              </w:tc>
            </w:tr>
          </w:tbl>
          <w:p w14:paraId="1C37A895">
            <w:pPr>
              <w:pStyle w:val="12"/>
              <w:rPr>
                <w:rFonts w:hint="default" w:ascii="Times New Roman" w:hAnsi="Times New Roman" w:eastAsia="宋体" w:cs="Times New Roman"/>
                <w:color w:val="auto"/>
                <w:kern w:val="0"/>
                <w:sz w:val="24"/>
                <w:highlight w:val="none"/>
                <w:u w:val="none" w:color="auto"/>
                <w:lang w:eastAsia="zh-CN"/>
              </w:rPr>
            </w:pPr>
            <w:r>
              <w:rPr>
                <w:rFonts w:hint="default" w:ascii="Times New Roman" w:hAnsi="Times New Roman" w:eastAsia="宋体" w:cs="Times New Roman"/>
                <w:snapToGrid w:val="0"/>
                <w:highlight w:val="none"/>
                <w:u w:val="none" w:color="auto"/>
              </w:rPr>
              <w:t>综上所述，本项目新增锅炉后，全厂排放SO</w:t>
            </w:r>
            <w:r>
              <w:rPr>
                <w:rFonts w:hint="default" w:ascii="Times New Roman" w:hAnsi="Times New Roman" w:eastAsia="宋体" w:cs="Times New Roman"/>
                <w:snapToGrid w:val="0"/>
                <w:highlight w:val="none"/>
                <w:u w:val="none" w:color="auto"/>
                <w:vertAlign w:val="subscript"/>
              </w:rPr>
              <w:t>2</w:t>
            </w:r>
            <w:r>
              <w:rPr>
                <w:rFonts w:hint="default" w:ascii="Times New Roman" w:hAnsi="Times New Roman" w:eastAsia="宋体" w:cs="Times New Roman"/>
                <w:snapToGrid w:val="0"/>
                <w:highlight w:val="none"/>
                <w:u w:val="none" w:color="auto"/>
              </w:rPr>
              <w:t>：</w:t>
            </w:r>
            <w:r>
              <w:rPr>
                <w:rFonts w:hint="eastAsia" w:cs="Times New Roman"/>
                <w:snapToGrid w:val="0"/>
                <w:highlight w:val="none"/>
                <w:u w:val="none" w:color="auto"/>
                <w:lang w:val="en-US" w:eastAsia="zh-CN"/>
              </w:rPr>
              <w:t>2.361</w:t>
            </w:r>
            <w:r>
              <w:rPr>
                <w:rFonts w:hint="default" w:ascii="Times New Roman" w:hAnsi="Times New Roman" w:eastAsia="宋体" w:cs="Times New Roman"/>
                <w:snapToGrid w:val="0"/>
                <w:highlight w:val="none"/>
                <w:u w:val="none" w:color="auto"/>
              </w:rPr>
              <w:t>t/a、NO</w:t>
            </w:r>
            <w:r>
              <w:rPr>
                <w:rFonts w:hint="default" w:ascii="Times New Roman" w:hAnsi="Times New Roman" w:eastAsia="宋体" w:cs="Times New Roman"/>
                <w:snapToGrid w:val="0"/>
                <w:highlight w:val="none"/>
                <w:u w:val="none" w:color="auto"/>
                <w:vertAlign w:val="subscript"/>
              </w:rPr>
              <w:t>x</w:t>
            </w:r>
            <w:r>
              <w:rPr>
                <w:rFonts w:hint="default" w:ascii="Times New Roman" w:hAnsi="Times New Roman" w:eastAsia="宋体" w:cs="Times New Roman"/>
                <w:snapToGrid w:val="0"/>
                <w:highlight w:val="none"/>
                <w:u w:val="none" w:color="auto"/>
              </w:rPr>
              <w:t>：</w:t>
            </w:r>
            <w:r>
              <w:rPr>
                <w:rFonts w:hint="eastAsia" w:cs="Times New Roman"/>
                <w:snapToGrid w:val="0"/>
                <w:highlight w:val="none"/>
                <w:u w:val="none" w:color="auto"/>
                <w:lang w:val="en-US" w:eastAsia="zh-CN"/>
              </w:rPr>
              <w:t>11.93</w:t>
            </w:r>
            <w:r>
              <w:rPr>
                <w:rFonts w:hint="default" w:ascii="Times New Roman" w:hAnsi="Times New Roman" w:eastAsia="宋体" w:cs="Times New Roman"/>
                <w:snapToGrid w:val="0"/>
                <w:highlight w:val="none"/>
                <w:u w:val="none" w:color="auto"/>
              </w:rPr>
              <w:t>t.a，未超出</w:t>
            </w:r>
            <w:r>
              <w:rPr>
                <w:rFonts w:hint="default" w:ascii="Times New Roman" w:hAnsi="Times New Roman" w:eastAsia="宋体" w:cs="Times New Roman"/>
                <w:bCs/>
                <w:szCs w:val="21"/>
                <w:highlight w:val="none"/>
                <w:u w:val="none" w:color="auto"/>
              </w:rPr>
              <w:t>排污许可证污染物量，即SO</w:t>
            </w:r>
            <w:r>
              <w:rPr>
                <w:rFonts w:hint="default" w:ascii="Times New Roman" w:hAnsi="Times New Roman" w:eastAsia="宋体" w:cs="Times New Roman"/>
                <w:bCs/>
                <w:szCs w:val="21"/>
                <w:highlight w:val="none"/>
                <w:u w:val="none" w:color="auto"/>
                <w:vertAlign w:val="subscript"/>
              </w:rPr>
              <w:t>2</w:t>
            </w:r>
            <w:r>
              <w:rPr>
                <w:rFonts w:hint="default" w:ascii="Times New Roman" w:hAnsi="Times New Roman" w:eastAsia="宋体" w:cs="Times New Roman"/>
                <w:bCs/>
                <w:szCs w:val="21"/>
                <w:highlight w:val="none"/>
                <w:u w:val="none" w:color="auto"/>
              </w:rPr>
              <w:t>＜55t/a，NO</w:t>
            </w:r>
            <w:r>
              <w:rPr>
                <w:rFonts w:hint="default" w:ascii="Times New Roman" w:hAnsi="Times New Roman" w:eastAsia="宋体" w:cs="Times New Roman"/>
                <w:bCs/>
                <w:szCs w:val="21"/>
                <w:highlight w:val="none"/>
                <w:u w:val="none" w:color="auto"/>
                <w:vertAlign w:val="subscript"/>
              </w:rPr>
              <w:t>X</w:t>
            </w:r>
            <w:r>
              <w:rPr>
                <w:rFonts w:hint="default" w:ascii="Times New Roman" w:hAnsi="Times New Roman" w:eastAsia="宋体" w:cs="Times New Roman"/>
                <w:bCs/>
                <w:szCs w:val="21"/>
                <w:highlight w:val="none"/>
                <w:u w:val="none" w:color="auto"/>
              </w:rPr>
              <w:t>＜31t/a，符合总量控制指标要求。因此不需要新申请总量指标</w:t>
            </w:r>
            <w:r>
              <w:rPr>
                <w:rFonts w:hint="default" w:ascii="Times New Roman" w:hAnsi="Times New Roman" w:eastAsia="宋体" w:cs="Times New Roman"/>
                <w:snapToGrid w:val="0"/>
                <w:highlight w:val="none"/>
                <w:u w:val="none" w:color="auto"/>
              </w:rPr>
              <w:t>。</w:t>
            </w:r>
          </w:p>
          <w:p w14:paraId="2FBAE7C3">
            <w:pPr>
              <w:pStyle w:val="12"/>
              <w:rPr>
                <w:rFonts w:hint="default" w:ascii="Times New Roman" w:hAnsi="Times New Roman" w:eastAsia="宋体" w:cs="Times New Roman"/>
                <w:color w:val="auto"/>
                <w:kern w:val="0"/>
                <w:sz w:val="24"/>
                <w:highlight w:val="none"/>
                <w:u w:val="none" w:color="auto"/>
                <w:lang w:eastAsia="zh-CN"/>
              </w:rPr>
            </w:pPr>
          </w:p>
          <w:p w14:paraId="60C235C0">
            <w:pPr>
              <w:pStyle w:val="12"/>
              <w:rPr>
                <w:rFonts w:hint="default" w:ascii="Times New Roman" w:hAnsi="Times New Roman" w:eastAsia="宋体" w:cs="Times New Roman"/>
                <w:color w:val="auto"/>
                <w:kern w:val="0"/>
                <w:sz w:val="24"/>
                <w:highlight w:val="none"/>
                <w:u w:val="none" w:color="auto"/>
                <w:lang w:eastAsia="zh-CN"/>
              </w:rPr>
            </w:pPr>
          </w:p>
        </w:tc>
      </w:tr>
    </w:tbl>
    <w:p w14:paraId="2D8BBE8F">
      <w:pPr>
        <w:pStyle w:val="22"/>
        <w:jc w:val="center"/>
        <w:outlineLvl w:val="0"/>
        <w:rPr>
          <w:rFonts w:hint="default" w:ascii="Times New Roman" w:hAnsi="Times New Roman" w:eastAsia="宋体" w:cs="Times New Roman"/>
          <w:snapToGrid w:val="0"/>
          <w:color w:val="auto"/>
          <w:sz w:val="30"/>
          <w:szCs w:val="30"/>
          <w:u w:val="none" w:color="auto"/>
        </w:rPr>
      </w:pPr>
      <w:r>
        <w:rPr>
          <w:rFonts w:hint="default" w:ascii="Times New Roman" w:hAnsi="Times New Roman" w:eastAsia="宋体" w:cs="Times New Roman"/>
          <w:snapToGrid w:val="0"/>
          <w:color w:val="auto"/>
          <w:sz w:val="36"/>
          <w:szCs w:val="36"/>
          <w:u w:val="none" w:color="auto"/>
        </w:rPr>
        <w:br w:type="page"/>
      </w:r>
      <w:bookmarkStart w:id="6" w:name="_Toc24969"/>
      <w:r>
        <w:rPr>
          <w:rFonts w:hint="default" w:ascii="Times New Roman" w:hAnsi="Times New Roman" w:eastAsia="宋体" w:cs="Times New Roman"/>
          <w:snapToGrid w:val="0"/>
          <w:color w:val="auto"/>
          <w:sz w:val="30"/>
          <w:szCs w:val="30"/>
          <w:u w:val="none" w:color="auto"/>
        </w:rPr>
        <w:t>四、主要环境影响和保护措施</w:t>
      </w:r>
      <w:bookmarkEnd w:id="6"/>
    </w:p>
    <w:tbl>
      <w:tblPr>
        <w:tblStyle w:val="26"/>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547D14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46" w:type="dxa"/>
            <w:noWrap w:val="0"/>
            <w:tcMar>
              <w:left w:w="28" w:type="dxa"/>
              <w:right w:w="28" w:type="dxa"/>
            </w:tcMar>
            <w:vAlign w:val="center"/>
          </w:tcPr>
          <w:p w14:paraId="4A090C70">
            <w:pPr>
              <w:pStyle w:val="22"/>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4"/>
                <w:szCs w:val="24"/>
                <w:u w:val="none" w:color="auto"/>
                <w:lang w:val="en-US" w:eastAsia="zh-CN" w:bidi="ar-SA"/>
              </w:rPr>
            </w:pPr>
            <w:r>
              <w:rPr>
                <w:rFonts w:hint="default" w:ascii="Times New Roman" w:hAnsi="Times New Roman" w:eastAsia="宋体" w:cs="Times New Roman"/>
                <w:color w:val="auto"/>
                <w:kern w:val="0"/>
                <w:sz w:val="24"/>
                <w:szCs w:val="24"/>
                <w:u w:val="none" w:color="auto"/>
                <w:lang w:val="en-US" w:eastAsia="zh-CN" w:bidi="ar-SA"/>
              </w:rPr>
              <w:t>施工</w:t>
            </w:r>
          </w:p>
          <w:p w14:paraId="669475CF">
            <w:pPr>
              <w:pStyle w:val="22"/>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4"/>
                <w:szCs w:val="24"/>
                <w:u w:val="none" w:color="auto"/>
                <w:lang w:val="en-US" w:eastAsia="zh-CN" w:bidi="ar-SA"/>
              </w:rPr>
            </w:pPr>
            <w:r>
              <w:rPr>
                <w:rFonts w:hint="default" w:ascii="Times New Roman" w:hAnsi="Times New Roman" w:eastAsia="宋体" w:cs="Times New Roman"/>
                <w:color w:val="auto"/>
                <w:kern w:val="0"/>
                <w:sz w:val="24"/>
                <w:szCs w:val="24"/>
                <w:u w:val="none" w:color="auto"/>
                <w:lang w:val="en-US" w:eastAsia="zh-CN" w:bidi="ar-SA"/>
              </w:rPr>
              <w:t>期环</w:t>
            </w:r>
          </w:p>
          <w:p w14:paraId="368FDFD0">
            <w:pPr>
              <w:pStyle w:val="22"/>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4"/>
                <w:szCs w:val="24"/>
                <w:u w:val="none" w:color="auto"/>
                <w:lang w:val="en-US" w:eastAsia="zh-CN" w:bidi="ar-SA"/>
              </w:rPr>
            </w:pPr>
            <w:r>
              <w:rPr>
                <w:rFonts w:hint="default" w:ascii="Times New Roman" w:hAnsi="Times New Roman" w:eastAsia="宋体" w:cs="Times New Roman"/>
                <w:color w:val="auto"/>
                <w:kern w:val="0"/>
                <w:sz w:val="24"/>
                <w:szCs w:val="24"/>
                <w:u w:val="none" w:color="auto"/>
                <w:lang w:val="en-US" w:eastAsia="zh-CN" w:bidi="ar-SA"/>
              </w:rPr>
              <w:t>境保</w:t>
            </w:r>
          </w:p>
          <w:p w14:paraId="148D7207">
            <w:pPr>
              <w:pStyle w:val="22"/>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4"/>
                <w:szCs w:val="24"/>
                <w:u w:val="none" w:color="auto"/>
                <w:lang w:val="en-US" w:eastAsia="zh-CN" w:bidi="ar-SA"/>
              </w:rPr>
            </w:pPr>
            <w:r>
              <w:rPr>
                <w:rFonts w:hint="default" w:ascii="Times New Roman" w:hAnsi="Times New Roman" w:eastAsia="宋体" w:cs="Times New Roman"/>
                <w:color w:val="auto"/>
                <w:kern w:val="0"/>
                <w:sz w:val="24"/>
                <w:szCs w:val="24"/>
                <w:u w:val="none" w:color="auto"/>
                <w:lang w:val="en-US" w:eastAsia="zh-CN" w:bidi="ar-SA"/>
              </w:rPr>
              <w:t>护措</w:t>
            </w:r>
          </w:p>
          <w:p w14:paraId="7405778A">
            <w:pPr>
              <w:pStyle w:val="22"/>
              <w:adjustRightInd w:val="0"/>
              <w:snapToGrid w:val="0"/>
              <w:spacing w:before="0" w:beforeAutospacing="0" w:after="0" w:afterAutospacing="0" w:line="360" w:lineRule="auto"/>
              <w:jc w:val="center"/>
              <w:rPr>
                <w:rFonts w:hint="default" w:ascii="Times New Roman" w:hAnsi="Times New Roman" w:eastAsia="宋体" w:cs="Times New Roman"/>
                <w:bCs/>
                <w:color w:val="auto"/>
                <w:kern w:val="2"/>
                <w:sz w:val="24"/>
                <w:szCs w:val="24"/>
                <w:u w:val="none" w:color="auto"/>
              </w:rPr>
            </w:pPr>
            <w:r>
              <w:rPr>
                <w:rFonts w:hint="default" w:ascii="Times New Roman" w:hAnsi="Times New Roman" w:eastAsia="宋体" w:cs="Times New Roman"/>
                <w:color w:val="auto"/>
                <w:kern w:val="0"/>
                <w:sz w:val="24"/>
                <w:szCs w:val="24"/>
                <w:u w:val="none" w:color="auto"/>
                <w:lang w:val="en-US" w:eastAsia="zh-CN" w:bidi="ar-SA"/>
              </w:rPr>
              <w:t>施</w:t>
            </w:r>
          </w:p>
        </w:tc>
        <w:tc>
          <w:tcPr>
            <w:tcW w:w="8162" w:type="dxa"/>
            <w:noWrap w:val="0"/>
            <w:vAlign w:val="center"/>
          </w:tcPr>
          <w:p w14:paraId="2F70F3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施工期主要工程内容为新建一台15t/h的锅炉</w:t>
            </w:r>
            <w:r>
              <w:rPr>
                <w:rFonts w:hint="eastAsia" w:cs="Times New Roman"/>
                <w:color w:val="auto"/>
                <w:sz w:val="24"/>
                <w:u w:val="none" w:color="auto"/>
                <w:lang w:val="en-US" w:eastAsia="zh-CN"/>
              </w:rPr>
              <w:t>及</w:t>
            </w:r>
            <w:r>
              <w:rPr>
                <w:rFonts w:hint="default" w:ascii="Times New Roman" w:hAnsi="Times New Roman" w:eastAsia="宋体" w:cs="Times New Roman"/>
                <w:color w:val="auto"/>
                <w:sz w:val="24"/>
                <w:u w:val="none" w:color="auto"/>
                <w:lang w:val="en-US" w:eastAsia="zh-CN"/>
              </w:rPr>
              <w:t>配套建设废气处理设施</w:t>
            </w:r>
            <w:r>
              <w:rPr>
                <w:rFonts w:hint="eastAsia"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烟囱</w:t>
            </w:r>
            <w:r>
              <w:rPr>
                <w:rFonts w:hint="eastAsia" w:cs="Times New Roman"/>
                <w:color w:val="auto"/>
                <w:sz w:val="24"/>
                <w:u w:val="none" w:color="auto"/>
                <w:lang w:val="en-US" w:eastAsia="zh-CN"/>
              </w:rPr>
              <w:t>以及</w:t>
            </w:r>
            <w:r>
              <w:rPr>
                <w:rFonts w:hint="default" w:ascii="Times New Roman" w:hAnsi="Times New Roman" w:eastAsia="宋体" w:cs="Times New Roman"/>
                <w:color w:val="auto"/>
                <w:sz w:val="24"/>
                <w:u w:val="none" w:color="auto"/>
                <w:lang w:val="en-US" w:eastAsia="zh-CN"/>
              </w:rPr>
              <w:t>一台</w:t>
            </w:r>
            <w:r>
              <w:rPr>
                <w:rFonts w:hint="eastAsia" w:ascii="Times New Roman" w:hAnsi="Times New Roman" w:eastAsia="宋体" w:cs="Times New Roman"/>
                <w:color w:val="auto"/>
                <w:sz w:val="24"/>
                <w:u w:val="none" w:color="auto"/>
                <w:lang w:val="en-US" w:eastAsia="zh-CN"/>
              </w:rPr>
              <w:t>4</w:t>
            </w:r>
            <w:r>
              <w:rPr>
                <w:rFonts w:hint="default" w:ascii="Times New Roman" w:hAnsi="Times New Roman" w:eastAsia="宋体" w:cs="Times New Roman"/>
                <w:color w:val="auto"/>
                <w:sz w:val="24"/>
                <w:u w:val="none" w:color="auto"/>
                <w:lang w:val="en-US" w:eastAsia="zh-CN"/>
              </w:rPr>
              <w:t>t的</w:t>
            </w:r>
            <w:r>
              <w:rPr>
                <w:rFonts w:hint="eastAsia" w:ascii="Times New Roman" w:hAnsi="Times New Roman" w:eastAsia="宋体" w:cs="Times New Roman"/>
                <w:color w:val="auto"/>
                <w:sz w:val="24"/>
                <w:u w:val="none" w:color="auto"/>
                <w:lang w:val="en-US" w:eastAsia="zh-CN"/>
              </w:rPr>
              <w:t>导热油炉</w:t>
            </w:r>
            <w:r>
              <w:rPr>
                <w:rFonts w:hint="eastAsia" w:cs="Times New Roman"/>
                <w:color w:val="auto"/>
                <w:sz w:val="24"/>
                <w:u w:val="none" w:color="auto"/>
                <w:lang w:val="en-US" w:eastAsia="zh-CN"/>
              </w:rPr>
              <w:t>及</w:t>
            </w:r>
            <w:r>
              <w:rPr>
                <w:rFonts w:hint="default" w:ascii="Times New Roman" w:hAnsi="Times New Roman" w:eastAsia="宋体" w:cs="Times New Roman"/>
                <w:color w:val="auto"/>
                <w:sz w:val="24"/>
                <w:u w:val="none" w:color="auto"/>
                <w:lang w:val="en-US" w:eastAsia="zh-CN"/>
              </w:rPr>
              <w:t>配套建设废气处理设施</w:t>
            </w:r>
            <w:r>
              <w:rPr>
                <w:rFonts w:hint="eastAsia"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 xml:space="preserve">烟囱，施工期环境保护措施分析如下： </w:t>
            </w:r>
          </w:p>
          <w:p w14:paraId="071236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一、废气 </w:t>
            </w:r>
          </w:p>
          <w:p w14:paraId="52A83F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本项目主要是新建一台15t/h的锅炉</w:t>
            </w:r>
            <w:r>
              <w:rPr>
                <w:rFonts w:hint="eastAsia" w:cs="Times New Roman"/>
                <w:color w:val="auto"/>
                <w:sz w:val="24"/>
                <w:u w:val="none" w:color="auto"/>
                <w:lang w:val="en-US" w:eastAsia="zh-CN"/>
              </w:rPr>
              <w:t>及</w:t>
            </w:r>
            <w:r>
              <w:rPr>
                <w:rFonts w:hint="default" w:ascii="Times New Roman" w:hAnsi="Times New Roman" w:eastAsia="宋体" w:cs="Times New Roman"/>
                <w:color w:val="auto"/>
                <w:sz w:val="24"/>
                <w:u w:val="none" w:color="auto"/>
                <w:lang w:val="en-US" w:eastAsia="zh-CN"/>
              </w:rPr>
              <w:t>配套建设废气处理设施</w:t>
            </w:r>
            <w:r>
              <w:rPr>
                <w:rFonts w:hint="eastAsia"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烟囱</w:t>
            </w:r>
            <w:r>
              <w:rPr>
                <w:rFonts w:hint="eastAsia" w:cs="Times New Roman"/>
                <w:color w:val="auto"/>
                <w:sz w:val="24"/>
                <w:u w:val="none" w:color="auto"/>
                <w:lang w:val="en-US" w:eastAsia="zh-CN"/>
              </w:rPr>
              <w:t>以及</w:t>
            </w:r>
            <w:r>
              <w:rPr>
                <w:rFonts w:hint="default" w:ascii="Times New Roman" w:hAnsi="Times New Roman" w:eastAsia="宋体" w:cs="Times New Roman"/>
                <w:color w:val="auto"/>
                <w:sz w:val="24"/>
                <w:u w:val="none" w:color="auto"/>
                <w:lang w:val="en-US" w:eastAsia="zh-CN"/>
              </w:rPr>
              <w:t>一台</w:t>
            </w:r>
            <w:r>
              <w:rPr>
                <w:rFonts w:hint="eastAsia" w:ascii="Times New Roman" w:hAnsi="Times New Roman" w:eastAsia="宋体" w:cs="Times New Roman"/>
                <w:color w:val="auto"/>
                <w:sz w:val="24"/>
                <w:u w:val="none" w:color="auto"/>
                <w:lang w:val="en-US" w:eastAsia="zh-CN"/>
              </w:rPr>
              <w:t>4</w:t>
            </w:r>
            <w:r>
              <w:rPr>
                <w:rFonts w:hint="default" w:ascii="Times New Roman" w:hAnsi="Times New Roman" w:eastAsia="宋体" w:cs="Times New Roman"/>
                <w:color w:val="auto"/>
                <w:sz w:val="24"/>
                <w:u w:val="none" w:color="auto"/>
                <w:lang w:val="en-US" w:eastAsia="zh-CN"/>
              </w:rPr>
              <w:t>t的</w:t>
            </w:r>
            <w:r>
              <w:rPr>
                <w:rFonts w:hint="eastAsia" w:ascii="Times New Roman" w:hAnsi="Times New Roman" w:eastAsia="宋体" w:cs="Times New Roman"/>
                <w:color w:val="auto"/>
                <w:sz w:val="24"/>
                <w:u w:val="none" w:color="auto"/>
                <w:lang w:val="en-US" w:eastAsia="zh-CN"/>
              </w:rPr>
              <w:t>导热油炉</w:t>
            </w:r>
            <w:r>
              <w:rPr>
                <w:rFonts w:hint="eastAsia" w:cs="Times New Roman"/>
                <w:color w:val="auto"/>
                <w:sz w:val="24"/>
                <w:u w:val="none" w:color="auto"/>
                <w:lang w:val="en-US" w:eastAsia="zh-CN"/>
              </w:rPr>
              <w:t>及</w:t>
            </w:r>
            <w:r>
              <w:rPr>
                <w:rFonts w:hint="default" w:ascii="Times New Roman" w:hAnsi="Times New Roman" w:eastAsia="宋体" w:cs="Times New Roman"/>
                <w:color w:val="auto"/>
                <w:sz w:val="24"/>
                <w:u w:val="none" w:color="auto"/>
                <w:lang w:val="en-US" w:eastAsia="zh-CN"/>
              </w:rPr>
              <w:t>配套建设废气处理设施</w:t>
            </w:r>
            <w:r>
              <w:rPr>
                <w:rFonts w:hint="eastAsia"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 xml:space="preserve">烟囱，设备基础减振基座采用商混，不在厂区内进行预制，故无施工废气产生。施工期废气主要为施工过程中产生的设备运输车辆产生的扬尘、尾气。 </w:t>
            </w:r>
          </w:p>
          <w:p w14:paraId="64720B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拟采取的污染防治措施：运输车辆进入厂区减速慢行，减少扬尘排放，采用有环保检验合格标的运输车辆，减少尾气排放。由于厂区开阔，空气流动畅通，尾气排放浓度较小，扩散速度较快，不会产生累积影响。因此，本项目施工期产生的无组织废气对环境影响较小。 </w:t>
            </w:r>
          </w:p>
          <w:p w14:paraId="5613E3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二、废水 </w:t>
            </w:r>
          </w:p>
          <w:p w14:paraId="18EBB0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本项目施工过程中无施工废水产生，主要为施工人员的生活污水，依托厂区现有卫生间，生活污水经市政管网排入桥东污水处理厂处理达标后排入华容河，对周围地表水环境影响较小。 </w:t>
            </w:r>
          </w:p>
          <w:p w14:paraId="43A8DF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三、噪声 </w:t>
            </w:r>
          </w:p>
          <w:p w14:paraId="3DB67BF1">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本项目施工期间噪声主要是车辆噪声以及设备安装过程中产生的噪声。</w:t>
            </w:r>
          </w:p>
          <w:p w14:paraId="6947D6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施工期间要求车辆入场减速慢行，禁止鸣笛；设备安装在锅炉房内进行，设备安装噪声较小，封闭锅炉房施工可以有效隔绝噪声。采取上述措施后可 以达到《建筑施工场界环境噪声排放标准》（GB12523 -2011）噪声排放要求， 对周围声环境影响较小。 </w:t>
            </w:r>
          </w:p>
          <w:p w14:paraId="75755E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四、固体废物 </w:t>
            </w:r>
          </w:p>
          <w:p w14:paraId="3D7869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施工过程中产生的固体废物主要包括废包装材料、生活垃圾。 </w:t>
            </w:r>
          </w:p>
          <w:p w14:paraId="752009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pacing w:val="-10"/>
                <w:sz w:val="24"/>
                <w:szCs w:val="24"/>
                <w:u w:val="none" w:color="auto"/>
              </w:rPr>
            </w:pPr>
            <w:r>
              <w:rPr>
                <w:rFonts w:hint="default" w:ascii="Times New Roman" w:hAnsi="Times New Roman" w:eastAsia="宋体" w:cs="Times New Roman"/>
                <w:color w:val="auto"/>
                <w:sz w:val="24"/>
                <w:u w:val="none" w:color="auto"/>
                <w:lang w:val="en-US" w:eastAsia="zh-CN"/>
              </w:rPr>
              <w:t>设备安装产生的废包装材料外售综合利用；施工人员生活垃圾依托厂区现有生活垃圾收集设施收集，交由环卫部门处置。采取上述措施后可以使施 工期固废得到妥善处置，不会产生二次污染。</w:t>
            </w:r>
          </w:p>
        </w:tc>
      </w:tr>
      <w:tr w14:paraId="436EF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746" w:type="dxa"/>
            <w:noWrap w:val="0"/>
            <w:tcMar>
              <w:left w:w="28" w:type="dxa"/>
              <w:right w:w="28" w:type="dxa"/>
            </w:tcMar>
            <w:vAlign w:val="center"/>
          </w:tcPr>
          <w:p w14:paraId="277BC461">
            <w:pPr>
              <w:adjustRightInd w:val="0"/>
              <w:snapToGrid w:val="0"/>
              <w:jc w:val="center"/>
              <w:rPr>
                <w:rFonts w:hint="default" w:ascii="Times New Roman" w:hAnsi="Times New Roman" w:eastAsia="宋体" w:cs="Times New Roman"/>
                <w:bCs/>
                <w:color w:val="auto"/>
                <w:sz w:val="24"/>
                <w:u w:val="none" w:color="auto"/>
              </w:rPr>
            </w:pPr>
            <w:r>
              <w:rPr>
                <w:rFonts w:hint="default" w:ascii="Times New Roman" w:hAnsi="Times New Roman" w:eastAsia="宋体" w:cs="Times New Roman"/>
                <w:bCs/>
                <w:color w:val="auto"/>
                <w:sz w:val="24"/>
                <w:u w:val="none" w:color="auto"/>
              </w:rPr>
              <w:t>运营</w:t>
            </w:r>
          </w:p>
          <w:p w14:paraId="632A2F9A">
            <w:pPr>
              <w:adjustRightInd w:val="0"/>
              <w:snapToGrid w:val="0"/>
              <w:jc w:val="center"/>
              <w:rPr>
                <w:rFonts w:hint="default" w:ascii="Times New Roman" w:hAnsi="Times New Roman" w:eastAsia="宋体" w:cs="Times New Roman"/>
                <w:bCs/>
                <w:color w:val="auto"/>
                <w:sz w:val="24"/>
                <w:u w:val="none" w:color="auto"/>
              </w:rPr>
            </w:pPr>
            <w:r>
              <w:rPr>
                <w:rFonts w:hint="default" w:ascii="Times New Roman" w:hAnsi="Times New Roman" w:eastAsia="宋体" w:cs="Times New Roman"/>
                <w:bCs/>
                <w:color w:val="auto"/>
                <w:sz w:val="24"/>
                <w:u w:val="none" w:color="auto"/>
              </w:rPr>
              <w:t>期环</w:t>
            </w:r>
          </w:p>
          <w:p w14:paraId="3843DE97">
            <w:pPr>
              <w:adjustRightInd w:val="0"/>
              <w:snapToGrid w:val="0"/>
              <w:jc w:val="center"/>
              <w:rPr>
                <w:rFonts w:hint="default" w:ascii="Times New Roman" w:hAnsi="Times New Roman" w:eastAsia="宋体" w:cs="Times New Roman"/>
                <w:bCs/>
                <w:color w:val="auto"/>
                <w:sz w:val="24"/>
                <w:u w:val="none" w:color="auto"/>
              </w:rPr>
            </w:pPr>
            <w:r>
              <w:rPr>
                <w:rFonts w:hint="default" w:ascii="Times New Roman" w:hAnsi="Times New Roman" w:eastAsia="宋体" w:cs="Times New Roman"/>
                <w:bCs/>
                <w:color w:val="auto"/>
                <w:sz w:val="24"/>
                <w:u w:val="none" w:color="auto"/>
              </w:rPr>
              <w:t>境影</w:t>
            </w:r>
          </w:p>
          <w:p w14:paraId="181022E7">
            <w:pPr>
              <w:adjustRightInd w:val="0"/>
              <w:snapToGrid w:val="0"/>
              <w:jc w:val="center"/>
              <w:rPr>
                <w:rFonts w:hint="default" w:ascii="Times New Roman" w:hAnsi="Times New Roman" w:eastAsia="宋体" w:cs="Times New Roman"/>
                <w:bCs/>
                <w:color w:val="auto"/>
                <w:sz w:val="24"/>
                <w:u w:val="none" w:color="auto"/>
              </w:rPr>
            </w:pPr>
            <w:r>
              <w:rPr>
                <w:rFonts w:hint="default" w:ascii="Times New Roman" w:hAnsi="Times New Roman" w:eastAsia="宋体" w:cs="Times New Roman"/>
                <w:bCs/>
                <w:color w:val="auto"/>
                <w:sz w:val="24"/>
                <w:u w:val="none" w:color="auto"/>
              </w:rPr>
              <w:t>响和</w:t>
            </w:r>
          </w:p>
          <w:p w14:paraId="76DEAF3F">
            <w:pPr>
              <w:adjustRightInd w:val="0"/>
              <w:snapToGrid w:val="0"/>
              <w:jc w:val="center"/>
              <w:rPr>
                <w:rFonts w:hint="default" w:ascii="Times New Roman" w:hAnsi="Times New Roman" w:eastAsia="宋体" w:cs="Times New Roman"/>
                <w:bCs/>
                <w:color w:val="auto"/>
                <w:sz w:val="24"/>
                <w:u w:val="none" w:color="auto"/>
              </w:rPr>
            </w:pPr>
            <w:r>
              <w:rPr>
                <w:rFonts w:hint="default" w:ascii="Times New Roman" w:hAnsi="Times New Roman" w:eastAsia="宋体" w:cs="Times New Roman"/>
                <w:bCs/>
                <w:color w:val="auto"/>
                <w:sz w:val="24"/>
                <w:u w:val="none" w:color="auto"/>
              </w:rPr>
              <w:t>保护</w:t>
            </w:r>
          </w:p>
          <w:p w14:paraId="35FE802D">
            <w:pPr>
              <w:adjustRightInd w:val="0"/>
              <w:snapToGrid w:val="0"/>
              <w:jc w:val="center"/>
              <w:rPr>
                <w:rFonts w:hint="default" w:ascii="Times New Roman" w:hAnsi="Times New Roman" w:eastAsia="宋体" w:cs="Times New Roman"/>
                <w:color w:val="auto"/>
                <w:kern w:val="0"/>
                <w:sz w:val="24"/>
                <w:szCs w:val="24"/>
                <w:u w:val="none" w:color="auto"/>
                <w:lang w:val="en-US" w:eastAsia="zh-CN" w:bidi="ar-SA"/>
              </w:rPr>
            </w:pPr>
            <w:r>
              <w:rPr>
                <w:rFonts w:hint="default" w:ascii="Times New Roman" w:hAnsi="Times New Roman" w:eastAsia="宋体" w:cs="Times New Roman"/>
                <w:bCs/>
                <w:color w:val="auto"/>
                <w:sz w:val="24"/>
                <w:u w:val="none" w:color="auto"/>
              </w:rPr>
              <w:t>措施</w:t>
            </w:r>
          </w:p>
        </w:tc>
        <w:tc>
          <w:tcPr>
            <w:tcW w:w="8162" w:type="dxa"/>
            <w:noWrap w:val="0"/>
            <w:vAlign w:val="center"/>
          </w:tcPr>
          <w:p w14:paraId="23971F2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u w:val="none" w:color="auto"/>
              </w:rPr>
            </w:pPr>
            <w:r>
              <w:rPr>
                <w:rFonts w:hint="default" w:ascii="Times New Roman" w:hAnsi="Times New Roman" w:eastAsia="宋体" w:cs="Times New Roman"/>
                <w:b/>
                <w:bCs/>
                <w:color w:val="auto"/>
                <w:sz w:val="24"/>
                <w:u w:val="none" w:color="auto"/>
                <w:lang w:val="en-US" w:eastAsia="zh-CN"/>
              </w:rPr>
              <w:t>1、</w:t>
            </w:r>
            <w:r>
              <w:rPr>
                <w:rFonts w:hint="default" w:ascii="Times New Roman" w:hAnsi="Times New Roman" w:eastAsia="宋体" w:cs="Times New Roman"/>
                <w:b/>
                <w:bCs/>
                <w:color w:val="auto"/>
                <w:sz w:val="24"/>
                <w:u w:val="none" w:color="auto"/>
              </w:rPr>
              <w:t>大气环境影响和保护措施</w:t>
            </w:r>
          </w:p>
          <w:p w14:paraId="4D086B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u w:val="none" w:color="auto"/>
              </w:rPr>
            </w:pPr>
            <w:r>
              <w:rPr>
                <w:rFonts w:hint="default" w:ascii="Times New Roman" w:hAnsi="Times New Roman" w:eastAsia="宋体" w:cs="Times New Roman"/>
                <w:b/>
                <w:bCs/>
                <w:color w:val="auto"/>
                <w:sz w:val="24"/>
                <w:u w:val="none" w:color="auto"/>
                <w:lang w:val="en-US" w:eastAsia="zh-CN"/>
              </w:rPr>
              <w:t>(</w:t>
            </w:r>
            <w:r>
              <w:rPr>
                <w:rFonts w:hint="default" w:ascii="Times New Roman" w:hAnsi="Times New Roman" w:eastAsia="宋体" w:cs="Times New Roman"/>
                <w:b/>
                <w:bCs/>
                <w:color w:val="auto"/>
                <w:sz w:val="24"/>
                <w:u w:val="none" w:color="auto"/>
              </w:rPr>
              <w:t>1)废气污染物产排情况</w:t>
            </w:r>
          </w:p>
          <w:p w14:paraId="1AC1D4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本项目运营期产生的废气主要是生物质燃料燃烧产生的烟气和锅炉炉渣 和除尘灰收集产生的无组织粉尘。通过同省同类燃生物质成型颗粒的锅炉烟气实际监测数据得知，锅炉烟气中不含汞。调研的同类项目为《吉林省白云生态食品有限责任公司锅炉扩建项目竣工环境保护验收监测报告表》，该项目为1台生物质蒸汽锅炉（15t/h)，燃料类型为生物质颗粒燃料，通过对燃物质成型燃料锅炉的锅炉烟气中汞进行了监测，检测结果为未检出，所以本项目不对锅炉烟气中汞进行评价，不开展大气专项评价。 </w:t>
            </w:r>
          </w:p>
          <w:p w14:paraId="298EC4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本项目主要污染物为颗粒物、二氧化硫、氮氧化物、烟气黑度等。</w:t>
            </w:r>
          </w:p>
          <w:p w14:paraId="6DD9C3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1、源强核算及达标性分析 </w:t>
            </w:r>
          </w:p>
          <w:p w14:paraId="3A4A31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⑴有组织废气 </w:t>
            </w:r>
          </w:p>
          <w:p w14:paraId="0DDA5A0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u w:val="none" w:color="auto"/>
                <w:lang w:val="en-US" w:eastAsia="zh-CN"/>
              </w:rPr>
            </w:pPr>
            <w:r>
              <w:rPr>
                <w:rFonts w:hint="eastAsia" w:cs="Times New Roman"/>
                <w:b/>
                <w:bCs/>
                <w:color w:val="auto"/>
                <w:sz w:val="24"/>
                <w:u w:val="none" w:color="auto"/>
                <w:lang w:val="en-US" w:eastAsia="zh-CN"/>
              </w:rPr>
              <w:t>锅炉：</w:t>
            </w:r>
          </w:p>
          <w:p w14:paraId="2584B4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使用生物质燃料作为锅炉燃料，2台15t/h生物质热水锅炉（一用一备），新增15t/h生物质热水锅炉配套的废气处理措施为SNCR+多管旋风除尘+布袋除尘器+脱硫塔，备用的15t/h生物质热水锅炉配套的废气处理措施为布袋除尘和水膜除尘相结合技术。根据《污染源源强核算技术指南 锅炉》（HJ991-2018）、《排污许可证申请与核发技术规范锅炉》（HJ953-2018），本项目锅炉源强核算公式确定如下：</w:t>
            </w:r>
          </w:p>
          <w:p w14:paraId="5E9EA3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①烟气量计算公式 </w:t>
            </w:r>
          </w:p>
          <w:p w14:paraId="383928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锅炉》（HJ991-2018）附录C中没有元素分析时，干烟气排放量的经验公式计算参照《排污许可证申请与核发技术规范 锅炉》（HJ953-2018）中表5燃生物质锅炉进行计算。 本项目生物质燃料收到基低位发热量Qnet，ar=1</w:t>
            </w:r>
            <w:r>
              <w:rPr>
                <w:rFonts w:hint="eastAsia" w:cs="Times New Roman"/>
                <w:color w:val="auto"/>
                <w:sz w:val="24"/>
                <w:u w:val="none" w:color="auto"/>
                <w:lang w:val="en-US" w:eastAsia="zh-CN"/>
              </w:rPr>
              <w:t>8</w:t>
            </w:r>
            <w:r>
              <w:rPr>
                <w:rFonts w:hint="default" w:ascii="Times New Roman" w:hAnsi="Times New Roman" w:eastAsia="宋体" w:cs="Times New Roman"/>
                <w:color w:val="auto"/>
                <w:sz w:val="24"/>
                <w:u w:val="none" w:color="auto"/>
                <w:lang w:val="en-US" w:eastAsia="zh-CN"/>
              </w:rPr>
              <w:t>MJ/kg≥12.54MJ/kg，Vdaf=7</w:t>
            </w:r>
            <w:r>
              <w:rPr>
                <w:rFonts w:hint="eastAsia" w:cs="Times New Roman"/>
                <w:color w:val="auto"/>
                <w:sz w:val="24"/>
                <w:u w:val="none" w:color="auto"/>
                <w:lang w:val="en-US" w:eastAsia="zh-CN"/>
              </w:rPr>
              <w:t>0</w:t>
            </w:r>
            <w:r>
              <w:rPr>
                <w:rFonts w:hint="default" w:ascii="Times New Roman" w:hAnsi="Times New Roman" w:eastAsia="宋体" w:cs="Times New Roman"/>
                <w:color w:val="auto"/>
                <w:sz w:val="24"/>
                <w:u w:val="none" w:color="auto"/>
                <w:lang w:val="en-US" w:eastAsia="zh-CN"/>
              </w:rPr>
              <w:t>%≥15%，基准烟气量（Vgy，Nm</w:t>
            </w:r>
            <w:r>
              <w:rPr>
                <w:rFonts w:hint="default" w:ascii="Times New Roman" w:hAnsi="Times New Roman" w:eastAsia="宋体" w:cs="Times New Roman"/>
                <w:color w:val="auto"/>
                <w:sz w:val="24"/>
                <w:u w:val="none" w:color="auto"/>
                <w:vertAlign w:val="superscript"/>
                <w:lang w:val="en-US" w:eastAsia="zh-CN"/>
              </w:rPr>
              <w:t>3</w:t>
            </w:r>
            <w:r>
              <w:rPr>
                <w:rFonts w:hint="default" w:ascii="Times New Roman" w:hAnsi="Times New Roman" w:eastAsia="宋体" w:cs="Times New Roman"/>
                <w:color w:val="auto"/>
                <w:sz w:val="24"/>
                <w:u w:val="none" w:color="auto"/>
                <w:lang w:val="en-US" w:eastAsia="zh-CN"/>
              </w:rPr>
              <w:t>/kg）公式选择如下：</w:t>
            </w:r>
          </w:p>
          <w:p w14:paraId="1628F376">
            <w:pPr>
              <w:keepNext w:val="0"/>
              <w:keepLines w:val="0"/>
              <w:widowControl/>
              <w:suppressLineNumbers w:val="0"/>
              <w:jc w:val="center"/>
              <w:rPr>
                <w:rFonts w:hint="default" w:ascii="Times New Roman" w:hAnsi="Times New Roman" w:eastAsia="宋体" w:cs="Times New Roman"/>
                <w:u w:val="none" w:color="auto"/>
              </w:rPr>
            </w:pPr>
            <w:r>
              <w:rPr>
                <w:rFonts w:hint="default" w:ascii="Times New Roman" w:hAnsi="Times New Roman" w:eastAsia="宋体" w:cs="Times New Roman"/>
                <w:b/>
                <w:bCs/>
                <w:color w:val="000000"/>
                <w:kern w:val="0"/>
                <w:sz w:val="24"/>
                <w:szCs w:val="24"/>
                <w:u w:val="none" w:color="auto"/>
                <w:lang w:val="en-US" w:eastAsia="zh-CN" w:bidi="ar"/>
              </w:rPr>
              <w:t>Vgy=0.393Qnet.ar+0.876</w:t>
            </w:r>
          </w:p>
          <w:p w14:paraId="43C516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p>
          <w:p w14:paraId="5868AC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②颗粒物（烟尘）计算公式 </w:t>
            </w:r>
          </w:p>
          <w:p w14:paraId="2533C7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锅炉》（HJ991-2018），烟尘排放量依据以下公式计算：</w:t>
            </w:r>
          </w:p>
          <w:p w14:paraId="04B698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p>
          <w:p w14:paraId="1102B31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2524125" cy="895350"/>
                  <wp:effectExtent l="0" t="0" r="9525" b="0"/>
                  <wp:docPr id="4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8"/>
                          <pic:cNvPicPr>
                            <a:picLocks noChangeAspect="1"/>
                          </pic:cNvPicPr>
                        </pic:nvPicPr>
                        <pic:blipFill>
                          <a:blip r:embed="rId25"/>
                          <a:stretch>
                            <a:fillRect/>
                          </a:stretch>
                        </pic:blipFill>
                        <pic:spPr>
                          <a:xfrm>
                            <a:off x="0" y="0"/>
                            <a:ext cx="2524125" cy="895350"/>
                          </a:xfrm>
                          <a:prstGeom prst="rect">
                            <a:avLst/>
                          </a:prstGeom>
                          <a:noFill/>
                          <a:ln>
                            <a:noFill/>
                          </a:ln>
                        </pic:spPr>
                      </pic:pic>
                    </a:graphicData>
                  </a:graphic>
                </wp:inline>
              </w:drawing>
            </w:r>
          </w:p>
          <w:p w14:paraId="3AA7B3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式中：EA：核算时段内颗粒物（烟尘）排放量，t； </w:t>
            </w:r>
          </w:p>
          <w:p w14:paraId="3A4BB8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R：核算时段内锅炉燃料耗量，t； </w:t>
            </w:r>
          </w:p>
          <w:p w14:paraId="7C3664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Aar：收到基灰分的质量分数，%；Aar=</w:t>
            </w:r>
            <w:r>
              <w:rPr>
                <w:rFonts w:hint="eastAsia" w:cs="Times New Roman"/>
                <w:color w:val="auto"/>
                <w:sz w:val="24"/>
                <w:u w:val="none" w:color="auto"/>
                <w:lang w:val="en-US" w:eastAsia="zh-CN"/>
              </w:rPr>
              <w:t>10</w:t>
            </w:r>
            <w:r>
              <w:rPr>
                <w:rFonts w:hint="default" w:ascii="Times New Roman" w:hAnsi="Times New Roman" w:eastAsia="宋体" w:cs="Times New Roman"/>
                <w:color w:val="auto"/>
                <w:sz w:val="24"/>
                <w:u w:val="none" w:color="auto"/>
                <w:lang w:val="en-US" w:eastAsia="zh-CN"/>
              </w:rPr>
              <w:t xml:space="preserve">%； </w:t>
            </w:r>
          </w:p>
          <w:p w14:paraId="423312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dfh：锅炉烟气带出的飞灰份额，%；根据附录表B.2，取值90%。 </w:t>
            </w:r>
          </w:p>
          <w:p w14:paraId="467EEA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ηc：综合除尘效率，%；经查阅资料，布袋除尘器+水膜除尘器除尘效率为99.8%，根据《排污许可证申请与核发技术规范 锅炉》（HJ953-2018）表F.4燃生物质工业锅炉的废气颗粒物（散烧、捆烧）产排污系数，采用旋风除尘+袋式除尘的排污系数为0.38，即除尘效率为99%，脱硫塔对颗粒物也有一定的去除效率，本次环评脱硫塔对颗粒物去除效率按80%计，则旋风除尘+袋式除尘+脱硫塔的除尘效率为99.8%，本次环评按照去除效率低计算。</w:t>
            </w:r>
          </w:p>
          <w:p w14:paraId="694E88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Cfh：飞灰中的可燃物含量，%，（Cfh参考 GB/T15317-2009中表5和 GB/T17954中表4），本项目取值10%。</w:t>
            </w:r>
          </w:p>
          <w:p w14:paraId="4794B4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③SO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 xml:space="preserve">计算公式 </w:t>
            </w:r>
          </w:p>
          <w:p w14:paraId="6AAA9F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根据《污染源源强核算技术指南 锅炉》（HJ991-2018），SO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排放量依据以下公式计算：</w:t>
            </w:r>
          </w:p>
          <w:p w14:paraId="3C2FBB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3819525" cy="628650"/>
                  <wp:effectExtent l="0" t="0" r="9525" b="0"/>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26"/>
                          <a:stretch>
                            <a:fillRect/>
                          </a:stretch>
                        </pic:blipFill>
                        <pic:spPr>
                          <a:xfrm>
                            <a:off x="0" y="0"/>
                            <a:ext cx="3819525" cy="628650"/>
                          </a:xfrm>
                          <a:prstGeom prst="rect">
                            <a:avLst/>
                          </a:prstGeom>
                          <a:noFill/>
                          <a:ln>
                            <a:noFill/>
                          </a:ln>
                        </pic:spPr>
                      </pic:pic>
                    </a:graphicData>
                  </a:graphic>
                </wp:inline>
              </w:drawing>
            </w:r>
          </w:p>
          <w:p w14:paraId="00D894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式中：ESO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 xml:space="preserve">：核算时段内二氧化硫排放量，t； </w:t>
            </w:r>
          </w:p>
          <w:p w14:paraId="1B6ED5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R：核算时段内锅炉燃料耗量，t； </w:t>
            </w:r>
          </w:p>
          <w:p w14:paraId="15FCC3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Sar：收到基硫的质量分数，%；本项目生物质燃料全硫量为0.05%，折算为收到基硫分约为0.0555%，Sar取0.0555计算。</w:t>
            </w:r>
          </w:p>
          <w:p w14:paraId="1D312A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q4：锅炉机械不完全燃烧热损失，%；根据HJ991-2018表B.1，本项目锅炉使用的生物质燃料灰分高，故取值15%。 </w:t>
            </w:r>
          </w:p>
          <w:p w14:paraId="2A66DB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ηs：脱硫效率，%；经查阅资料，水膜除尘器对二氧化硫的去除效率约为20%，脱硫塔</w:t>
            </w:r>
            <w:r>
              <w:rPr>
                <w:rFonts w:hint="eastAsia" w:cs="Times New Roman"/>
                <w:color w:val="auto"/>
                <w:sz w:val="24"/>
                <w:u w:val="none" w:color="auto"/>
                <w:lang w:val="en-US" w:eastAsia="zh-CN"/>
              </w:rPr>
              <w:t>（拟采用石灰石）</w:t>
            </w:r>
            <w:r>
              <w:rPr>
                <w:rFonts w:hint="default" w:ascii="Times New Roman" w:hAnsi="Times New Roman" w:eastAsia="宋体" w:cs="Times New Roman"/>
                <w:color w:val="auto"/>
                <w:sz w:val="24"/>
                <w:u w:val="none" w:color="auto"/>
                <w:lang w:val="en-US" w:eastAsia="zh-CN"/>
              </w:rPr>
              <w:t>对二氧化硫的去除效率约为90%，本次环评按去除效率最低计算。</w:t>
            </w:r>
          </w:p>
          <w:p w14:paraId="705308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K：燃料中的硫燃烧后氧化成二氧化硫的份额，根据 HJ991-2018表B.3 燃料中硫转化率取值0.30。</w:t>
            </w:r>
          </w:p>
          <w:p w14:paraId="00123F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④NOx 计算公式</w:t>
            </w:r>
          </w:p>
          <w:p w14:paraId="05B93F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锅炉》（HJ991-2018），以产污系数法计算NOx排放量，依据以下公式计算：</w:t>
            </w:r>
          </w:p>
          <w:p w14:paraId="0AAF32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1809750" cy="352425"/>
                  <wp:effectExtent l="0" t="0" r="0" b="9525"/>
                  <wp:docPr id="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1"/>
                          <pic:cNvPicPr>
                            <a:picLocks noChangeAspect="1"/>
                          </pic:cNvPicPr>
                        </pic:nvPicPr>
                        <pic:blipFill>
                          <a:blip r:embed="rId27"/>
                          <a:stretch>
                            <a:fillRect/>
                          </a:stretch>
                        </pic:blipFill>
                        <pic:spPr>
                          <a:xfrm>
                            <a:off x="0" y="0"/>
                            <a:ext cx="1809750" cy="352425"/>
                          </a:xfrm>
                          <a:prstGeom prst="rect">
                            <a:avLst/>
                          </a:prstGeom>
                          <a:noFill/>
                          <a:ln>
                            <a:noFill/>
                          </a:ln>
                        </pic:spPr>
                      </pic:pic>
                    </a:graphicData>
                  </a:graphic>
                </wp:inline>
              </w:drawing>
            </w:r>
          </w:p>
          <w:p w14:paraId="394CD4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式中：Ej—核算时段内第 j 种污染物排放量，t； </w:t>
            </w:r>
          </w:p>
          <w:p w14:paraId="45D4D7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R—核算时段内锅炉燃料耗量，t； </w:t>
            </w:r>
          </w:p>
          <w:p w14:paraId="02C2C2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βj—产污系数，参见全国污染源普查工业污染源普查数据（以最新版本为准），氮氧化物的产污系数为1.02kg/吨－燃料； </w:t>
            </w:r>
          </w:p>
          <w:p w14:paraId="314839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η—污染物脱除效率，本次新增锅炉配套了SNCR进行脱硝处理，根据《排污许可证申请与核发技术规范 锅炉》（HJ953-2018）表F.4燃生物质工业锅炉的废气产排污系数，采用SNCR的排污系数为0.51，即脱硝效率为50%，备用锅炉配套的处理设施无脱硝功能，炉内脱硝0%，本次环评按去除效率最低计算。 </w:t>
            </w:r>
          </w:p>
          <w:p w14:paraId="7E632B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本项目锅炉房锅炉年消耗生物质燃料为10000t，年运行时间均为6000h，综合最低除尘效率为99.8%，除硫效率为20%，脱硝效率为0%，本项目锅炉废气污染物产生及排放情况见表4-1。</w:t>
            </w:r>
          </w:p>
          <w:p w14:paraId="516C95C6">
            <w:pPr>
              <w:pStyle w:val="12"/>
              <w:keepNext w:val="0"/>
              <w:keepLines w:val="0"/>
              <w:pageBreakBefore w:val="0"/>
              <w:widowControl/>
              <w:kinsoku/>
              <w:wordWrap/>
              <w:overflowPunct/>
              <w:topLinePunct w:val="0"/>
              <w:autoSpaceDE/>
              <w:autoSpaceDN/>
              <w:bidi w:val="0"/>
              <w:adjustRightInd w:val="0"/>
              <w:snapToGrid w:val="0"/>
              <w:spacing w:before="0" w:after="0" w:line="240" w:lineRule="auto"/>
              <w:ind w:right="0"/>
              <w:jc w:val="center"/>
              <w:textAlignment w:val="auto"/>
              <w:rPr>
                <w:rFonts w:hint="default"/>
                <w:b/>
                <w:bCs/>
                <w:sz w:val="21"/>
                <w:szCs w:val="21"/>
              </w:rPr>
            </w:pPr>
            <w:r>
              <w:rPr>
                <w:rFonts w:hint="default" w:ascii="Times New Roman" w:hAnsi="Times New Roman" w:eastAsia="宋体" w:cs="Times New Roman"/>
                <w:b/>
                <w:bCs/>
                <w:color w:val="auto"/>
                <w:sz w:val="21"/>
                <w:szCs w:val="21"/>
                <w:u w:val="none" w:color="auto"/>
                <w:lang w:val="en-US" w:eastAsia="zh-CN"/>
              </w:rPr>
              <w:t>表4-1</w:t>
            </w:r>
            <w:r>
              <w:rPr>
                <w:rFonts w:hint="eastAsia" w:ascii="Times New Roman" w:hAnsi="Times New Roman" w:eastAsia="宋体" w:cs="Times New Roman"/>
                <w:b/>
                <w:bCs/>
                <w:color w:val="auto"/>
                <w:sz w:val="21"/>
                <w:szCs w:val="21"/>
                <w:u w:val="none" w:color="auto"/>
                <w:lang w:val="en-US" w:eastAsia="zh-CN"/>
              </w:rPr>
              <w:t>　　</w:t>
            </w:r>
            <w:r>
              <w:rPr>
                <w:rFonts w:hint="default" w:ascii="Times New Roman" w:hAnsi="Times New Roman" w:eastAsia="宋体" w:cs="Times New Roman"/>
                <w:b/>
                <w:bCs/>
                <w:color w:val="auto"/>
                <w:sz w:val="21"/>
                <w:szCs w:val="21"/>
                <w:u w:val="none" w:color="auto"/>
                <w:lang w:val="en-US" w:eastAsia="zh-CN"/>
              </w:rPr>
              <w:t>本项目锅炉废气污染物产生及排放情况</w:t>
            </w:r>
          </w:p>
          <w:tbl>
            <w:tblPr>
              <w:tblStyle w:val="27"/>
              <w:tblW w:w="794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083"/>
              <w:gridCol w:w="993"/>
              <w:gridCol w:w="993"/>
              <w:gridCol w:w="993"/>
              <w:gridCol w:w="993"/>
              <w:gridCol w:w="994"/>
              <w:gridCol w:w="994"/>
            </w:tblGrid>
            <w:tr w14:paraId="3FECD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903" w:type="dxa"/>
                  <w:vMerge w:val="restart"/>
                  <w:tcBorders>
                    <w:tl2br w:val="nil"/>
                    <w:tr2bl w:val="nil"/>
                  </w:tcBorders>
                  <w:vAlign w:val="center"/>
                </w:tcPr>
                <w:p w14:paraId="79D4AE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污染源</w:t>
                  </w:r>
                </w:p>
              </w:tc>
              <w:tc>
                <w:tcPr>
                  <w:tcW w:w="1083" w:type="dxa"/>
                  <w:vMerge w:val="restart"/>
                  <w:tcBorders>
                    <w:tl2br w:val="nil"/>
                    <w:tr2bl w:val="nil"/>
                  </w:tcBorders>
                  <w:vAlign w:val="center"/>
                </w:tcPr>
                <w:p w14:paraId="5FA7C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w:t>
                  </w:r>
                </w:p>
              </w:tc>
              <w:tc>
                <w:tcPr>
                  <w:tcW w:w="993" w:type="dxa"/>
                  <w:vMerge w:val="restart"/>
                  <w:tcBorders>
                    <w:tl2br w:val="nil"/>
                    <w:tr2bl w:val="nil"/>
                  </w:tcBorders>
                  <w:vAlign w:val="center"/>
                </w:tcPr>
                <w:p w14:paraId="26821154">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u w:val="none" w:color="auto"/>
                    </w:rPr>
                  </w:pPr>
                  <w:r>
                    <w:rPr>
                      <w:rFonts w:hint="default" w:ascii="Times New Roman" w:hAnsi="Times New Roman" w:eastAsia="宋体" w:cs="Times New Roman"/>
                      <w:color w:val="auto"/>
                      <w:sz w:val="21"/>
                      <w:szCs w:val="21"/>
                      <w:u w:val="none" w:color="auto"/>
                      <w:vertAlign w:val="baseline"/>
                      <w:lang w:val="en-US" w:eastAsia="zh-CN"/>
                    </w:rPr>
                    <w:t>烟气量Nm</w:t>
                  </w:r>
                  <w:r>
                    <w:rPr>
                      <w:rFonts w:hint="default" w:ascii="Times New Roman" w:hAnsi="Times New Roman" w:eastAsia="宋体" w:cs="Times New Roman"/>
                      <w:color w:val="auto"/>
                      <w:sz w:val="21"/>
                      <w:szCs w:val="21"/>
                      <w:u w:val="none" w:color="auto"/>
                      <w:vertAlign w:val="superscript"/>
                      <w:lang w:val="en-US" w:eastAsia="zh-CN"/>
                    </w:rPr>
                    <w:t>3</w:t>
                  </w:r>
                  <w:r>
                    <w:rPr>
                      <w:rFonts w:hint="default" w:ascii="Times New Roman" w:hAnsi="Times New Roman" w:eastAsia="宋体" w:cs="Times New Roman"/>
                      <w:color w:val="auto"/>
                      <w:sz w:val="21"/>
                      <w:szCs w:val="21"/>
                      <w:u w:val="none" w:color="auto"/>
                      <w:vertAlign w:val="baseline"/>
                      <w:lang w:val="en-US" w:eastAsia="zh-CN"/>
                    </w:rPr>
                    <w:t>/a</w:t>
                  </w:r>
                </w:p>
                <w:p w14:paraId="29ECD2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c>
                <w:tcPr>
                  <w:tcW w:w="1986" w:type="dxa"/>
                  <w:gridSpan w:val="2"/>
                  <w:tcBorders>
                    <w:tl2br w:val="nil"/>
                    <w:tr2bl w:val="nil"/>
                  </w:tcBorders>
                  <w:vAlign w:val="center"/>
                </w:tcPr>
                <w:p w14:paraId="6905BD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污染物产生情况</w:t>
                  </w:r>
                </w:p>
              </w:tc>
              <w:tc>
                <w:tcPr>
                  <w:tcW w:w="1987" w:type="dxa"/>
                  <w:gridSpan w:val="2"/>
                  <w:tcBorders>
                    <w:tl2br w:val="nil"/>
                    <w:tr2bl w:val="nil"/>
                  </w:tcBorders>
                  <w:vAlign w:val="center"/>
                </w:tcPr>
                <w:p w14:paraId="07F9C1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污染物排放情况</w:t>
                  </w:r>
                </w:p>
              </w:tc>
              <w:tc>
                <w:tcPr>
                  <w:tcW w:w="994" w:type="dxa"/>
                  <w:vMerge w:val="restart"/>
                  <w:tcBorders>
                    <w:tl2br w:val="nil"/>
                    <w:tr2bl w:val="nil"/>
                  </w:tcBorders>
                  <w:vAlign w:val="center"/>
                </w:tcPr>
                <w:p w14:paraId="19BEAA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标准限值mg/m</w:t>
                  </w:r>
                  <w:r>
                    <w:rPr>
                      <w:rFonts w:hint="default" w:ascii="Times New Roman" w:hAnsi="Times New Roman" w:eastAsia="宋体" w:cs="Times New Roman"/>
                      <w:color w:val="auto"/>
                      <w:sz w:val="21"/>
                      <w:szCs w:val="21"/>
                      <w:u w:val="none" w:color="auto"/>
                      <w:vertAlign w:val="superscript"/>
                      <w:lang w:val="en-US" w:eastAsia="zh-CN"/>
                    </w:rPr>
                    <w:t>3</w:t>
                  </w:r>
                </w:p>
              </w:tc>
            </w:tr>
            <w:tr w14:paraId="3DF27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3" w:type="dxa"/>
                  <w:vMerge w:val="continue"/>
                  <w:tcBorders>
                    <w:tl2br w:val="nil"/>
                    <w:tr2bl w:val="nil"/>
                  </w:tcBorders>
                  <w:vAlign w:val="center"/>
                </w:tcPr>
                <w:p w14:paraId="677684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c>
                <w:tcPr>
                  <w:tcW w:w="1083" w:type="dxa"/>
                  <w:vMerge w:val="continue"/>
                  <w:tcBorders>
                    <w:tl2br w:val="nil"/>
                    <w:tr2bl w:val="nil"/>
                  </w:tcBorders>
                  <w:vAlign w:val="center"/>
                </w:tcPr>
                <w:p w14:paraId="78E209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vMerge w:val="continue"/>
                  <w:tcBorders>
                    <w:tl2br w:val="nil"/>
                    <w:tr2bl w:val="nil"/>
                  </w:tcBorders>
                  <w:vAlign w:val="center"/>
                </w:tcPr>
                <w:p w14:paraId="1266A5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0498B8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最大产生量t/a</w:t>
                  </w:r>
                </w:p>
              </w:tc>
              <w:tc>
                <w:tcPr>
                  <w:tcW w:w="993" w:type="dxa"/>
                  <w:tcBorders>
                    <w:tl2br w:val="nil"/>
                    <w:tr2bl w:val="nil"/>
                  </w:tcBorders>
                  <w:vAlign w:val="center"/>
                </w:tcPr>
                <w:p w14:paraId="12598A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最大产生浓度mg/m</w:t>
                  </w:r>
                  <w:r>
                    <w:rPr>
                      <w:rFonts w:hint="default" w:ascii="Times New Roman" w:hAnsi="Times New Roman" w:eastAsia="宋体" w:cs="Times New Roman"/>
                      <w:color w:val="auto"/>
                      <w:sz w:val="21"/>
                      <w:szCs w:val="21"/>
                      <w:u w:val="none" w:color="auto"/>
                      <w:vertAlign w:val="superscript"/>
                      <w:lang w:val="en-US" w:eastAsia="zh-CN"/>
                    </w:rPr>
                    <w:t>3</w:t>
                  </w:r>
                </w:p>
              </w:tc>
              <w:tc>
                <w:tcPr>
                  <w:tcW w:w="993" w:type="dxa"/>
                  <w:tcBorders>
                    <w:tl2br w:val="nil"/>
                    <w:tr2bl w:val="nil"/>
                  </w:tcBorders>
                  <w:vAlign w:val="center"/>
                </w:tcPr>
                <w:p w14:paraId="6269B1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最大排放量t/a</w:t>
                  </w:r>
                </w:p>
              </w:tc>
              <w:tc>
                <w:tcPr>
                  <w:tcW w:w="994" w:type="dxa"/>
                  <w:tcBorders>
                    <w:tl2br w:val="nil"/>
                    <w:tr2bl w:val="nil"/>
                  </w:tcBorders>
                  <w:vAlign w:val="center"/>
                </w:tcPr>
                <w:p w14:paraId="28C7F2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最大排放浓度mg/m</w:t>
                  </w:r>
                  <w:r>
                    <w:rPr>
                      <w:rFonts w:hint="default" w:ascii="Times New Roman" w:hAnsi="Times New Roman" w:eastAsia="宋体" w:cs="Times New Roman"/>
                      <w:color w:val="auto"/>
                      <w:sz w:val="21"/>
                      <w:szCs w:val="21"/>
                      <w:u w:val="none" w:color="auto"/>
                      <w:vertAlign w:val="superscript"/>
                      <w:lang w:val="en-US" w:eastAsia="zh-CN"/>
                    </w:rPr>
                    <w:t>3</w:t>
                  </w:r>
                </w:p>
              </w:tc>
              <w:tc>
                <w:tcPr>
                  <w:tcW w:w="994" w:type="dxa"/>
                  <w:vMerge w:val="continue"/>
                  <w:tcBorders>
                    <w:tl2br w:val="nil"/>
                    <w:tr2bl w:val="nil"/>
                  </w:tcBorders>
                  <w:vAlign w:val="center"/>
                </w:tcPr>
                <w:p w14:paraId="4A507A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r>
            <w:tr w14:paraId="42EE0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03" w:type="dxa"/>
                  <w:vMerge w:val="restart"/>
                  <w:tcBorders>
                    <w:tl2br w:val="nil"/>
                    <w:tr2bl w:val="nil"/>
                  </w:tcBorders>
                  <w:vAlign w:val="center"/>
                </w:tcPr>
                <w:p w14:paraId="39EA4C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r>
                    <w:rPr>
                      <w:rFonts w:hint="eastAsia" w:ascii="Times New Roman" w:hAnsi="Times New Roman" w:eastAsia="宋体" w:cs="Times New Roman"/>
                      <w:color w:val="auto"/>
                      <w:sz w:val="21"/>
                      <w:szCs w:val="21"/>
                      <w:u w:val="none" w:color="auto"/>
                      <w:vertAlign w:val="baseline"/>
                      <w:lang w:val="en-US" w:eastAsia="zh-CN"/>
                    </w:rPr>
                    <w:t>DA00</w:t>
                  </w:r>
                  <w:r>
                    <w:rPr>
                      <w:rFonts w:hint="eastAsia" w:cs="Times New Roman"/>
                      <w:color w:val="auto"/>
                      <w:sz w:val="21"/>
                      <w:szCs w:val="21"/>
                      <w:u w:val="none" w:color="auto"/>
                      <w:vertAlign w:val="baseline"/>
                      <w:lang w:val="en-US" w:eastAsia="zh-CN"/>
                    </w:rPr>
                    <w:t>1</w:t>
                  </w:r>
                </w:p>
              </w:tc>
              <w:tc>
                <w:tcPr>
                  <w:tcW w:w="1083" w:type="dxa"/>
                  <w:tcBorders>
                    <w:tl2br w:val="nil"/>
                    <w:tr2bl w:val="nil"/>
                  </w:tcBorders>
                  <w:vAlign w:val="center"/>
                </w:tcPr>
                <w:p w14:paraId="46252D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993" w:type="dxa"/>
                  <w:vMerge w:val="restart"/>
                  <w:tcBorders>
                    <w:tl2br w:val="nil"/>
                    <w:tr2bl w:val="nil"/>
                  </w:tcBorders>
                  <w:vAlign w:val="center"/>
                </w:tcPr>
                <w:p w14:paraId="72CF2B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74391000</w:t>
                  </w:r>
                </w:p>
              </w:tc>
              <w:tc>
                <w:tcPr>
                  <w:tcW w:w="993" w:type="dxa"/>
                  <w:tcBorders>
                    <w:tl2br w:val="nil"/>
                    <w:tr2bl w:val="nil"/>
                  </w:tcBorders>
                  <w:vAlign w:val="center"/>
                </w:tcPr>
                <w:p w14:paraId="528D4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cs="Times New Roman"/>
                      <w:color w:val="auto"/>
                      <w:sz w:val="21"/>
                      <w:szCs w:val="21"/>
                      <w:u w:val="none" w:color="auto"/>
                      <w:vertAlign w:val="baseline"/>
                      <w:lang w:val="en-US" w:eastAsia="zh-CN"/>
                    </w:rPr>
                    <w:t>1000</w:t>
                  </w:r>
                </w:p>
              </w:tc>
              <w:tc>
                <w:tcPr>
                  <w:tcW w:w="993" w:type="dxa"/>
                  <w:tcBorders>
                    <w:tl2br w:val="nil"/>
                    <w:tr2bl w:val="nil"/>
                  </w:tcBorders>
                  <w:vAlign w:val="center"/>
                </w:tcPr>
                <w:p w14:paraId="3007A3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cs="Times New Roman"/>
                      <w:color w:val="auto"/>
                      <w:sz w:val="21"/>
                      <w:szCs w:val="21"/>
                      <w:u w:val="none" w:color="auto"/>
                      <w:vertAlign w:val="baseline"/>
                      <w:lang w:val="en-US" w:eastAsia="zh-CN"/>
                    </w:rPr>
                    <w:t>13442</w:t>
                  </w:r>
                </w:p>
              </w:tc>
              <w:tc>
                <w:tcPr>
                  <w:tcW w:w="993" w:type="dxa"/>
                  <w:tcBorders>
                    <w:tl2br w:val="nil"/>
                    <w:tr2bl w:val="nil"/>
                  </w:tcBorders>
                  <w:vAlign w:val="center"/>
                </w:tcPr>
                <w:p w14:paraId="4A8F9A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cs="Times New Roman"/>
                      <w:color w:val="auto"/>
                      <w:sz w:val="21"/>
                      <w:szCs w:val="21"/>
                      <w:u w:val="none" w:color="auto"/>
                      <w:vertAlign w:val="baseline"/>
                      <w:lang w:val="en-US" w:eastAsia="zh-CN"/>
                    </w:rPr>
                    <w:t>2</w:t>
                  </w:r>
                </w:p>
              </w:tc>
              <w:tc>
                <w:tcPr>
                  <w:tcW w:w="994" w:type="dxa"/>
                  <w:tcBorders>
                    <w:tl2br w:val="nil"/>
                    <w:tr2bl w:val="nil"/>
                  </w:tcBorders>
                  <w:vAlign w:val="center"/>
                </w:tcPr>
                <w:p w14:paraId="06FD20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cs="Times New Roman"/>
                      <w:color w:val="auto"/>
                      <w:sz w:val="21"/>
                      <w:szCs w:val="21"/>
                      <w:u w:val="none" w:color="auto"/>
                      <w:vertAlign w:val="baseline"/>
                      <w:lang w:val="en-US" w:eastAsia="zh-CN"/>
                    </w:rPr>
                    <w:t>26.88</w:t>
                  </w:r>
                </w:p>
              </w:tc>
              <w:tc>
                <w:tcPr>
                  <w:tcW w:w="994" w:type="dxa"/>
                  <w:tcBorders>
                    <w:tl2br w:val="nil"/>
                    <w:tr2bl w:val="nil"/>
                  </w:tcBorders>
                  <w:vAlign w:val="center"/>
                </w:tcPr>
                <w:p w14:paraId="643ADB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30</w:t>
                  </w:r>
                </w:p>
              </w:tc>
            </w:tr>
            <w:tr w14:paraId="76B71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903" w:type="dxa"/>
                  <w:vMerge w:val="continue"/>
                  <w:tcBorders>
                    <w:tl2br w:val="nil"/>
                    <w:tr2bl w:val="nil"/>
                  </w:tcBorders>
                  <w:vAlign w:val="center"/>
                </w:tcPr>
                <w:p w14:paraId="1EB2F0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1083" w:type="dxa"/>
                  <w:tcBorders>
                    <w:tl2br w:val="nil"/>
                    <w:tr2bl w:val="nil"/>
                  </w:tcBorders>
                  <w:vAlign w:val="center"/>
                </w:tcPr>
                <w:p w14:paraId="4E2CB0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993" w:type="dxa"/>
                  <w:vMerge w:val="continue"/>
                  <w:tcBorders>
                    <w:tl2br w:val="nil"/>
                    <w:tr2bl w:val="nil"/>
                  </w:tcBorders>
                  <w:vAlign w:val="center"/>
                </w:tcPr>
                <w:p w14:paraId="4DBD7E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0FC15F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2.83</w:t>
                  </w:r>
                </w:p>
              </w:tc>
              <w:tc>
                <w:tcPr>
                  <w:tcW w:w="993" w:type="dxa"/>
                  <w:tcBorders>
                    <w:tl2br w:val="nil"/>
                    <w:tr2bl w:val="nil"/>
                  </w:tcBorders>
                  <w:vAlign w:val="center"/>
                </w:tcPr>
                <w:p w14:paraId="391EE0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38.05</w:t>
                  </w:r>
                </w:p>
              </w:tc>
              <w:tc>
                <w:tcPr>
                  <w:tcW w:w="993" w:type="dxa"/>
                  <w:tcBorders>
                    <w:tl2br w:val="nil"/>
                    <w:tr2bl w:val="nil"/>
                  </w:tcBorders>
                  <w:vAlign w:val="center"/>
                </w:tcPr>
                <w:p w14:paraId="7AE377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2.265</w:t>
                  </w:r>
                </w:p>
              </w:tc>
              <w:tc>
                <w:tcPr>
                  <w:tcW w:w="994" w:type="dxa"/>
                  <w:tcBorders>
                    <w:tl2br w:val="nil"/>
                    <w:tr2bl w:val="nil"/>
                  </w:tcBorders>
                  <w:vAlign w:val="center"/>
                </w:tcPr>
                <w:p w14:paraId="2562DB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30.44</w:t>
                  </w:r>
                </w:p>
              </w:tc>
              <w:tc>
                <w:tcPr>
                  <w:tcW w:w="994" w:type="dxa"/>
                  <w:tcBorders>
                    <w:tl2br w:val="nil"/>
                    <w:tr2bl w:val="nil"/>
                  </w:tcBorders>
                  <w:vAlign w:val="center"/>
                </w:tcPr>
                <w:p w14:paraId="08A7EA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200</w:t>
                  </w:r>
                </w:p>
              </w:tc>
            </w:tr>
            <w:tr w14:paraId="64DE3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3" w:type="dxa"/>
                  <w:vMerge w:val="continue"/>
                  <w:tcBorders>
                    <w:tl2br w:val="nil"/>
                    <w:tr2bl w:val="nil"/>
                  </w:tcBorders>
                  <w:vAlign w:val="center"/>
                </w:tcPr>
                <w:p w14:paraId="594CB4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1083" w:type="dxa"/>
                  <w:tcBorders>
                    <w:tl2br w:val="nil"/>
                    <w:tr2bl w:val="nil"/>
                  </w:tcBorders>
                  <w:vAlign w:val="center"/>
                </w:tcPr>
                <w:p w14:paraId="4D1273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NOx</w:t>
                  </w:r>
                </w:p>
              </w:tc>
              <w:tc>
                <w:tcPr>
                  <w:tcW w:w="993" w:type="dxa"/>
                  <w:vMerge w:val="continue"/>
                  <w:tcBorders>
                    <w:tl2br w:val="nil"/>
                    <w:tr2bl w:val="nil"/>
                  </w:tcBorders>
                  <w:vAlign w:val="center"/>
                </w:tcPr>
                <w:p w14:paraId="661865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72DA78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10.2</w:t>
                  </w:r>
                </w:p>
              </w:tc>
              <w:tc>
                <w:tcPr>
                  <w:tcW w:w="993" w:type="dxa"/>
                  <w:tcBorders>
                    <w:tl2br w:val="nil"/>
                    <w:tr2bl w:val="nil"/>
                  </w:tcBorders>
                  <w:vAlign w:val="center"/>
                </w:tcPr>
                <w:p w14:paraId="2C3FF3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137.11</w:t>
                  </w:r>
                </w:p>
              </w:tc>
              <w:tc>
                <w:tcPr>
                  <w:tcW w:w="993" w:type="dxa"/>
                  <w:tcBorders>
                    <w:tl2br w:val="nil"/>
                    <w:tr2bl w:val="nil"/>
                  </w:tcBorders>
                  <w:vAlign w:val="center"/>
                </w:tcPr>
                <w:p w14:paraId="4BDCDE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rPr>
                  </w:pPr>
                  <w:r>
                    <w:rPr>
                      <w:rFonts w:hint="default" w:ascii="Times New Roman" w:hAnsi="Times New Roman" w:eastAsia="宋体" w:cs="Times New Roman"/>
                      <w:color w:val="auto"/>
                      <w:sz w:val="21"/>
                      <w:szCs w:val="21"/>
                      <w:u w:val="none" w:color="auto"/>
                      <w:vertAlign w:val="baseline"/>
                      <w:lang w:val="en-US" w:eastAsia="zh-CN"/>
                    </w:rPr>
                    <w:t>10.2</w:t>
                  </w:r>
                </w:p>
              </w:tc>
              <w:tc>
                <w:tcPr>
                  <w:tcW w:w="994" w:type="dxa"/>
                  <w:tcBorders>
                    <w:tl2br w:val="nil"/>
                    <w:tr2bl w:val="nil"/>
                  </w:tcBorders>
                  <w:vAlign w:val="center"/>
                </w:tcPr>
                <w:p w14:paraId="10CDE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r>
                    <w:rPr>
                      <w:rFonts w:hint="default" w:ascii="Times New Roman" w:hAnsi="Times New Roman" w:eastAsia="宋体" w:cs="Times New Roman"/>
                      <w:color w:val="auto"/>
                      <w:sz w:val="21"/>
                      <w:szCs w:val="21"/>
                      <w:u w:val="none" w:color="auto"/>
                      <w:vertAlign w:val="baseline"/>
                      <w:lang w:val="en-US" w:eastAsia="zh-CN"/>
                    </w:rPr>
                    <w:t>137.11</w:t>
                  </w:r>
                </w:p>
              </w:tc>
              <w:tc>
                <w:tcPr>
                  <w:tcW w:w="994" w:type="dxa"/>
                  <w:tcBorders>
                    <w:tl2br w:val="nil"/>
                    <w:tr2bl w:val="nil"/>
                  </w:tcBorders>
                  <w:vAlign w:val="center"/>
                </w:tcPr>
                <w:p w14:paraId="031218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200</w:t>
                  </w:r>
                </w:p>
              </w:tc>
            </w:tr>
          </w:tbl>
          <w:p w14:paraId="797D000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u w:val="none" w:color="auto"/>
                <w:lang w:val="en-US" w:eastAsia="zh-CN"/>
              </w:rPr>
            </w:pPr>
            <w:r>
              <w:rPr>
                <w:rFonts w:hint="eastAsia" w:ascii="Times New Roman" w:hAnsi="Times New Roman" w:eastAsia="宋体" w:cs="Times New Roman"/>
                <w:b/>
                <w:bCs/>
                <w:color w:val="auto"/>
                <w:sz w:val="24"/>
                <w:u w:val="none" w:color="auto"/>
                <w:lang w:val="en-US" w:eastAsia="zh-CN"/>
              </w:rPr>
              <w:t>导热油炉：</w:t>
            </w:r>
          </w:p>
          <w:p w14:paraId="1CF4CD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eastAsia" w:ascii="Times New Roman" w:hAnsi="Times New Roman" w:eastAsia="宋体" w:cs="Times New Roman"/>
                <w:color w:val="auto"/>
                <w:sz w:val="24"/>
                <w:u w:val="none" w:color="auto"/>
                <w:lang w:val="en-US" w:eastAsia="zh-CN"/>
              </w:rPr>
              <w:t>本项目设置1台生物质导热油锅炉（</w:t>
            </w:r>
            <w:r>
              <w:rPr>
                <w:rFonts w:hint="default" w:ascii="Times New Roman" w:hAnsi="Times New Roman" w:eastAsia="宋体" w:cs="Times New Roman"/>
                <w:color w:val="auto"/>
                <w:sz w:val="24"/>
                <w:u w:val="none" w:color="auto"/>
                <w:lang w:val="en-US" w:eastAsia="zh-CN"/>
              </w:rPr>
              <w:t>2</w:t>
            </w:r>
            <w:r>
              <w:rPr>
                <w:rFonts w:hint="eastAsia" w:ascii="Times New Roman" w:hAnsi="Times New Roman" w:eastAsia="宋体" w:cs="Times New Roman"/>
                <w:color w:val="auto"/>
                <w:sz w:val="24"/>
                <w:u w:val="none" w:color="auto"/>
                <w:lang w:val="en-US" w:eastAsia="zh-CN"/>
              </w:rPr>
              <w:t>5</w:t>
            </w:r>
            <w:r>
              <w:rPr>
                <w:rFonts w:hint="default" w:ascii="Times New Roman" w:hAnsi="Times New Roman" w:eastAsia="宋体" w:cs="Times New Roman"/>
                <w:color w:val="auto"/>
                <w:sz w:val="24"/>
                <w:u w:val="none" w:color="auto"/>
                <w:lang w:val="en-US" w:eastAsia="zh-CN"/>
              </w:rPr>
              <w:t>0</w:t>
            </w:r>
            <w:r>
              <w:rPr>
                <w:rFonts w:hint="eastAsia" w:ascii="Times New Roman" w:hAnsi="Times New Roman" w:eastAsia="宋体" w:cs="Times New Roman"/>
                <w:color w:val="auto"/>
                <w:sz w:val="24"/>
                <w:u w:val="none" w:color="auto"/>
                <w:lang w:val="en-US" w:eastAsia="zh-CN"/>
              </w:rPr>
              <w:t>万大卡）根据业主提供经验系数，产生</w:t>
            </w:r>
            <w:r>
              <w:rPr>
                <w:rFonts w:hint="default" w:ascii="Times New Roman" w:hAnsi="Times New Roman" w:eastAsia="宋体" w:cs="Times New Roman"/>
                <w:color w:val="auto"/>
                <w:sz w:val="24"/>
                <w:u w:val="none" w:color="auto"/>
                <w:lang w:val="en-US" w:eastAsia="zh-CN"/>
              </w:rPr>
              <w:t>1</w:t>
            </w:r>
            <w:r>
              <w:rPr>
                <w:rFonts w:hint="eastAsia" w:ascii="Times New Roman" w:hAnsi="Times New Roman" w:eastAsia="宋体" w:cs="Times New Roman"/>
                <w:color w:val="auto"/>
                <w:sz w:val="24"/>
                <w:u w:val="none" w:color="auto"/>
                <w:lang w:val="en-US" w:eastAsia="zh-CN"/>
              </w:rPr>
              <w:t>吉焦热量，需要燃生物质约</w:t>
            </w:r>
            <w:r>
              <w:rPr>
                <w:rFonts w:hint="default" w:ascii="Times New Roman" w:hAnsi="Times New Roman" w:eastAsia="宋体" w:cs="Times New Roman"/>
                <w:color w:val="auto"/>
                <w:sz w:val="24"/>
                <w:u w:val="none" w:color="auto"/>
                <w:lang w:val="en-US" w:eastAsia="zh-CN"/>
              </w:rPr>
              <w:t>88kg</w:t>
            </w:r>
            <w:r>
              <w:rPr>
                <w:rFonts w:hint="eastAsia" w:ascii="Times New Roman" w:hAnsi="Times New Roman" w:eastAsia="宋体" w:cs="Times New Roman"/>
                <w:color w:val="auto"/>
                <w:sz w:val="24"/>
                <w:u w:val="none" w:color="auto"/>
                <w:lang w:val="en-US" w:eastAsia="zh-CN"/>
              </w:rPr>
              <w:t>。因此导热油锅炉生物质成型燃料，年消耗量1700</w:t>
            </w:r>
            <w:r>
              <w:rPr>
                <w:rFonts w:hint="default" w:ascii="Times New Roman" w:hAnsi="Times New Roman" w:eastAsia="宋体" w:cs="Times New Roman"/>
                <w:color w:val="auto"/>
                <w:sz w:val="24"/>
                <w:u w:val="none" w:color="auto"/>
                <w:lang w:val="en-US" w:eastAsia="zh-CN"/>
              </w:rPr>
              <w:t>t/a</w:t>
            </w:r>
            <w:r>
              <w:rPr>
                <w:rFonts w:hint="eastAsia" w:ascii="Times New Roman" w:hAnsi="Times New Roman" w:eastAsia="宋体" w:cs="Times New Roman"/>
                <w:color w:val="auto"/>
                <w:sz w:val="24"/>
                <w:u w:val="none" w:color="auto"/>
                <w:lang w:val="en-US" w:eastAsia="zh-CN"/>
              </w:rPr>
              <w:t>（小时最大用量 0.921</w:t>
            </w:r>
            <w:r>
              <w:rPr>
                <w:rFonts w:hint="default" w:ascii="Times New Roman" w:hAnsi="Times New Roman" w:eastAsia="宋体" w:cs="Times New Roman"/>
                <w:color w:val="auto"/>
                <w:sz w:val="24"/>
                <w:u w:val="none" w:color="auto"/>
                <w:lang w:val="en-US" w:eastAsia="zh-CN"/>
              </w:rPr>
              <w:t>t</w:t>
            </w:r>
            <w:r>
              <w:rPr>
                <w:rFonts w:hint="eastAsia" w:ascii="Times New Roman" w:hAnsi="Times New Roman" w:eastAsia="宋体" w:cs="Times New Roman"/>
                <w:color w:val="auto"/>
                <w:sz w:val="24"/>
                <w:u w:val="none" w:color="auto"/>
                <w:lang w:val="en-US" w:eastAsia="zh-CN"/>
              </w:rPr>
              <w:t>），年运行</w:t>
            </w:r>
            <w:r>
              <w:rPr>
                <w:rFonts w:hint="default" w:ascii="Times New Roman" w:hAnsi="Times New Roman" w:eastAsia="宋体" w:cs="Times New Roman"/>
                <w:color w:val="auto"/>
                <w:sz w:val="24"/>
                <w:u w:val="none" w:color="auto"/>
                <w:lang w:val="en-US" w:eastAsia="zh-CN"/>
              </w:rPr>
              <w:t>300</w:t>
            </w:r>
            <w:r>
              <w:rPr>
                <w:rFonts w:hint="eastAsia" w:ascii="Times New Roman" w:hAnsi="Times New Roman" w:eastAsia="宋体" w:cs="Times New Roman"/>
                <w:color w:val="auto"/>
                <w:sz w:val="24"/>
                <w:u w:val="none" w:color="auto"/>
                <w:lang w:val="en-US" w:eastAsia="zh-CN"/>
              </w:rPr>
              <w:t>天，每天运行6小时。小时最大供热量为250万大卡（约10.467吉焦）。</w:t>
            </w:r>
          </w:p>
          <w:p w14:paraId="20E766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新增</w:t>
            </w:r>
            <w:r>
              <w:rPr>
                <w:rFonts w:hint="eastAsia" w:ascii="Times New Roman" w:hAnsi="Times New Roman" w:eastAsia="宋体" w:cs="Times New Roman"/>
                <w:color w:val="auto"/>
                <w:sz w:val="24"/>
                <w:u w:val="none" w:color="auto"/>
                <w:lang w:val="en-US" w:eastAsia="zh-CN"/>
              </w:rPr>
              <w:t>1台生物质导热油锅炉</w:t>
            </w:r>
            <w:r>
              <w:rPr>
                <w:rFonts w:hint="default" w:ascii="Times New Roman" w:hAnsi="Times New Roman" w:eastAsia="宋体" w:cs="Times New Roman"/>
                <w:color w:val="auto"/>
                <w:sz w:val="24"/>
                <w:u w:val="none" w:color="auto"/>
                <w:lang w:val="en-US" w:eastAsia="zh-CN"/>
              </w:rPr>
              <w:t>配套的废气处理措施为多管旋风除尘+布袋除尘器+脱硫塔。根据《污染源源强核算技术指南 锅炉》（HJ991-2018）、《排污许可证申请与核发技术规范锅炉》（HJ953-2018），本项目</w:t>
            </w:r>
            <w:r>
              <w:rPr>
                <w:rFonts w:hint="eastAsia" w:ascii="Times New Roman" w:hAnsi="Times New Roman" w:eastAsia="宋体" w:cs="Times New Roman"/>
                <w:color w:val="auto"/>
                <w:sz w:val="24"/>
                <w:u w:val="none" w:color="auto"/>
                <w:lang w:val="en-US" w:eastAsia="zh-CN"/>
              </w:rPr>
              <w:t>生物质导热油锅炉</w:t>
            </w:r>
            <w:r>
              <w:rPr>
                <w:rFonts w:hint="default" w:ascii="Times New Roman" w:hAnsi="Times New Roman" w:eastAsia="宋体" w:cs="Times New Roman"/>
                <w:color w:val="auto"/>
                <w:sz w:val="24"/>
                <w:u w:val="none" w:color="auto"/>
                <w:lang w:val="en-US" w:eastAsia="zh-CN"/>
              </w:rPr>
              <w:t>源强核算公式确定如下：</w:t>
            </w:r>
          </w:p>
          <w:p w14:paraId="7B1598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①烟气量计算公式 </w:t>
            </w:r>
          </w:p>
          <w:p w14:paraId="71DF27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锅炉》（HJ991-2018）附录C中没有元素分析时，干烟气排放量的经验公式计算参照《排污许可证申请与核发技术规范 锅炉》（HJ953-2018）中表5燃生物质锅炉进行计算。 本项目生物质燃料收到基低位发热量Qnet，ar=16.7MJ/kg≥12.54MJ/kg，Vdaf=75.88%≥15%，基准烟气量（Vgy，Nm</w:t>
            </w:r>
            <w:r>
              <w:rPr>
                <w:rFonts w:hint="default" w:ascii="Times New Roman" w:hAnsi="Times New Roman" w:eastAsia="宋体" w:cs="Times New Roman"/>
                <w:color w:val="auto"/>
                <w:sz w:val="24"/>
                <w:u w:val="none" w:color="auto"/>
                <w:vertAlign w:val="superscript"/>
                <w:lang w:val="en-US" w:eastAsia="zh-CN"/>
              </w:rPr>
              <w:t>3</w:t>
            </w:r>
            <w:r>
              <w:rPr>
                <w:rFonts w:hint="default" w:ascii="Times New Roman" w:hAnsi="Times New Roman" w:eastAsia="宋体" w:cs="Times New Roman"/>
                <w:color w:val="auto"/>
                <w:sz w:val="24"/>
                <w:u w:val="none" w:color="auto"/>
                <w:lang w:val="en-US" w:eastAsia="zh-CN"/>
              </w:rPr>
              <w:t>/kg）公式选择如下：</w:t>
            </w:r>
          </w:p>
          <w:p w14:paraId="2DAC7D3C">
            <w:pPr>
              <w:keepNext w:val="0"/>
              <w:keepLines w:val="0"/>
              <w:widowControl/>
              <w:suppressLineNumbers w:val="0"/>
              <w:jc w:val="center"/>
              <w:rPr>
                <w:rFonts w:hint="default" w:ascii="Times New Roman" w:hAnsi="Times New Roman" w:eastAsia="宋体" w:cs="Times New Roman"/>
                <w:u w:val="none" w:color="auto"/>
              </w:rPr>
            </w:pPr>
            <w:r>
              <w:rPr>
                <w:rFonts w:hint="default" w:ascii="Times New Roman" w:hAnsi="Times New Roman" w:eastAsia="宋体" w:cs="Times New Roman"/>
                <w:b/>
                <w:bCs/>
                <w:color w:val="000000"/>
                <w:kern w:val="0"/>
                <w:sz w:val="24"/>
                <w:szCs w:val="24"/>
                <w:u w:val="none" w:color="auto"/>
                <w:lang w:val="en-US" w:eastAsia="zh-CN" w:bidi="ar"/>
              </w:rPr>
              <w:t>Vgy=0.393Qnet.ar+0.876</w:t>
            </w:r>
          </w:p>
          <w:p w14:paraId="6D4D4D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p>
          <w:p w14:paraId="181CFB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②颗粒物（烟尘）计算公式 </w:t>
            </w:r>
          </w:p>
          <w:p w14:paraId="64733C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锅炉》（HJ991-2018），烟尘排放量依据以下公式计算：</w:t>
            </w:r>
          </w:p>
          <w:p w14:paraId="7F1702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p>
          <w:p w14:paraId="10E3CBB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2524125" cy="895350"/>
                  <wp:effectExtent l="0" t="0" r="9525" b="0"/>
                  <wp:docPr id="22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38"/>
                          <pic:cNvPicPr>
                            <a:picLocks noChangeAspect="1"/>
                          </pic:cNvPicPr>
                        </pic:nvPicPr>
                        <pic:blipFill>
                          <a:blip r:embed="rId25"/>
                          <a:stretch>
                            <a:fillRect/>
                          </a:stretch>
                        </pic:blipFill>
                        <pic:spPr>
                          <a:xfrm>
                            <a:off x="0" y="0"/>
                            <a:ext cx="2524125" cy="895350"/>
                          </a:xfrm>
                          <a:prstGeom prst="rect">
                            <a:avLst/>
                          </a:prstGeom>
                          <a:noFill/>
                          <a:ln>
                            <a:noFill/>
                          </a:ln>
                        </pic:spPr>
                      </pic:pic>
                    </a:graphicData>
                  </a:graphic>
                </wp:inline>
              </w:drawing>
            </w:r>
          </w:p>
          <w:p w14:paraId="50415A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式中：EA：核算时段内颗粒物（烟尘）排放量，t； </w:t>
            </w:r>
          </w:p>
          <w:p w14:paraId="2B1B17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R：核算时段内锅炉燃料耗量，t； </w:t>
            </w:r>
          </w:p>
          <w:p w14:paraId="169BD8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Aar：收到基灰分的质量分数，%；Aar=1.74%； </w:t>
            </w:r>
          </w:p>
          <w:p w14:paraId="795E6F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dfh：锅炉烟气带出的飞灰份额，%；根据附录表B.2，取值90%。 </w:t>
            </w:r>
          </w:p>
          <w:p w14:paraId="05D6AE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ηc：综合除尘效率，%；经查阅资料，布袋除尘器+水膜除尘器除尘效率为99.8%，根据《排污许可证申请与核发技术规范 锅炉》（HJ953-2018）表F.4燃生物质工业锅炉的废气颗粒物（散烧、捆烧）产排污系数，采用旋风除尘+袋式除尘的排污系数为0.38，即除尘效率为99%，脱硫塔对颗粒物也有一定的去除效率，本次环评脱硫塔对颗粒物去除效率按80%计，则旋风除尘+袋式除尘+脱硫塔的除尘效率为99.8%。</w:t>
            </w:r>
          </w:p>
          <w:p w14:paraId="2A56C4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Cfh：飞灰中的可燃物含量，%，（Cfh参考 GB/T15317-2009中表5和 GB/T17954中表4），本项目取值10%。</w:t>
            </w:r>
          </w:p>
          <w:p w14:paraId="0C8C40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③SO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 xml:space="preserve">计算公式 </w:t>
            </w:r>
          </w:p>
          <w:p w14:paraId="0C8A90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根据《污染源源强核算技术指南 锅炉》（HJ991-2018），SO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排放量依据以下公式计算：</w:t>
            </w:r>
          </w:p>
          <w:p w14:paraId="427C40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3819525" cy="628650"/>
                  <wp:effectExtent l="0" t="0" r="9525" b="0"/>
                  <wp:docPr id="22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9"/>
                          <pic:cNvPicPr>
                            <a:picLocks noChangeAspect="1"/>
                          </pic:cNvPicPr>
                        </pic:nvPicPr>
                        <pic:blipFill>
                          <a:blip r:embed="rId26"/>
                          <a:stretch>
                            <a:fillRect/>
                          </a:stretch>
                        </pic:blipFill>
                        <pic:spPr>
                          <a:xfrm>
                            <a:off x="0" y="0"/>
                            <a:ext cx="3819525" cy="628650"/>
                          </a:xfrm>
                          <a:prstGeom prst="rect">
                            <a:avLst/>
                          </a:prstGeom>
                          <a:noFill/>
                          <a:ln>
                            <a:noFill/>
                          </a:ln>
                        </pic:spPr>
                      </pic:pic>
                    </a:graphicData>
                  </a:graphic>
                </wp:inline>
              </w:drawing>
            </w:r>
          </w:p>
          <w:p w14:paraId="5CA9DC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式中：ESO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 xml:space="preserve">：核算时段内二氧化硫排放量，t； </w:t>
            </w:r>
          </w:p>
          <w:p w14:paraId="69719E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R：核算时段内锅炉燃料耗量，t； </w:t>
            </w:r>
          </w:p>
          <w:p w14:paraId="6F6591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Sar：收到基硫的质量分数，%；本项目生物质燃料全硫量为0.</w:t>
            </w:r>
            <w:r>
              <w:rPr>
                <w:rFonts w:hint="eastAsia" w:ascii="Times New Roman" w:hAnsi="Times New Roman" w:eastAsia="宋体" w:cs="Times New Roman"/>
                <w:color w:val="auto"/>
                <w:sz w:val="24"/>
                <w:u w:val="none" w:color="auto"/>
                <w:lang w:val="en-US" w:eastAsia="zh-CN"/>
              </w:rPr>
              <w:t>1</w:t>
            </w:r>
            <w:r>
              <w:rPr>
                <w:rFonts w:hint="default" w:ascii="Times New Roman" w:hAnsi="Times New Roman" w:eastAsia="宋体" w:cs="Times New Roman"/>
                <w:color w:val="auto"/>
                <w:sz w:val="24"/>
                <w:u w:val="none" w:color="auto"/>
                <w:lang w:val="en-US" w:eastAsia="zh-CN"/>
              </w:rPr>
              <w:t>%，折算为收到基硫分约为0.</w:t>
            </w:r>
            <w:r>
              <w:rPr>
                <w:rFonts w:hint="eastAsia" w:ascii="Times New Roman" w:hAnsi="Times New Roman" w:eastAsia="宋体" w:cs="Times New Roman"/>
                <w:color w:val="auto"/>
                <w:sz w:val="24"/>
                <w:u w:val="none" w:color="auto"/>
                <w:lang w:val="en-US" w:eastAsia="zh-CN"/>
              </w:rPr>
              <w:t>11</w:t>
            </w:r>
            <w:r>
              <w:rPr>
                <w:rFonts w:hint="default" w:ascii="Times New Roman" w:hAnsi="Times New Roman" w:eastAsia="宋体" w:cs="Times New Roman"/>
                <w:color w:val="auto"/>
                <w:sz w:val="24"/>
                <w:u w:val="none" w:color="auto"/>
                <w:lang w:val="en-US" w:eastAsia="zh-CN"/>
              </w:rPr>
              <w:t>%，Sar取0.</w:t>
            </w:r>
            <w:r>
              <w:rPr>
                <w:rFonts w:hint="eastAsia" w:ascii="Times New Roman" w:hAnsi="Times New Roman" w:eastAsia="宋体" w:cs="Times New Roman"/>
                <w:color w:val="auto"/>
                <w:sz w:val="24"/>
                <w:u w:val="none" w:color="auto"/>
                <w:lang w:val="en-US" w:eastAsia="zh-CN"/>
              </w:rPr>
              <w:t>11</w:t>
            </w:r>
            <w:r>
              <w:rPr>
                <w:rFonts w:hint="default" w:ascii="Times New Roman" w:hAnsi="Times New Roman" w:eastAsia="宋体" w:cs="Times New Roman"/>
                <w:color w:val="auto"/>
                <w:sz w:val="24"/>
                <w:u w:val="none" w:color="auto"/>
                <w:lang w:val="en-US" w:eastAsia="zh-CN"/>
              </w:rPr>
              <w:t>计算。</w:t>
            </w:r>
          </w:p>
          <w:p w14:paraId="248C6A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q4：锅炉机械不完全燃烧热损失，%；根据HJ991-2018表B.1，本项目锅炉使用的生物质燃料灰分高，故取值15%。 </w:t>
            </w:r>
          </w:p>
          <w:p w14:paraId="460EAF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ηs：脱硫效率，%；脱硫塔对二氧化硫的去除效率约为90%。</w:t>
            </w:r>
          </w:p>
          <w:p w14:paraId="31460F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K：燃料中的硫燃烧后氧化成二氧化硫的份额，根据 HJ991-2018表B.3 燃料中硫转化率取值0.30。</w:t>
            </w:r>
          </w:p>
          <w:p w14:paraId="6261DB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④NOx 计算公式</w:t>
            </w:r>
          </w:p>
          <w:p w14:paraId="5B94F0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锅炉》（HJ991-2018），以产污系数法计算NOx排放量，依据以下公式计算：</w:t>
            </w:r>
          </w:p>
          <w:p w14:paraId="515E8D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1809750" cy="352425"/>
                  <wp:effectExtent l="0" t="0" r="0" b="9525"/>
                  <wp:docPr id="22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41"/>
                          <pic:cNvPicPr>
                            <a:picLocks noChangeAspect="1"/>
                          </pic:cNvPicPr>
                        </pic:nvPicPr>
                        <pic:blipFill>
                          <a:blip r:embed="rId27"/>
                          <a:stretch>
                            <a:fillRect/>
                          </a:stretch>
                        </pic:blipFill>
                        <pic:spPr>
                          <a:xfrm>
                            <a:off x="0" y="0"/>
                            <a:ext cx="1809750" cy="352425"/>
                          </a:xfrm>
                          <a:prstGeom prst="rect">
                            <a:avLst/>
                          </a:prstGeom>
                          <a:noFill/>
                          <a:ln>
                            <a:noFill/>
                          </a:ln>
                        </pic:spPr>
                      </pic:pic>
                    </a:graphicData>
                  </a:graphic>
                </wp:inline>
              </w:drawing>
            </w:r>
          </w:p>
          <w:p w14:paraId="72FBD1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式中：Ej—核算时段内第 j 种污染物排放量，t； </w:t>
            </w:r>
          </w:p>
          <w:p w14:paraId="75CC2F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R—核算时段内锅炉燃料耗量，t； </w:t>
            </w:r>
          </w:p>
          <w:p w14:paraId="526C3A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βj—产污系数，参见全国污染源普查工业污染源普查数据（以最新版本为准），氮氧化物的产污系数为1.02kg/吨－燃料； </w:t>
            </w:r>
          </w:p>
          <w:p w14:paraId="0E6D2E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η—污染物脱除效率，</w:t>
            </w:r>
            <w:r>
              <w:rPr>
                <w:rFonts w:hint="eastAsia" w:ascii="Times New Roman" w:hAnsi="Times New Roman" w:eastAsia="宋体" w:cs="Times New Roman"/>
                <w:color w:val="auto"/>
                <w:sz w:val="24"/>
                <w:u w:val="none" w:color="auto"/>
                <w:lang w:val="en-US" w:eastAsia="zh-CN"/>
              </w:rPr>
              <w:t>导热油炉</w:t>
            </w:r>
            <w:r>
              <w:rPr>
                <w:rFonts w:hint="default" w:ascii="Times New Roman" w:hAnsi="Times New Roman" w:eastAsia="宋体" w:cs="Times New Roman"/>
                <w:color w:val="auto"/>
                <w:sz w:val="24"/>
                <w:u w:val="none" w:color="auto"/>
                <w:lang w:val="en-US" w:eastAsia="zh-CN"/>
              </w:rPr>
              <w:t xml:space="preserve">配套的处理设施无脱硝功能，炉内脱硝0%。 </w:t>
            </w:r>
          </w:p>
          <w:p w14:paraId="68C3C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w:t>
            </w:r>
            <w:r>
              <w:rPr>
                <w:rFonts w:hint="eastAsia" w:ascii="Times New Roman" w:hAnsi="Times New Roman" w:eastAsia="宋体" w:cs="Times New Roman"/>
                <w:color w:val="auto"/>
                <w:sz w:val="24"/>
                <w:u w:val="none" w:color="auto"/>
                <w:lang w:val="en-US" w:eastAsia="zh-CN"/>
              </w:rPr>
              <w:t>导热油炉</w:t>
            </w:r>
            <w:r>
              <w:rPr>
                <w:rFonts w:hint="default" w:ascii="Times New Roman" w:hAnsi="Times New Roman" w:eastAsia="宋体" w:cs="Times New Roman"/>
                <w:color w:val="auto"/>
                <w:sz w:val="24"/>
                <w:u w:val="none" w:color="auto"/>
                <w:lang w:val="en-US" w:eastAsia="zh-CN"/>
              </w:rPr>
              <w:t>年消耗生物质燃料为1</w:t>
            </w:r>
            <w:r>
              <w:rPr>
                <w:rFonts w:hint="eastAsia" w:ascii="Times New Roman" w:hAnsi="Times New Roman" w:eastAsia="宋体" w:cs="Times New Roman"/>
                <w:color w:val="auto"/>
                <w:sz w:val="24"/>
                <w:u w:val="none" w:color="auto"/>
                <w:lang w:val="en-US" w:eastAsia="zh-CN"/>
              </w:rPr>
              <w:t>700</w:t>
            </w:r>
            <w:r>
              <w:rPr>
                <w:rFonts w:hint="default" w:ascii="Times New Roman" w:hAnsi="Times New Roman" w:eastAsia="宋体" w:cs="Times New Roman"/>
                <w:color w:val="auto"/>
                <w:sz w:val="24"/>
                <w:u w:val="none" w:color="auto"/>
                <w:lang w:val="en-US" w:eastAsia="zh-CN"/>
              </w:rPr>
              <w:t>t，年运行时间均为</w:t>
            </w:r>
            <w:r>
              <w:rPr>
                <w:rFonts w:hint="eastAsia" w:ascii="Times New Roman" w:hAnsi="Times New Roman" w:eastAsia="宋体" w:cs="Times New Roman"/>
                <w:color w:val="auto"/>
                <w:sz w:val="24"/>
                <w:u w:val="none" w:color="auto"/>
                <w:lang w:val="en-US" w:eastAsia="zh-CN"/>
              </w:rPr>
              <w:t>1800</w:t>
            </w:r>
            <w:r>
              <w:rPr>
                <w:rFonts w:hint="default" w:ascii="Times New Roman" w:hAnsi="Times New Roman" w:eastAsia="宋体" w:cs="Times New Roman"/>
                <w:color w:val="auto"/>
                <w:sz w:val="24"/>
                <w:u w:val="none" w:color="auto"/>
                <w:lang w:val="en-US" w:eastAsia="zh-CN"/>
              </w:rPr>
              <w:t>h，综合最低除尘效率为99.8%，除硫效率为</w:t>
            </w:r>
            <w:r>
              <w:rPr>
                <w:rFonts w:hint="eastAsia" w:ascii="Times New Roman" w:hAnsi="Times New Roman" w:eastAsia="宋体" w:cs="Times New Roman"/>
                <w:color w:val="auto"/>
                <w:sz w:val="24"/>
                <w:u w:val="none" w:color="auto"/>
                <w:lang w:val="en-US" w:eastAsia="zh-CN"/>
              </w:rPr>
              <w:t>90</w:t>
            </w:r>
            <w:r>
              <w:rPr>
                <w:rFonts w:hint="default" w:ascii="Times New Roman" w:hAnsi="Times New Roman" w:eastAsia="宋体" w:cs="Times New Roman"/>
                <w:color w:val="auto"/>
                <w:sz w:val="24"/>
                <w:u w:val="none" w:color="auto"/>
                <w:lang w:val="en-US" w:eastAsia="zh-CN"/>
              </w:rPr>
              <w:t>%，脱硝效率为0%，本项目</w:t>
            </w:r>
            <w:r>
              <w:rPr>
                <w:rFonts w:hint="eastAsia" w:ascii="Times New Roman" w:hAnsi="Times New Roman" w:eastAsia="宋体" w:cs="Times New Roman"/>
                <w:color w:val="auto"/>
                <w:sz w:val="24"/>
                <w:u w:val="none" w:color="auto"/>
                <w:lang w:val="en-US" w:eastAsia="zh-CN"/>
              </w:rPr>
              <w:t>导热油炉</w:t>
            </w:r>
            <w:r>
              <w:rPr>
                <w:rFonts w:hint="default" w:ascii="Times New Roman" w:hAnsi="Times New Roman" w:eastAsia="宋体" w:cs="Times New Roman"/>
                <w:color w:val="auto"/>
                <w:sz w:val="24"/>
                <w:u w:val="none" w:color="auto"/>
                <w:lang w:val="en-US" w:eastAsia="zh-CN"/>
              </w:rPr>
              <w:t>废气污染物产生及排放情况见表4-</w:t>
            </w:r>
            <w:r>
              <w:rPr>
                <w:rFonts w:hint="eastAsia" w:cs="Times New Roman"/>
                <w:color w:val="auto"/>
                <w:sz w:val="24"/>
                <w:u w:val="none" w:color="auto"/>
                <w:lang w:val="en-US" w:eastAsia="zh-CN"/>
              </w:rPr>
              <w:t>2</w:t>
            </w:r>
            <w:r>
              <w:rPr>
                <w:rFonts w:hint="default" w:ascii="Times New Roman" w:hAnsi="Times New Roman" w:eastAsia="宋体" w:cs="Times New Roman"/>
                <w:color w:val="auto"/>
                <w:sz w:val="24"/>
                <w:u w:val="none" w:color="auto"/>
                <w:lang w:val="en-US" w:eastAsia="zh-CN"/>
              </w:rPr>
              <w:t>。</w:t>
            </w:r>
          </w:p>
          <w:p w14:paraId="0284494A">
            <w:pPr>
              <w:pStyle w:val="12"/>
              <w:keepNext w:val="0"/>
              <w:keepLines w:val="0"/>
              <w:pageBreakBefore w:val="0"/>
              <w:widowControl/>
              <w:kinsoku/>
              <w:wordWrap/>
              <w:overflowPunct/>
              <w:topLinePunct w:val="0"/>
              <w:autoSpaceDE/>
              <w:autoSpaceDN/>
              <w:bidi w:val="0"/>
              <w:adjustRightInd w:val="0"/>
              <w:snapToGrid w:val="0"/>
              <w:spacing w:before="0" w:after="0" w:line="240" w:lineRule="auto"/>
              <w:ind w:right="0"/>
              <w:jc w:val="center"/>
              <w:textAlignment w:val="auto"/>
              <w:rPr>
                <w:rFonts w:hint="default"/>
                <w:b/>
                <w:bCs/>
                <w:sz w:val="21"/>
                <w:szCs w:val="21"/>
              </w:rPr>
            </w:pPr>
            <w:r>
              <w:rPr>
                <w:rFonts w:hint="default" w:ascii="Times New Roman" w:hAnsi="Times New Roman" w:eastAsia="宋体" w:cs="Times New Roman"/>
                <w:b/>
                <w:bCs/>
                <w:color w:val="auto"/>
                <w:sz w:val="21"/>
                <w:szCs w:val="21"/>
                <w:u w:val="none" w:color="auto"/>
                <w:lang w:val="en-US" w:eastAsia="zh-CN"/>
              </w:rPr>
              <w:t>表4-</w:t>
            </w:r>
            <w:r>
              <w:rPr>
                <w:rFonts w:hint="eastAsia" w:cs="Times New Roman"/>
                <w:b/>
                <w:bCs/>
                <w:color w:val="auto"/>
                <w:sz w:val="21"/>
                <w:szCs w:val="21"/>
                <w:u w:val="none" w:color="auto"/>
                <w:lang w:val="en-US" w:eastAsia="zh-CN"/>
              </w:rPr>
              <w:t>2</w:t>
            </w:r>
            <w:r>
              <w:rPr>
                <w:rFonts w:hint="eastAsia" w:ascii="Times New Roman" w:hAnsi="Times New Roman" w:eastAsia="宋体" w:cs="Times New Roman"/>
                <w:b/>
                <w:bCs/>
                <w:color w:val="auto"/>
                <w:sz w:val="21"/>
                <w:szCs w:val="21"/>
                <w:u w:val="none" w:color="auto"/>
                <w:lang w:val="en-US" w:eastAsia="zh-CN"/>
              </w:rPr>
              <w:t>　　</w:t>
            </w:r>
            <w:r>
              <w:rPr>
                <w:rFonts w:hint="default" w:ascii="Times New Roman" w:hAnsi="Times New Roman" w:eastAsia="宋体" w:cs="Times New Roman"/>
                <w:b/>
                <w:bCs/>
                <w:color w:val="auto"/>
                <w:sz w:val="21"/>
                <w:szCs w:val="21"/>
                <w:u w:val="none" w:color="auto"/>
                <w:lang w:val="en-US" w:eastAsia="zh-CN"/>
              </w:rPr>
              <w:t>本项目</w:t>
            </w:r>
            <w:r>
              <w:rPr>
                <w:rFonts w:hint="eastAsia" w:cs="Times New Roman"/>
                <w:b/>
                <w:bCs/>
                <w:color w:val="auto"/>
                <w:sz w:val="21"/>
                <w:szCs w:val="21"/>
                <w:u w:val="none" w:color="auto"/>
                <w:lang w:val="en-US" w:eastAsia="zh-CN"/>
              </w:rPr>
              <w:t>导热油炉</w:t>
            </w:r>
            <w:r>
              <w:rPr>
                <w:rFonts w:hint="default" w:ascii="Times New Roman" w:hAnsi="Times New Roman" w:eastAsia="宋体" w:cs="Times New Roman"/>
                <w:b/>
                <w:bCs/>
                <w:color w:val="auto"/>
                <w:sz w:val="21"/>
                <w:szCs w:val="21"/>
                <w:u w:val="none" w:color="auto"/>
                <w:lang w:val="en-US" w:eastAsia="zh-CN"/>
              </w:rPr>
              <w:t>废气污染物产生及排放情况</w:t>
            </w:r>
          </w:p>
          <w:tbl>
            <w:tblPr>
              <w:tblStyle w:val="27"/>
              <w:tblW w:w="794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083"/>
              <w:gridCol w:w="993"/>
              <w:gridCol w:w="993"/>
              <w:gridCol w:w="993"/>
              <w:gridCol w:w="993"/>
              <w:gridCol w:w="994"/>
              <w:gridCol w:w="994"/>
            </w:tblGrid>
            <w:tr w14:paraId="3D28B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903" w:type="dxa"/>
                  <w:vMerge w:val="restart"/>
                  <w:tcBorders>
                    <w:tl2br w:val="nil"/>
                    <w:tr2bl w:val="nil"/>
                  </w:tcBorders>
                  <w:vAlign w:val="center"/>
                </w:tcPr>
                <w:p w14:paraId="294459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污染源</w:t>
                  </w:r>
                </w:p>
              </w:tc>
              <w:tc>
                <w:tcPr>
                  <w:tcW w:w="1083" w:type="dxa"/>
                  <w:vMerge w:val="restart"/>
                  <w:tcBorders>
                    <w:tl2br w:val="nil"/>
                    <w:tr2bl w:val="nil"/>
                  </w:tcBorders>
                  <w:vAlign w:val="center"/>
                </w:tcPr>
                <w:p w14:paraId="4D00AB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w:t>
                  </w:r>
                </w:p>
              </w:tc>
              <w:tc>
                <w:tcPr>
                  <w:tcW w:w="993" w:type="dxa"/>
                  <w:vMerge w:val="restart"/>
                  <w:tcBorders>
                    <w:tl2br w:val="nil"/>
                    <w:tr2bl w:val="nil"/>
                  </w:tcBorders>
                  <w:vAlign w:val="center"/>
                </w:tcPr>
                <w:p w14:paraId="036D0B49">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u w:val="none" w:color="auto"/>
                    </w:rPr>
                  </w:pPr>
                  <w:r>
                    <w:rPr>
                      <w:rFonts w:hint="default" w:ascii="Times New Roman" w:hAnsi="Times New Roman" w:eastAsia="宋体" w:cs="Times New Roman"/>
                      <w:color w:val="auto"/>
                      <w:sz w:val="21"/>
                      <w:szCs w:val="21"/>
                      <w:u w:val="none" w:color="auto"/>
                      <w:vertAlign w:val="baseline"/>
                      <w:lang w:val="en-US" w:eastAsia="zh-CN"/>
                    </w:rPr>
                    <w:t>烟气量Nm</w:t>
                  </w:r>
                  <w:r>
                    <w:rPr>
                      <w:rFonts w:hint="default" w:ascii="Times New Roman" w:hAnsi="Times New Roman" w:eastAsia="宋体" w:cs="Times New Roman"/>
                      <w:color w:val="auto"/>
                      <w:sz w:val="21"/>
                      <w:szCs w:val="21"/>
                      <w:u w:val="none" w:color="auto"/>
                      <w:vertAlign w:val="superscript"/>
                      <w:lang w:val="en-US" w:eastAsia="zh-CN"/>
                    </w:rPr>
                    <w:t>3</w:t>
                  </w:r>
                  <w:r>
                    <w:rPr>
                      <w:rFonts w:hint="default" w:ascii="Times New Roman" w:hAnsi="Times New Roman" w:eastAsia="宋体" w:cs="Times New Roman"/>
                      <w:color w:val="auto"/>
                      <w:sz w:val="21"/>
                      <w:szCs w:val="21"/>
                      <w:u w:val="none" w:color="auto"/>
                      <w:vertAlign w:val="baseline"/>
                      <w:lang w:val="en-US" w:eastAsia="zh-CN"/>
                    </w:rPr>
                    <w:t>/a</w:t>
                  </w:r>
                </w:p>
                <w:p w14:paraId="1BA17E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c>
                <w:tcPr>
                  <w:tcW w:w="1986" w:type="dxa"/>
                  <w:gridSpan w:val="2"/>
                  <w:tcBorders>
                    <w:tl2br w:val="nil"/>
                    <w:tr2bl w:val="nil"/>
                  </w:tcBorders>
                  <w:vAlign w:val="center"/>
                </w:tcPr>
                <w:p w14:paraId="260D06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污染物产生情况</w:t>
                  </w:r>
                </w:p>
              </w:tc>
              <w:tc>
                <w:tcPr>
                  <w:tcW w:w="1987" w:type="dxa"/>
                  <w:gridSpan w:val="2"/>
                  <w:tcBorders>
                    <w:tl2br w:val="nil"/>
                    <w:tr2bl w:val="nil"/>
                  </w:tcBorders>
                  <w:vAlign w:val="center"/>
                </w:tcPr>
                <w:p w14:paraId="3669D8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污染物排放情况</w:t>
                  </w:r>
                </w:p>
              </w:tc>
              <w:tc>
                <w:tcPr>
                  <w:tcW w:w="994" w:type="dxa"/>
                  <w:vMerge w:val="restart"/>
                  <w:tcBorders>
                    <w:tl2br w:val="nil"/>
                    <w:tr2bl w:val="nil"/>
                  </w:tcBorders>
                  <w:vAlign w:val="center"/>
                </w:tcPr>
                <w:p w14:paraId="2915ED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标准限值mg/m</w:t>
                  </w:r>
                  <w:r>
                    <w:rPr>
                      <w:rFonts w:hint="default" w:ascii="Times New Roman" w:hAnsi="Times New Roman" w:eastAsia="宋体" w:cs="Times New Roman"/>
                      <w:color w:val="auto"/>
                      <w:sz w:val="21"/>
                      <w:szCs w:val="21"/>
                      <w:u w:val="none" w:color="auto"/>
                      <w:vertAlign w:val="superscript"/>
                      <w:lang w:val="en-US" w:eastAsia="zh-CN"/>
                    </w:rPr>
                    <w:t>3</w:t>
                  </w:r>
                </w:p>
              </w:tc>
            </w:tr>
            <w:tr w14:paraId="67FFC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3" w:type="dxa"/>
                  <w:vMerge w:val="continue"/>
                  <w:tcBorders>
                    <w:tl2br w:val="nil"/>
                    <w:tr2bl w:val="nil"/>
                  </w:tcBorders>
                  <w:vAlign w:val="center"/>
                </w:tcPr>
                <w:p w14:paraId="016E40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c>
                <w:tcPr>
                  <w:tcW w:w="1083" w:type="dxa"/>
                  <w:vMerge w:val="continue"/>
                  <w:tcBorders>
                    <w:tl2br w:val="nil"/>
                    <w:tr2bl w:val="nil"/>
                  </w:tcBorders>
                  <w:vAlign w:val="center"/>
                </w:tcPr>
                <w:p w14:paraId="19D21F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vMerge w:val="continue"/>
                  <w:tcBorders>
                    <w:tl2br w:val="nil"/>
                    <w:tr2bl w:val="nil"/>
                  </w:tcBorders>
                  <w:vAlign w:val="center"/>
                </w:tcPr>
                <w:p w14:paraId="280C23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0FD4B1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产生量t/a</w:t>
                  </w:r>
                </w:p>
              </w:tc>
              <w:tc>
                <w:tcPr>
                  <w:tcW w:w="993" w:type="dxa"/>
                  <w:tcBorders>
                    <w:tl2br w:val="nil"/>
                    <w:tr2bl w:val="nil"/>
                  </w:tcBorders>
                  <w:vAlign w:val="center"/>
                </w:tcPr>
                <w:p w14:paraId="6E24DD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产生浓度mg/m</w:t>
                  </w:r>
                  <w:r>
                    <w:rPr>
                      <w:rFonts w:hint="default" w:ascii="Times New Roman" w:hAnsi="Times New Roman" w:eastAsia="宋体" w:cs="Times New Roman"/>
                      <w:color w:val="auto"/>
                      <w:sz w:val="21"/>
                      <w:szCs w:val="21"/>
                      <w:u w:val="none" w:color="auto"/>
                      <w:vertAlign w:val="superscript"/>
                      <w:lang w:val="en-US" w:eastAsia="zh-CN"/>
                    </w:rPr>
                    <w:t>3</w:t>
                  </w:r>
                </w:p>
              </w:tc>
              <w:tc>
                <w:tcPr>
                  <w:tcW w:w="993" w:type="dxa"/>
                  <w:tcBorders>
                    <w:tl2br w:val="nil"/>
                    <w:tr2bl w:val="nil"/>
                  </w:tcBorders>
                  <w:vAlign w:val="center"/>
                </w:tcPr>
                <w:p w14:paraId="4C7C04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排放量t/a</w:t>
                  </w:r>
                </w:p>
              </w:tc>
              <w:tc>
                <w:tcPr>
                  <w:tcW w:w="994" w:type="dxa"/>
                  <w:tcBorders>
                    <w:tl2br w:val="nil"/>
                    <w:tr2bl w:val="nil"/>
                  </w:tcBorders>
                  <w:vAlign w:val="center"/>
                </w:tcPr>
                <w:p w14:paraId="16CFC4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排放浓度mg/m</w:t>
                  </w:r>
                  <w:r>
                    <w:rPr>
                      <w:rFonts w:hint="default" w:ascii="Times New Roman" w:hAnsi="Times New Roman" w:eastAsia="宋体" w:cs="Times New Roman"/>
                      <w:color w:val="auto"/>
                      <w:sz w:val="21"/>
                      <w:szCs w:val="21"/>
                      <w:u w:val="none" w:color="auto"/>
                      <w:vertAlign w:val="superscript"/>
                      <w:lang w:val="en-US" w:eastAsia="zh-CN"/>
                    </w:rPr>
                    <w:t>3</w:t>
                  </w:r>
                </w:p>
              </w:tc>
              <w:tc>
                <w:tcPr>
                  <w:tcW w:w="994" w:type="dxa"/>
                  <w:vMerge w:val="continue"/>
                  <w:tcBorders>
                    <w:tl2br w:val="nil"/>
                    <w:tr2bl w:val="nil"/>
                  </w:tcBorders>
                  <w:vAlign w:val="center"/>
                </w:tcPr>
                <w:p w14:paraId="07A21E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p>
              </w:tc>
            </w:tr>
            <w:tr w14:paraId="609E0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03" w:type="dxa"/>
                  <w:vMerge w:val="restart"/>
                  <w:tcBorders>
                    <w:tl2br w:val="nil"/>
                    <w:tr2bl w:val="nil"/>
                  </w:tcBorders>
                  <w:vAlign w:val="center"/>
                </w:tcPr>
                <w:p w14:paraId="2BFFC6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r>
                    <w:rPr>
                      <w:rFonts w:hint="eastAsia" w:ascii="Times New Roman" w:hAnsi="Times New Roman" w:eastAsia="宋体" w:cs="Times New Roman"/>
                      <w:color w:val="auto"/>
                      <w:sz w:val="21"/>
                      <w:szCs w:val="21"/>
                      <w:u w:val="none" w:color="auto"/>
                      <w:vertAlign w:val="baseline"/>
                      <w:lang w:val="en-US" w:eastAsia="zh-CN"/>
                    </w:rPr>
                    <w:t>DA00</w:t>
                  </w:r>
                  <w:r>
                    <w:rPr>
                      <w:rFonts w:hint="eastAsia" w:cs="Times New Roman"/>
                      <w:color w:val="auto"/>
                      <w:sz w:val="21"/>
                      <w:szCs w:val="21"/>
                      <w:u w:val="none" w:color="auto"/>
                      <w:vertAlign w:val="baseline"/>
                      <w:lang w:val="en-US" w:eastAsia="zh-CN"/>
                    </w:rPr>
                    <w:t>2</w:t>
                  </w:r>
                </w:p>
              </w:tc>
              <w:tc>
                <w:tcPr>
                  <w:tcW w:w="1083" w:type="dxa"/>
                  <w:tcBorders>
                    <w:tl2br w:val="nil"/>
                    <w:tr2bl w:val="nil"/>
                  </w:tcBorders>
                  <w:vAlign w:val="center"/>
                </w:tcPr>
                <w:p w14:paraId="65DA70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993" w:type="dxa"/>
                  <w:vMerge w:val="restart"/>
                  <w:tcBorders>
                    <w:tl2br w:val="nil"/>
                    <w:tr2bl w:val="nil"/>
                  </w:tcBorders>
                  <w:vAlign w:val="center"/>
                </w:tcPr>
                <w:p w14:paraId="7742B4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12646000</w:t>
                  </w:r>
                </w:p>
              </w:tc>
              <w:tc>
                <w:tcPr>
                  <w:tcW w:w="993" w:type="dxa"/>
                  <w:tcBorders>
                    <w:tl2br w:val="nil"/>
                    <w:tr2bl w:val="nil"/>
                  </w:tcBorders>
                  <w:vAlign w:val="center"/>
                </w:tcPr>
                <w:p w14:paraId="2C6758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29.6</w:t>
                  </w:r>
                </w:p>
              </w:tc>
              <w:tc>
                <w:tcPr>
                  <w:tcW w:w="993" w:type="dxa"/>
                  <w:tcBorders>
                    <w:tl2br w:val="nil"/>
                    <w:tr2bl w:val="nil"/>
                  </w:tcBorders>
                  <w:vAlign w:val="center"/>
                </w:tcPr>
                <w:p w14:paraId="613766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397.8</w:t>
                  </w:r>
                </w:p>
              </w:tc>
              <w:tc>
                <w:tcPr>
                  <w:tcW w:w="993" w:type="dxa"/>
                  <w:tcBorders>
                    <w:tl2br w:val="nil"/>
                    <w:tr2bl w:val="nil"/>
                  </w:tcBorders>
                  <w:vAlign w:val="center"/>
                </w:tcPr>
                <w:p w14:paraId="1D094E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0.06</w:t>
                  </w:r>
                </w:p>
              </w:tc>
              <w:tc>
                <w:tcPr>
                  <w:tcW w:w="994" w:type="dxa"/>
                  <w:tcBorders>
                    <w:tl2br w:val="nil"/>
                    <w:tr2bl w:val="nil"/>
                  </w:tcBorders>
                  <w:vAlign w:val="center"/>
                </w:tcPr>
                <w:p w14:paraId="641F9A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0.8</w:t>
                  </w:r>
                </w:p>
              </w:tc>
              <w:tc>
                <w:tcPr>
                  <w:tcW w:w="994" w:type="dxa"/>
                  <w:tcBorders>
                    <w:tl2br w:val="nil"/>
                    <w:tr2bl w:val="nil"/>
                  </w:tcBorders>
                  <w:vAlign w:val="center"/>
                </w:tcPr>
                <w:p w14:paraId="7E8BB5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30</w:t>
                  </w:r>
                </w:p>
              </w:tc>
            </w:tr>
            <w:tr w14:paraId="0F75F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3" w:type="dxa"/>
                  <w:vMerge w:val="continue"/>
                  <w:tcBorders>
                    <w:tl2br w:val="nil"/>
                    <w:tr2bl w:val="nil"/>
                  </w:tcBorders>
                  <w:vAlign w:val="center"/>
                </w:tcPr>
                <w:p w14:paraId="357CFC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1083" w:type="dxa"/>
                  <w:tcBorders>
                    <w:tl2br w:val="nil"/>
                    <w:tr2bl w:val="nil"/>
                  </w:tcBorders>
                  <w:vAlign w:val="center"/>
                </w:tcPr>
                <w:p w14:paraId="1C238E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993" w:type="dxa"/>
                  <w:vMerge w:val="continue"/>
                  <w:tcBorders>
                    <w:tl2br w:val="nil"/>
                    <w:tr2bl w:val="nil"/>
                  </w:tcBorders>
                  <w:vAlign w:val="center"/>
                </w:tcPr>
                <w:p w14:paraId="2C6E5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2C1D2D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0.96</w:t>
                  </w:r>
                </w:p>
              </w:tc>
              <w:tc>
                <w:tcPr>
                  <w:tcW w:w="993" w:type="dxa"/>
                  <w:tcBorders>
                    <w:tl2br w:val="nil"/>
                    <w:tr2bl w:val="nil"/>
                  </w:tcBorders>
                  <w:vAlign w:val="center"/>
                </w:tcPr>
                <w:p w14:paraId="5BE274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12.94</w:t>
                  </w:r>
                </w:p>
              </w:tc>
              <w:tc>
                <w:tcPr>
                  <w:tcW w:w="993" w:type="dxa"/>
                  <w:tcBorders>
                    <w:tl2br w:val="nil"/>
                    <w:tr2bl w:val="nil"/>
                  </w:tcBorders>
                  <w:vAlign w:val="center"/>
                </w:tcPr>
                <w:p w14:paraId="0A482C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0.096</w:t>
                  </w:r>
                </w:p>
              </w:tc>
              <w:tc>
                <w:tcPr>
                  <w:tcW w:w="994" w:type="dxa"/>
                  <w:tcBorders>
                    <w:tl2br w:val="nil"/>
                    <w:tr2bl w:val="nil"/>
                  </w:tcBorders>
                  <w:vAlign w:val="center"/>
                </w:tcPr>
                <w:p w14:paraId="34D3BB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1.294</w:t>
                  </w:r>
                </w:p>
              </w:tc>
              <w:tc>
                <w:tcPr>
                  <w:tcW w:w="994" w:type="dxa"/>
                  <w:tcBorders>
                    <w:tl2br w:val="nil"/>
                    <w:tr2bl w:val="nil"/>
                  </w:tcBorders>
                  <w:vAlign w:val="center"/>
                </w:tcPr>
                <w:p w14:paraId="2F8A54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200</w:t>
                  </w:r>
                </w:p>
              </w:tc>
            </w:tr>
            <w:tr w14:paraId="13A1D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3" w:type="dxa"/>
                  <w:vMerge w:val="continue"/>
                  <w:tcBorders>
                    <w:tl2br w:val="nil"/>
                    <w:tr2bl w:val="nil"/>
                  </w:tcBorders>
                  <w:vAlign w:val="center"/>
                </w:tcPr>
                <w:p w14:paraId="2A44D7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1083" w:type="dxa"/>
                  <w:tcBorders>
                    <w:tl2br w:val="nil"/>
                    <w:tr2bl w:val="nil"/>
                  </w:tcBorders>
                  <w:vAlign w:val="center"/>
                </w:tcPr>
                <w:p w14:paraId="602188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NOx</w:t>
                  </w:r>
                </w:p>
              </w:tc>
              <w:tc>
                <w:tcPr>
                  <w:tcW w:w="993" w:type="dxa"/>
                  <w:vMerge w:val="continue"/>
                  <w:tcBorders>
                    <w:tl2br w:val="nil"/>
                    <w:tr2bl w:val="nil"/>
                  </w:tcBorders>
                  <w:vAlign w:val="center"/>
                </w:tcPr>
                <w:p w14:paraId="5DA7D4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p>
              </w:tc>
              <w:tc>
                <w:tcPr>
                  <w:tcW w:w="993" w:type="dxa"/>
                  <w:tcBorders>
                    <w:tl2br w:val="nil"/>
                    <w:tr2bl w:val="nil"/>
                  </w:tcBorders>
                  <w:vAlign w:val="center"/>
                </w:tcPr>
                <w:p w14:paraId="45C2D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1.73</w:t>
                  </w:r>
                </w:p>
              </w:tc>
              <w:tc>
                <w:tcPr>
                  <w:tcW w:w="993" w:type="dxa"/>
                  <w:tcBorders>
                    <w:tl2br w:val="nil"/>
                    <w:tr2bl w:val="nil"/>
                  </w:tcBorders>
                  <w:vAlign w:val="center"/>
                </w:tcPr>
                <w:p w14:paraId="788F21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23.34</w:t>
                  </w:r>
                </w:p>
              </w:tc>
              <w:tc>
                <w:tcPr>
                  <w:tcW w:w="993" w:type="dxa"/>
                  <w:tcBorders>
                    <w:tl2br w:val="nil"/>
                    <w:tr2bl w:val="nil"/>
                  </w:tcBorders>
                  <w:vAlign w:val="center"/>
                </w:tcPr>
                <w:p w14:paraId="0C8831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rPr>
                  </w:pPr>
                  <w:r>
                    <w:rPr>
                      <w:rFonts w:hint="eastAsia" w:ascii="Times New Roman" w:hAnsi="Times New Roman" w:eastAsia="宋体" w:cs="Times New Roman"/>
                      <w:color w:val="auto"/>
                      <w:sz w:val="21"/>
                      <w:szCs w:val="21"/>
                      <w:u w:val="none" w:color="auto"/>
                      <w:vertAlign w:val="baseline"/>
                      <w:lang w:val="en-US" w:eastAsia="zh-CN"/>
                    </w:rPr>
                    <w:t>1.73</w:t>
                  </w:r>
                </w:p>
              </w:tc>
              <w:tc>
                <w:tcPr>
                  <w:tcW w:w="994" w:type="dxa"/>
                  <w:tcBorders>
                    <w:tl2br w:val="nil"/>
                    <w:tr2bl w:val="nil"/>
                  </w:tcBorders>
                  <w:vAlign w:val="center"/>
                </w:tcPr>
                <w:p w14:paraId="74192B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rPr>
                  </w:pPr>
                  <w:r>
                    <w:rPr>
                      <w:rFonts w:hint="eastAsia" w:ascii="Times New Roman" w:hAnsi="Times New Roman" w:eastAsia="宋体" w:cs="Times New Roman"/>
                      <w:color w:val="auto"/>
                      <w:sz w:val="21"/>
                      <w:szCs w:val="21"/>
                      <w:u w:val="none" w:color="auto"/>
                      <w:vertAlign w:val="baseline"/>
                      <w:lang w:val="en-US" w:eastAsia="zh-CN"/>
                    </w:rPr>
                    <w:t>23.34</w:t>
                  </w:r>
                </w:p>
              </w:tc>
              <w:tc>
                <w:tcPr>
                  <w:tcW w:w="994" w:type="dxa"/>
                  <w:tcBorders>
                    <w:tl2br w:val="nil"/>
                    <w:tr2bl w:val="nil"/>
                  </w:tcBorders>
                  <w:vAlign w:val="center"/>
                </w:tcPr>
                <w:p w14:paraId="701987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200</w:t>
                  </w:r>
                </w:p>
              </w:tc>
            </w:tr>
          </w:tbl>
          <w:p w14:paraId="0242E2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由表可见，本项目生物质锅炉</w:t>
            </w:r>
            <w:r>
              <w:rPr>
                <w:rFonts w:hint="eastAsia" w:cs="Times New Roman"/>
                <w:color w:val="auto"/>
                <w:sz w:val="24"/>
                <w:u w:val="none" w:color="auto"/>
                <w:lang w:val="en-US" w:eastAsia="zh-CN"/>
              </w:rPr>
              <w:t>和生物质导热油锅炉</w:t>
            </w:r>
            <w:r>
              <w:rPr>
                <w:rFonts w:hint="default" w:ascii="Times New Roman" w:hAnsi="Times New Roman" w:eastAsia="宋体" w:cs="Times New Roman"/>
                <w:color w:val="auto"/>
                <w:sz w:val="24"/>
                <w:u w:val="none" w:color="auto"/>
                <w:lang w:val="en-US" w:eastAsia="zh-CN"/>
              </w:rPr>
              <w:t>废气中颗粒物、SO</w:t>
            </w:r>
            <w:r>
              <w:rPr>
                <w:rFonts w:hint="default" w:ascii="Times New Roman" w:hAnsi="Times New Roman" w:eastAsia="宋体" w:cs="Times New Roman"/>
                <w:color w:val="auto"/>
                <w:sz w:val="24"/>
                <w:u w:val="none" w:color="auto"/>
                <w:vertAlign w:val="subscript"/>
                <w:lang w:val="en-US" w:eastAsia="zh-CN"/>
              </w:rPr>
              <w:t>2</w:t>
            </w:r>
            <w:r>
              <w:rPr>
                <w:rFonts w:hint="default" w:ascii="Times New Roman" w:hAnsi="Times New Roman" w:eastAsia="宋体" w:cs="Times New Roman"/>
                <w:color w:val="auto"/>
                <w:sz w:val="24"/>
                <w:u w:val="none" w:color="auto"/>
                <w:lang w:val="en-US" w:eastAsia="zh-CN"/>
              </w:rPr>
              <w:t>、NO</w:t>
            </w:r>
            <w:r>
              <w:rPr>
                <w:rFonts w:hint="default" w:ascii="Times New Roman" w:hAnsi="Times New Roman" w:eastAsia="宋体" w:cs="Times New Roman"/>
                <w:color w:val="auto"/>
                <w:sz w:val="24"/>
                <w:u w:val="none" w:color="auto"/>
                <w:vertAlign w:val="subscript"/>
                <w:lang w:val="en-US" w:eastAsia="zh-CN"/>
              </w:rPr>
              <w:t>X</w:t>
            </w:r>
            <w:r>
              <w:rPr>
                <w:rFonts w:hint="default" w:ascii="Times New Roman" w:hAnsi="Times New Roman" w:eastAsia="宋体" w:cs="Times New Roman"/>
                <w:color w:val="auto"/>
                <w:sz w:val="24"/>
                <w:u w:val="none" w:color="auto"/>
                <w:lang w:val="en-US" w:eastAsia="zh-CN"/>
              </w:rPr>
              <w:t>排放浓度</w:t>
            </w:r>
            <w:r>
              <w:rPr>
                <w:rFonts w:hint="eastAsia" w:cs="Times New Roman"/>
                <w:color w:val="auto"/>
                <w:sz w:val="24"/>
                <w:u w:val="none" w:color="auto"/>
                <w:lang w:val="en-US" w:eastAsia="zh-CN"/>
              </w:rPr>
              <w:t>均</w:t>
            </w:r>
            <w:r>
              <w:rPr>
                <w:rFonts w:hint="default" w:ascii="Times New Roman" w:hAnsi="Times New Roman" w:eastAsia="宋体" w:cs="Times New Roman"/>
                <w:color w:val="auto"/>
                <w:sz w:val="24"/>
                <w:u w:val="none" w:color="auto"/>
                <w:lang w:val="en-US" w:eastAsia="zh-CN"/>
              </w:rPr>
              <w:t>能够满足《锅炉大气污染物排放标准》（GB13271-2014）表3大气污染物特别排放限值；类比同类生物质锅炉监测数据，林格曼烟气黑度均＜1级，满足《锅炉大气污染物排放标准》（GB13271-2014）表 2 新建锅炉大气污染物排放浓度限值要求。</w:t>
            </w:r>
          </w:p>
          <w:p w14:paraId="750A2F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（2）无组织废气 </w:t>
            </w:r>
          </w:p>
          <w:p w14:paraId="20FFE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本项目生物资燃料上料通过管道抽送，基本无粉尘产生，除尘灰和炉渣收集过程中会产生无组织粉尘，企业采取湿法降尘措施抑制无组织逸散，采取袋装收集封袋贮存的方式，可以防止贮存过程中产生粉尘。</w:t>
            </w:r>
          </w:p>
          <w:p w14:paraId="44CB46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①炉渣量计算 </w:t>
            </w:r>
          </w:p>
          <w:p w14:paraId="4F5846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根据《污染源源强核算技术指南 锅炉》（HJ 991-2018）8.1.1 燃煤、燃生物质锅炉灰渣产生量可根据灰渣平衡按下面公式计算。</w:t>
            </w:r>
          </w:p>
          <w:p w14:paraId="6BE30A6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u w:val="none" w:color="auto"/>
              </w:rPr>
              <w:drawing>
                <wp:inline distT="0" distB="0" distL="114300" distR="114300">
                  <wp:extent cx="2343150" cy="571500"/>
                  <wp:effectExtent l="0" t="0" r="0" b="0"/>
                  <wp:docPr id="5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2"/>
                          <pic:cNvPicPr>
                            <a:picLocks noChangeAspect="1"/>
                          </pic:cNvPicPr>
                        </pic:nvPicPr>
                        <pic:blipFill>
                          <a:blip r:embed="rId28"/>
                          <a:stretch>
                            <a:fillRect/>
                          </a:stretch>
                        </pic:blipFill>
                        <pic:spPr>
                          <a:xfrm>
                            <a:off x="0" y="0"/>
                            <a:ext cx="2343150" cy="571500"/>
                          </a:xfrm>
                          <a:prstGeom prst="rect">
                            <a:avLst/>
                          </a:prstGeom>
                          <a:noFill/>
                          <a:ln>
                            <a:noFill/>
                          </a:ln>
                        </pic:spPr>
                      </pic:pic>
                    </a:graphicData>
                  </a:graphic>
                </wp:inline>
              </w:drawing>
            </w:r>
          </w:p>
          <w:p w14:paraId="688E82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式中：Ehz——核算时段内灰渣产生量，t，根据飞灰份额 dfh可分别核算飞灰、灰渣产生量； </w:t>
            </w:r>
          </w:p>
          <w:p w14:paraId="38D2EE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R——核算时段内锅炉燃料耗量，t； </w:t>
            </w:r>
          </w:p>
          <w:p w14:paraId="4D786E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Aar——收到基灰分的质量分数，％，</w:t>
            </w:r>
            <w:r>
              <w:rPr>
                <w:rFonts w:hint="eastAsia" w:cs="Times New Roman"/>
                <w:color w:val="auto"/>
                <w:sz w:val="24"/>
                <w:u w:val="none" w:color="auto"/>
                <w:lang w:val="en-US" w:eastAsia="zh-CN"/>
              </w:rPr>
              <w:t>成型生物质</w:t>
            </w:r>
            <w:r>
              <w:rPr>
                <w:rFonts w:hint="default" w:ascii="Times New Roman" w:hAnsi="Times New Roman" w:eastAsia="宋体" w:cs="Times New Roman"/>
                <w:color w:val="auto"/>
                <w:sz w:val="24"/>
                <w:u w:val="none" w:color="auto"/>
                <w:lang w:val="en-US" w:eastAsia="zh-CN"/>
              </w:rPr>
              <w:t>Aar=1.74</w:t>
            </w:r>
            <w:r>
              <w:rPr>
                <w:rFonts w:hint="eastAsia" w:ascii="Times New Roman" w:hAnsi="Times New Roman" w:eastAsia="宋体" w:cs="Times New Roman"/>
                <w:color w:val="auto"/>
                <w:sz w:val="24"/>
                <w:u w:val="none" w:color="auto"/>
                <w:lang w:val="en-US" w:eastAsia="zh-CN"/>
              </w:rPr>
              <w:t>，</w:t>
            </w:r>
            <w:r>
              <w:rPr>
                <w:rFonts w:hint="eastAsia" w:cs="Times New Roman"/>
                <w:color w:val="auto"/>
                <w:sz w:val="24"/>
                <w:u w:val="none" w:color="auto"/>
                <w:lang w:val="en-US" w:eastAsia="zh-CN"/>
              </w:rPr>
              <w:t>生物质（秸秆等）</w:t>
            </w:r>
            <w:r>
              <w:rPr>
                <w:rFonts w:hint="default" w:ascii="Times New Roman" w:hAnsi="Times New Roman" w:eastAsia="宋体" w:cs="Times New Roman"/>
                <w:color w:val="auto"/>
                <w:sz w:val="24"/>
                <w:u w:val="none" w:color="auto"/>
                <w:lang w:val="en-US" w:eastAsia="zh-CN"/>
              </w:rPr>
              <w:t>Aar=1</w:t>
            </w:r>
            <w:r>
              <w:rPr>
                <w:rFonts w:hint="eastAsia" w:cs="Times New Roman"/>
                <w:color w:val="auto"/>
                <w:sz w:val="24"/>
                <w:u w:val="none" w:color="auto"/>
                <w:lang w:val="en-US" w:eastAsia="zh-CN"/>
              </w:rPr>
              <w:t>0</w:t>
            </w:r>
            <w:r>
              <w:rPr>
                <w:rFonts w:hint="default" w:ascii="Times New Roman" w:hAnsi="Times New Roman" w:eastAsia="宋体" w:cs="Times New Roman"/>
                <w:color w:val="auto"/>
                <w:sz w:val="24"/>
                <w:u w:val="none" w:color="auto"/>
                <w:lang w:val="en-US" w:eastAsia="zh-CN"/>
              </w:rPr>
              <w:t xml:space="preserve">； </w:t>
            </w:r>
          </w:p>
          <w:p w14:paraId="48E44C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q</w:t>
            </w:r>
            <w:r>
              <w:rPr>
                <w:rFonts w:hint="default" w:ascii="Times New Roman" w:hAnsi="Times New Roman" w:eastAsia="宋体" w:cs="Times New Roman"/>
                <w:color w:val="auto"/>
                <w:sz w:val="24"/>
                <w:u w:val="none" w:color="auto"/>
                <w:vertAlign w:val="subscript"/>
                <w:lang w:val="en-US" w:eastAsia="zh-CN"/>
              </w:rPr>
              <w:t>4</w:t>
            </w:r>
            <w:r>
              <w:rPr>
                <w:rFonts w:hint="default" w:ascii="Times New Roman" w:hAnsi="Times New Roman" w:eastAsia="宋体" w:cs="Times New Roman"/>
                <w:color w:val="auto"/>
                <w:sz w:val="24"/>
                <w:u w:val="none" w:color="auto"/>
                <w:lang w:val="en-US" w:eastAsia="zh-CN"/>
              </w:rPr>
              <w:t>——锅炉机械不完全燃烧热损失，%；根据 HJ991-2018表B.1，本项目锅炉使用的生物质燃料灰分高，故取值1</w:t>
            </w:r>
            <w:r>
              <w:rPr>
                <w:rFonts w:hint="eastAsia" w:cs="Times New Roman"/>
                <w:color w:val="auto"/>
                <w:sz w:val="24"/>
                <w:u w:val="none" w:color="auto"/>
                <w:lang w:val="en-US" w:eastAsia="zh-CN"/>
              </w:rPr>
              <w:t>0</w:t>
            </w:r>
            <w:r>
              <w:rPr>
                <w:rFonts w:hint="default" w:ascii="Times New Roman" w:hAnsi="Times New Roman" w:eastAsia="宋体" w:cs="Times New Roman"/>
                <w:color w:val="auto"/>
                <w:sz w:val="24"/>
                <w:u w:val="none" w:color="auto"/>
                <w:lang w:val="en-US" w:eastAsia="zh-CN"/>
              </w:rPr>
              <w:t xml:space="preserve">； </w:t>
            </w:r>
          </w:p>
          <w:p w14:paraId="0CD574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Qnet,ar——收到基低位发热量，kJ/kg，本项目</w:t>
            </w:r>
            <w:r>
              <w:rPr>
                <w:rFonts w:hint="eastAsia" w:cs="Times New Roman"/>
                <w:color w:val="auto"/>
                <w:sz w:val="24"/>
                <w:u w:val="none" w:color="auto"/>
                <w:lang w:val="en-US" w:eastAsia="zh-CN"/>
              </w:rPr>
              <w:t>成型生物质</w:t>
            </w:r>
            <w:r>
              <w:rPr>
                <w:rFonts w:hint="default" w:ascii="Times New Roman" w:hAnsi="Times New Roman" w:eastAsia="宋体" w:cs="Times New Roman"/>
                <w:color w:val="auto"/>
                <w:sz w:val="24"/>
                <w:u w:val="none" w:color="auto"/>
                <w:lang w:val="en-US" w:eastAsia="zh-CN"/>
              </w:rPr>
              <w:t>取16700kJ/kg</w:t>
            </w:r>
            <w:r>
              <w:rPr>
                <w:rFonts w:hint="eastAsia" w:cs="Times New Roman"/>
                <w:color w:val="auto"/>
                <w:sz w:val="24"/>
                <w:u w:val="none" w:color="auto"/>
                <w:lang w:val="en-US" w:eastAsia="zh-CN"/>
              </w:rPr>
              <w:t>、生物质（秸秆等）</w:t>
            </w:r>
            <w:r>
              <w:rPr>
                <w:rFonts w:hint="default" w:ascii="Times New Roman" w:hAnsi="Times New Roman" w:eastAsia="宋体" w:cs="Times New Roman"/>
                <w:color w:val="auto"/>
                <w:sz w:val="24"/>
                <w:u w:val="none" w:color="auto"/>
                <w:lang w:val="en-US" w:eastAsia="zh-CN"/>
              </w:rPr>
              <w:t>取1</w:t>
            </w:r>
            <w:r>
              <w:rPr>
                <w:rFonts w:hint="eastAsia" w:ascii="Times New Roman" w:hAnsi="Times New Roman" w:eastAsia="宋体" w:cs="Times New Roman"/>
                <w:color w:val="auto"/>
                <w:sz w:val="24"/>
                <w:u w:val="none" w:color="auto"/>
                <w:lang w:val="en-US" w:eastAsia="zh-CN"/>
              </w:rPr>
              <w:t>80</w:t>
            </w:r>
            <w:r>
              <w:rPr>
                <w:rFonts w:hint="default" w:ascii="Times New Roman" w:hAnsi="Times New Roman" w:eastAsia="宋体" w:cs="Times New Roman"/>
                <w:color w:val="auto"/>
                <w:sz w:val="24"/>
                <w:u w:val="none" w:color="auto"/>
                <w:lang w:val="en-US" w:eastAsia="zh-CN"/>
              </w:rPr>
              <w:t xml:space="preserve">00kJ/kg。 </w:t>
            </w:r>
          </w:p>
          <w:p w14:paraId="53BE54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本项目生物质</w:t>
            </w:r>
            <w:r>
              <w:rPr>
                <w:rFonts w:hint="eastAsia" w:cs="Times New Roman"/>
                <w:color w:val="auto"/>
                <w:sz w:val="24"/>
                <w:u w:val="none" w:color="auto"/>
                <w:lang w:val="en-US" w:eastAsia="zh-CN"/>
              </w:rPr>
              <w:t>（秸秆等）</w:t>
            </w:r>
            <w:r>
              <w:rPr>
                <w:rFonts w:hint="default" w:ascii="Times New Roman" w:hAnsi="Times New Roman" w:eastAsia="宋体" w:cs="Times New Roman"/>
                <w:color w:val="auto"/>
                <w:sz w:val="24"/>
                <w:u w:val="none" w:color="auto"/>
                <w:lang w:val="en-US" w:eastAsia="zh-CN"/>
              </w:rPr>
              <w:t>燃料使用总量为10000t/a，</w:t>
            </w:r>
            <w:r>
              <w:rPr>
                <w:rFonts w:hint="eastAsia" w:cs="Times New Roman"/>
                <w:color w:val="auto"/>
                <w:sz w:val="24"/>
                <w:u w:val="none" w:color="auto"/>
                <w:lang w:val="en-US" w:eastAsia="zh-CN"/>
              </w:rPr>
              <w:t>成型生物质</w:t>
            </w:r>
            <w:r>
              <w:rPr>
                <w:rFonts w:hint="default" w:ascii="Times New Roman" w:hAnsi="Times New Roman" w:eastAsia="宋体" w:cs="Times New Roman"/>
                <w:color w:val="auto"/>
                <w:sz w:val="24"/>
                <w:u w:val="none" w:color="auto"/>
                <w:lang w:val="en-US" w:eastAsia="zh-CN"/>
              </w:rPr>
              <w:t>燃料使用总量为1</w:t>
            </w:r>
            <w:r>
              <w:rPr>
                <w:rFonts w:hint="eastAsia" w:ascii="Times New Roman" w:hAnsi="Times New Roman" w:eastAsia="宋体" w:cs="Times New Roman"/>
                <w:color w:val="auto"/>
                <w:sz w:val="24"/>
                <w:u w:val="none" w:color="auto"/>
                <w:lang w:val="en-US" w:eastAsia="zh-CN"/>
              </w:rPr>
              <w:t>700</w:t>
            </w:r>
            <w:r>
              <w:rPr>
                <w:rFonts w:hint="default" w:ascii="Times New Roman" w:hAnsi="Times New Roman" w:eastAsia="宋体" w:cs="Times New Roman"/>
                <w:color w:val="auto"/>
                <w:sz w:val="24"/>
                <w:u w:val="none" w:color="auto"/>
                <w:lang w:val="en-US" w:eastAsia="zh-CN"/>
              </w:rPr>
              <w:t>t/a，经计算灰渣产生量为</w:t>
            </w:r>
            <w:r>
              <w:rPr>
                <w:rFonts w:hint="eastAsia" w:cs="Times New Roman"/>
                <w:color w:val="auto"/>
                <w:sz w:val="24"/>
                <w:u w:val="none" w:color="auto"/>
                <w:lang w:val="en-US" w:eastAsia="zh-CN"/>
              </w:rPr>
              <w:t>1173.94</w:t>
            </w:r>
            <w:r>
              <w:rPr>
                <w:rFonts w:hint="default" w:ascii="Times New Roman" w:hAnsi="Times New Roman" w:eastAsia="宋体" w:cs="Times New Roman"/>
                <w:color w:val="auto"/>
                <w:sz w:val="24"/>
                <w:u w:val="none" w:color="auto"/>
                <w:lang w:val="en-US" w:eastAsia="zh-CN"/>
              </w:rPr>
              <w:t>t/a。</w:t>
            </w:r>
          </w:p>
          <w:p w14:paraId="171DB5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 xml:space="preserve">②锅炉除尘灰计算 </w:t>
            </w:r>
          </w:p>
          <w:p w14:paraId="315D0E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eastAsia="宋体" w:cs="Times New Roman"/>
                <w:color w:val="auto"/>
                <w:sz w:val="24"/>
                <w:highlight w:val="none"/>
                <w:u w:val="none" w:color="auto"/>
                <w:lang w:val="en-US" w:eastAsia="zh-CN"/>
              </w:rPr>
              <w:t>根据表4-1，本项目锅炉除尘灰收集量约为</w:t>
            </w:r>
            <w:r>
              <w:rPr>
                <w:rFonts w:hint="eastAsia" w:cs="Times New Roman"/>
                <w:color w:val="auto"/>
                <w:sz w:val="24"/>
                <w:highlight w:val="none"/>
                <w:u w:val="none" w:color="auto"/>
                <w:lang w:val="en-US" w:eastAsia="zh-CN"/>
              </w:rPr>
              <w:t>1027.54</w:t>
            </w:r>
            <w:r>
              <w:rPr>
                <w:rFonts w:hint="default" w:ascii="Times New Roman" w:hAnsi="Times New Roman" w:eastAsia="宋体" w:cs="Times New Roman"/>
                <w:color w:val="auto"/>
                <w:sz w:val="24"/>
                <w:highlight w:val="none"/>
                <w:u w:val="none" w:color="auto"/>
                <w:lang w:val="en-US" w:eastAsia="zh-CN"/>
              </w:rPr>
              <w:t>t/a。综上本项目除尘灰和炉渣产生总量为</w:t>
            </w:r>
            <w:r>
              <w:rPr>
                <w:rFonts w:hint="eastAsia" w:cs="Times New Roman"/>
                <w:color w:val="auto"/>
                <w:sz w:val="24"/>
                <w:highlight w:val="none"/>
                <w:u w:val="none" w:color="auto"/>
                <w:lang w:val="en-US" w:eastAsia="zh-CN"/>
              </w:rPr>
              <w:t>2201.48</w:t>
            </w:r>
            <w:r>
              <w:rPr>
                <w:rFonts w:hint="default" w:ascii="Times New Roman" w:hAnsi="Times New Roman" w:eastAsia="宋体" w:cs="Times New Roman"/>
                <w:color w:val="auto"/>
                <w:sz w:val="24"/>
                <w:highlight w:val="none"/>
                <w:u w:val="none" w:color="auto"/>
                <w:lang w:val="en-US" w:eastAsia="zh-CN"/>
              </w:rPr>
              <w:t xml:space="preserve">t/a。 </w:t>
            </w:r>
          </w:p>
          <w:p w14:paraId="25129A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在除尘灰和炉渣收集的过程中，无组织粉尘产生量一般占灰渣量的 5%～10%左右，本次环评按10%计算，无组织粉尘产生量约为</w:t>
            </w:r>
            <w:r>
              <w:rPr>
                <w:rFonts w:hint="eastAsia" w:cs="Times New Roman"/>
                <w:color w:val="auto"/>
                <w:sz w:val="24"/>
                <w:u w:val="none" w:color="auto"/>
                <w:lang w:val="en-US" w:eastAsia="zh-CN"/>
              </w:rPr>
              <w:t>220.148</w:t>
            </w:r>
            <w:r>
              <w:rPr>
                <w:rFonts w:hint="default" w:ascii="Times New Roman" w:hAnsi="Times New Roman" w:eastAsia="宋体" w:cs="Times New Roman"/>
                <w:color w:val="auto"/>
                <w:sz w:val="24"/>
                <w:u w:val="none" w:color="auto"/>
                <w:lang w:val="en-US" w:eastAsia="zh-CN"/>
              </w:rPr>
              <w:t xml:space="preserve">t/a，企业采取封闭锅炉房和湿法浇渣降尘的方式抑制无组织粉尘的排放，采取袋装的方式对锅炉房内浇湿的灰渣和沉降在锅炉房内灰渣进行收集，封袋存储在原料库内。通过湿法降尘和封闭锅炉房对逸散沉降的粉尘收集封装存储，无组织排放的尘量约占粉尘产生量的1%左右，即无组织粉尘排放量约为 </w:t>
            </w:r>
            <w:r>
              <w:rPr>
                <w:rFonts w:hint="eastAsia" w:cs="Times New Roman"/>
                <w:color w:val="auto"/>
                <w:sz w:val="24"/>
                <w:u w:val="none" w:color="auto"/>
                <w:lang w:val="en-US" w:eastAsia="zh-CN"/>
              </w:rPr>
              <w:t>2.2</w:t>
            </w:r>
            <w:r>
              <w:rPr>
                <w:rFonts w:hint="default" w:ascii="Times New Roman" w:hAnsi="Times New Roman" w:eastAsia="宋体" w:cs="Times New Roman"/>
                <w:color w:val="auto"/>
                <w:sz w:val="24"/>
                <w:u w:val="none" w:color="auto"/>
                <w:lang w:val="en-US" w:eastAsia="zh-CN"/>
              </w:rPr>
              <w:t>t/a，排放的无组织粉尘经过空气稀释扩散，厂界无组织粉尘可以满足《大气污染物综合排放标准》（GB16297-1996）表2中规定的无组织排放标准限值。</w:t>
            </w:r>
          </w:p>
          <w:p w14:paraId="4F165C4A">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u w:val="none" w:color="auto"/>
              </w:rPr>
            </w:pPr>
            <w:r>
              <w:rPr>
                <w:rFonts w:hint="default" w:ascii="Times New Roman" w:hAnsi="Times New Roman" w:eastAsia="宋体" w:cs="Times New Roman"/>
                <w:color w:val="auto"/>
                <w:kern w:val="0"/>
                <w:sz w:val="24"/>
                <w:u w:val="none" w:color="auto"/>
              </w:rPr>
              <w:t>废气收集、处理及排放方式情况见表4-</w:t>
            </w:r>
            <w:r>
              <w:rPr>
                <w:rFonts w:hint="eastAsia" w:ascii="Times New Roman" w:hAnsi="Times New Roman" w:eastAsia="宋体" w:cs="Times New Roman"/>
                <w:color w:val="auto"/>
                <w:kern w:val="0"/>
                <w:sz w:val="24"/>
                <w:u w:val="none" w:color="auto"/>
                <w:lang w:val="en-US" w:eastAsia="zh-CN"/>
              </w:rPr>
              <w:t>2</w:t>
            </w:r>
            <w:r>
              <w:rPr>
                <w:rFonts w:hint="default" w:ascii="Times New Roman" w:hAnsi="Times New Roman" w:eastAsia="宋体" w:cs="Times New Roman"/>
                <w:color w:val="auto"/>
                <w:kern w:val="0"/>
                <w:sz w:val="24"/>
                <w:u w:val="none" w:color="auto"/>
              </w:rPr>
              <w:t>。</w:t>
            </w:r>
          </w:p>
          <w:p w14:paraId="50F6B635">
            <w:pPr>
              <w:adjustRightInd w:val="0"/>
              <w:snapToGrid w:val="0"/>
              <w:jc w:val="center"/>
              <w:rPr>
                <w:rFonts w:hint="default" w:ascii="Times New Roman" w:hAnsi="Times New Roman" w:eastAsia="宋体" w:cs="Times New Roman"/>
                <w:b/>
                <w:bCs/>
                <w:color w:val="auto"/>
                <w:kern w:val="0"/>
                <w:szCs w:val="21"/>
                <w:highlight w:val="yellow"/>
                <w:u w:val="none" w:color="auto"/>
              </w:rPr>
            </w:pPr>
            <w:r>
              <w:rPr>
                <w:rFonts w:hint="default" w:ascii="Times New Roman" w:hAnsi="Times New Roman" w:eastAsia="宋体" w:cs="Times New Roman"/>
                <w:b/>
                <w:bCs/>
                <w:color w:val="auto"/>
                <w:kern w:val="0"/>
                <w:szCs w:val="21"/>
                <w:u w:val="none" w:color="auto"/>
              </w:rPr>
              <w:t>表4-</w:t>
            </w:r>
            <w:r>
              <w:rPr>
                <w:rFonts w:hint="eastAsia" w:cs="Times New Roman"/>
                <w:b/>
                <w:bCs/>
                <w:color w:val="auto"/>
                <w:kern w:val="0"/>
                <w:szCs w:val="21"/>
                <w:u w:val="none" w:color="auto"/>
                <w:lang w:val="en-US" w:eastAsia="zh-CN"/>
              </w:rPr>
              <w:t>3</w:t>
            </w:r>
            <w:r>
              <w:rPr>
                <w:rFonts w:hint="default" w:ascii="Times New Roman" w:hAnsi="Times New Roman" w:eastAsia="宋体" w:cs="Times New Roman"/>
                <w:b/>
                <w:bCs/>
                <w:color w:val="auto"/>
                <w:kern w:val="0"/>
                <w:szCs w:val="21"/>
                <w:u w:val="none" w:color="auto"/>
              </w:rPr>
              <w:t xml:space="preserve">  废气源强核算、收集、处理、排放方式情况一览表</w:t>
            </w:r>
          </w:p>
          <w:tbl>
            <w:tblPr>
              <w:tblStyle w:val="26"/>
              <w:tblW w:w="494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563"/>
              <w:gridCol w:w="700"/>
              <w:gridCol w:w="737"/>
              <w:gridCol w:w="904"/>
              <w:gridCol w:w="538"/>
              <w:gridCol w:w="410"/>
              <w:gridCol w:w="749"/>
              <w:gridCol w:w="380"/>
              <w:gridCol w:w="705"/>
              <w:gridCol w:w="534"/>
              <w:gridCol w:w="387"/>
              <w:gridCol w:w="364"/>
            </w:tblGrid>
            <w:tr w14:paraId="6A680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49" w:type="pct"/>
                  <w:vMerge w:val="restart"/>
                  <w:tcBorders>
                    <w:tl2br w:val="nil"/>
                    <w:tr2bl w:val="nil"/>
                  </w:tcBorders>
                  <w:noWrap w:val="0"/>
                  <w:vAlign w:val="center"/>
                </w:tcPr>
                <w:p w14:paraId="28A08D02">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污染源</w:t>
                  </w:r>
                </w:p>
              </w:tc>
              <w:tc>
                <w:tcPr>
                  <w:tcW w:w="359" w:type="pct"/>
                  <w:vMerge w:val="restart"/>
                  <w:tcBorders>
                    <w:tl2br w:val="nil"/>
                    <w:tr2bl w:val="nil"/>
                  </w:tcBorders>
                  <w:noWrap w:val="0"/>
                  <w:vAlign w:val="center"/>
                </w:tcPr>
                <w:p w14:paraId="6E0F96F8">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污染源</w:t>
                  </w:r>
                </w:p>
                <w:p w14:paraId="5F9CD3CF">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编号</w:t>
                  </w:r>
                </w:p>
              </w:tc>
              <w:tc>
                <w:tcPr>
                  <w:tcW w:w="446" w:type="pct"/>
                  <w:vMerge w:val="restart"/>
                  <w:tcBorders>
                    <w:tl2br w:val="nil"/>
                    <w:tr2bl w:val="nil"/>
                  </w:tcBorders>
                  <w:noWrap w:val="0"/>
                  <w:vAlign w:val="center"/>
                </w:tcPr>
                <w:p w14:paraId="3199C5FD">
                  <w:pPr>
                    <w:widowControl/>
                    <w:adjustRightInd w:val="0"/>
                    <w:snapToGrid w:val="0"/>
                    <w:jc w:val="center"/>
                    <w:rPr>
                      <w:rFonts w:hint="default" w:ascii="Times New Roman" w:hAnsi="Times New Roman" w:eastAsia="宋体" w:cs="Times New Roman"/>
                      <w:b/>
                      <w:bCs/>
                      <w:color w:val="auto"/>
                      <w:kern w:val="0"/>
                      <w:szCs w:val="21"/>
                      <w:u w:val="none" w:color="auto"/>
                    </w:rPr>
                  </w:pPr>
                  <w:r>
                    <w:rPr>
                      <w:rFonts w:hint="default" w:ascii="Times New Roman" w:hAnsi="Times New Roman" w:eastAsia="宋体" w:cs="Times New Roman"/>
                      <w:b/>
                      <w:bCs/>
                      <w:color w:val="auto"/>
                      <w:kern w:val="0"/>
                      <w:szCs w:val="21"/>
                      <w:u w:val="none" w:color="auto"/>
                    </w:rPr>
                    <w:t>污染物</w:t>
                  </w:r>
                </w:p>
                <w:p w14:paraId="7B4E82E8">
                  <w:pPr>
                    <w:widowControl/>
                    <w:adjustRightInd w:val="0"/>
                    <w:snapToGrid w:val="0"/>
                    <w:jc w:val="center"/>
                    <w:rPr>
                      <w:rFonts w:hint="default" w:ascii="Times New Roman" w:hAnsi="Times New Roman" w:eastAsia="宋体" w:cs="Times New Roman"/>
                      <w:b/>
                      <w:bCs/>
                      <w:color w:val="auto"/>
                      <w:kern w:val="0"/>
                      <w:szCs w:val="21"/>
                      <w:u w:val="none" w:color="auto"/>
                    </w:rPr>
                  </w:pPr>
                  <w:r>
                    <w:rPr>
                      <w:rFonts w:hint="default" w:ascii="Times New Roman" w:hAnsi="Times New Roman" w:eastAsia="宋体" w:cs="Times New Roman"/>
                      <w:b/>
                      <w:bCs/>
                      <w:color w:val="auto"/>
                      <w:kern w:val="0"/>
                      <w:szCs w:val="21"/>
                      <w:u w:val="none" w:color="auto"/>
                    </w:rPr>
                    <w:t>种类</w:t>
                  </w:r>
                </w:p>
              </w:tc>
              <w:tc>
                <w:tcPr>
                  <w:tcW w:w="470" w:type="pct"/>
                  <w:vMerge w:val="restart"/>
                  <w:tcBorders>
                    <w:tl2br w:val="nil"/>
                    <w:tr2bl w:val="nil"/>
                  </w:tcBorders>
                  <w:noWrap w:val="0"/>
                  <w:vAlign w:val="center"/>
                </w:tcPr>
                <w:p w14:paraId="2EA9FC01">
                  <w:pPr>
                    <w:widowControl/>
                    <w:adjustRightInd w:val="0"/>
                    <w:snapToGrid w:val="0"/>
                    <w:jc w:val="center"/>
                    <w:rPr>
                      <w:rFonts w:hint="default" w:ascii="Times New Roman" w:hAnsi="Times New Roman" w:eastAsia="宋体" w:cs="Times New Roman"/>
                      <w:b/>
                      <w:bCs/>
                      <w:color w:val="auto"/>
                      <w:kern w:val="0"/>
                      <w:szCs w:val="21"/>
                      <w:u w:val="none" w:color="auto"/>
                    </w:rPr>
                  </w:pPr>
                  <w:r>
                    <w:rPr>
                      <w:rFonts w:hint="default" w:ascii="Times New Roman" w:hAnsi="Times New Roman" w:eastAsia="宋体" w:cs="Times New Roman"/>
                      <w:b/>
                      <w:bCs/>
                      <w:color w:val="auto"/>
                      <w:kern w:val="0"/>
                      <w:szCs w:val="21"/>
                      <w:u w:val="none" w:color="auto"/>
                    </w:rPr>
                    <w:t>污染源强核算（t/a）</w:t>
                  </w:r>
                </w:p>
              </w:tc>
              <w:tc>
                <w:tcPr>
                  <w:tcW w:w="577" w:type="pct"/>
                  <w:vMerge w:val="restart"/>
                  <w:tcBorders>
                    <w:tl2br w:val="nil"/>
                    <w:tr2bl w:val="nil"/>
                  </w:tcBorders>
                  <w:noWrap w:val="0"/>
                  <w:vAlign w:val="center"/>
                </w:tcPr>
                <w:p w14:paraId="56DD2675">
                  <w:pPr>
                    <w:widowControl/>
                    <w:adjustRightInd w:val="0"/>
                    <w:snapToGrid w:val="0"/>
                    <w:jc w:val="center"/>
                    <w:rPr>
                      <w:rFonts w:hint="default" w:ascii="Times New Roman" w:hAnsi="Times New Roman" w:eastAsia="宋体" w:cs="Times New Roman"/>
                      <w:b/>
                      <w:bCs/>
                      <w:color w:val="auto"/>
                      <w:kern w:val="0"/>
                      <w:szCs w:val="21"/>
                      <w:u w:val="none" w:color="auto"/>
                    </w:rPr>
                  </w:pPr>
                  <w:r>
                    <w:rPr>
                      <w:rFonts w:hint="default" w:ascii="Times New Roman" w:hAnsi="Times New Roman" w:eastAsia="宋体" w:cs="Times New Roman"/>
                      <w:b/>
                      <w:bCs/>
                      <w:color w:val="auto"/>
                      <w:kern w:val="0"/>
                      <w:szCs w:val="21"/>
                      <w:u w:val="none" w:color="auto"/>
                    </w:rPr>
                    <w:t>源强核算依据</w:t>
                  </w:r>
                </w:p>
              </w:tc>
              <w:tc>
                <w:tcPr>
                  <w:tcW w:w="343" w:type="pct"/>
                  <w:vMerge w:val="restart"/>
                  <w:tcBorders>
                    <w:tl2br w:val="nil"/>
                    <w:tr2bl w:val="nil"/>
                  </w:tcBorders>
                  <w:noWrap w:val="0"/>
                  <w:vAlign w:val="center"/>
                </w:tcPr>
                <w:p w14:paraId="0103BF60">
                  <w:pPr>
                    <w:widowControl/>
                    <w:adjustRightInd w:val="0"/>
                    <w:snapToGrid w:val="0"/>
                    <w:jc w:val="center"/>
                    <w:rPr>
                      <w:rFonts w:hint="default" w:ascii="Times New Roman" w:hAnsi="Times New Roman" w:eastAsia="宋体" w:cs="Times New Roman"/>
                      <w:b/>
                      <w:bCs/>
                      <w:color w:val="auto"/>
                      <w:kern w:val="0"/>
                      <w:szCs w:val="21"/>
                      <w:u w:val="none" w:color="auto"/>
                    </w:rPr>
                  </w:pPr>
                  <w:r>
                    <w:rPr>
                      <w:rFonts w:hint="default" w:ascii="Times New Roman" w:hAnsi="Times New Roman" w:eastAsia="宋体" w:cs="Times New Roman"/>
                      <w:b/>
                      <w:bCs/>
                      <w:color w:val="auto"/>
                      <w:kern w:val="0"/>
                      <w:szCs w:val="21"/>
                      <w:u w:val="none" w:color="auto"/>
                    </w:rPr>
                    <w:t>废气收集方式</w:t>
                  </w:r>
                </w:p>
              </w:tc>
              <w:tc>
                <w:tcPr>
                  <w:tcW w:w="261" w:type="pct"/>
                  <w:vMerge w:val="restart"/>
                  <w:tcBorders>
                    <w:tl2br w:val="nil"/>
                    <w:tr2bl w:val="nil"/>
                  </w:tcBorders>
                  <w:noWrap w:val="0"/>
                  <w:vAlign w:val="center"/>
                </w:tcPr>
                <w:p w14:paraId="16C63851">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收集</w:t>
                  </w:r>
                </w:p>
                <w:p w14:paraId="5605E705">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效率</w:t>
                  </w:r>
                </w:p>
              </w:tc>
              <w:tc>
                <w:tcPr>
                  <w:tcW w:w="1170" w:type="pct"/>
                  <w:gridSpan w:val="3"/>
                  <w:tcBorders>
                    <w:tl2br w:val="nil"/>
                    <w:tr2bl w:val="nil"/>
                  </w:tcBorders>
                  <w:noWrap w:val="0"/>
                  <w:vAlign w:val="center"/>
                </w:tcPr>
                <w:p w14:paraId="4489CE82">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治理措施</w:t>
                  </w:r>
                </w:p>
              </w:tc>
              <w:tc>
                <w:tcPr>
                  <w:tcW w:w="340" w:type="pct"/>
                  <w:vMerge w:val="restart"/>
                  <w:tcBorders>
                    <w:tl2br w:val="nil"/>
                    <w:tr2bl w:val="nil"/>
                  </w:tcBorders>
                  <w:noWrap w:val="0"/>
                  <w:vAlign w:val="center"/>
                </w:tcPr>
                <w:p w14:paraId="57CC873F">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风量</w:t>
                  </w:r>
                </w:p>
                <w:p w14:paraId="537DBA58">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（m</w:t>
                  </w:r>
                  <w:r>
                    <w:rPr>
                      <w:rFonts w:hint="default" w:ascii="Times New Roman" w:hAnsi="Times New Roman" w:eastAsia="宋体" w:cs="Times New Roman"/>
                      <w:b/>
                      <w:bCs/>
                      <w:color w:val="auto"/>
                      <w:szCs w:val="21"/>
                      <w:u w:val="none" w:color="auto"/>
                      <w:vertAlign w:val="superscript"/>
                    </w:rPr>
                    <w:t>3</w:t>
                  </w:r>
                  <w:r>
                    <w:rPr>
                      <w:rFonts w:hint="default" w:ascii="Times New Roman" w:hAnsi="Times New Roman" w:eastAsia="宋体" w:cs="Times New Roman"/>
                      <w:b/>
                      <w:bCs/>
                      <w:color w:val="auto"/>
                      <w:szCs w:val="21"/>
                      <w:u w:val="none" w:color="auto"/>
                    </w:rPr>
                    <w:t>/h）</w:t>
                  </w:r>
                </w:p>
              </w:tc>
              <w:tc>
                <w:tcPr>
                  <w:tcW w:w="479" w:type="pct"/>
                  <w:gridSpan w:val="2"/>
                  <w:tcBorders>
                    <w:tl2br w:val="nil"/>
                    <w:tr2bl w:val="nil"/>
                  </w:tcBorders>
                  <w:noWrap w:val="0"/>
                  <w:vAlign w:val="center"/>
                </w:tcPr>
                <w:p w14:paraId="57104C5B">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排放形式</w:t>
                  </w:r>
                </w:p>
              </w:tc>
            </w:tr>
            <w:tr w14:paraId="0620E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549" w:type="pct"/>
                  <w:vMerge w:val="continue"/>
                  <w:tcBorders>
                    <w:tl2br w:val="nil"/>
                    <w:tr2bl w:val="nil"/>
                  </w:tcBorders>
                  <w:noWrap w:val="0"/>
                  <w:vAlign w:val="center"/>
                </w:tcPr>
                <w:p w14:paraId="356DAA08">
                  <w:pPr>
                    <w:adjustRightInd w:val="0"/>
                    <w:snapToGrid w:val="0"/>
                    <w:jc w:val="center"/>
                    <w:rPr>
                      <w:rFonts w:hint="default" w:ascii="Times New Roman" w:hAnsi="Times New Roman" w:eastAsia="宋体" w:cs="Times New Roman"/>
                      <w:b/>
                      <w:bCs/>
                      <w:color w:val="auto"/>
                      <w:szCs w:val="21"/>
                      <w:u w:val="none" w:color="auto"/>
                    </w:rPr>
                  </w:pPr>
                </w:p>
              </w:tc>
              <w:tc>
                <w:tcPr>
                  <w:tcW w:w="359" w:type="pct"/>
                  <w:vMerge w:val="continue"/>
                  <w:tcBorders>
                    <w:tl2br w:val="nil"/>
                    <w:tr2bl w:val="nil"/>
                  </w:tcBorders>
                  <w:noWrap w:val="0"/>
                  <w:vAlign w:val="center"/>
                </w:tcPr>
                <w:p w14:paraId="58E02D76">
                  <w:pPr>
                    <w:adjustRightInd w:val="0"/>
                    <w:snapToGrid w:val="0"/>
                    <w:jc w:val="center"/>
                    <w:rPr>
                      <w:rFonts w:hint="default" w:ascii="Times New Roman" w:hAnsi="Times New Roman" w:eastAsia="宋体" w:cs="Times New Roman"/>
                      <w:b/>
                      <w:bCs/>
                      <w:color w:val="auto"/>
                      <w:szCs w:val="21"/>
                      <w:u w:val="none" w:color="auto"/>
                    </w:rPr>
                  </w:pPr>
                </w:p>
              </w:tc>
              <w:tc>
                <w:tcPr>
                  <w:tcW w:w="446" w:type="pct"/>
                  <w:vMerge w:val="continue"/>
                  <w:tcBorders>
                    <w:tl2br w:val="nil"/>
                    <w:tr2bl w:val="nil"/>
                  </w:tcBorders>
                  <w:noWrap w:val="0"/>
                  <w:vAlign w:val="center"/>
                </w:tcPr>
                <w:p w14:paraId="0EB6D924">
                  <w:pPr>
                    <w:widowControl/>
                    <w:adjustRightInd w:val="0"/>
                    <w:snapToGrid w:val="0"/>
                    <w:jc w:val="center"/>
                    <w:rPr>
                      <w:rFonts w:hint="default" w:ascii="Times New Roman" w:hAnsi="Times New Roman" w:eastAsia="宋体" w:cs="Times New Roman"/>
                      <w:b/>
                      <w:bCs/>
                      <w:color w:val="auto"/>
                      <w:kern w:val="0"/>
                      <w:szCs w:val="21"/>
                      <w:u w:val="none" w:color="auto"/>
                    </w:rPr>
                  </w:pPr>
                </w:p>
              </w:tc>
              <w:tc>
                <w:tcPr>
                  <w:tcW w:w="470" w:type="pct"/>
                  <w:vMerge w:val="continue"/>
                  <w:tcBorders>
                    <w:tl2br w:val="nil"/>
                    <w:tr2bl w:val="nil"/>
                  </w:tcBorders>
                  <w:noWrap w:val="0"/>
                  <w:vAlign w:val="center"/>
                </w:tcPr>
                <w:p w14:paraId="036FE931">
                  <w:pPr>
                    <w:widowControl/>
                    <w:adjustRightInd w:val="0"/>
                    <w:snapToGrid w:val="0"/>
                    <w:jc w:val="center"/>
                    <w:rPr>
                      <w:rFonts w:hint="default" w:ascii="Times New Roman" w:hAnsi="Times New Roman" w:eastAsia="宋体" w:cs="Times New Roman"/>
                      <w:b/>
                      <w:bCs/>
                      <w:color w:val="auto"/>
                      <w:kern w:val="0"/>
                      <w:szCs w:val="21"/>
                      <w:u w:val="none" w:color="auto"/>
                    </w:rPr>
                  </w:pPr>
                </w:p>
              </w:tc>
              <w:tc>
                <w:tcPr>
                  <w:tcW w:w="577" w:type="pct"/>
                  <w:vMerge w:val="continue"/>
                  <w:tcBorders>
                    <w:tl2br w:val="nil"/>
                    <w:tr2bl w:val="nil"/>
                  </w:tcBorders>
                  <w:noWrap w:val="0"/>
                  <w:vAlign w:val="center"/>
                </w:tcPr>
                <w:p w14:paraId="0410FA8C">
                  <w:pPr>
                    <w:widowControl/>
                    <w:adjustRightInd w:val="0"/>
                    <w:snapToGrid w:val="0"/>
                    <w:jc w:val="center"/>
                    <w:rPr>
                      <w:rFonts w:hint="default" w:ascii="Times New Roman" w:hAnsi="Times New Roman" w:eastAsia="宋体" w:cs="Times New Roman"/>
                      <w:b/>
                      <w:bCs/>
                      <w:color w:val="auto"/>
                      <w:kern w:val="0"/>
                      <w:szCs w:val="21"/>
                      <w:u w:val="none" w:color="auto"/>
                    </w:rPr>
                  </w:pPr>
                </w:p>
              </w:tc>
              <w:tc>
                <w:tcPr>
                  <w:tcW w:w="343" w:type="pct"/>
                  <w:vMerge w:val="continue"/>
                  <w:tcBorders>
                    <w:tl2br w:val="nil"/>
                    <w:tr2bl w:val="nil"/>
                  </w:tcBorders>
                  <w:noWrap w:val="0"/>
                  <w:vAlign w:val="center"/>
                </w:tcPr>
                <w:p w14:paraId="6DDF1CD7">
                  <w:pPr>
                    <w:widowControl/>
                    <w:adjustRightInd w:val="0"/>
                    <w:snapToGrid w:val="0"/>
                    <w:jc w:val="center"/>
                    <w:rPr>
                      <w:rFonts w:hint="default" w:ascii="Times New Roman" w:hAnsi="Times New Roman" w:eastAsia="宋体" w:cs="Times New Roman"/>
                      <w:b/>
                      <w:bCs/>
                      <w:color w:val="auto"/>
                      <w:kern w:val="0"/>
                      <w:szCs w:val="21"/>
                      <w:u w:val="none" w:color="auto"/>
                    </w:rPr>
                  </w:pPr>
                </w:p>
              </w:tc>
              <w:tc>
                <w:tcPr>
                  <w:tcW w:w="261" w:type="pct"/>
                  <w:vMerge w:val="continue"/>
                  <w:tcBorders>
                    <w:tl2br w:val="nil"/>
                    <w:tr2bl w:val="nil"/>
                  </w:tcBorders>
                  <w:noWrap w:val="0"/>
                  <w:vAlign w:val="center"/>
                </w:tcPr>
                <w:p w14:paraId="6A9394C6">
                  <w:pPr>
                    <w:adjustRightInd w:val="0"/>
                    <w:snapToGrid w:val="0"/>
                    <w:jc w:val="center"/>
                    <w:rPr>
                      <w:rFonts w:hint="default" w:ascii="Times New Roman" w:hAnsi="Times New Roman" w:eastAsia="宋体" w:cs="Times New Roman"/>
                      <w:b/>
                      <w:bCs/>
                      <w:color w:val="auto"/>
                      <w:szCs w:val="21"/>
                      <w:u w:val="none" w:color="auto"/>
                    </w:rPr>
                  </w:pPr>
                </w:p>
              </w:tc>
              <w:tc>
                <w:tcPr>
                  <w:tcW w:w="478" w:type="pct"/>
                  <w:tcBorders>
                    <w:tl2br w:val="nil"/>
                    <w:tr2bl w:val="nil"/>
                  </w:tcBorders>
                  <w:noWrap w:val="0"/>
                  <w:vAlign w:val="center"/>
                </w:tcPr>
                <w:p w14:paraId="76D353FF">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治理工艺</w:t>
                  </w:r>
                </w:p>
              </w:tc>
              <w:tc>
                <w:tcPr>
                  <w:tcW w:w="242" w:type="pct"/>
                  <w:tcBorders>
                    <w:tl2br w:val="nil"/>
                    <w:tr2bl w:val="nil"/>
                  </w:tcBorders>
                  <w:noWrap w:val="0"/>
                  <w:vAlign w:val="top"/>
                </w:tcPr>
                <w:p w14:paraId="7524B6CE">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去除效率</w:t>
                  </w:r>
                </w:p>
              </w:tc>
              <w:tc>
                <w:tcPr>
                  <w:tcW w:w="450" w:type="pct"/>
                  <w:tcBorders>
                    <w:tl2br w:val="nil"/>
                    <w:tr2bl w:val="nil"/>
                  </w:tcBorders>
                  <w:noWrap w:val="0"/>
                  <w:vAlign w:val="top"/>
                </w:tcPr>
                <w:p w14:paraId="3D0693BE">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是否为可行技术</w:t>
                  </w:r>
                </w:p>
              </w:tc>
              <w:tc>
                <w:tcPr>
                  <w:tcW w:w="340" w:type="pct"/>
                  <w:vMerge w:val="continue"/>
                  <w:tcBorders>
                    <w:tl2br w:val="nil"/>
                    <w:tr2bl w:val="nil"/>
                  </w:tcBorders>
                  <w:noWrap w:val="0"/>
                  <w:vAlign w:val="center"/>
                </w:tcPr>
                <w:p w14:paraId="3D9B50AD">
                  <w:pPr>
                    <w:adjustRightInd w:val="0"/>
                    <w:snapToGrid w:val="0"/>
                    <w:jc w:val="center"/>
                    <w:rPr>
                      <w:rFonts w:hint="default" w:ascii="Times New Roman" w:hAnsi="Times New Roman" w:eastAsia="宋体" w:cs="Times New Roman"/>
                      <w:b/>
                      <w:bCs/>
                      <w:color w:val="auto"/>
                      <w:szCs w:val="21"/>
                      <w:u w:val="none" w:color="auto"/>
                    </w:rPr>
                  </w:pPr>
                </w:p>
              </w:tc>
              <w:tc>
                <w:tcPr>
                  <w:tcW w:w="247" w:type="pct"/>
                  <w:tcBorders>
                    <w:tl2br w:val="nil"/>
                    <w:tr2bl w:val="nil"/>
                  </w:tcBorders>
                  <w:noWrap w:val="0"/>
                  <w:vAlign w:val="center"/>
                </w:tcPr>
                <w:p w14:paraId="67B91CE4">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有组织</w:t>
                  </w:r>
                </w:p>
              </w:tc>
              <w:tc>
                <w:tcPr>
                  <w:tcW w:w="232" w:type="pct"/>
                  <w:tcBorders>
                    <w:tl2br w:val="nil"/>
                    <w:tr2bl w:val="nil"/>
                  </w:tcBorders>
                  <w:noWrap w:val="0"/>
                  <w:vAlign w:val="center"/>
                </w:tcPr>
                <w:p w14:paraId="0F752F4A">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无组织</w:t>
                  </w:r>
                </w:p>
              </w:tc>
            </w:tr>
            <w:tr w14:paraId="4460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restart"/>
                  <w:tcBorders>
                    <w:tl2br w:val="nil"/>
                    <w:tr2bl w:val="nil"/>
                  </w:tcBorders>
                  <w:noWrap w:val="0"/>
                  <w:vAlign w:val="center"/>
                </w:tcPr>
                <w:p w14:paraId="23506095">
                  <w:pPr>
                    <w:adjustRightInd w:val="0"/>
                    <w:snapToGrid w:val="0"/>
                    <w:jc w:val="center"/>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15t/h</w:t>
                  </w:r>
                  <w:r>
                    <w:rPr>
                      <w:rFonts w:hint="default" w:ascii="Times New Roman" w:hAnsi="Times New Roman" w:eastAsia="宋体" w:cs="Times New Roman"/>
                      <w:color w:val="auto"/>
                      <w:szCs w:val="21"/>
                      <w:u w:val="none" w:color="auto"/>
                      <w:lang w:val="en-US" w:eastAsia="zh-CN"/>
                    </w:rPr>
                    <w:t>锅炉燃烧</w:t>
                  </w:r>
                </w:p>
              </w:tc>
              <w:tc>
                <w:tcPr>
                  <w:tcW w:w="359" w:type="pct"/>
                  <w:tcBorders>
                    <w:tl2br w:val="nil"/>
                    <w:tr2bl w:val="nil"/>
                  </w:tcBorders>
                  <w:noWrap w:val="0"/>
                  <w:vAlign w:val="center"/>
                </w:tcPr>
                <w:p w14:paraId="4011AA37">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G1</w:t>
                  </w:r>
                </w:p>
              </w:tc>
              <w:tc>
                <w:tcPr>
                  <w:tcW w:w="446" w:type="pct"/>
                  <w:tcBorders>
                    <w:tl2br w:val="nil"/>
                    <w:tr2bl w:val="nil"/>
                  </w:tcBorders>
                  <w:noWrap w:val="0"/>
                  <w:vAlign w:val="center"/>
                </w:tcPr>
                <w:p w14:paraId="5185C500">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颗粒物</w:t>
                  </w:r>
                </w:p>
              </w:tc>
              <w:tc>
                <w:tcPr>
                  <w:tcW w:w="470" w:type="pct"/>
                  <w:tcBorders>
                    <w:tl2br w:val="nil"/>
                    <w:tr2bl w:val="nil"/>
                  </w:tcBorders>
                  <w:noWrap w:val="0"/>
                  <w:vAlign w:val="top"/>
                </w:tcPr>
                <w:p w14:paraId="38F5F4B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 w:val="21"/>
                      <w:szCs w:val="21"/>
                      <w:u w:val="none" w:color="auto"/>
                      <w:vertAlign w:val="baseline"/>
                      <w:lang w:val="en-US" w:eastAsia="zh-CN"/>
                    </w:rPr>
                    <w:t>1000</w:t>
                  </w:r>
                </w:p>
              </w:tc>
              <w:tc>
                <w:tcPr>
                  <w:tcW w:w="577" w:type="pct"/>
                  <w:vMerge w:val="restart"/>
                  <w:tcBorders>
                    <w:tl2br w:val="nil"/>
                    <w:tr2bl w:val="nil"/>
                  </w:tcBorders>
                  <w:noWrap w:val="0"/>
                  <w:vAlign w:val="center"/>
                </w:tcPr>
                <w:p w14:paraId="30B6324E">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《污染源源强核算技术指南 锅炉》（HJ991-2018）</w:t>
                  </w:r>
                </w:p>
              </w:tc>
              <w:tc>
                <w:tcPr>
                  <w:tcW w:w="343" w:type="pct"/>
                  <w:tcBorders>
                    <w:tl2br w:val="nil"/>
                    <w:tr2bl w:val="nil"/>
                  </w:tcBorders>
                  <w:noWrap w:val="0"/>
                  <w:vAlign w:val="center"/>
                </w:tcPr>
                <w:p w14:paraId="052D847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专用管道</w:t>
                  </w:r>
                </w:p>
              </w:tc>
              <w:tc>
                <w:tcPr>
                  <w:tcW w:w="261" w:type="pct"/>
                  <w:tcBorders>
                    <w:tl2br w:val="nil"/>
                    <w:tr2bl w:val="nil"/>
                  </w:tcBorders>
                  <w:noWrap w:val="0"/>
                  <w:vAlign w:val="center"/>
                </w:tcPr>
                <w:p w14:paraId="600B1EE3">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3925E688">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SNCR+多管旋风除尘+布袋除尘+脱硫塔</w:t>
                  </w:r>
                </w:p>
              </w:tc>
              <w:tc>
                <w:tcPr>
                  <w:tcW w:w="242" w:type="pct"/>
                  <w:tcBorders>
                    <w:tl2br w:val="nil"/>
                    <w:tr2bl w:val="nil"/>
                  </w:tcBorders>
                  <w:noWrap w:val="0"/>
                  <w:vAlign w:val="center"/>
                </w:tcPr>
                <w:p w14:paraId="05426FF0">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99.8%</w:t>
                  </w:r>
                </w:p>
              </w:tc>
              <w:tc>
                <w:tcPr>
                  <w:tcW w:w="450" w:type="pct"/>
                  <w:tcBorders>
                    <w:tl2br w:val="nil"/>
                    <w:tr2bl w:val="nil"/>
                  </w:tcBorders>
                  <w:noWrap w:val="0"/>
                  <w:vAlign w:val="center"/>
                </w:tcPr>
                <w:p w14:paraId="1C67D7A3">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是</w:t>
                  </w:r>
                </w:p>
              </w:tc>
              <w:tc>
                <w:tcPr>
                  <w:tcW w:w="340" w:type="pct"/>
                  <w:tcBorders>
                    <w:tl2br w:val="nil"/>
                    <w:tr2bl w:val="nil"/>
                  </w:tcBorders>
                  <w:noWrap w:val="0"/>
                  <w:vAlign w:val="center"/>
                </w:tcPr>
                <w:p w14:paraId="6C0FC1BE">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247" w:type="pct"/>
                  <w:tcBorders>
                    <w:tl2br w:val="nil"/>
                    <w:tr2bl w:val="nil"/>
                  </w:tcBorders>
                  <w:noWrap w:val="0"/>
                  <w:vAlign w:val="center"/>
                </w:tcPr>
                <w:p w14:paraId="2883EB23">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有组织</w:t>
                  </w:r>
                </w:p>
              </w:tc>
              <w:tc>
                <w:tcPr>
                  <w:tcW w:w="232" w:type="pct"/>
                  <w:tcBorders>
                    <w:tl2br w:val="nil"/>
                    <w:tr2bl w:val="nil"/>
                  </w:tcBorders>
                  <w:noWrap w:val="0"/>
                  <w:vAlign w:val="center"/>
                </w:tcPr>
                <w:p w14:paraId="644F9B49">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4F275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continue"/>
                  <w:tcBorders>
                    <w:tl2br w:val="nil"/>
                    <w:tr2bl w:val="nil"/>
                  </w:tcBorders>
                  <w:noWrap w:val="0"/>
                  <w:vAlign w:val="center"/>
                </w:tcPr>
                <w:p w14:paraId="37041647">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59" w:type="pct"/>
                  <w:tcBorders>
                    <w:tl2br w:val="nil"/>
                    <w:tr2bl w:val="nil"/>
                  </w:tcBorders>
                  <w:noWrap w:val="0"/>
                  <w:vAlign w:val="center"/>
                </w:tcPr>
                <w:p w14:paraId="3C1524E8">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G1</w:t>
                  </w:r>
                </w:p>
              </w:tc>
              <w:tc>
                <w:tcPr>
                  <w:tcW w:w="446" w:type="pct"/>
                  <w:tcBorders>
                    <w:tl2br w:val="nil"/>
                    <w:tr2bl w:val="nil"/>
                  </w:tcBorders>
                  <w:noWrap w:val="0"/>
                  <w:vAlign w:val="center"/>
                </w:tcPr>
                <w:p w14:paraId="572CD7E3">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SO</w:t>
                  </w:r>
                  <w:r>
                    <w:rPr>
                      <w:rFonts w:hint="default" w:ascii="Times New Roman" w:hAnsi="Times New Roman" w:eastAsia="宋体" w:cs="Times New Roman"/>
                      <w:color w:val="auto"/>
                      <w:szCs w:val="21"/>
                      <w:u w:val="none" w:color="auto"/>
                      <w:vertAlign w:val="subscript"/>
                      <w:lang w:val="en-US" w:eastAsia="zh-CN"/>
                    </w:rPr>
                    <w:t>2</w:t>
                  </w:r>
                </w:p>
              </w:tc>
              <w:tc>
                <w:tcPr>
                  <w:tcW w:w="470" w:type="pct"/>
                  <w:tcBorders>
                    <w:tl2br w:val="nil"/>
                    <w:tr2bl w:val="nil"/>
                  </w:tcBorders>
                  <w:noWrap w:val="0"/>
                  <w:vAlign w:val="top"/>
                </w:tcPr>
                <w:p w14:paraId="47D8DF7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2.83</w:t>
                  </w:r>
                </w:p>
              </w:tc>
              <w:tc>
                <w:tcPr>
                  <w:tcW w:w="577" w:type="pct"/>
                  <w:vMerge w:val="continue"/>
                  <w:tcBorders>
                    <w:tl2br w:val="nil"/>
                    <w:tr2bl w:val="nil"/>
                  </w:tcBorders>
                  <w:noWrap w:val="0"/>
                  <w:vAlign w:val="center"/>
                </w:tcPr>
                <w:p w14:paraId="61FF3C30">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43" w:type="pct"/>
                  <w:tcBorders>
                    <w:tl2br w:val="nil"/>
                    <w:tr2bl w:val="nil"/>
                  </w:tcBorders>
                  <w:noWrap w:val="0"/>
                  <w:vAlign w:val="center"/>
                </w:tcPr>
                <w:p w14:paraId="3C2B0585">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专用管道</w:t>
                  </w:r>
                </w:p>
              </w:tc>
              <w:tc>
                <w:tcPr>
                  <w:tcW w:w="261" w:type="pct"/>
                  <w:tcBorders>
                    <w:tl2br w:val="nil"/>
                    <w:tr2bl w:val="nil"/>
                  </w:tcBorders>
                  <w:noWrap w:val="0"/>
                  <w:vAlign w:val="center"/>
                </w:tcPr>
                <w:p w14:paraId="3F88BB18">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4F41F790">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多管旋风除尘+布袋除尘+水膜除尘</w:t>
                  </w:r>
                </w:p>
              </w:tc>
              <w:tc>
                <w:tcPr>
                  <w:tcW w:w="242" w:type="pct"/>
                  <w:tcBorders>
                    <w:tl2br w:val="nil"/>
                    <w:tr2bl w:val="nil"/>
                  </w:tcBorders>
                  <w:noWrap w:val="0"/>
                  <w:vAlign w:val="center"/>
                </w:tcPr>
                <w:p w14:paraId="13982888">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90%</w:t>
                  </w:r>
                </w:p>
              </w:tc>
              <w:tc>
                <w:tcPr>
                  <w:tcW w:w="450" w:type="pct"/>
                  <w:tcBorders>
                    <w:tl2br w:val="nil"/>
                    <w:tr2bl w:val="nil"/>
                  </w:tcBorders>
                  <w:noWrap w:val="0"/>
                  <w:vAlign w:val="center"/>
                </w:tcPr>
                <w:p w14:paraId="0621534F">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是</w:t>
                  </w:r>
                </w:p>
              </w:tc>
              <w:tc>
                <w:tcPr>
                  <w:tcW w:w="340" w:type="pct"/>
                  <w:tcBorders>
                    <w:tl2br w:val="nil"/>
                    <w:tr2bl w:val="nil"/>
                  </w:tcBorders>
                  <w:noWrap w:val="0"/>
                  <w:vAlign w:val="center"/>
                </w:tcPr>
                <w:p w14:paraId="7D7FA144">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247" w:type="pct"/>
                  <w:tcBorders>
                    <w:tl2br w:val="nil"/>
                    <w:tr2bl w:val="nil"/>
                  </w:tcBorders>
                  <w:noWrap w:val="0"/>
                  <w:vAlign w:val="center"/>
                </w:tcPr>
                <w:p w14:paraId="5E8D2367">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有组织</w:t>
                  </w:r>
                </w:p>
              </w:tc>
              <w:tc>
                <w:tcPr>
                  <w:tcW w:w="232" w:type="pct"/>
                  <w:tcBorders>
                    <w:tl2br w:val="nil"/>
                    <w:tr2bl w:val="nil"/>
                  </w:tcBorders>
                  <w:noWrap w:val="0"/>
                  <w:vAlign w:val="center"/>
                </w:tcPr>
                <w:p w14:paraId="471AF911">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6BC41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continue"/>
                  <w:tcBorders>
                    <w:tl2br w:val="nil"/>
                    <w:tr2bl w:val="nil"/>
                  </w:tcBorders>
                  <w:noWrap w:val="0"/>
                  <w:vAlign w:val="center"/>
                </w:tcPr>
                <w:p w14:paraId="53921C17">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59" w:type="pct"/>
                  <w:tcBorders>
                    <w:tl2br w:val="nil"/>
                    <w:tr2bl w:val="nil"/>
                  </w:tcBorders>
                  <w:noWrap w:val="0"/>
                  <w:vAlign w:val="center"/>
                </w:tcPr>
                <w:p w14:paraId="2280A2E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G1</w:t>
                  </w:r>
                </w:p>
              </w:tc>
              <w:tc>
                <w:tcPr>
                  <w:tcW w:w="446" w:type="pct"/>
                  <w:tcBorders>
                    <w:tl2br w:val="nil"/>
                    <w:tr2bl w:val="nil"/>
                  </w:tcBorders>
                  <w:noWrap w:val="0"/>
                  <w:vAlign w:val="center"/>
                </w:tcPr>
                <w:p w14:paraId="5B8E103C">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NOx</w:t>
                  </w:r>
                </w:p>
              </w:tc>
              <w:tc>
                <w:tcPr>
                  <w:tcW w:w="470" w:type="pct"/>
                  <w:tcBorders>
                    <w:tl2br w:val="nil"/>
                    <w:tr2bl w:val="nil"/>
                  </w:tcBorders>
                  <w:noWrap w:val="0"/>
                  <w:vAlign w:val="top"/>
                </w:tcPr>
                <w:p w14:paraId="3F9264D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 w:val="21"/>
                      <w:szCs w:val="21"/>
                      <w:u w:val="none" w:color="auto"/>
                      <w:vertAlign w:val="baseline"/>
                      <w:lang w:val="en-US" w:eastAsia="zh-CN"/>
                    </w:rPr>
                    <w:t>10.2</w:t>
                  </w:r>
                </w:p>
              </w:tc>
              <w:tc>
                <w:tcPr>
                  <w:tcW w:w="577" w:type="pct"/>
                  <w:vMerge w:val="continue"/>
                  <w:tcBorders>
                    <w:tl2br w:val="nil"/>
                    <w:tr2bl w:val="nil"/>
                  </w:tcBorders>
                  <w:noWrap w:val="0"/>
                  <w:vAlign w:val="center"/>
                </w:tcPr>
                <w:p w14:paraId="448789A0">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43" w:type="pct"/>
                  <w:tcBorders>
                    <w:tl2br w:val="nil"/>
                    <w:tr2bl w:val="nil"/>
                  </w:tcBorders>
                  <w:noWrap w:val="0"/>
                  <w:vAlign w:val="center"/>
                </w:tcPr>
                <w:p w14:paraId="46134C3D">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专用管道</w:t>
                  </w:r>
                </w:p>
              </w:tc>
              <w:tc>
                <w:tcPr>
                  <w:tcW w:w="261" w:type="pct"/>
                  <w:tcBorders>
                    <w:tl2br w:val="nil"/>
                    <w:tr2bl w:val="nil"/>
                  </w:tcBorders>
                  <w:noWrap w:val="0"/>
                  <w:vAlign w:val="center"/>
                </w:tcPr>
                <w:p w14:paraId="116DF12C">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7314C661">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多管旋风除尘+布袋除尘+水膜除尘</w:t>
                  </w:r>
                </w:p>
              </w:tc>
              <w:tc>
                <w:tcPr>
                  <w:tcW w:w="242" w:type="pct"/>
                  <w:tcBorders>
                    <w:tl2br w:val="nil"/>
                    <w:tr2bl w:val="nil"/>
                  </w:tcBorders>
                  <w:noWrap w:val="0"/>
                  <w:vAlign w:val="center"/>
                </w:tcPr>
                <w:p w14:paraId="6F94F4C2">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0</w:t>
                  </w:r>
                </w:p>
              </w:tc>
              <w:tc>
                <w:tcPr>
                  <w:tcW w:w="450" w:type="pct"/>
                  <w:tcBorders>
                    <w:tl2br w:val="nil"/>
                    <w:tr2bl w:val="nil"/>
                  </w:tcBorders>
                  <w:noWrap w:val="0"/>
                  <w:vAlign w:val="center"/>
                </w:tcPr>
                <w:p w14:paraId="11D116DC">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是</w:t>
                  </w:r>
                </w:p>
              </w:tc>
              <w:tc>
                <w:tcPr>
                  <w:tcW w:w="340" w:type="pct"/>
                  <w:tcBorders>
                    <w:tl2br w:val="nil"/>
                    <w:tr2bl w:val="nil"/>
                  </w:tcBorders>
                  <w:noWrap w:val="0"/>
                  <w:vAlign w:val="center"/>
                </w:tcPr>
                <w:p w14:paraId="46347188">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247" w:type="pct"/>
                  <w:tcBorders>
                    <w:tl2br w:val="nil"/>
                    <w:tr2bl w:val="nil"/>
                  </w:tcBorders>
                  <w:noWrap w:val="0"/>
                  <w:vAlign w:val="center"/>
                </w:tcPr>
                <w:p w14:paraId="161E3314">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有组织</w:t>
                  </w:r>
                </w:p>
              </w:tc>
              <w:tc>
                <w:tcPr>
                  <w:tcW w:w="232" w:type="pct"/>
                  <w:tcBorders>
                    <w:tl2br w:val="nil"/>
                    <w:tr2bl w:val="nil"/>
                  </w:tcBorders>
                  <w:noWrap w:val="0"/>
                  <w:vAlign w:val="center"/>
                </w:tcPr>
                <w:p w14:paraId="60AC0445">
                  <w:pPr>
                    <w:widowControl/>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w:t>
                  </w:r>
                </w:p>
              </w:tc>
            </w:tr>
            <w:tr w14:paraId="0DC8D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restart"/>
                  <w:tcBorders>
                    <w:tl2br w:val="nil"/>
                    <w:tr2bl w:val="nil"/>
                  </w:tcBorders>
                  <w:noWrap w:val="0"/>
                  <w:vAlign w:val="center"/>
                </w:tcPr>
                <w:p w14:paraId="0E35006A">
                  <w:pPr>
                    <w:adjustRightInd w:val="0"/>
                    <w:snapToGrid w:val="0"/>
                    <w:jc w:val="center"/>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4t/h导热油炉</w:t>
                  </w:r>
                  <w:r>
                    <w:rPr>
                      <w:rFonts w:hint="default" w:ascii="Times New Roman" w:hAnsi="Times New Roman" w:eastAsia="宋体" w:cs="Times New Roman"/>
                      <w:color w:val="auto"/>
                      <w:szCs w:val="21"/>
                      <w:u w:val="none" w:color="auto"/>
                      <w:lang w:val="en-US" w:eastAsia="zh-CN"/>
                    </w:rPr>
                    <w:t>锅炉燃烧</w:t>
                  </w:r>
                </w:p>
              </w:tc>
              <w:tc>
                <w:tcPr>
                  <w:tcW w:w="359" w:type="pct"/>
                  <w:tcBorders>
                    <w:tl2br w:val="nil"/>
                    <w:tr2bl w:val="nil"/>
                  </w:tcBorders>
                  <w:noWrap w:val="0"/>
                  <w:vAlign w:val="center"/>
                </w:tcPr>
                <w:p w14:paraId="52DE88A5">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w:t>
                  </w:r>
                  <w:r>
                    <w:rPr>
                      <w:rFonts w:hint="eastAsia" w:cs="Times New Roman"/>
                      <w:color w:val="auto"/>
                      <w:szCs w:val="21"/>
                      <w:u w:val="none" w:color="auto"/>
                      <w:lang w:val="en-US" w:eastAsia="zh-CN"/>
                    </w:rPr>
                    <w:t>2</w:t>
                  </w:r>
                </w:p>
              </w:tc>
              <w:tc>
                <w:tcPr>
                  <w:tcW w:w="446" w:type="pct"/>
                  <w:tcBorders>
                    <w:tl2br w:val="nil"/>
                    <w:tr2bl w:val="nil"/>
                  </w:tcBorders>
                  <w:noWrap w:val="0"/>
                  <w:vAlign w:val="center"/>
                </w:tcPr>
                <w:p w14:paraId="4CCE92B0">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颗粒物</w:t>
                  </w:r>
                </w:p>
              </w:tc>
              <w:tc>
                <w:tcPr>
                  <w:tcW w:w="737" w:type="dxa"/>
                  <w:tcBorders>
                    <w:tl2br w:val="nil"/>
                    <w:tr2bl w:val="nil"/>
                  </w:tcBorders>
                  <w:noWrap w:val="0"/>
                  <w:vAlign w:val="center"/>
                </w:tcPr>
                <w:p w14:paraId="6D7DF2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29.6</w:t>
                  </w:r>
                </w:p>
              </w:tc>
              <w:tc>
                <w:tcPr>
                  <w:tcW w:w="577" w:type="pct"/>
                  <w:vMerge w:val="restart"/>
                  <w:tcBorders>
                    <w:tl2br w:val="nil"/>
                    <w:tr2bl w:val="nil"/>
                  </w:tcBorders>
                  <w:noWrap w:val="0"/>
                  <w:vAlign w:val="center"/>
                </w:tcPr>
                <w:p w14:paraId="3C625CD4">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《污染源源强核算技术指南 锅炉》（HJ991-2018）</w:t>
                  </w:r>
                </w:p>
              </w:tc>
              <w:tc>
                <w:tcPr>
                  <w:tcW w:w="538" w:type="dxa"/>
                  <w:tcBorders>
                    <w:tl2br w:val="nil"/>
                    <w:tr2bl w:val="nil"/>
                  </w:tcBorders>
                  <w:noWrap w:val="0"/>
                  <w:vAlign w:val="center"/>
                </w:tcPr>
                <w:p w14:paraId="7BB7D248">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专用管道</w:t>
                  </w:r>
                </w:p>
              </w:tc>
              <w:tc>
                <w:tcPr>
                  <w:tcW w:w="410" w:type="dxa"/>
                  <w:tcBorders>
                    <w:tl2br w:val="nil"/>
                    <w:tr2bl w:val="nil"/>
                  </w:tcBorders>
                  <w:noWrap w:val="0"/>
                  <w:vAlign w:val="center"/>
                </w:tcPr>
                <w:p w14:paraId="2452C74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6580032E">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多管旋风除尘+布袋除尘+脱硫塔</w:t>
                  </w:r>
                </w:p>
              </w:tc>
              <w:tc>
                <w:tcPr>
                  <w:tcW w:w="242" w:type="pct"/>
                  <w:tcBorders>
                    <w:tl2br w:val="nil"/>
                    <w:tr2bl w:val="nil"/>
                  </w:tcBorders>
                  <w:noWrap w:val="0"/>
                  <w:vAlign w:val="center"/>
                </w:tcPr>
                <w:p w14:paraId="15B71DAD">
                  <w:pPr>
                    <w:adjustRightInd w:val="0"/>
                    <w:snapToGrid w:val="0"/>
                    <w:jc w:val="center"/>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99.8</w:t>
                  </w:r>
                </w:p>
              </w:tc>
              <w:tc>
                <w:tcPr>
                  <w:tcW w:w="705" w:type="dxa"/>
                  <w:tcBorders>
                    <w:tl2br w:val="nil"/>
                    <w:tr2bl w:val="nil"/>
                  </w:tcBorders>
                  <w:noWrap w:val="0"/>
                  <w:vAlign w:val="center"/>
                </w:tcPr>
                <w:p w14:paraId="5F2F98F6">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是</w:t>
                  </w:r>
                </w:p>
              </w:tc>
              <w:tc>
                <w:tcPr>
                  <w:tcW w:w="534" w:type="dxa"/>
                  <w:tcBorders>
                    <w:tl2br w:val="nil"/>
                    <w:tr2bl w:val="nil"/>
                  </w:tcBorders>
                  <w:noWrap w:val="0"/>
                  <w:vAlign w:val="center"/>
                </w:tcPr>
                <w:p w14:paraId="27F7C7C5">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387" w:type="dxa"/>
                  <w:tcBorders>
                    <w:tl2br w:val="nil"/>
                    <w:tr2bl w:val="nil"/>
                  </w:tcBorders>
                  <w:noWrap w:val="0"/>
                  <w:vAlign w:val="center"/>
                </w:tcPr>
                <w:p w14:paraId="3372217E">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有组织</w:t>
                  </w:r>
                </w:p>
              </w:tc>
              <w:tc>
                <w:tcPr>
                  <w:tcW w:w="364" w:type="dxa"/>
                  <w:tcBorders>
                    <w:tl2br w:val="nil"/>
                    <w:tr2bl w:val="nil"/>
                  </w:tcBorders>
                  <w:noWrap w:val="0"/>
                  <w:vAlign w:val="center"/>
                </w:tcPr>
                <w:p w14:paraId="347FB91A">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319E6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continue"/>
                  <w:tcBorders>
                    <w:tl2br w:val="nil"/>
                    <w:tr2bl w:val="nil"/>
                  </w:tcBorders>
                  <w:noWrap w:val="0"/>
                  <w:vAlign w:val="center"/>
                </w:tcPr>
                <w:p w14:paraId="2731B716">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59" w:type="pct"/>
                  <w:tcBorders>
                    <w:tl2br w:val="nil"/>
                    <w:tr2bl w:val="nil"/>
                  </w:tcBorders>
                  <w:noWrap w:val="0"/>
                  <w:vAlign w:val="center"/>
                </w:tcPr>
                <w:p w14:paraId="3391936D">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w:t>
                  </w:r>
                  <w:r>
                    <w:rPr>
                      <w:rFonts w:hint="eastAsia" w:cs="Times New Roman"/>
                      <w:color w:val="auto"/>
                      <w:szCs w:val="21"/>
                      <w:u w:val="none" w:color="auto"/>
                      <w:lang w:val="en-US" w:eastAsia="zh-CN"/>
                    </w:rPr>
                    <w:t>2</w:t>
                  </w:r>
                </w:p>
              </w:tc>
              <w:tc>
                <w:tcPr>
                  <w:tcW w:w="446" w:type="pct"/>
                  <w:tcBorders>
                    <w:tl2br w:val="nil"/>
                    <w:tr2bl w:val="nil"/>
                  </w:tcBorders>
                  <w:noWrap w:val="0"/>
                  <w:vAlign w:val="center"/>
                </w:tcPr>
                <w:p w14:paraId="1F5D558C">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SO</w:t>
                  </w:r>
                  <w:r>
                    <w:rPr>
                      <w:rFonts w:hint="default" w:ascii="Times New Roman" w:hAnsi="Times New Roman" w:eastAsia="宋体" w:cs="Times New Roman"/>
                      <w:color w:val="auto"/>
                      <w:szCs w:val="21"/>
                      <w:u w:val="none" w:color="auto"/>
                      <w:vertAlign w:val="subscript"/>
                      <w:lang w:val="en-US" w:eastAsia="zh-CN"/>
                    </w:rPr>
                    <w:t>2</w:t>
                  </w:r>
                </w:p>
              </w:tc>
              <w:tc>
                <w:tcPr>
                  <w:tcW w:w="737" w:type="dxa"/>
                  <w:tcBorders>
                    <w:tl2br w:val="nil"/>
                    <w:tr2bl w:val="nil"/>
                  </w:tcBorders>
                  <w:noWrap w:val="0"/>
                  <w:vAlign w:val="center"/>
                </w:tcPr>
                <w:p w14:paraId="0ACEB3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0.96</w:t>
                  </w:r>
                </w:p>
              </w:tc>
              <w:tc>
                <w:tcPr>
                  <w:tcW w:w="577" w:type="pct"/>
                  <w:vMerge w:val="continue"/>
                  <w:tcBorders>
                    <w:tl2br w:val="nil"/>
                    <w:tr2bl w:val="nil"/>
                  </w:tcBorders>
                  <w:noWrap w:val="0"/>
                  <w:vAlign w:val="center"/>
                </w:tcPr>
                <w:p w14:paraId="4FB31824">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538" w:type="dxa"/>
                  <w:tcBorders>
                    <w:tl2br w:val="nil"/>
                    <w:tr2bl w:val="nil"/>
                  </w:tcBorders>
                  <w:noWrap w:val="0"/>
                  <w:vAlign w:val="center"/>
                </w:tcPr>
                <w:p w14:paraId="0864B682">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专用管道</w:t>
                  </w:r>
                </w:p>
              </w:tc>
              <w:tc>
                <w:tcPr>
                  <w:tcW w:w="410" w:type="dxa"/>
                  <w:tcBorders>
                    <w:tl2br w:val="nil"/>
                    <w:tr2bl w:val="nil"/>
                  </w:tcBorders>
                  <w:noWrap w:val="0"/>
                  <w:vAlign w:val="center"/>
                </w:tcPr>
                <w:p w14:paraId="5BE02A3A">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281DF1DF">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多管旋风除尘+布袋除尘+脱硫塔</w:t>
                  </w:r>
                </w:p>
              </w:tc>
              <w:tc>
                <w:tcPr>
                  <w:tcW w:w="242" w:type="pct"/>
                  <w:tcBorders>
                    <w:tl2br w:val="nil"/>
                    <w:tr2bl w:val="nil"/>
                  </w:tcBorders>
                  <w:noWrap w:val="0"/>
                  <w:vAlign w:val="center"/>
                </w:tcPr>
                <w:p w14:paraId="3CB45386">
                  <w:pPr>
                    <w:adjustRightInd w:val="0"/>
                    <w:snapToGrid w:val="0"/>
                    <w:jc w:val="center"/>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90</w:t>
                  </w:r>
                </w:p>
              </w:tc>
              <w:tc>
                <w:tcPr>
                  <w:tcW w:w="705" w:type="dxa"/>
                  <w:tcBorders>
                    <w:tl2br w:val="nil"/>
                    <w:tr2bl w:val="nil"/>
                  </w:tcBorders>
                  <w:noWrap w:val="0"/>
                  <w:vAlign w:val="center"/>
                </w:tcPr>
                <w:p w14:paraId="032C53EE">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是</w:t>
                  </w:r>
                </w:p>
              </w:tc>
              <w:tc>
                <w:tcPr>
                  <w:tcW w:w="534" w:type="dxa"/>
                  <w:tcBorders>
                    <w:tl2br w:val="nil"/>
                    <w:tr2bl w:val="nil"/>
                  </w:tcBorders>
                  <w:noWrap w:val="0"/>
                  <w:vAlign w:val="center"/>
                </w:tcPr>
                <w:p w14:paraId="5B451443">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387" w:type="dxa"/>
                  <w:tcBorders>
                    <w:tl2br w:val="nil"/>
                    <w:tr2bl w:val="nil"/>
                  </w:tcBorders>
                  <w:noWrap w:val="0"/>
                  <w:vAlign w:val="center"/>
                </w:tcPr>
                <w:p w14:paraId="3A79856D">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有组织</w:t>
                  </w:r>
                </w:p>
              </w:tc>
              <w:tc>
                <w:tcPr>
                  <w:tcW w:w="364" w:type="dxa"/>
                  <w:tcBorders>
                    <w:tl2br w:val="nil"/>
                    <w:tr2bl w:val="nil"/>
                  </w:tcBorders>
                  <w:noWrap w:val="0"/>
                  <w:vAlign w:val="center"/>
                </w:tcPr>
                <w:p w14:paraId="6AE21599">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71EEC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vMerge w:val="continue"/>
                  <w:tcBorders>
                    <w:tl2br w:val="nil"/>
                    <w:tr2bl w:val="nil"/>
                  </w:tcBorders>
                  <w:noWrap w:val="0"/>
                  <w:vAlign w:val="center"/>
                </w:tcPr>
                <w:p w14:paraId="0275D247">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359" w:type="pct"/>
                  <w:tcBorders>
                    <w:tl2br w:val="nil"/>
                    <w:tr2bl w:val="nil"/>
                  </w:tcBorders>
                  <w:noWrap w:val="0"/>
                  <w:vAlign w:val="center"/>
                </w:tcPr>
                <w:p w14:paraId="708E0772">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w:t>
                  </w:r>
                  <w:r>
                    <w:rPr>
                      <w:rFonts w:hint="eastAsia" w:cs="Times New Roman"/>
                      <w:color w:val="auto"/>
                      <w:szCs w:val="21"/>
                      <w:u w:val="none" w:color="auto"/>
                      <w:lang w:val="en-US" w:eastAsia="zh-CN"/>
                    </w:rPr>
                    <w:t>2</w:t>
                  </w:r>
                </w:p>
              </w:tc>
              <w:tc>
                <w:tcPr>
                  <w:tcW w:w="446" w:type="pct"/>
                  <w:tcBorders>
                    <w:tl2br w:val="nil"/>
                    <w:tr2bl w:val="nil"/>
                  </w:tcBorders>
                  <w:noWrap w:val="0"/>
                  <w:vAlign w:val="center"/>
                </w:tcPr>
                <w:p w14:paraId="511F2439">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NOx</w:t>
                  </w:r>
                </w:p>
              </w:tc>
              <w:tc>
                <w:tcPr>
                  <w:tcW w:w="737" w:type="dxa"/>
                  <w:tcBorders>
                    <w:tl2br w:val="nil"/>
                    <w:tr2bl w:val="nil"/>
                  </w:tcBorders>
                  <w:noWrap w:val="0"/>
                  <w:vAlign w:val="center"/>
                </w:tcPr>
                <w:p w14:paraId="2F0EC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1.73</w:t>
                  </w:r>
                </w:p>
              </w:tc>
              <w:tc>
                <w:tcPr>
                  <w:tcW w:w="577" w:type="pct"/>
                  <w:vMerge w:val="continue"/>
                  <w:tcBorders>
                    <w:tl2br w:val="nil"/>
                    <w:tr2bl w:val="nil"/>
                  </w:tcBorders>
                  <w:noWrap w:val="0"/>
                  <w:vAlign w:val="center"/>
                </w:tcPr>
                <w:p w14:paraId="389F5CB2">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538" w:type="dxa"/>
                  <w:tcBorders>
                    <w:tl2br w:val="nil"/>
                    <w:tr2bl w:val="nil"/>
                  </w:tcBorders>
                  <w:noWrap w:val="0"/>
                  <w:vAlign w:val="center"/>
                </w:tcPr>
                <w:p w14:paraId="5E029A48">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专用管道</w:t>
                  </w:r>
                </w:p>
              </w:tc>
              <w:tc>
                <w:tcPr>
                  <w:tcW w:w="410" w:type="dxa"/>
                  <w:tcBorders>
                    <w:tl2br w:val="nil"/>
                    <w:tr2bl w:val="nil"/>
                  </w:tcBorders>
                  <w:noWrap w:val="0"/>
                  <w:vAlign w:val="center"/>
                </w:tcPr>
                <w:p w14:paraId="7A7FBC6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100%</w:t>
                  </w:r>
                </w:p>
              </w:tc>
              <w:tc>
                <w:tcPr>
                  <w:tcW w:w="478" w:type="pct"/>
                  <w:tcBorders>
                    <w:tl2br w:val="nil"/>
                    <w:tr2bl w:val="nil"/>
                  </w:tcBorders>
                  <w:noWrap w:val="0"/>
                  <w:vAlign w:val="center"/>
                </w:tcPr>
                <w:p w14:paraId="080CEE5C">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多管旋风除尘+布袋除尘+脱硫塔</w:t>
                  </w:r>
                </w:p>
              </w:tc>
              <w:tc>
                <w:tcPr>
                  <w:tcW w:w="242" w:type="pct"/>
                  <w:tcBorders>
                    <w:tl2br w:val="nil"/>
                    <w:tr2bl w:val="nil"/>
                  </w:tcBorders>
                  <w:noWrap w:val="0"/>
                  <w:vAlign w:val="center"/>
                </w:tcPr>
                <w:p w14:paraId="0F2C6874">
                  <w:pPr>
                    <w:adjustRightInd w:val="0"/>
                    <w:snapToGrid w:val="0"/>
                    <w:jc w:val="center"/>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0</w:t>
                  </w:r>
                </w:p>
              </w:tc>
              <w:tc>
                <w:tcPr>
                  <w:tcW w:w="705" w:type="dxa"/>
                  <w:tcBorders>
                    <w:tl2br w:val="nil"/>
                    <w:tr2bl w:val="nil"/>
                  </w:tcBorders>
                  <w:noWrap w:val="0"/>
                  <w:vAlign w:val="center"/>
                </w:tcPr>
                <w:p w14:paraId="31839783">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是</w:t>
                  </w:r>
                </w:p>
              </w:tc>
              <w:tc>
                <w:tcPr>
                  <w:tcW w:w="534" w:type="dxa"/>
                  <w:tcBorders>
                    <w:tl2br w:val="nil"/>
                    <w:tr2bl w:val="nil"/>
                  </w:tcBorders>
                  <w:noWrap w:val="0"/>
                  <w:vAlign w:val="center"/>
                </w:tcPr>
                <w:p w14:paraId="38A926E3">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387" w:type="dxa"/>
                  <w:tcBorders>
                    <w:tl2br w:val="nil"/>
                    <w:tr2bl w:val="nil"/>
                  </w:tcBorders>
                  <w:noWrap w:val="0"/>
                  <w:vAlign w:val="center"/>
                </w:tcPr>
                <w:p w14:paraId="05DAB5C8">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有组织</w:t>
                  </w:r>
                </w:p>
              </w:tc>
              <w:tc>
                <w:tcPr>
                  <w:tcW w:w="364" w:type="dxa"/>
                  <w:tcBorders>
                    <w:tl2br w:val="nil"/>
                    <w:tr2bl w:val="nil"/>
                  </w:tcBorders>
                  <w:noWrap w:val="0"/>
                  <w:vAlign w:val="center"/>
                </w:tcPr>
                <w:p w14:paraId="761AA0F1">
                  <w:pPr>
                    <w:widowControl/>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2BCDF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9" w:type="pct"/>
                  <w:tcBorders>
                    <w:tl2br w:val="nil"/>
                    <w:tr2bl w:val="nil"/>
                  </w:tcBorders>
                  <w:noWrap w:val="0"/>
                  <w:vAlign w:val="center"/>
                </w:tcPr>
                <w:p w14:paraId="3454A07F">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清渣工序</w:t>
                  </w:r>
                </w:p>
              </w:tc>
              <w:tc>
                <w:tcPr>
                  <w:tcW w:w="359" w:type="pct"/>
                  <w:tcBorders>
                    <w:tl2br w:val="nil"/>
                    <w:tr2bl w:val="nil"/>
                  </w:tcBorders>
                  <w:noWrap w:val="0"/>
                  <w:vAlign w:val="center"/>
                </w:tcPr>
                <w:p w14:paraId="0C827E06">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G 2</w:t>
                  </w:r>
                </w:p>
              </w:tc>
              <w:tc>
                <w:tcPr>
                  <w:tcW w:w="446" w:type="pct"/>
                  <w:tcBorders>
                    <w:tl2br w:val="nil"/>
                    <w:tr2bl w:val="nil"/>
                  </w:tcBorders>
                  <w:noWrap w:val="0"/>
                  <w:vAlign w:val="center"/>
                </w:tcPr>
                <w:p w14:paraId="0A134362">
                  <w:pPr>
                    <w:adjustRightInd w:val="0"/>
                    <w:snapToGrid w:val="0"/>
                    <w:jc w:val="center"/>
                    <w:rPr>
                      <w:rFonts w:hint="default" w:ascii="Times New Roman" w:hAnsi="Times New Roman" w:eastAsia="宋体" w:cs="Times New Roman"/>
                      <w:color w:val="auto"/>
                      <w:szCs w:val="21"/>
                      <w:u w:val="none" w:color="auto"/>
                      <w:lang w:val="en-US" w:eastAsia="zh-CN"/>
                    </w:rPr>
                  </w:pPr>
                </w:p>
              </w:tc>
              <w:tc>
                <w:tcPr>
                  <w:tcW w:w="470" w:type="pct"/>
                  <w:tcBorders>
                    <w:tl2br w:val="nil"/>
                    <w:tr2bl w:val="nil"/>
                  </w:tcBorders>
                  <w:noWrap w:val="0"/>
                  <w:vAlign w:val="center"/>
                </w:tcPr>
                <w:p w14:paraId="303E99C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1.09</w:t>
                  </w:r>
                </w:p>
              </w:tc>
              <w:tc>
                <w:tcPr>
                  <w:tcW w:w="577" w:type="pct"/>
                  <w:tcBorders>
                    <w:tl2br w:val="nil"/>
                    <w:tr2bl w:val="nil"/>
                  </w:tcBorders>
                  <w:noWrap w:val="0"/>
                  <w:vAlign w:val="center"/>
                </w:tcPr>
                <w:p w14:paraId="4B31ED87">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《污染源源强核算技术指南 锅炉》（HJ991-2018）</w:t>
                  </w:r>
                </w:p>
              </w:tc>
              <w:tc>
                <w:tcPr>
                  <w:tcW w:w="343" w:type="pct"/>
                  <w:tcBorders>
                    <w:tl2br w:val="nil"/>
                    <w:tr2bl w:val="nil"/>
                  </w:tcBorders>
                  <w:noWrap w:val="0"/>
                  <w:vAlign w:val="center"/>
                </w:tcPr>
                <w:p w14:paraId="47C54959">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261" w:type="pct"/>
                  <w:tcBorders>
                    <w:tl2br w:val="nil"/>
                    <w:tr2bl w:val="nil"/>
                  </w:tcBorders>
                  <w:noWrap w:val="0"/>
                  <w:vAlign w:val="center"/>
                </w:tcPr>
                <w:p w14:paraId="1A3AB0A3">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478" w:type="pct"/>
                  <w:tcBorders>
                    <w:tl2br w:val="nil"/>
                    <w:tr2bl w:val="nil"/>
                  </w:tcBorders>
                  <w:noWrap w:val="0"/>
                  <w:vAlign w:val="center"/>
                </w:tcPr>
                <w:p w14:paraId="3E5F9982">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湿法降尘</w:t>
                  </w:r>
                </w:p>
              </w:tc>
              <w:tc>
                <w:tcPr>
                  <w:tcW w:w="242" w:type="pct"/>
                  <w:tcBorders>
                    <w:tl2br w:val="nil"/>
                    <w:tr2bl w:val="nil"/>
                  </w:tcBorders>
                  <w:noWrap w:val="0"/>
                  <w:vAlign w:val="center"/>
                </w:tcPr>
                <w:p w14:paraId="001CFACF">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99%</w:t>
                  </w:r>
                </w:p>
              </w:tc>
              <w:tc>
                <w:tcPr>
                  <w:tcW w:w="450" w:type="pct"/>
                  <w:tcBorders>
                    <w:tl2br w:val="nil"/>
                    <w:tr2bl w:val="nil"/>
                  </w:tcBorders>
                  <w:noWrap w:val="0"/>
                  <w:vAlign w:val="center"/>
                </w:tcPr>
                <w:p w14:paraId="25BFF3B0">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是</w:t>
                  </w:r>
                </w:p>
              </w:tc>
              <w:tc>
                <w:tcPr>
                  <w:tcW w:w="340" w:type="pct"/>
                  <w:tcBorders>
                    <w:tl2br w:val="nil"/>
                    <w:tr2bl w:val="nil"/>
                  </w:tcBorders>
                  <w:noWrap w:val="0"/>
                  <w:vAlign w:val="center"/>
                </w:tcPr>
                <w:p w14:paraId="305CD881">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247" w:type="pct"/>
                  <w:tcBorders>
                    <w:tl2br w:val="nil"/>
                    <w:tr2bl w:val="nil"/>
                  </w:tcBorders>
                  <w:noWrap w:val="0"/>
                  <w:vAlign w:val="center"/>
                </w:tcPr>
                <w:p w14:paraId="70969E91">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c>
                <w:tcPr>
                  <w:tcW w:w="232" w:type="pct"/>
                  <w:tcBorders>
                    <w:tl2br w:val="nil"/>
                    <w:tr2bl w:val="nil"/>
                  </w:tcBorders>
                  <w:noWrap w:val="0"/>
                  <w:vAlign w:val="center"/>
                </w:tcPr>
                <w:p w14:paraId="0DDBF8A5">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无组织</w:t>
                  </w:r>
                </w:p>
              </w:tc>
            </w:tr>
          </w:tbl>
          <w:p w14:paraId="48835A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项目大气污染物产生和排放情况见下表。</w:t>
            </w:r>
          </w:p>
          <w:p w14:paraId="322A1E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4-</w:t>
            </w:r>
            <w:r>
              <w:rPr>
                <w:rFonts w:hint="eastAsia" w:cs="Times New Roman"/>
                <w:b/>
                <w:bCs/>
                <w:color w:val="auto"/>
                <w:kern w:val="0"/>
                <w:sz w:val="22"/>
                <w:szCs w:val="22"/>
                <w:u w:val="none" w:color="auto"/>
                <w:lang w:val="en-US" w:eastAsia="zh-CN"/>
              </w:rPr>
              <w:t>4</w:t>
            </w:r>
            <w:r>
              <w:rPr>
                <w:rFonts w:hint="default" w:ascii="Times New Roman" w:hAnsi="Times New Roman" w:eastAsia="宋体" w:cs="Times New Roman"/>
                <w:b/>
                <w:bCs/>
                <w:color w:val="auto"/>
                <w:kern w:val="0"/>
                <w:sz w:val="22"/>
                <w:szCs w:val="22"/>
                <w:u w:val="none" w:color="auto"/>
                <w:lang w:val="en-US" w:eastAsia="zh-CN"/>
              </w:rPr>
              <w:t xml:space="preserve">  项目大气污染物产有组织产生及排放情况一览表</w:t>
            </w:r>
          </w:p>
          <w:tbl>
            <w:tblPr>
              <w:tblStyle w:val="26"/>
              <w:tblW w:w="80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9"/>
              <w:gridCol w:w="689"/>
              <w:gridCol w:w="670"/>
              <w:gridCol w:w="744"/>
              <w:gridCol w:w="872"/>
              <w:gridCol w:w="1035"/>
              <w:gridCol w:w="972"/>
              <w:gridCol w:w="646"/>
              <w:gridCol w:w="1560"/>
            </w:tblGrid>
            <w:tr w14:paraId="11F1B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39" w:type="pct"/>
                  <w:vMerge w:val="restart"/>
                  <w:tcBorders>
                    <w:tl2br w:val="nil"/>
                    <w:tr2bl w:val="nil"/>
                  </w:tcBorders>
                  <w:noWrap w:val="0"/>
                  <w:vAlign w:val="center"/>
                </w:tcPr>
                <w:p w14:paraId="4CA83359">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污染源</w:t>
                  </w:r>
                </w:p>
              </w:tc>
              <w:tc>
                <w:tcPr>
                  <w:tcW w:w="427" w:type="pct"/>
                  <w:vMerge w:val="restart"/>
                  <w:tcBorders>
                    <w:tl2br w:val="nil"/>
                    <w:tr2bl w:val="nil"/>
                  </w:tcBorders>
                  <w:noWrap w:val="0"/>
                  <w:vAlign w:val="center"/>
                </w:tcPr>
                <w:p w14:paraId="59F3EDAA">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污染物</w:t>
                  </w:r>
                </w:p>
              </w:tc>
              <w:tc>
                <w:tcPr>
                  <w:tcW w:w="415" w:type="pct"/>
                  <w:vMerge w:val="restart"/>
                  <w:tcBorders>
                    <w:tl2br w:val="nil"/>
                    <w:tr2bl w:val="nil"/>
                  </w:tcBorders>
                  <w:noWrap w:val="0"/>
                  <w:vAlign w:val="center"/>
                </w:tcPr>
                <w:p w14:paraId="0DB13BBA">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烟气量（</w:t>
                  </w:r>
                  <w:r>
                    <w:rPr>
                      <w:rFonts w:hint="default" w:ascii="Times New Roman" w:hAnsi="Times New Roman" w:eastAsia="宋体" w:cs="Times New Roman"/>
                      <w:color w:val="auto"/>
                      <w:sz w:val="21"/>
                      <w:szCs w:val="21"/>
                      <w:u w:val="none" w:color="auto"/>
                      <w:vertAlign w:val="baseline"/>
                      <w:lang w:val="en-US" w:eastAsia="zh-CN"/>
                    </w:rPr>
                    <w:t>Nm</w:t>
                  </w:r>
                  <w:r>
                    <w:rPr>
                      <w:rFonts w:hint="default" w:ascii="Times New Roman" w:hAnsi="Times New Roman" w:eastAsia="宋体" w:cs="Times New Roman"/>
                      <w:color w:val="auto"/>
                      <w:sz w:val="21"/>
                      <w:szCs w:val="21"/>
                      <w:u w:val="none" w:color="auto"/>
                      <w:vertAlign w:val="superscript"/>
                      <w:lang w:val="en-US" w:eastAsia="zh-CN"/>
                    </w:rPr>
                    <w:t>3</w:t>
                  </w:r>
                  <w:r>
                    <w:rPr>
                      <w:rFonts w:hint="default" w:ascii="Times New Roman" w:hAnsi="Times New Roman" w:eastAsia="宋体" w:cs="Times New Roman"/>
                      <w:color w:val="auto"/>
                      <w:sz w:val="21"/>
                      <w:szCs w:val="21"/>
                      <w:u w:val="none" w:color="auto"/>
                      <w:vertAlign w:val="baseline"/>
                      <w:lang w:val="en-US" w:eastAsia="zh-CN"/>
                    </w:rPr>
                    <w:t>/a</w:t>
                  </w:r>
                  <w:r>
                    <w:rPr>
                      <w:rFonts w:hint="default" w:ascii="Times New Roman" w:hAnsi="Times New Roman" w:eastAsia="宋体" w:cs="Times New Roman"/>
                      <w:b/>
                      <w:bCs w:val="0"/>
                      <w:color w:val="auto"/>
                      <w:kern w:val="0"/>
                      <w:sz w:val="20"/>
                      <w:szCs w:val="20"/>
                      <w:u w:val="none" w:color="auto"/>
                      <w:lang w:val="en-US" w:eastAsia="zh-CN" w:bidi="ar-SA"/>
                    </w:rPr>
                    <w:t>）</w:t>
                  </w:r>
                </w:p>
              </w:tc>
              <w:tc>
                <w:tcPr>
                  <w:tcW w:w="1002" w:type="pct"/>
                  <w:gridSpan w:val="2"/>
                  <w:tcBorders>
                    <w:tl2br w:val="nil"/>
                    <w:tr2bl w:val="nil"/>
                  </w:tcBorders>
                  <w:noWrap w:val="0"/>
                  <w:vAlign w:val="center"/>
                </w:tcPr>
                <w:p w14:paraId="3527FF33">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产生情况</w:t>
                  </w:r>
                </w:p>
              </w:tc>
              <w:tc>
                <w:tcPr>
                  <w:tcW w:w="1245" w:type="pct"/>
                  <w:gridSpan w:val="2"/>
                  <w:tcBorders>
                    <w:tl2br w:val="nil"/>
                    <w:tr2bl w:val="nil"/>
                  </w:tcBorders>
                  <w:noWrap w:val="0"/>
                  <w:vAlign w:val="center"/>
                </w:tcPr>
                <w:p w14:paraId="237ECBCF">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排放情况</w:t>
                  </w:r>
                </w:p>
              </w:tc>
              <w:tc>
                <w:tcPr>
                  <w:tcW w:w="400" w:type="pct"/>
                  <w:vMerge w:val="restart"/>
                  <w:tcBorders>
                    <w:tl2br w:val="nil"/>
                    <w:tr2bl w:val="nil"/>
                  </w:tcBorders>
                  <w:noWrap w:val="0"/>
                  <w:vAlign w:val="center"/>
                </w:tcPr>
                <w:p w14:paraId="749E3D84">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处理效率</w:t>
                  </w:r>
                </w:p>
              </w:tc>
              <w:tc>
                <w:tcPr>
                  <w:tcW w:w="968" w:type="pct"/>
                  <w:vMerge w:val="restart"/>
                  <w:tcBorders>
                    <w:tl2br w:val="nil"/>
                    <w:tr2bl w:val="nil"/>
                  </w:tcBorders>
                  <w:noWrap w:val="0"/>
                  <w:vAlign w:val="center"/>
                </w:tcPr>
                <w:p w14:paraId="18447714">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治理</w:t>
                  </w:r>
                </w:p>
                <w:p w14:paraId="2A919BB5">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措施</w:t>
                  </w:r>
                </w:p>
              </w:tc>
            </w:tr>
            <w:tr w14:paraId="68222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539" w:type="pct"/>
                  <w:vMerge w:val="continue"/>
                  <w:tcBorders>
                    <w:tl2br w:val="nil"/>
                    <w:tr2bl w:val="nil"/>
                  </w:tcBorders>
                  <w:noWrap w:val="0"/>
                  <w:vAlign w:val="center"/>
                </w:tcPr>
                <w:p w14:paraId="6DFB9603">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27" w:type="pct"/>
                  <w:vMerge w:val="continue"/>
                  <w:tcBorders>
                    <w:tl2br w:val="nil"/>
                    <w:tr2bl w:val="nil"/>
                  </w:tcBorders>
                  <w:noWrap w:val="0"/>
                  <w:vAlign w:val="center"/>
                </w:tcPr>
                <w:p w14:paraId="565D49ED">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15" w:type="pct"/>
                  <w:vMerge w:val="continue"/>
                  <w:tcBorders>
                    <w:tl2br w:val="nil"/>
                    <w:tr2bl w:val="nil"/>
                  </w:tcBorders>
                  <w:noWrap w:val="0"/>
                  <w:vAlign w:val="center"/>
                </w:tcPr>
                <w:p w14:paraId="6075CFC2">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2753A163">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最大浓度（mg/m</w:t>
                  </w:r>
                  <w:r>
                    <w:rPr>
                      <w:rFonts w:hint="default" w:ascii="Times New Roman" w:hAnsi="Times New Roman" w:eastAsia="宋体" w:cs="Times New Roman"/>
                      <w:b/>
                      <w:bCs w:val="0"/>
                      <w:color w:val="auto"/>
                      <w:kern w:val="0"/>
                      <w:sz w:val="20"/>
                      <w:szCs w:val="20"/>
                      <w:u w:val="none" w:color="auto"/>
                      <w:vertAlign w:val="superscript"/>
                      <w:lang w:val="en-US" w:eastAsia="zh-CN" w:bidi="ar-SA"/>
                    </w:rPr>
                    <w:t>3</w:t>
                  </w:r>
                  <w:r>
                    <w:rPr>
                      <w:rFonts w:hint="default" w:ascii="Times New Roman" w:hAnsi="Times New Roman" w:eastAsia="宋体" w:cs="Times New Roman"/>
                      <w:b/>
                      <w:bCs w:val="0"/>
                      <w:color w:val="auto"/>
                      <w:kern w:val="0"/>
                      <w:sz w:val="20"/>
                      <w:szCs w:val="20"/>
                      <w:u w:val="none" w:color="auto"/>
                      <w:lang w:val="en-US" w:eastAsia="zh-CN" w:bidi="ar-SA"/>
                    </w:rPr>
                    <w:t>）</w:t>
                  </w:r>
                </w:p>
              </w:tc>
              <w:tc>
                <w:tcPr>
                  <w:tcW w:w="541" w:type="pct"/>
                  <w:tcBorders>
                    <w:tl2br w:val="nil"/>
                    <w:tr2bl w:val="nil"/>
                  </w:tcBorders>
                  <w:noWrap w:val="0"/>
                  <w:vAlign w:val="center"/>
                </w:tcPr>
                <w:p w14:paraId="192E76B5">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最大产生量（t/a）</w:t>
                  </w:r>
                </w:p>
              </w:tc>
              <w:tc>
                <w:tcPr>
                  <w:tcW w:w="642" w:type="pct"/>
                  <w:tcBorders>
                    <w:tl2br w:val="nil"/>
                    <w:tr2bl w:val="nil"/>
                  </w:tcBorders>
                  <w:noWrap w:val="0"/>
                  <w:vAlign w:val="center"/>
                </w:tcPr>
                <w:p w14:paraId="3B3ABBED">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最大浓度（mg/m</w:t>
                  </w:r>
                  <w:r>
                    <w:rPr>
                      <w:rFonts w:hint="default" w:ascii="Times New Roman" w:hAnsi="Times New Roman" w:eastAsia="宋体" w:cs="Times New Roman"/>
                      <w:b/>
                      <w:bCs w:val="0"/>
                      <w:color w:val="auto"/>
                      <w:kern w:val="0"/>
                      <w:sz w:val="20"/>
                      <w:szCs w:val="20"/>
                      <w:u w:val="none" w:color="auto"/>
                      <w:vertAlign w:val="superscript"/>
                      <w:lang w:val="en-US" w:eastAsia="zh-CN" w:bidi="ar-SA"/>
                    </w:rPr>
                    <w:t>3</w:t>
                  </w:r>
                  <w:r>
                    <w:rPr>
                      <w:rFonts w:hint="default" w:ascii="Times New Roman" w:hAnsi="Times New Roman" w:eastAsia="宋体" w:cs="Times New Roman"/>
                      <w:b/>
                      <w:bCs w:val="0"/>
                      <w:color w:val="auto"/>
                      <w:kern w:val="0"/>
                      <w:sz w:val="20"/>
                      <w:szCs w:val="20"/>
                      <w:u w:val="none" w:color="auto"/>
                      <w:lang w:val="en-US" w:eastAsia="zh-CN" w:bidi="ar-SA"/>
                    </w:rPr>
                    <w:t>）</w:t>
                  </w:r>
                </w:p>
              </w:tc>
              <w:tc>
                <w:tcPr>
                  <w:tcW w:w="603" w:type="pct"/>
                  <w:tcBorders>
                    <w:tl2br w:val="nil"/>
                    <w:tr2bl w:val="nil"/>
                  </w:tcBorders>
                  <w:noWrap w:val="0"/>
                  <w:vAlign w:val="center"/>
                </w:tcPr>
                <w:p w14:paraId="5719C465">
                  <w:pPr>
                    <w:jc w:val="center"/>
                    <w:rPr>
                      <w:rFonts w:hint="default" w:ascii="Times New Roman" w:hAnsi="Times New Roman" w:eastAsia="宋体" w:cs="Times New Roman"/>
                      <w:b/>
                      <w:bCs w:val="0"/>
                      <w:color w:val="auto"/>
                      <w:kern w:val="0"/>
                      <w:sz w:val="20"/>
                      <w:szCs w:val="20"/>
                      <w:u w:val="none" w:color="auto"/>
                      <w:lang w:val="en-US" w:eastAsia="zh-CN" w:bidi="ar-SA"/>
                    </w:rPr>
                  </w:pPr>
                  <w:r>
                    <w:rPr>
                      <w:rFonts w:hint="default" w:ascii="Times New Roman" w:hAnsi="Times New Roman" w:eastAsia="宋体" w:cs="Times New Roman"/>
                      <w:b/>
                      <w:bCs w:val="0"/>
                      <w:color w:val="auto"/>
                      <w:kern w:val="0"/>
                      <w:sz w:val="20"/>
                      <w:szCs w:val="20"/>
                      <w:u w:val="none" w:color="auto"/>
                      <w:lang w:val="en-US" w:eastAsia="zh-CN" w:bidi="ar-SA"/>
                    </w:rPr>
                    <w:t>最大排放量（t/a）</w:t>
                  </w:r>
                </w:p>
              </w:tc>
              <w:tc>
                <w:tcPr>
                  <w:tcW w:w="400" w:type="pct"/>
                  <w:vMerge w:val="continue"/>
                  <w:tcBorders>
                    <w:tl2br w:val="nil"/>
                    <w:tr2bl w:val="nil"/>
                  </w:tcBorders>
                  <w:noWrap w:val="0"/>
                  <w:vAlign w:val="center"/>
                </w:tcPr>
                <w:p w14:paraId="2368C160">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968" w:type="pct"/>
                  <w:vMerge w:val="continue"/>
                  <w:tcBorders>
                    <w:tl2br w:val="nil"/>
                    <w:tr2bl w:val="nil"/>
                  </w:tcBorders>
                  <w:noWrap w:val="0"/>
                  <w:vAlign w:val="center"/>
                </w:tcPr>
                <w:p w14:paraId="12335A89">
                  <w:pPr>
                    <w:jc w:val="center"/>
                    <w:rPr>
                      <w:rFonts w:hint="default" w:ascii="Times New Roman" w:hAnsi="Times New Roman" w:eastAsia="宋体" w:cs="Times New Roman"/>
                      <w:b w:val="0"/>
                      <w:bCs/>
                      <w:color w:val="auto"/>
                      <w:kern w:val="0"/>
                      <w:sz w:val="20"/>
                      <w:szCs w:val="20"/>
                      <w:u w:val="none" w:color="auto"/>
                      <w:lang w:val="en-US" w:eastAsia="zh-CN" w:bidi="ar-SA"/>
                    </w:rPr>
                  </w:pPr>
                </w:p>
              </w:tc>
            </w:tr>
            <w:tr w14:paraId="16441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restart"/>
                  <w:tcBorders>
                    <w:tl2br w:val="nil"/>
                    <w:tr2bl w:val="nil"/>
                  </w:tcBorders>
                  <w:noWrap w:val="0"/>
                  <w:vAlign w:val="center"/>
                </w:tcPr>
                <w:p w14:paraId="1D37D195">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eastAsia" w:ascii="Times New Roman" w:hAnsi="Times New Roman" w:eastAsia="宋体" w:cs="Times New Roman"/>
                      <w:b w:val="0"/>
                      <w:bCs/>
                      <w:color w:val="auto"/>
                      <w:kern w:val="0"/>
                      <w:sz w:val="20"/>
                      <w:szCs w:val="20"/>
                      <w:u w:val="none" w:color="auto"/>
                      <w:lang w:val="en-US" w:eastAsia="zh-CN" w:bidi="ar-SA"/>
                    </w:rPr>
                    <w:t>DA00</w:t>
                  </w:r>
                  <w:r>
                    <w:rPr>
                      <w:rFonts w:hint="eastAsia" w:cs="Times New Roman"/>
                      <w:b w:val="0"/>
                      <w:bCs/>
                      <w:color w:val="auto"/>
                      <w:kern w:val="0"/>
                      <w:sz w:val="20"/>
                      <w:szCs w:val="20"/>
                      <w:u w:val="none" w:color="auto"/>
                      <w:lang w:val="en-US" w:eastAsia="zh-CN" w:bidi="ar-SA"/>
                    </w:rPr>
                    <w:t>1</w:t>
                  </w:r>
                </w:p>
              </w:tc>
              <w:tc>
                <w:tcPr>
                  <w:tcW w:w="427" w:type="pct"/>
                  <w:tcBorders>
                    <w:tl2br w:val="nil"/>
                    <w:tr2bl w:val="nil"/>
                  </w:tcBorders>
                  <w:noWrap w:val="0"/>
                  <w:vAlign w:val="center"/>
                </w:tcPr>
                <w:p w14:paraId="303901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415" w:type="pct"/>
                  <w:vMerge w:val="restart"/>
                  <w:tcBorders>
                    <w:tl2br w:val="nil"/>
                    <w:tr2bl w:val="nil"/>
                  </w:tcBorders>
                  <w:noWrap w:val="0"/>
                  <w:vAlign w:val="center"/>
                </w:tcPr>
                <w:p w14:paraId="2F88B520">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74391000</w:t>
                  </w:r>
                </w:p>
              </w:tc>
              <w:tc>
                <w:tcPr>
                  <w:tcW w:w="461" w:type="pct"/>
                  <w:tcBorders>
                    <w:tl2br w:val="nil"/>
                    <w:tr2bl w:val="nil"/>
                  </w:tcBorders>
                  <w:noWrap w:val="0"/>
                  <w:vAlign w:val="center"/>
                </w:tcPr>
                <w:p w14:paraId="466037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2339</w:t>
                  </w:r>
                </w:p>
              </w:tc>
              <w:tc>
                <w:tcPr>
                  <w:tcW w:w="541" w:type="pct"/>
                  <w:tcBorders>
                    <w:tl2br w:val="nil"/>
                    <w:tr2bl w:val="nil"/>
                  </w:tcBorders>
                  <w:noWrap w:val="0"/>
                  <w:vAlign w:val="center"/>
                </w:tcPr>
                <w:p w14:paraId="522280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174</w:t>
                  </w:r>
                </w:p>
              </w:tc>
              <w:tc>
                <w:tcPr>
                  <w:tcW w:w="642" w:type="pct"/>
                  <w:tcBorders>
                    <w:tl2br w:val="nil"/>
                    <w:tr2bl w:val="nil"/>
                  </w:tcBorders>
                  <w:noWrap w:val="0"/>
                  <w:vAlign w:val="center"/>
                </w:tcPr>
                <w:p w14:paraId="68C96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4.678</w:t>
                  </w:r>
                </w:p>
              </w:tc>
              <w:tc>
                <w:tcPr>
                  <w:tcW w:w="603" w:type="pct"/>
                  <w:tcBorders>
                    <w:tl2br w:val="nil"/>
                    <w:tr2bl w:val="nil"/>
                  </w:tcBorders>
                  <w:noWrap w:val="0"/>
                  <w:vAlign w:val="center"/>
                </w:tcPr>
                <w:p w14:paraId="34BAEA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0.348</w:t>
                  </w:r>
                </w:p>
              </w:tc>
              <w:tc>
                <w:tcPr>
                  <w:tcW w:w="400" w:type="pct"/>
                  <w:tcBorders>
                    <w:tl2br w:val="nil"/>
                    <w:tr2bl w:val="nil"/>
                  </w:tcBorders>
                  <w:noWrap w:val="0"/>
                  <w:vAlign w:val="center"/>
                </w:tcPr>
                <w:p w14:paraId="5878AEEC">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99.8%</w:t>
                  </w:r>
                </w:p>
              </w:tc>
              <w:tc>
                <w:tcPr>
                  <w:tcW w:w="968" w:type="pct"/>
                  <w:vMerge w:val="restart"/>
                  <w:tcBorders>
                    <w:tl2br w:val="nil"/>
                    <w:tr2bl w:val="nil"/>
                  </w:tcBorders>
                  <w:noWrap w:val="0"/>
                  <w:vAlign w:val="center"/>
                </w:tcPr>
                <w:p w14:paraId="45DA53B5">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SNCR+多管旋风除尘+布袋除尘+脱硫塔+43m高排气筒(</w:t>
                  </w:r>
                  <w:r>
                    <w:rPr>
                      <w:rFonts w:hint="eastAsia" w:ascii="Times New Roman" w:hAnsi="Times New Roman" w:eastAsia="宋体" w:cs="Times New Roman"/>
                      <w:b w:val="0"/>
                      <w:bCs/>
                      <w:color w:val="auto"/>
                      <w:kern w:val="0"/>
                      <w:sz w:val="20"/>
                      <w:szCs w:val="20"/>
                      <w:u w:val="none" w:color="auto"/>
                      <w:lang w:val="en-US" w:eastAsia="zh-CN" w:bidi="ar-SA"/>
                    </w:rPr>
                    <w:t>DA00</w:t>
                  </w:r>
                  <w:r>
                    <w:rPr>
                      <w:rFonts w:hint="eastAsia" w:cs="Times New Roman"/>
                      <w:b w:val="0"/>
                      <w:bCs/>
                      <w:color w:val="auto"/>
                      <w:kern w:val="0"/>
                      <w:sz w:val="20"/>
                      <w:szCs w:val="20"/>
                      <w:u w:val="none" w:color="auto"/>
                      <w:lang w:val="en-US" w:eastAsia="zh-CN" w:bidi="ar-SA"/>
                    </w:rPr>
                    <w:t>1</w:t>
                  </w:r>
                  <w:r>
                    <w:rPr>
                      <w:rFonts w:hint="default" w:ascii="Times New Roman" w:hAnsi="Times New Roman" w:eastAsia="宋体" w:cs="Times New Roman"/>
                      <w:b w:val="0"/>
                      <w:bCs/>
                      <w:color w:val="auto"/>
                      <w:kern w:val="0"/>
                      <w:sz w:val="20"/>
                      <w:szCs w:val="20"/>
                      <w:u w:val="none" w:color="auto"/>
                      <w:lang w:val="en-US" w:eastAsia="zh-CN" w:bidi="ar-SA"/>
                    </w:rPr>
                    <w:t>)</w:t>
                  </w:r>
                </w:p>
              </w:tc>
            </w:tr>
            <w:tr w14:paraId="5988C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continue"/>
                  <w:tcBorders>
                    <w:tl2br w:val="nil"/>
                    <w:tr2bl w:val="nil"/>
                  </w:tcBorders>
                  <w:noWrap w:val="0"/>
                  <w:vAlign w:val="center"/>
                </w:tcPr>
                <w:p w14:paraId="57A81D01">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27" w:type="pct"/>
                  <w:tcBorders>
                    <w:tl2br w:val="nil"/>
                    <w:tr2bl w:val="nil"/>
                  </w:tcBorders>
                  <w:noWrap w:val="0"/>
                  <w:vAlign w:val="center"/>
                </w:tcPr>
                <w:p w14:paraId="619D80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415" w:type="pct"/>
                  <w:vMerge w:val="continue"/>
                  <w:tcBorders>
                    <w:tl2br w:val="nil"/>
                    <w:tr2bl w:val="nil"/>
                  </w:tcBorders>
                  <w:noWrap w:val="0"/>
                  <w:vAlign w:val="center"/>
                </w:tcPr>
                <w:p w14:paraId="72822742">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0BFF16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38.05</w:t>
                  </w:r>
                </w:p>
              </w:tc>
              <w:tc>
                <w:tcPr>
                  <w:tcW w:w="541" w:type="pct"/>
                  <w:tcBorders>
                    <w:tl2br w:val="nil"/>
                    <w:tr2bl w:val="nil"/>
                  </w:tcBorders>
                  <w:noWrap w:val="0"/>
                  <w:vAlign w:val="center"/>
                </w:tcPr>
                <w:p w14:paraId="371DB5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2.8305</w:t>
                  </w:r>
                </w:p>
              </w:tc>
              <w:tc>
                <w:tcPr>
                  <w:tcW w:w="642" w:type="pct"/>
                  <w:tcBorders>
                    <w:tl2br w:val="nil"/>
                    <w:tr2bl w:val="nil"/>
                  </w:tcBorders>
                  <w:noWrap w:val="0"/>
                  <w:vAlign w:val="center"/>
                </w:tcPr>
                <w:p w14:paraId="1154F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30.44</w:t>
                  </w:r>
                </w:p>
              </w:tc>
              <w:tc>
                <w:tcPr>
                  <w:tcW w:w="603" w:type="pct"/>
                  <w:tcBorders>
                    <w:tl2br w:val="nil"/>
                    <w:tr2bl w:val="nil"/>
                  </w:tcBorders>
                  <w:noWrap w:val="0"/>
                  <w:vAlign w:val="center"/>
                </w:tcPr>
                <w:p w14:paraId="2ED149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2.265</w:t>
                  </w:r>
                </w:p>
              </w:tc>
              <w:tc>
                <w:tcPr>
                  <w:tcW w:w="400" w:type="pct"/>
                  <w:tcBorders>
                    <w:tl2br w:val="nil"/>
                    <w:tr2bl w:val="nil"/>
                  </w:tcBorders>
                  <w:noWrap w:val="0"/>
                  <w:vAlign w:val="center"/>
                </w:tcPr>
                <w:p w14:paraId="63E3D161">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20%</w:t>
                  </w:r>
                </w:p>
              </w:tc>
              <w:tc>
                <w:tcPr>
                  <w:tcW w:w="968" w:type="pct"/>
                  <w:vMerge w:val="continue"/>
                  <w:tcBorders>
                    <w:tl2br w:val="nil"/>
                    <w:tr2bl w:val="nil"/>
                  </w:tcBorders>
                  <w:noWrap w:val="0"/>
                  <w:vAlign w:val="center"/>
                </w:tcPr>
                <w:p w14:paraId="6B188ED7">
                  <w:pPr>
                    <w:jc w:val="center"/>
                    <w:rPr>
                      <w:rFonts w:hint="default" w:ascii="Times New Roman" w:hAnsi="Times New Roman" w:eastAsia="宋体" w:cs="Times New Roman"/>
                      <w:b w:val="0"/>
                      <w:bCs/>
                      <w:color w:val="auto"/>
                      <w:kern w:val="0"/>
                      <w:sz w:val="20"/>
                      <w:szCs w:val="20"/>
                      <w:u w:val="none" w:color="auto"/>
                      <w:lang w:val="en-US" w:eastAsia="zh-CN" w:bidi="ar-SA"/>
                    </w:rPr>
                  </w:pPr>
                </w:p>
              </w:tc>
            </w:tr>
            <w:tr w14:paraId="24B96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continue"/>
                  <w:tcBorders>
                    <w:tl2br w:val="nil"/>
                    <w:tr2bl w:val="nil"/>
                  </w:tcBorders>
                  <w:noWrap w:val="0"/>
                  <w:vAlign w:val="center"/>
                </w:tcPr>
                <w:p w14:paraId="1F0C8CE7">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27" w:type="pct"/>
                  <w:tcBorders>
                    <w:tl2br w:val="nil"/>
                    <w:tr2bl w:val="nil"/>
                  </w:tcBorders>
                  <w:noWrap w:val="0"/>
                  <w:vAlign w:val="center"/>
                </w:tcPr>
                <w:p w14:paraId="3C8C8F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NOx</w:t>
                  </w:r>
                </w:p>
              </w:tc>
              <w:tc>
                <w:tcPr>
                  <w:tcW w:w="415" w:type="pct"/>
                  <w:vMerge w:val="continue"/>
                  <w:tcBorders>
                    <w:tl2br w:val="nil"/>
                    <w:tr2bl w:val="nil"/>
                  </w:tcBorders>
                  <w:noWrap w:val="0"/>
                  <w:vAlign w:val="center"/>
                </w:tcPr>
                <w:p w14:paraId="78BFC5A7">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368628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137.11</w:t>
                  </w:r>
                </w:p>
              </w:tc>
              <w:tc>
                <w:tcPr>
                  <w:tcW w:w="541" w:type="pct"/>
                  <w:tcBorders>
                    <w:tl2br w:val="nil"/>
                    <w:tr2bl w:val="nil"/>
                  </w:tcBorders>
                  <w:noWrap w:val="0"/>
                  <w:vAlign w:val="center"/>
                </w:tcPr>
                <w:p w14:paraId="57D383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10.2</w:t>
                  </w:r>
                </w:p>
              </w:tc>
              <w:tc>
                <w:tcPr>
                  <w:tcW w:w="642" w:type="pct"/>
                  <w:tcBorders>
                    <w:tl2br w:val="nil"/>
                    <w:tr2bl w:val="nil"/>
                  </w:tcBorders>
                  <w:noWrap w:val="0"/>
                  <w:vAlign w:val="center"/>
                </w:tcPr>
                <w:p w14:paraId="0DBD71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137.11</w:t>
                  </w:r>
                </w:p>
              </w:tc>
              <w:tc>
                <w:tcPr>
                  <w:tcW w:w="603" w:type="pct"/>
                  <w:tcBorders>
                    <w:tl2br w:val="nil"/>
                    <w:tr2bl w:val="nil"/>
                  </w:tcBorders>
                  <w:noWrap w:val="0"/>
                  <w:vAlign w:val="center"/>
                </w:tcPr>
                <w:p w14:paraId="44A14A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10.2</w:t>
                  </w:r>
                </w:p>
              </w:tc>
              <w:tc>
                <w:tcPr>
                  <w:tcW w:w="400" w:type="pct"/>
                  <w:tcBorders>
                    <w:tl2br w:val="nil"/>
                    <w:tr2bl w:val="nil"/>
                  </w:tcBorders>
                  <w:noWrap w:val="0"/>
                  <w:vAlign w:val="center"/>
                </w:tcPr>
                <w:p w14:paraId="3B50E8E0">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0</w:t>
                  </w:r>
                </w:p>
              </w:tc>
              <w:tc>
                <w:tcPr>
                  <w:tcW w:w="968" w:type="pct"/>
                  <w:vMerge w:val="continue"/>
                  <w:tcBorders>
                    <w:tl2br w:val="nil"/>
                    <w:tr2bl w:val="nil"/>
                  </w:tcBorders>
                  <w:noWrap w:val="0"/>
                  <w:vAlign w:val="center"/>
                </w:tcPr>
                <w:p w14:paraId="6C7A93A4">
                  <w:pPr>
                    <w:jc w:val="center"/>
                    <w:rPr>
                      <w:rFonts w:hint="default" w:ascii="Times New Roman" w:hAnsi="Times New Roman" w:eastAsia="宋体" w:cs="Times New Roman"/>
                      <w:b w:val="0"/>
                      <w:bCs/>
                      <w:color w:val="auto"/>
                      <w:kern w:val="0"/>
                      <w:sz w:val="20"/>
                      <w:szCs w:val="20"/>
                      <w:u w:val="none" w:color="auto"/>
                      <w:lang w:val="en-US" w:eastAsia="zh-CN" w:bidi="ar-SA"/>
                    </w:rPr>
                  </w:pPr>
                </w:p>
              </w:tc>
            </w:tr>
            <w:tr w14:paraId="19F4A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restart"/>
                  <w:tcBorders>
                    <w:tl2br w:val="nil"/>
                    <w:tr2bl w:val="nil"/>
                  </w:tcBorders>
                  <w:noWrap w:val="0"/>
                  <w:vAlign w:val="center"/>
                </w:tcPr>
                <w:p w14:paraId="5B5F9CBF">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eastAsia" w:ascii="Times New Roman" w:hAnsi="Times New Roman" w:eastAsia="宋体" w:cs="Times New Roman"/>
                      <w:b w:val="0"/>
                      <w:bCs/>
                      <w:color w:val="auto"/>
                      <w:kern w:val="0"/>
                      <w:sz w:val="20"/>
                      <w:szCs w:val="20"/>
                      <w:u w:val="none" w:color="auto"/>
                      <w:lang w:val="en-US" w:eastAsia="zh-CN" w:bidi="ar-SA"/>
                    </w:rPr>
                    <w:t>DA00</w:t>
                  </w:r>
                  <w:r>
                    <w:rPr>
                      <w:rFonts w:hint="eastAsia" w:cs="Times New Roman"/>
                      <w:b w:val="0"/>
                      <w:bCs/>
                      <w:color w:val="auto"/>
                      <w:kern w:val="0"/>
                      <w:sz w:val="20"/>
                      <w:szCs w:val="20"/>
                      <w:u w:val="none" w:color="auto"/>
                      <w:lang w:val="en-US" w:eastAsia="zh-CN" w:bidi="ar-SA"/>
                    </w:rPr>
                    <w:t>2</w:t>
                  </w:r>
                </w:p>
              </w:tc>
              <w:tc>
                <w:tcPr>
                  <w:tcW w:w="427" w:type="pct"/>
                  <w:tcBorders>
                    <w:tl2br w:val="nil"/>
                    <w:tr2bl w:val="nil"/>
                  </w:tcBorders>
                  <w:noWrap w:val="0"/>
                  <w:vAlign w:val="center"/>
                </w:tcPr>
                <w:p w14:paraId="2846EC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415" w:type="pct"/>
                  <w:vMerge w:val="restart"/>
                  <w:tcBorders>
                    <w:tl2br w:val="nil"/>
                    <w:tr2bl w:val="nil"/>
                  </w:tcBorders>
                  <w:noWrap w:val="0"/>
                  <w:vAlign w:val="center"/>
                </w:tcPr>
                <w:p w14:paraId="4E90ED64">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795D4E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397.8</w:t>
                  </w:r>
                </w:p>
              </w:tc>
              <w:tc>
                <w:tcPr>
                  <w:tcW w:w="541" w:type="pct"/>
                  <w:tcBorders>
                    <w:tl2br w:val="nil"/>
                    <w:tr2bl w:val="nil"/>
                  </w:tcBorders>
                  <w:noWrap w:val="0"/>
                  <w:vAlign w:val="center"/>
                </w:tcPr>
                <w:p w14:paraId="025F64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29.6</w:t>
                  </w:r>
                </w:p>
              </w:tc>
              <w:tc>
                <w:tcPr>
                  <w:tcW w:w="642" w:type="pct"/>
                  <w:tcBorders>
                    <w:tl2br w:val="nil"/>
                    <w:tr2bl w:val="nil"/>
                  </w:tcBorders>
                  <w:noWrap w:val="0"/>
                  <w:vAlign w:val="center"/>
                </w:tcPr>
                <w:p w14:paraId="511D54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0.8</w:t>
                  </w:r>
                </w:p>
              </w:tc>
              <w:tc>
                <w:tcPr>
                  <w:tcW w:w="603" w:type="pct"/>
                  <w:tcBorders>
                    <w:tl2br w:val="nil"/>
                    <w:tr2bl w:val="nil"/>
                  </w:tcBorders>
                  <w:noWrap w:val="0"/>
                  <w:vAlign w:val="center"/>
                </w:tcPr>
                <w:p w14:paraId="5464FB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0.06</w:t>
                  </w:r>
                </w:p>
              </w:tc>
              <w:tc>
                <w:tcPr>
                  <w:tcW w:w="400" w:type="pct"/>
                  <w:tcBorders>
                    <w:tl2br w:val="nil"/>
                    <w:tr2bl w:val="nil"/>
                  </w:tcBorders>
                  <w:noWrap w:val="0"/>
                  <w:vAlign w:val="center"/>
                </w:tcPr>
                <w:p w14:paraId="7B82DB83">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99.8%</w:t>
                  </w:r>
                </w:p>
              </w:tc>
              <w:tc>
                <w:tcPr>
                  <w:tcW w:w="968" w:type="pct"/>
                  <w:vMerge w:val="restart"/>
                  <w:tcBorders>
                    <w:tl2br w:val="nil"/>
                    <w:tr2bl w:val="nil"/>
                  </w:tcBorders>
                  <w:noWrap w:val="0"/>
                  <w:vAlign w:val="center"/>
                </w:tcPr>
                <w:p w14:paraId="330DB4BC">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多管旋风除尘+布袋除尘+脱硫塔+</w:t>
                  </w:r>
                  <w:r>
                    <w:rPr>
                      <w:rFonts w:hint="eastAsia" w:cs="Times New Roman"/>
                      <w:b w:val="0"/>
                      <w:bCs/>
                      <w:color w:val="auto"/>
                      <w:kern w:val="0"/>
                      <w:sz w:val="20"/>
                      <w:szCs w:val="20"/>
                      <w:u w:val="none" w:color="auto"/>
                      <w:lang w:val="en-US" w:eastAsia="zh-CN" w:bidi="ar-SA"/>
                    </w:rPr>
                    <w:t>38m</w:t>
                  </w:r>
                  <w:r>
                    <w:rPr>
                      <w:rFonts w:hint="default" w:ascii="Times New Roman" w:hAnsi="Times New Roman" w:eastAsia="宋体" w:cs="Times New Roman"/>
                      <w:b w:val="0"/>
                      <w:bCs/>
                      <w:color w:val="auto"/>
                      <w:kern w:val="0"/>
                      <w:sz w:val="20"/>
                      <w:szCs w:val="20"/>
                      <w:u w:val="none" w:color="auto"/>
                      <w:lang w:val="en-US" w:eastAsia="zh-CN" w:bidi="ar-SA"/>
                    </w:rPr>
                    <w:t>高排气筒(</w:t>
                  </w:r>
                  <w:r>
                    <w:rPr>
                      <w:rFonts w:hint="eastAsia" w:ascii="Times New Roman" w:hAnsi="Times New Roman" w:eastAsia="宋体" w:cs="Times New Roman"/>
                      <w:b w:val="0"/>
                      <w:bCs/>
                      <w:color w:val="auto"/>
                      <w:kern w:val="0"/>
                      <w:sz w:val="20"/>
                      <w:szCs w:val="20"/>
                      <w:u w:val="none" w:color="auto"/>
                      <w:lang w:val="en-US" w:eastAsia="zh-CN" w:bidi="ar-SA"/>
                    </w:rPr>
                    <w:t>DA00</w:t>
                  </w:r>
                  <w:r>
                    <w:rPr>
                      <w:rFonts w:hint="eastAsia" w:cs="Times New Roman"/>
                      <w:b w:val="0"/>
                      <w:bCs/>
                      <w:color w:val="auto"/>
                      <w:kern w:val="0"/>
                      <w:sz w:val="20"/>
                      <w:szCs w:val="20"/>
                      <w:u w:val="none" w:color="auto"/>
                      <w:lang w:val="en-US" w:eastAsia="zh-CN" w:bidi="ar-SA"/>
                    </w:rPr>
                    <w:t>2</w:t>
                  </w:r>
                  <w:r>
                    <w:rPr>
                      <w:rFonts w:hint="default" w:ascii="Times New Roman" w:hAnsi="Times New Roman" w:eastAsia="宋体" w:cs="Times New Roman"/>
                      <w:b w:val="0"/>
                      <w:bCs/>
                      <w:color w:val="auto"/>
                      <w:kern w:val="0"/>
                      <w:sz w:val="20"/>
                      <w:szCs w:val="20"/>
                      <w:u w:val="none" w:color="auto"/>
                      <w:lang w:val="en-US" w:eastAsia="zh-CN" w:bidi="ar-SA"/>
                    </w:rPr>
                    <w:t>)</w:t>
                  </w:r>
                </w:p>
              </w:tc>
            </w:tr>
            <w:tr w14:paraId="3E919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continue"/>
                  <w:tcBorders>
                    <w:tl2br w:val="nil"/>
                    <w:tr2bl w:val="nil"/>
                  </w:tcBorders>
                  <w:noWrap w:val="0"/>
                  <w:vAlign w:val="center"/>
                </w:tcPr>
                <w:p w14:paraId="24D4CB57">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27" w:type="pct"/>
                  <w:tcBorders>
                    <w:tl2br w:val="nil"/>
                    <w:tr2bl w:val="nil"/>
                  </w:tcBorders>
                  <w:noWrap w:val="0"/>
                  <w:vAlign w:val="center"/>
                </w:tcPr>
                <w:p w14:paraId="3D1464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415" w:type="pct"/>
                  <w:vMerge w:val="continue"/>
                  <w:tcBorders>
                    <w:tl2br w:val="nil"/>
                    <w:tr2bl w:val="nil"/>
                  </w:tcBorders>
                  <w:noWrap w:val="0"/>
                  <w:vAlign w:val="center"/>
                </w:tcPr>
                <w:p w14:paraId="6BC10C14">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6F10B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12.94</w:t>
                  </w:r>
                </w:p>
              </w:tc>
              <w:tc>
                <w:tcPr>
                  <w:tcW w:w="541" w:type="pct"/>
                  <w:tcBorders>
                    <w:tl2br w:val="nil"/>
                    <w:tr2bl w:val="nil"/>
                  </w:tcBorders>
                  <w:noWrap w:val="0"/>
                  <w:vAlign w:val="center"/>
                </w:tcPr>
                <w:p w14:paraId="5CE653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0.96</w:t>
                  </w:r>
                </w:p>
              </w:tc>
              <w:tc>
                <w:tcPr>
                  <w:tcW w:w="642" w:type="pct"/>
                  <w:tcBorders>
                    <w:tl2br w:val="nil"/>
                    <w:tr2bl w:val="nil"/>
                  </w:tcBorders>
                  <w:noWrap w:val="0"/>
                  <w:vAlign w:val="center"/>
                </w:tcPr>
                <w:p w14:paraId="6DCDA6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1.294</w:t>
                  </w:r>
                </w:p>
              </w:tc>
              <w:tc>
                <w:tcPr>
                  <w:tcW w:w="603" w:type="pct"/>
                  <w:tcBorders>
                    <w:tl2br w:val="nil"/>
                    <w:tr2bl w:val="nil"/>
                  </w:tcBorders>
                  <w:noWrap w:val="0"/>
                  <w:vAlign w:val="center"/>
                </w:tcPr>
                <w:p w14:paraId="66CD21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0.096</w:t>
                  </w:r>
                </w:p>
              </w:tc>
              <w:tc>
                <w:tcPr>
                  <w:tcW w:w="400" w:type="pct"/>
                  <w:tcBorders>
                    <w:tl2br w:val="nil"/>
                    <w:tr2bl w:val="nil"/>
                  </w:tcBorders>
                  <w:noWrap w:val="0"/>
                  <w:vAlign w:val="center"/>
                </w:tcPr>
                <w:p w14:paraId="2F23EA7E">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eastAsia" w:cs="Times New Roman"/>
                      <w:b w:val="0"/>
                      <w:bCs/>
                      <w:color w:val="auto"/>
                      <w:kern w:val="0"/>
                      <w:sz w:val="20"/>
                      <w:szCs w:val="20"/>
                      <w:u w:val="none" w:color="auto"/>
                      <w:lang w:val="en-US" w:eastAsia="zh-CN" w:bidi="ar-SA"/>
                    </w:rPr>
                    <w:t>90</w:t>
                  </w:r>
                  <w:r>
                    <w:rPr>
                      <w:rFonts w:hint="default" w:ascii="Times New Roman" w:hAnsi="Times New Roman" w:eastAsia="宋体" w:cs="Times New Roman"/>
                      <w:b w:val="0"/>
                      <w:bCs/>
                      <w:color w:val="auto"/>
                      <w:kern w:val="0"/>
                      <w:sz w:val="20"/>
                      <w:szCs w:val="20"/>
                      <w:u w:val="none" w:color="auto"/>
                      <w:lang w:val="en-US" w:eastAsia="zh-CN" w:bidi="ar-SA"/>
                    </w:rPr>
                    <w:t>%</w:t>
                  </w:r>
                </w:p>
              </w:tc>
              <w:tc>
                <w:tcPr>
                  <w:tcW w:w="968" w:type="pct"/>
                  <w:vMerge w:val="continue"/>
                  <w:tcBorders>
                    <w:tl2br w:val="nil"/>
                    <w:tr2bl w:val="nil"/>
                  </w:tcBorders>
                  <w:noWrap w:val="0"/>
                  <w:vAlign w:val="center"/>
                </w:tcPr>
                <w:p w14:paraId="162333B5">
                  <w:pPr>
                    <w:jc w:val="center"/>
                    <w:rPr>
                      <w:rFonts w:hint="default" w:ascii="Times New Roman" w:hAnsi="Times New Roman" w:eastAsia="宋体" w:cs="Times New Roman"/>
                      <w:b w:val="0"/>
                      <w:bCs/>
                      <w:color w:val="auto"/>
                      <w:kern w:val="0"/>
                      <w:sz w:val="20"/>
                      <w:szCs w:val="20"/>
                      <w:u w:val="none" w:color="auto"/>
                      <w:lang w:val="en-US" w:eastAsia="zh-CN" w:bidi="ar-SA"/>
                    </w:rPr>
                  </w:pPr>
                </w:p>
              </w:tc>
            </w:tr>
            <w:tr w14:paraId="0457B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9" w:type="pct"/>
                  <w:vMerge w:val="continue"/>
                  <w:tcBorders>
                    <w:tl2br w:val="nil"/>
                    <w:tr2bl w:val="nil"/>
                  </w:tcBorders>
                  <w:noWrap w:val="0"/>
                  <w:vAlign w:val="center"/>
                </w:tcPr>
                <w:p w14:paraId="3B520E2F">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27" w:type="pct"/>
                  <w:tcBorders>
                    <w:tl2br w:val="nil"/>
                    <w:tr2bl w:val="nil"/>
                  </w:tcBorders>
                  <w:noWrap w:val="0"/>
                  <w:vAlign w:val="center"/>
                </w:tcPr>
                <w:p w14:paraId="39990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NOx</w:t>
                  </w:r>
                </w:p>
              </w:tc>
              <w:tc>
                <w:tcPr>
                  <w:tcW w:w="415" w:type="pct"/>
                  <w:vMerge w:val="continue"/>
                  <w:tcBorders>
                    <w:tl2br w:val="nil"/>
                    <w:tr2bl w:val="nil"/>
                  </w:tcBorders>
                  <w:noWrap w:val="0"/>
                  <w:vAlign w:val="center"/>
                </w:tcPr>
                <w:p w14:paraId="4CFD1210">
                  <w:pPr>
                    <w:jc w:val="center"/>
                    <w:rPr>
                      <w:rFonts w:hint="default" w:ascii="Times New Roman" w:hAnsi="Times New Roman" w:eastAsia="宋体" w:cs="Times New Roman"/>
                      <w:b w:val="0"/>
                      <w:bCs/>
                      <w:color w:val="auto"/>
                      <w:kern w:val="0"/>
                      <w:sz w:val="20"/>
                      <w:szCs w:val="20"/>
                      <w:u w:val="none" w:color="auto"/>
                      <w:lang w:val="en-US" w:eastAsia="zh-CN" w:bidi="ar-SA"/>
                    </w:rPr>
                  </w:pPr>
                </w:p>
              </w:tc>
              <w:tc>
                <w:tcPr>
                  <w:tcW w:w="461" w:type="pct"/>
                  <w:tcBorders>
                    <w:tl2br w:val="nil"/>
                    <w:tr2bl w:val="nil"/>
                  </w:tcBorders>
                  <w:noWrap w:val="0"/>
                  <w:vAlign w:val="center"/>
                </w:tcPr>
                <w:p w14:paraId="00E5C7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23.34</w:t>
                  </w:r>
                </w:p>
              </w:tc>
              <w:tc>
                <w:tcPr>
                  <w:tcW w:w="541" w:type="pct"/>
                  <w:tcBorders>
                    <w:tl2br w:val="nil"/>
                    <w:tr2bl w:val="nil"/>
                  </w:tcBorders>
                  <w:noWrap w:val="0"/>
                  <w:vAlign w:val="center"/>
                </w:tcPr>
                <w:p w14:paraId="7833BF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1.73</w:t>
                  </w:r>
                </w:p>
              </w:tc>
              <w:tc>
                <w:tcPr>
                  <w:tcW w:w="642" w:type="pct"/>
                  <w:tcBorders>
                    <w:tl2br w:val="nil"/>
                    <w:tr2bl w:val="nil"/>
                  </w:tcBorders>
                  <w:noWrap w:val="0"/>
                  <w:vAlign w:val="center"/>
                </w:tcPr>
                <w:p w14:paraId="1FD27B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23.34</w:t>
                  </w:r>
                </w:p>
              </w:tc>
              <w:tc>
                <w:tcPr>
                  <w:tcW w:w="603" w:type="pct"/>
                  <w:tcBorders>
                    <w:tl2br w:val="nil"/>
                    <w:tr2bl w:val="nil"/>
                  </w:tcBorders>
                  <w:noWrap w:val="0"/>
                  <w:vAlign w:val="center"/>
                </w:tcPr>
                <w:p w14:paraId="5E9A6C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1.73</w:t>
                  </w:r>
                </w:p>
              </w:tc>
              <w:tc>
                <w:tcPr>
                  <w:tcW w:w="400" w:type="pct"/>
                  <w:tcBorders>
                    <w:tl2br w:val="nil"/>
                    <w:tr2bl w:val="nil"/>
                  </w:tcBorders>
                  <w:noWrap w:val="0"/>
                  <w:vAlign w:val="center"/>
                </w:tcPr>
                <w:p w14:paraId="3F597605">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b w:val="0"/>
                      <w:bCs/>
                      <w:color w:val="auto"/>
                      <w:kern w:val="0"/>
                      <w:sz w:val="20"/>
                      <w:szCs w:val="20"/>
                      <w:u w:val="none" w:color="auto"/>
                      <w:lang w:val="en-US" w:eastAsia="zh-CN" w:bidi="ar-SA"/>
                    </w:rPr>
                    <w:t>0</w:t>
                  </w:r>
                </w:p>
              </w:tc>
              <w:tc>
                <w:tcPr>
                  <w:tcW w:w="968" w:type="pct"/>
                  <w:vMerge w:val="continue"/>
                  <w:tcBorders>
                    <w:tl2br w:val="nil"/>
                    <w:tr2bl w:val="nil"/>
                  </w:tcBorders>
                  <w:noWrap w:val="0"/>
                  <w:vAlign w:val="center"/>
                </w:tcPr>
                <w:p w14:paraId="3BE2E615">
                  <w:pPr>
                    <w:jc w:val="center"/>
                    <w:rPr>
                      <w:rFonts w:hint="default" w:ascii="Times New Roman" w:hAnsi="Times New Roman" w:eastAsia="宋体" w:cs="Times New Roman"/>
                      <w:b w:val="0"/>
                      <w:bCs/>
                      <w:color w:val="auto"/>
                      <w:kern w:val="0"/>
                      <w:sz w:val="20"/>
                      <w:szCs w:val="20"/>
                      <w:u w:val="none" w:color="auto"/>
                      <w:lang w:val="en-US" w:eastAsia="zh-CN" w:bidi="ar-SA"/>
                    </w:rPr>
                  </w:pPr>
                </w:p>
              </w:tc>
            </w:tr>
          </w:tbl>
          <w:p w14:paraId="31DC7C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表4-</w:t>
            </w:r>
            <w:r>
              <w:rPr>
                <w:rFonts w:hint="eastAsia" w:cs="Times New Roman"/>
                <w:b/>
                <w:bCs/>
                <w:color w:val="auto"/>
                <w:kern w:val="0"/>
                <w:sz w:val="22"/>
                <w:szCs w:val="22"/>
                <w:u w:val="none" w:color="auto"/>
                <w:lang w:val="en-US" w:eastAsia="zh-CN"/>
              </w:rPr>
              <w:t>5</w:t>
            </w:r>
            <w:r>
              <w:rPr>
                <w:rFonts w:hint="default" w:ascii="Times New Roman" w:hAnsi="Times New Roman" w:eastAsia="宋体" w:cs="Times New Roman"/>
                <w:b/>
                <w:bCs/>
                <w:color w:val="auto"/>
                <w:kern w:val="0"/>
                <w:sz w:val="22"/>
                <w:szCs w:val="22"/>
                <w:u w:val="none" w:color="auto"/>
                <w:lang w:val="en-US" w:eastAsia="zh-CN"/>
              </w:rPr>
              <w:t xml:space="preserve">  项目大气污染物产无组织生及排放情况一览表</w:t>
            </w:r>
          </w:p>
          <w:tbl>
            <w:tblPr>
              <w:tblStyle w:val="26"/>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233"/>
              <w:gridCol w:w="1133"/>
              <w:gridCol w:w="1382"/>
              <w:gridCol w:w="2366"/>
            </w:tblGrid>
            <w:tr w14:paraId="4F35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29" w:type="pct"/>
                  <w:tcBorders>
                    <w:tl2br w:val="nil"/>
                    <w:tr2bl w:val="nil"/>
                  </w:tcBorders>
                  <w:noWrap w:val="0"/>
                  <w:vAlign w:val="center"/>
                </w:tcPr>
                <w:p w14:paraId="242D7003">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污染源</w:t>
                  </w:r>
                </w:p>
              </w:tc>
              <w:tc>
                <w:tcPr>
                  <w:tcW w:w="780" w:type="pct"/>
                  <w:tcBorders>
                    <w:tl2br w:val="nil"/>
                    <w:tr2bl w:val="nil"/>
                  </w:tcBorders>
                  <w:noWrap w:val="0"/>
                  <w:vAlign w:val="center"/>
                </w:tcPr>
                <w:p w14:paraId="6E22098F">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污染物</w:t>
                  </w:r>
                </w:p>
              </w:tc>
              <w:tc>
                <w:tcPr>
                  <w:tcW w:w="717" w:type="pct"/>
                  <w:tcBorders>
                    <w:tl2br w:val="nil"/>
                    <w:tr2bl w:val="nil"/>
                  </w:tcBorders>
                  <w:noWrap w:val="0"/>
                  <w:vAlign w:val="center"/>
                </w:tcPr>
                <w:p w14:paraId="111C946A">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排放量（t/a）</w:t>
                  </w:r>
                </w:p>
              </w:tc>
              <w:tc>
                <w:tcPr>
                  <w:tcW w:w="874" w:type="pct"/>
                  <w:tcBorders>
                    <w:tl2br w:val="nil"/>
                    <w:tr2bl w:val="nil"/>
                  </w:tcBorders>
                  <w:noWrap w:val="0"/>
                  <w:vAlign w:val="center"/>
                </w:tcPr>
                <w:p w14:paraId="4D109CD1">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排放速率（kg/h）</w:t>
                  </w:r>
                </w:p>
              </w:tc>
              <w:tc>
                <w:tcPr>
                  <w:tcW w:w="1497" w:type="pct"/>
                  <w:tcBorders>
                    <w:tl2br w:val="nil"/>
                    <w:tr2bl w:val="nil"/>
                  </w:tcBorders>
                  <w:noWrap w:val="0"/>
                  <w:vAlign w:val="center"/>
                </w:tcPr>
                <w:p w14:paraId="55BEA3BA">
                  <w:pPr>
                    <w:jc w:val="center"/>
                    <w:rPr>
                      <w:rFonts w:hint="default" w:ascii="Times New Roman" w:hAnsi="Times New Roman" w:eastAsia="宋体" w:cs="Times New Roman"/>
                      <w:b/>
                      <w:bCs w:val="0"/>
                      <w:color w:val="auto"/>
                      <w:sz w:val="21"/>
                      <w:szCs w:val="21"/>
                      <w:u w:val="none" w:color="auto"/>
                    </w:rPr>
                  </w:pPr>
                  <w:r>
                    <w:rPr>
                      <w:rFonts w:hint="default" w:ascii="Times New Roman" w:hAnsi="Times New Roman" w:eastAsia="宋体" w:cs="Times New Roman"/>
                      <w:b/>
                      <w:bCs w:val="0"/>
                      <w:color w:val="auto"/>
                      <w:kern w:val="0"/>
                      <w:sz w:val="21"/>
                      <w:szCs w:val="21"/>
                      <w:u w:val="none" w:color="auto"/>
                      <w:lang w:val="en-US" w:eastAsia="zh-CN" w:bidi="ar-SA"/>
                    </w:rPr>
                    <w:t>处理措施</w:t>
                  </w:r>
                </w:p>
              </w:tc>
            </w:tr>
            <w:tr w14:paraId="5193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9" w:type="pct"/>
                  <w:tcBorders>
                    <w:tl2br w:val="nil"/>
                    <w:tr2bl w:val="nil"/>
                  </w:tcBorders>
                  <w:noWrap w:val="0"/>
                  <w:vAlign w:val="center"/>
                </w:tcPr>
                <w:p w14:paraId="185C6475">
                  <w:pPr>
                    <w:adjustRightInd w:val="0"/>
                    <w:snapToGrid w:val="0"/>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Cs w:val="21"/>
                      <w:u w:val="none" w:color="auto"/>
                      <w:lang w:val="en-US" w:eastAsia="zh-CN"/>
                    </w:rPr>
                    <w:t>清渣工序</w:t>
                  </w:r>
                </w:p>
              </w:tc>
              <w:tc>
                <w:tcPr>
                  <w:tcW w:w="780" w:type="pct"/>
                  <w:tcBorders>
                    <w:tl2br w:val="nil"/>
                    <w:tr2bl w:val="nil"/>
                  </w:tcBorders>
                  <w:noWrap w:val="0"/>
                  <w:vAlign w:val="center"/>
                </w:tcPr>
                <w:p w14:paraId="48B02324">
                  <w:pPr>
                    <w:adjustRightInd w:val="0"/>
                    <w:snapToGrid w:val="0"/>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Cs w:val="21"/>
                      <w:u w:val="none" w:color="auto"/>
                      <w:lang w:val="en-US" w:eastAsia="zh-CN"/>
                    </w:rPr>
                    <w:t>颗粒物</w:t>
                  </w:r>
                </w:p>
              </w:tc>
              <w:tc>
                <w:tcPr>
                  <w:tcW w:w="717" w:type="pct"/>
                  <w:tcBorders>
                    <w:tl2br w:val="nil"/>
                    <w:tr2bl w:val="nil"/>
                  </w:tcBorders>
                  <w:noWrap w:val="0"/>
                  <w:vAlign w:val="center"/>
                </w:tcPr>
                <w:p w14:paraId="1B34D752">
                  <w:pPr>
                    <w:jc w:val="center"/>
                    <w:rPr>
                      <w:rFonts w:hint="default" w:ascii="Times New Roman" w:hAnsi="Times New Roman" w:eastAsia="宋体" w:cs="Times New Roman"/>
                      <w:b w:val="0"/>
                      <w:bCs/>
                      <w:color w:val="auto"/>
                      <w:kern w:val="0"/>
                      <w:sz w:val="20"/>
                      <w:szCs w:val="20"/>
                      <w:u w:val="none" w:color="auto"/>
                      <w:lang w:val="en-US" w:eastAsia="zh-CN" w:bidi="ar-SA"/>
                    </w:rPr>
                  </w:pPr>
                  <w:r>
                    <w:rPr>
                      <w:rFonts w:hint="eastAsia" w:cs="Times New Roman"/>
                      <w:color w:val="auto"/>
                      <w:szCs w:val="21"/>
                      <w:u w:val="none" w:color="auto"/>
                      <w:lang w:val="en-US" w:eastAsia="zh-CN"/>
                    </w:rPr>
                    <w:t>2.2</w:t>
                  </w:r>
                </w:p>
              </w:tc>
              <w:tc>
                <w:tcPr>
                  <w:tcW w:w="874" w:type="pct"/>
                  <w:tcBorders>
                    <w:tl2br w:val="nil"/>
                    <w:tr2bl w:val="nil"/>
                  </w:tcBorders>
                  <w:noWrap w:val="0"/>
                  <w:vAlign w:val="center"/>
                </w:tcPr>
                <w:p w14:paraId="31206E7E">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0.</w:t>
                  </w:r>
                  <w:r>
                    <w:rPr>
                      <w:rFonts w:hint="eastAsia" w:cs="Times New Roman"/>
                      <w:b w:val="0"/>
                      <w:bCs/>
                      <w:color w:val="auto"/>
                      <w:kern w:val="0"/>
                      <w:sz w:val="21"/>
                      <w:szCs w:val="21"/>
                      <w:u w:val="none" w:color="auto"/>
                      <w:lang w:val="en-US" w:eastAsia="zh-CN" w:bidi="ar-SA"/>
                    </w:rPr>
                    <w:t>37</w:t>
                  </w:r>
                </w:p>
              </w:tc>
              <w:tc>
                <w:tcPr>
                  <w:tcW w:w="1497" w:type="pct"/>
                  <w:tcBorders>
                    <w:tl2br w:val="nil"/>
                    <w:tr2bl w:val="nil"/>
                  </w:tcBorders>
                  <w:noWrap w:val="0"/>
                  <w:vAlign w:val="center"/>
                </w:tcPr>
                <w:p w14:paraId="5ECDDD19">
                  <w:pPr>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b w:val="0"/>
                      <w:bCs/>
                      <w:color w:val="auto"/>
                      <w:kern w:val="0"/>
                      <w:sz w:val="21"/>
                      <w:szCs w:val="21"/>
                      <w:u w:val="none" w:color="auto"/>
                      <w:lang w:val="en-US" w:eastAsia="zh-CN" w:bidi="ar-SA"/>
                    </w:rPr>
                    <w:t>加强管理，湿法降尘措施抑制无组织逸散，采取袋装收集封袋贮存的方式，避免无组织排放</w:t>
                  </w:r>
                </w:p>
              </w:tc>
            </w:tr>
          </w:tbl>
          <w:p w14:paraId="0ED7C43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u w:val="none" w:color="auto"/>
                <w:lang w:val="en-US" w:eastAsia="zh-CN"/>
              </w:rPr>
            </w:pPr>
            <w:r>
              <w:rPr>
                <w:rFonts w:hint="default" w:ascii="Times New Roman" w:hAnsi="Times New Roman" w:eastAsia="宋体" w:cs="Times New Roman"/>
                <w:b/>
                <w:bCs/>
                <w:color w:val="auto"/>
                <w:sz w:val="24"/>
                <w:u w:val="none" w:color="auto"/>
                <w:lang w:val="en-US" w:eastAsia="zh-CN"/>
              </w:rPr>
              <w:t>(2)废气排放源基本情况</w:t>
            </w:r>
          </w:p>
          <w:p w14:paraId="057BEEEF">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项目废气排放口基本情况见下表：</w:t>
            </w:r>
          </w:p>
          <w:p w14:paraId="3743E8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表4-</w:t>
            </w:r>
            <w:r>
              <w:rPr>
                <w:rFonts w:hint="eastAsia" w:cs="Times New Roman"/>
                <w:b/>
                <w:bCs/>
                <w:color w:val="auto"/>
                <w:kern w:val="0"/>
                <w:sz w:val="22"/>
                <w:szCs w:val="22"/>
                <w:u w:val="none" w:color="auto"/>
                <w:lang w:val="en-US" w:eastAsia="zh-CN"/>
              </w:rPr>
              <w:t>6</w:t>
            </w:r>
            <w:r>
              <w:rPr>
                <w:rFonts w:hint="default" w:ascii="Times New Roman" w:hAnsi="Times New Roman" w:eastAsia="宋体" w:cs="Times New Roman"/>
                <w:b/>
                <w:bCs/>
                <w:color w:val="auto"/>
                <w:kern w:val="0"/>
                <w:sz w:val="22"/>
                <w:szCs w:val="22"/>
                <w:u w:val="none" w:color="auto"/>
                <w:lang w:val="en-US" w:eastAsia="zh-CN"/>
              </w:rPr>
              <w:t xml:space="preserve">  项目废气排放口基本情况一览表</w:t>
            </w:r>
          </w:p>
          <w:tbl>
            <w:tblPr>
              <w:tblStyle w:val="26"/>
              <w:tblW w:w="49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480"/>
              <w:gridCol w:w="1018"/>
              <w:gridCol w:w="1080"/>
              <w:gridCol w:w="1124"/>
              <w:gridCol w:w="927"/>
              <w:gridCol w:w="709"/>
              <w:gridCol w:w="661"/>
            </w:tblGrid>
            <w:tr w14:paraId="3DCE0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73" w:type="pct"/>
                  <w:vMerge w:val="restart"/>
                  <w:tcBorders>
                    <w:tl2br w:val="nil"/>
                    <w:tr2bl w:val="nil"/>
                  </w:tcBorders>
                  <w:noWrap w:val="0"/>
                  <w:vAlign w:val="center"/>
                </w:tcPr>
                <w:p w14:paraId="4D39A9D7">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排气筒编号</w:t>
                  </w:r>
                </w:p>
              </w:tc>
              <w:tc>
                <w:tcPr>
                  <w:tcW w:w="935" w:type="pct"/>
                  <w:vMerge w:val="restart"/>
                  <w:tcBorders>
                    <w:tl2br w:val="nil"/>
                    <w:tr2bl w:val="nil"/>
                  </w:tcBorders>
                  <w:noWrap w:val="0"/>
                  <w:vAlign w:val="center"/>
                </w:tcPr>
                <w:p w14:paraId="388FA714">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排放口名称</w:t>
                  </w:r>
                </w:p>
              </w:tc>
              <w:tc>
                <w:tcPr>
                  <w:tcW w:w="643" w:type="pct"/>
                  <w:vMerge w:val="restart"/>
                  <w:tcBorders>
                    <w:tl2br w:val="nil"/>
                    <w:tr2bl w:val="nil"/>
                  </w:tcBorders>
                  <w:noWrap w:val="0"/>
                  <w:vAlign w:val="center"/>
                </w:tcPr>
                <w:p w14:paraId="70BB5363">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污染物</w:t>
                  </w:r>
                </w:p>
              </w:tc>
              <w:tc>
                <w:tcPr>
                  <w:tcW w:w="1393" w:type="pct"/>
                  <w:gridSpan w:val="2"/>
                  <w:tcBorders>
                    <w:tl2br w:val="nil"/>
                    <w:tr2bl w:val="nil"/>
                  </w:tcBorders>
                  <w:noWrap w:val="0"/>
                  <w:vAlign w:val="center"/>
                </w:tcPr>
                <w:p w14:paraId="70DBF83E">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排放口地理坐标</w:t>
                  </w:r>
                </w:p>
              </w:tc>
              <w:tc>
                <w:tcPr>
                  <w:tcW w:w="586" w:type="pct"/>
                  <w:vMerge w:val="restart"/>
                  <w:tcBorders>
                    <w:tl2br w:val="nil"/>
                    <w:tr2bl w:val="nil"/>
                  </w:tcBorders>
                  <w:noWrap w:val="0"/>
                  <w:vAlign w:val="center"/>
                </w:tcPr>
                <w:p w14:paraId="5703B46E">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排气筒高度</w:t>
                  </w:r>
                </w:p>
              </w:tc>
              <w:tc>
                <w:tcPr>
                  <w:tcW w:w="448" w:type="pct"/>
                  <w:vMerge w:val="restart"/>
                  <w:tcBorders>
                    <w:tl2br w:val="nil"/>
                    <w:tr2bl w:val="nil"/>
                  </w:tcBorders>
                  <w:noWrap w:val="0"/>
                  <w:vAlign w:val="center"/>
                </w:tcPr>
                <w:p w14:paraId="57F45454">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内径</w:t>
                  </w:r>
                </w:p>
              </w:tc>
              <w:tc>
                <w:tcPr>
                  <w:tcW w:w="418" w:type="pct"/>
                  <w:vMerge w:val="restart"/>
                  <w:tcBorders>
                    <w:tl2br w:val="nil"/>
                    <w:tr2bl w:val="nil"/>
                  </w:tcBorders>
                  <w:noWrap w:val="0"/>
                  <w:vAlign w:val="center"/>
                </w:tcPr>
                <w:p w14:paraId="44AAD8CE">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温度</w:t>
                  </w:r>
                </w:p>
              </w:tc>
            </w:tr>
            <w:tr w14:paraId="1A238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73" w:type="pct"/>
                  <w:vMerge w:val="continue"/>
                  <w:tcBorders>
                    <w:tl2br w:val="nil"/>
                    <w:tr2bl w:val="nil"/>
                  </w:tcBorders>
                  <w:noWrap w:val="0"/>
                  <w:vAlign w:val="center"/>
                </w:tcPr>
                <w:p w14:paraId="51D7E74C">
                  <w:pPr>
                    <w:jc w:val="center"/>
                    <w:rPr>
                      <w:rFonts w:hint="default" w:ascii="Times New Roman" w:hAnsi="Times New Roman" w:eastAsia="宋体" w:cs="Times New Roman"/>
                      <w:color w:val="auto"/>
                      <w:sz w:val="21"/>
                      <w:szCs w:val="21"/>
                      <w:u w:val="none" w:color="auto"/>
                    </w:rPr>
                  </w:pPr>
                </w:p>
              </w:tc>
              <w:tc>
                <w:tcPr>
                  <w:tcW w:w="935" w:type="pct"/>
                  <w:vMerge w:val="continue"/>
                  <w:tcBorders>
                    <w:tl2br w:val="nil"/>
                    <w:tr2bl w:val="nil"/>
                  </w:tcBorders>
                  <w:noWrap w:val="0"/>
                  <w:vAlign w:val="center"/>
                </w:tcPr>
                <w:p w14:paraId="4D0AFCF9">
                  <w:pPr>
                    <w:jc w:val="center"/>
                    <w:rPr>
                      <w:rFonts w:hint="default" w:ascii="Times New Roman" w:hAnsi="Times New Roman" w:eastAsia="宋体" w:cs="Times New Roman"/>
                      <w:color w:val="auto"/>
                      <w:sz w:val="21"/>
                      <w:szCs w:val="21"/>
                      <w:u w:val="none" w:color="auto"/>
                    </w:rPr>
                  </w:pPr>
                </w:p>
              </w:tc>
              <w:tc>
                <w:tcPr>
                  <w:tcW w:w="643" w:type="pct"/>
                  <w:vMerge w:val="continue"/>
                  <w:tcBorders>
                    <w:tl2br w:val="nil"/>
                    <w:tr2bl w:val="nil"/>
                  </w:tcBorders>
                  <w:noWrap w:val="0"/>
                  <w:vAlign w:val="center"/>
                </w:tcPr>
                <w:p w14:paraId="053B30C3">
                  <w:pPr>
                    <w:jc w:val="center"/>
                    <w:rPr>
                      <w:rFonts w:hint="default" w:ascii="Times New Roman" w:hAnsi="Times New Roman" w:eastAsia="宋体" w:cs="Times New Roman"/>
                      <w:color w:val="auto"/>
                      <w:sz w:val="21"/>
                      <w:szCs w:val="21"/>
                      <w:u w:val="none" w:color="auto"/>
                    </w:rPr>
                  </w:pPr>
                </w:p>
              </w:tc>
              <w:tc>
                <w:tcPr>
                  <w:tcW w:w="683" w:type="pct"/>
                  <w:tcBorders>
                    <w:tl2br w:val="nil"/>
                    <w:tr2bl w:val="nil"/>
                  </w:tcBorders>
                  <w:noWrap w:val="0"/>
                  <w:vAlign w:val="center"/>
                </w:tcPr>
                <w:p w14:paraId="2C32A32B">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经度</w:t>
                  </w:r>
                </w:p>
              </w:tc>
              <w:tc>
                <w:tcPr>
                  <w:tcW w:w="710" w:type="pct"/>
                  <w:tcBorders>
                    <w:tl2br w:val="nil"/>
                    <w:tr2bl w:val="nil"/>
                  </w:tcBorders>
                  <w:noWrap w:val="0"/>
                  <w:vAlign w:val="center"/>
                </w:tcPr>
                <w:p w14:paraId="6D80F1A1">
                  <w:pPr>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纬度</w:t>
                  </w:r>
                </w:p>
              </w:tc>
              <w:tc>
                <w:tcPr>
                  <w:tcW w:w="586" w:type="pct"/>
                  <w:vMerge w:val="continue"/>
                  <w:tcBorders>
                    <w:tl2br w:val="nil"/>
                    <w:tr2bl w:val="nil"/>
                  </w:tcBorders>
                  <w:noWrap w:val="0"/>
                  <w:vAlign w:val="center"/>
                </w:tcPr>
                <w:p w14:paraId="20FBEF88">
                  <w:pPr>
                    <w:jc w:val="center"/>
                    <w:rPr>
                      <w:rFonts w:hint="default" w:ascii="Times New Roman" w:hAnsi="Times New Roman" w:eastAsia="宋体" w:cs="Times New Roman"/>
                      <w:color w:val="auto"/>
                      <w:sz w:val="21"/>
                      <w:szCs w:val="21"/>
                      <w:u w:val="none" w:color="auto"/>
                    </w:rPr>
                  </w:pPr>
                </w:p>
              </w:tc>
              <w:tc>
                <w:tcPr>
                  <w:tcW w:w="448" w:type="pct"/>
                  <w:vMerge w:val="continue"/>
                  <w:tcBorders>
                    <w:tl2br w:val="nil"/>
                    <w:tr2bl w:val="nil"/>
                  </w:tcBorders>
                  <w:noWrap w:val="0"/>
                  <w:vAlign w:val="center"/>
                </w:tcPr>
                <w:p w14:paraId="722FC24C">
                  <w:pPr>
                    <w:jc w:val="center"/>
                    <w:rPr>
                      <w:rFonts w:hint="default" w:ascii="Times New Roman" w:hAnsi="Times New Roman" w:eastAsia="宋体" w:cs="Times New Roman"/>
                      <w:color w:val="auto"/>
                      <w:sz w:val="21"/>
                      <w:szCs w:val="21"/>
                      <w:u w:val="none" w:color="auto"/>
                    </w:rPr>
                  </w:pPr>
                </w:p>
              </w:tc>
              <w:tc>
                <w:tcPr>
                  <w:tcW w:w="418" w:type="pct"/>
                  <w:vMerge w:val="continue"/>
                  <w:tcBorders>
                    <w:tl2br w:val="nil"/>
                    <w:tr2bl w:val="nil"/>
                  </w:tcBorders>
                  <w:noWrap w:val="0"/>
                  <w:vAlign w:val="center"/>
                </w:tcPr>
                <w:p w14:paraId="7748B86C">
                  <w:pPr>
                    <w:jc w:val="center"/>
                    <w:rPr>
                      <w:rFonts w:hint="default" w:ascii="Times New Roman" w:hAnsi="Times New Roman" w:eastAsia="宋体" w:cs="Times New Roman"/>
                      <w:color w:val="auto"/>
                      <w:sz w:val="21"/>
                      <w:szCs w:val="21"/>
                      <w:u w:val="none" w:color="auto"/>
                    </w:rPr>
                  </w:pPr>
                </w:p>
              </w:tc>
            </w:tr>
            <w:tr w14:paraId="21A6E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73" w:type="pct"/>
                  <w:tcBorders>
                    <w:tl2br w:val="nil"/>
                    <w:tr2bl w:val="nil"/>
                  </w:tcBorders>
                  <w:noWrap w:val="0"/>
                  <w:vAlign w:val="center"/>
                </w:tcPr>
                <w:p w14:paraId="7CACF84A">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ascii="Times New Roman" w:hAnsi="Times New Roman" w:eastAsia="宋体" w:cs="Times New Roman"/>
                      <w:b w:val="0"/>
                      <w:bCs/>
                      <w:color w:val="auto"/>
                      <w:kern w:val="0"/>
                      <w:sz w:val="21"/>
                      <w:szCs w:val="21"/>
                      <w:u w:val="none" w:color="auto"/>
                      <w:lang w:val="en-US" w:eastAsia="zh-CN" w:bidi="ar-SA"/>
                    </w:rPr>
                    <w:t>DA00</w:t>
                  </w:r>
                  <w:r>
                    <w:rPr>
                      <w:rFonts w:hint="eastAsia" w:cs="Times New Roman"/>
                      <w:b w:val="0"/>
                      <w:bCs/>
                      <w:color w:val="auto"/>
                      <w:kern w:val="0"/>
                      <w:sz w:val="21"/>
                      <w:szCs w:val="21"/>
                      <w:u w:val="none" w:color="auto"/>
                      <w:lang w:val="en-US" w:eastAsia="zh-CN" w:bidi="ar-SA"/>
                    </w:rPr>
                    <w:t>1</w:t>
                  </w:r>
                </w:p>
              </w:tc>
              <w:tc>
                <w:tcPr>
                  <w:tcW w:w="935" w:type="pct"/>
                  <w:tcBorders>
                    <w:tl2br w:val="nil"/>
                    <w:tr2bl w:val="nil"/>
                  </w:tcBorders>
                  <w:noWrap w:val="0"/>
                  <w:vAlign w:val="center"/>
                </w:tcPr>
                <w:p w14:paraId="4D709FBE">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Cs w:val="21"/>
                      <w:u w:val="none" w:color="auto"/>
                      <w:lang w:val="en-US" w:eastAsia="zh-CN"/>
                    </w:rPr>
                    <w:t>15t/h</w:t>
                  </w:r>
                  <w:r>
                    <w:rPr>
                      <w:rFonts w:hint="default" w:ascii="Times New Roman" w:hAnsi="Times New Roman" w:eastAsia="宋体" w:cs="Times New Roman"/>
                      <w:color w:val="auto"/>
                      <w:szCs w:val="21"/>
                      <w:u w:val="none" w:color="auto"/>
                      <w:lang w:val="en-US" w:eastAsia="zh-CN"/>
                    </w:rPr>
                    <w:t>锅炉废气排气筒</w:t>
                  </w:r>
                </w:p>
              </w:tc>
              <w:tc>
                <w:tcPr>
                  <w:tcW w:w="643" w:type="pct"/>
                  <w:tcBorders>
                    <w:tl2br w:val="nil"/>
                    <w:tr2bl w:val="nil"/>
                  </w:tcBorders>
                  <w:noWrap w:val="0"/>
                  <w:vAlign w:val="center"/>
                </w:tcPr>
                <w:p w14:paraId="5B5FB35F">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颗粒物、二氧化硫、氮氧化物、林格曼黑度</w:t>
                  </w:r>
                </w:p>
              </w:tc>
              <w:tc>
                <w:tcPr>
                  <w:tcW w:w="683" w:type="pct"/>
                  <w:tcBorders>
                    <w:tl2br w:val="nil"/>
                    <w:tr2bl w:val="nil"/>
                  </w:tcBorders>
                  <w:noWrap w:val="0"/>
                  <w:vAlign w:val="center"/>
                </w:tcPr>
                <w:p w14:paraId="71C28BAE">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112.61926950</w:t>
                  </w:r>
                </w:p>
              </w:tc>
              <w:tc>
                <w:tcPr>
                  <w:tcW w:w="710" w:type="pct"/>
                  <w:tcBorders>
                    <w:tl2br w:val="nil"/>
                    <w:tr2bl w:val="nil"/>
                  </w:tcBorders>
                  <w:noWrap w:val="0"/>
                  <w:vAlign w:val="center"/>
                </w:tcPr>
                <w:p w14:paraId="4F99A5FA">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29.53670624</w:t>
                  </w:r>
                </w:p>
              </w:tc>
              <w:tc>
                <w:tcPr>
                  <w:tcW w:w="586" w:type="pct"/>
                  <w:tcBorders>
                    <w:tl2br w:val="nil"/>
                    <w:tr2bl w:val="nil"/>
                  </w:tcBorders>
                  <w:noWrap w:val="0"/>
                  <w:vAlign w:val="center"/>
                </w:tcPr>
                <w:p w14:paraId="48D70FAB">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43m</w:t>
                  </w:r>
                </w:p>
              </w:tc>
              <w:tc>
                <w:tcPr>
                  <w:tcW w:w="448" w:type="pct"/>
                  <w:tcBorders>
                    <w:tl2br w:val="nil"/>
                    <w:tr2bl w:val="nil"/>
                  </w:tcBorders>
                  <w:noWrap w:val="0"/>
                  <w:vAlign w:val="center"/>
                </w:tcPr>
                <w:p w14:paraId="0D5EE4C6">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0.</w:t>
                  </w:r>
                  <w:r>
                    <w:rPr>
                      <w:rFonts w:hint="eastAsia" w:cs="Times New Roman"/>
                      <w:b w:val="0"/>
                      <w:bCs/>
                      <w:color w:val="auto"/>
                      <w:kern w:val="0"/>
                      <w:sz w:val="21"/>
                      <w:szCs w:val="21"/>
                      <w:u w:val="none" w:color="auto"/>
                      <w:lang w:val="en-US" w:eastAsia="zh-CN" w:bidi="ar-SA"/>
                    </w:rPr>
                    <w:t>6</w:t>
                  </w:r>
                  <w:r>
                    <w:rPr>
                      <w:rFonts w:hint="default" w:ascii="Times New Roman" w:hAnsi="Times New Roman" w:eastAsia="宋体" w:cs="Times New Roman"/>
                      <w:b w:val="0"/>
                      <w:bCs/>
                      <w:color w:val="auto"/>
                      <w:kern w:val="0"/>
                      <w:sz w:val="21"/>
                      <w:szCs w:val="21"/>
                      <w:u w:val="none" w:color="auto"/>
                      <w:lang w:val="en-US" w:eastAsia="zh-CN" w:bidi="ar-SA"/>
                    </w:rPr>
                    <w:t>m</w:t>
                  </w:r>
                </w:p>
              </w:tc>
              <w:tc>
                <w:tcPr>
                  <w:tcW w:w="418" w:type="pct"/>
                  <w:tcBorders>
                    <w:tl2br w:val="nil"/>
                    <w:tr2bl w:val="nil"/>
                  </w:tcBorders>
                  <w:noWrap w:val="0"/>
                  <w:vAlign w:val="center"/>
                </w:tcPr>
                <w:p w14:paraId="59AC38A2">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常温</w:t>
                  </w:r>
                </w:p>
              </w:tc>
            </w:tr>
            <w:tr w14:paraId="52B08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73" w:type="pct"/>
                  <w:tcBorders>
                    <w:tl2br w:val="nil"/>
                    <w:tr2bl w:val="nil"/>
                  </w:tcBorders>
                  <w:noWrap w:val="0"/>
                  <w:vAlign w:val="center"/>
                </w:tcPr>
                <w:p w14:paraId="574D3A35">
                  <w:pPr>
                    <w:jc w:val="center"/>
                    <w:rPr>
                      <w:rFonts w:hint="eastAsia" w:ascii="Times New Roman" w:hAnsi="Times New Roman" w:eastAsia="宋体" w:cs="Times New Roman"/>
                      <w:b w:val="0"/>
                      <w:bCs/>
                      <w:color w:val="auto"/>
                      <w:kern w:val="0"/>
                      <w:sz w:val="21"/>
                      <w:szCs w:val="21"/>
                      <w:u w:val="none" w:color="auto"/>
                      <w:lang w:val="en-US" w:eastAsia="zh-CN" w:bidi="ar-SA"/>
                    </w:rPr>
                  </w:pPr>
                  <w:r>
                    <w:rPr>
                      <w:rFonts w:hint="eastAsia" w:ascii="Times New Roman" w:hAnsi="Times New Roman" w:eastAsia="宋体" w:cs="Times New Roman"/>
                      <w:b w:val="0"/>
                      <w:bCs/>
                      <w:color w:val="auto"/>
                      <w:kern w:val="0"/>
                      <w:sz w:val="21"/>
                      <w:szCs w:val="21"/>
                      <w:u w:val="none" w:color="auto"/>
                      <w:lang w:val="en-US" w:eastAsia="zh-CN" w:bidi="ar-SA"/>
                    </w:rPr>
                    <w:t>DA00</w:t>
                  </w:r>
                  <w:r>
                    <w:rPr>
                      <w:rFonts w:hint="eastAsia" w:cs="Times New Roman"/>
                      <w:b w:val="0"/>
                      <w:bCs/>
                      <w:color w:val="auto"/>
                      <w:kern w:val="0"/>
                      <w:sz w:val="21"/>
                      <w:szCs w:val="21"/>
                      <w:u w:val="none" w:color="auto"/>
                      <w:lang w:val="en-US" w:eastAsia="zh-CN" w:bidi="ar-SA"/>
                    </w:rPr>
                    <w:t>2</w:t>
                  </w:r>
                </w:p>
              </w:tc>
              <w:tc>
                <w:tcPr>
                  <w:tcW w:w="935" w:type="pct"/>
                  <w:tcBorders>
                    <w:tl2br w:val="nil"/>
                    <w:tr2bl w:val="nil"/>
                  </w:tcBorders>
                  <w:noWrap w:val="0"/>
                  <w:vAlign w:val="center"/>
                </w:tcPr>
                <w:p w14:paraId="3CD84ACF">
                  <w:pPr>
                    <w:jc w:val="center"/>
                    <w:rPr>
                      <w:rFonts w:hint="eastAsia" w:cs="Times New Roman"/>
                      <w:color w:val="auto"/>
                      <w:szCs w:val="21"/>
                      <w:u w:val="none" w:color="auto"/>
                      <w:lang w:val="en-US" w:eastAsia="zh-CN"/>
                    </w:rPr>
                  </w:pPr>
                  <w:r>
                    <w:rPr>
                      <w:rFonts w:hint="eastAsia" w:cs="Times New Roman"/>
                      <w:color w:val="auto"/>
                      <w:szCs w:val="21"/>
                      <w:u w:val="none" w:color="auto"/>
                      <w:lang w:val="en-US" w:eastAsia="zh-CN"/>
                    </w:rPr>
                    <w:t>4t/h导热油炉</w:t>
                  </w:r>
                  <w:r>
                    <w:rPr>
                      <w:rFonts w:hint="default" w:ascii="Times New Roman" w:hAnsi="Times New Roman" w:eastAsia="宋体" w:cs="Times New Roman"/>
                      <w:color w:val="auto"/>
                      <w:szCs w:val="21"/>
                      <w:u w:val="none" w:color="auto"/>
                      <w:lang w:val="en-US" w:eastAsia="zh-CN"/>
                    </w:rPr>
                    <w:t>废气排气筒</w:t>
                  </w:r>
                </w:p>
              </w:tc>
              <w:tc>
                <w:tcPr>
                  <w:tcW w:w="643" w:type="pct"/>
                  <w:tcBorders>
                    <w:tl2br w:val="nil"/>
                    <w:tr2bl w:val="nil"/>
                  </w:tcBorders>
                  <w:noWrap w:val="0"/>
                  <w:vAlign w:val="center"/>
                </w:tcPr>
                <w:p w14:paraId="6D78A054">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颗粒物、二氧化硫、氮氧化物、林格曼黑度</w:t>
                  </w:r>
                </w:p>
              </w:tc>
              <w:tc>
                <w:tcPr>
                  <w:tcW w:w="683" w:type="pct"/>
                  <w:tcBorders>
                    <w:tl2br w:val="nil"/>
                    <w:tr2bl w:val="nil"/>
                  </w:tcBorders>
                  <w:noWrap w:val="0"/>
                  <w:vAlign w:val="center"/>
                </w:tcPr>
                <w:p w14:paraId="078B756D">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112.61766949</w:t>
                  </w:r>
                </w:p>
              </w:tc>
              <w:tc>
                <w:tcPr>
                  <w:tcW w:w="710" w:type="pct"/>
                  <w:tcBorders>
                    <w:tl2br w:val="nil"/>
                    <w:tr2bl w:val="nil"/>
                  </w:tcBorders>
                  <w:noWrap w:val="0"/>
                  <w:vAlign w:val="center"/>
                </w:tcPr>
                <w:p w14:paraId="3DEFAC62">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default" w:ascii="Times New Roman" w:hAnsi="Times New Roman" w:eastAsia="宋体" w:cs="Times New Roman"/>
                      <w:b w:val="0"/>
                      <w:bCs/>
                      <w:color w:val="auto"/>
                      <w:kern w:val="0"/>
                      <w:sz w:val="21"/>
                      <w:szCs w:val="21"/>
                      <w:highlight w:val="none"/>
                      <w:u w:val="none" w:color="auto"/>
                      <w:lang w:val="en-US" w:eastAsia="zh-CN" w:bidi="ar-SA"/>
                    </w:rPr>
                    <w:t>29.53705071</w:t>
                  </w:r>
                </w:p>
              </w:tc>
              <w:tc>
                <w:tcPr>
                  <w:tcW w:w="586" w:type="pct"/>
                  <w:tcBorders>
                    <w:tl2br w:val="nil"/>
                    <w:tr2bl w:val="nil"/>
                  </w:tcBorders>
                  <w:noWrap w:val="0"/>
                  <w:vAlign w:val="center"/>
                </w:tcPr>
                <w:p w14:paraId="28F3BBAF">
                  <w:pPr>
                    <w:jc w:val="center"/>
                    <w:rPr>
                      <w:rFonts w:hint="default" w:ascii="Times New Roman" w:hAnsi="Times New Roman" w:eastAsia="宋体" w:cs="Times New Roman"/>
                      <w:b w:val="0"/>
                      <w:bCs/>
                      <w:color w:val="auto"/>
                      <w:kern w:val="0"/>
                      <w:sz w:val="21"/>
                      <w:szCs w:val="21"/>
                      <w:highlight w:val="none"/>
                      <w:u w:val="none" w:color="auto"/>
                      <w:lang w:val="en-US" w:eastAsia="zh-CN" w:bidi="ar-SA"/>
                    </w:rPr>
                  </w:pPr>
                  <w:r>
                    <w:rPr>
                      <w:rFonts w:hint="eastAsia" w:cs="Times New Roman"/>
                      <w:b w:val="0"/>
                      <w:bCs/>
                      <w:color w:val="auto"/>
                      <w:kern w:val="0"/>
                      <w:sz w:val="21"/>
                      <w:szCs w:val="21"/>
                      <w:highlight w:val="none"/>
                      <w:u w:val="none" w:color="auto"/>
                      <w:lang w:val="en-US" w:eastAsia="zh-CN" w:bidi="ar-SA"/>
                    </w:rPr>
                    <w:t>38m</w:t>
                  </w:r>
                </w:p>
              </w:tc>
              <w:tc>
                <w:tcPr>
                  <w:tcW w:w="448" w:type="pct"/>
                  <w:tcBorders>
                    <w:tl2br w:val="nil"/>
                    <w:tr2bl w:val="nil"/>
                  </w:tcBorders>
                  <w:noWrap w:val="0"/>
                  <w:vAlign w:val="center"/>
                </w:tcPr>
                <w:p w14:paraId="73A81C1F">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0.</w:t>
                  </w:r>
                  <w:r>
                    <w:rPr>
                      <w:rFonts w:hint="eastAsia" w:cs="Times New Roman"/>
                      <w:b w:val="0"/>
                      <w:bCs/>
                      <w:color w:val="auto"/>
                      <w:kern w:val="0"/>
                      <w:sz w:val="21"/>
                      <w:szCs w:val="21"/>
                      <w:u w:val="none" w:color="auto"/>
                      <w:lang w:val="en-US" w:eastAsia="zh-CN" w:bidi="ar-SA"/>
                    </w:rPr>
                    <w:t>2</w:t>
                  </w:r>
                  <w:r>
                    <w:rPr>
                      <w:rFonts w:hint="default" w:ascii="Times New Roman" w:hAnsi="Times New Roman" w:eastAsia="宋体" w:cs="Times New Roman"/>
                      <w:b w:val="0"/>
                      <w:bCs/>
                      <w:color w:val="auto"/>
                      <w:kern w:val="0"/>
                      <w:sz w:val="21"/>
                      <w:szCs w:val="21"/>
                      <w:u w:val="none" w:color="auto"/>
                      <w:lang w:val="en-US" w:eastAsia="zh-CN" w:bidi="ar-SA"/>
                    </w:rPr>
                    <w:t>m</w:t>
                  </w:r>
                </w:p>
              </w:tc>
              <w:tc>
                <w:tcPr>
                  <w:tcW w:w="418" w:type="pct"/>
                  <w:tcBorders>
                    <w:tl2br w:val="nil"/>
                    <w:tr2bl w:val="nil"/>
                  </w:tcBorders>
                  <w:noWrap w:val="0"/>
                  <w:vAlign w:val="center"/>
                </w:tcPr>
                <w:p w14:paraId="3F55E27D">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常温</w:t>
                  </w:r>
                </w:p>
              </w:tc>
            </w:tr>
          </w:tbl>
          <w:p w14:paraId="47EE8152">
            <w:pPr>
              <w:numPr>
                <w:ilvl w:val="0"/>
                <w:numId w:val="4"/>
              </w:numPr>
              <w:tabs>
                <w:tab w:val="left" w:pos="-423"/>
              </w:tabs>
              <w:spacing w:line="360" w:lineRule="auto"/>
              <w:ind w:left="0" w:leftChars="0" w:firstLine="0" w:firstLineChars="0"/>
              <w:rPr>
                <w:rFonts w:hint="default" w:ascii="Times New Roman" w:hAnsi="Times New Roman" w:eastAsia="宋体" w:cs="Times New Roman"/>
                <w:b/>
                <w:color w:val="auto"/>
                <w:sz w:val="24"/>
                <w:u w:val="none" w:color="auto"/>
              </w:rPr>
            </w:pPr>
            <w:r>
              <w:rPr>
                <w:rFonts w:hint="default" w:ascii="Times New Roman" w:hAnsi="Times New Roman" w:eastAsia="宋体" w:cs="Times New Roman"/>
                <w:b/>
                <w:color w:val="auto"/>
                <w:sz w:val="24"/>
                <w:u w:val="none" w:color="auto"/>
              </w:rPr>
              <w:t>项目废气污染源</w:t>
            </w:r>
          </w:p>
          <w:p w14:paraId="72F24A5C">
            <w:pPr>
              <w:numPr>
                <w:ilvl w:val="0"/>
                <w:numId w:val="4"/>
              </w:numPr>
              <w:tabs>
                <w:tab w:val="left" w:pos="-423"/>
              </w:tabs>
              <w:spacing w:line="360" w:lineRule="auto"/>
              <w:ind w:left="0" w:leftChars="0" w:firstLine="0" w:firstLineChars="0"/>
              <w:rPr>
                <w:rFonts w:hint="default" w:ascii="Times New Roman" w:hAnsi="Times New Roman" w:eastAsia="宋体" w:cs="Times New Roman"/>
                <w:b/>
                <w:color w:val="auto"/>
                <w:sz w:val="24"/>
                <w:u w:val="none" w:color="auto"/>
              </w:rPr>
            </w:pPr>
            <w:r>
              <w:rPr>
                <w:rFonts w:hint="default" w:ascii="Times New Roman" w:hAnsi="Times New Roman" w:eastAsia="宋体" w:cs="Times New Roman"/>
                <w:b/>
                <w:color w:val="auto"/>
                <w:sz w:val="24"/>
                <w:u w:val="none" w:color="auto"/>
              </w:rPr>
              <w:t>源强核算汇总</w:t>
            </w:r>
          </w:p>
          <w:p w14:paraId="5BD783AD">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①废气有组织排放量核算</w:t>
            </w:r>
          </w:p>
          <w:p w14:paraId="3C54DB1E">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项目废气有组织排放量核算见下表：</w:t>
            </w:r>
          </w:p>
          <w:p w14:paraId="2DB891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表4-</w:t>
            </w:r>
            <w:r>
              <w:rPr>
                <w:rFonts w:hint="eastAsia" w:cs="Times New Roman"/>
                <w:b/>
                <w:bCs/>
                <w:color w:val="auto"/>
                <w:kern w:val="0"/>
                <w:sz w:val="22"/>
                <w:szCs w:val="22"/>
                <w:u w:val="none" w:color="auto"/>
                <w:lang w:val="en-US" w:eastAsia="zh-CN"/>
              </w:rPr>
              <w:t>7</w:t>
            </w:r>
            <w:r>
              <w:rPr>
                <w:rFonts w:hint="default" w:ascii="Times New Roman" w:hAnsi="Times New Roman" w:eastAsia="宋体" w:cs="Times New Roman"/>
                <w:b/>
                <w:bCs/>
                <w:color w:val="auto"/>
                <w:kern w:val="0"/>
                <w:sz w:val="22"/>
                <w:szCs w:val="22"/>
                <w:u w:val="none" w:color="auto"/>
                <w:lang w:val="en-US" w:eastAsia="zh-CN"/>
              </w:rPr>
              <w:t xml:space="preserve"> 大气污染物有组织排放量核算</w:t>
            </w:r>
          </w:p>
          <w:tbl>
            <w:tblPr>
              <w:tblStyle w:val="26"/>
              <w:tblW w:w="494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53"/>
              <w:gridCol w:w="1130"/>
              <w:gridCol w:w="1299"/>
              <w:gridCol w:w="2390"/>
              <w:gridCol w:w="2361"/>
            </w:tblGrid>
            <w:tr w14:paraId="4C7502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0" w:hRule="atLeast"/>
                <w:tblHeader/>
                <w:jc w:val="center"/>
              </w:trPr>
              <w:tc>
                <w:tcPr>
                  <w:tcW w:w="416" w:type="pct"/>
                  <w:tcBorders>
                    <w:tl2br w:val="nil"/>
                    <w:tr2bl w:val="nil"/>
                  </w:tcBorders>
                  <w:shd w:val="clear" w:color="auto" w:fill="FFFFFF"/>
                  <w:noWrap w:val="0"/>
                  <w:vAlign w:val="center"/>
                </w:tcPr>
                <w:p w14:paraId="59CEBFCA">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序号</w:t>
                  </w:r>
                </w:p>
              </w:tc>
              <w:tc>
                <w:tcPr>
                  <w:tcW w:w="721" w:type="pct"/>
                  <w:tcBorders>
                    <w:tl2br w:val="nil"/>
                    <w:tr2bl w:val="nil"/>
                  </w:tcBorders>
                  <w:shd w:val="clear" w:color="auto" w:fill="FFFFFF"/>
                  <w:noWrap w:val="0"/>
                  <w:vAlign w:val="center"/>
                </w:tcPr>
                <w:p w14:paraId="4BC6BE34">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排放口编号</w:t>
                  </w:r>
                </w:p>
              </w:tc>
              <w:tc>
                <w:tcPr>
                  <w:tcW w:w="829" w:type="pct"/>
                  <w:tcBorders>
                    <w:tl2br w:val="nil"/>
                    <w:tr2bl w:val="nil"/>
                  </w:tcBorders>
                  <w:shd w:val="clear" w:color="auto" w:fill="FFFFFF"/>
                  <w:noWrap w:val="0"/>
                  <w:vAlign w:val="center"/>
                </w:tcPr>
                <w:p w14:paraId="1067D1ED">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污染物</w:t>
                  </w:r>
                </w:p>
              </w:tc>
              <w:tc>
                <w:tcPr>
                  <w:tcW w:w="1525" w:type="pct"/>
                  <w:tcBorders>
                    <w:tl2br w:val="nil"/>
                    <w:tr2bl w:val="nil"/>
                  </w:tcBorders>
                  <w:shd w:val="clear" w:color="auto" w:fill="FFFFFF"/>
                  <w:noWrap w:val="0"/>
                  <w:vAlign w:val="center"/>
                </w:tcPr>
                <w:p w14:paraId="519698BF">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核算最大排放浓度/（mg/m</w:t>
                  </w:r>
                  <w:r>
                    <w:rPr>
                      <w:rFonts w:hint="default" w:ascii="Times New Roman" w:hAnsi="Times New Roman" w:eastAsia="宋体" w:cs="Times New Roman"/>
                      <w:b/>
                      <w:bCs w:val="0"/>
                      <w:color w:val="auto"/>
                      <w:kern w:val="0"/>
                      <w:sz w:val="21"/>
                      <w:szCs w:val="21"/>
                      <w:u w:val="none" w:color="auto"/>
                      <w:vertAlign w:val="superscript"/>
                      <w:lang w:val="en-US" w:eastAsia="zh-CN" w:bidi="ar-SA"/>
                    </w:rPr>
                    <w:t>3</w:t>
                  </w:r>
                  <w:r>
                    <w:rPr>
                      <w:rFonts w:hint="default" w:ascii="Times New Roman" w:hAnsi="Times New Roman" w:eastAsia="宋体" w:cs="Times New Roman"/>
                      <w:b/>
                      <w:bCs w:val="0"/>
                      <w:color w:val="auto"/>
                      <w:kern w:val="0"/>
                      <w:sz w:val="21"/>
                      <w:szCs w:val="21"/>
                      <w:u w:val="none" w:color="auto"/>
                      <w:lang w:val="en-US" w:eastAsia="zh-CN" w:bidi="ar-SA"/>
                    </w:rPr>
                    <w:t>）</w:t>
                  </w:r>
                </w:p>
              </w:tc>
              <w:tc>
                <w:tcPr>
                  <w:tcW w:w="1507" w:type="pct"/>
                  <w:tcBorders>
                    <w:tl2br w:val="nil"/>
                    <w:tr2bl w:val="nil"/>
                  </w:tcBorders>
                  <w:shd w:val="clear" w:color="auto" w:fill="FFFFFF"/>
                  <w:noWrap w:val="0"/>
                  <w:vAlign w:val="center"/>
                </w:tcPr>
                <w:p w14:paraId="4FEBE65C">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核算最大年排放量/（t/a）</w:t>
                  </w:r>
                </w:p>
              </w:tc>
            </w:tr>
            <w:tr w14:paraId="0D79F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06CAF4C4">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1</w:t>
                  </w:r>
                </w:p>
              </w:tc>
              <w:tc>
                <w:tcPr>
                  <w:tcW w:w="721" w:type="pct"/>
                  <w:vMerge w:val="restart"/>
                  <w:tcBorders>
                    <w:tl2br w:val="nil"/>
                    <w:tr2bl w:val="nil"/>
                  </w:tcBorders>
                  <w:shd w:val="clear" w:color="auto" w:fill="FFFFFF"/>
                  <w:noWrap w:val="0"/>
                  <w:vAlign w:val="center"/>
                </w:tcPr>
                <w:p w14:paraId="73ED1785">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ascii="Times New Roman" w:hAnsi="Times New Roman" w:eastAsia="宋体" w:cs="Times New Roman"/>
                      <w:b w:val="0"/>
                      <w:bCs/>
                      <w:color w:val="auto"/>
                      <w:kern w:val="0"/>
                      <w:sz w:val="21"/>
                      <w:szCs w:val="21"/>
                      <w:u w:val="none" w:color="auto"/>
                      <w:lang w:val="en-US" w:eastAsia="zh-CN" w:bidi="ar-SA"/>
                    </w:rPr>
                    <w:t>DA00</w:t>
                  </w:r>
                  <w:r>
                    <w:rPr>
                      <w:rFonts w:hint="eastAsia" w:cs="Times New Roman"/>
                      <w:b w:val="0"/>
                      <w:bCs/>
                      <w:color w:val="auto"/>
                      <w:kern w:val="0"/>
                      <w:sz w:val="21"/>
                      <w:szCs w:val="21"/>
                      <w:u w:val="none" w:color="auto"/>
                      <w:lang w:val="en-US" w:eastAsia="zh-CN" w:bidi="ar-SA"/>
                    </w:rPr>
                    <w:t>1</w:t>
                  </w:r>
                </w:p>
              </w:tc>
              <w:tc>
                <w:tcPr>
                  <w:tcW w:w="829" w:type="pct"/>
                  <w:tcBorders>
                    <w:tl2br w:val="nil"/>
                    <w:tr2bl w:val="nil"/>
                  </w:tcBorders>
                  <w:shd w:val="clear" w:color="auto" w:fill="FFFFFF"/>
                  <w:noWrap w:val="0"/>
                  <w:vAlign w:val="center"/>
                </w:tcPr>
                <w:p w14:paraId="7C275F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2390" w:type="dxa"/>
                  <w:tcBorders>
                    <w:tl2br w:val="nil"/>
                    <w:tr2bl w:val="nil"/>
                  </w:tcBorders>
                  <w:shd w:val="clear" w:color="auto" w:fill="FFFFFF"/>
                  <w:noWrap w:val="0"/>
                  <w:vAlign w:val="center"/>
                </w:tcPr>
                <w:p w14:paraId="7DE170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26.88</w:t>
                  </w:r>
                </w:p>
              </w:tc>
              <w:tc>
                <w:tcPr>
                  <w:tcW w:w="2361" w:type="dxa"/>
                  <w:tcBorders>
                    <w:tl2br w:val="nil"/>
                    <w:tr2bl w:val="nil"/>
                  </w:tcBorders>
                  <w:shd w:val="clear" w:color="auto" w:fill="FFFFFF"/>
                  <w:noWrap w:val="0"/>
                  <w:vAlign w:val="center"/>
                </w:tcPr>
                <w:p w14:paraId="0D6C0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2</w:t>
                  </w:r>
                </w:p>
              </w:tc>
            </w:tr>
            <w:tr w14:paraId="5C57C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20A154B8">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2</w:t>
                  </w:r>
                </w:p>
              </w:tc>
              <w:tc>
                <w:tcPr>
                  <w:tcW w:w="721" w:type="pct"/>
                  <w:vMerge w:val="continue"/>
                  <w:tcBorders>
                    <w:tl2br w:val="nil"/>
                    <w:tr2bl w:val="nil"/>
                  </w:tcBorders>
                  <w:shd w:val="clear" w:color="auto" w:fill="FFFFFF"/>
                  <w:noWrap w:val="0"/>
                  <w:vAlign w:val="center"/>
                </w:tcPr>
                <w:p w14:paraId="01AC875A">
                  <w:pPr>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829" w:type="pct"/>
                  <w:tcBorders>
                    <w:tl2br w:val="nil"/>
                    <w:tr2bl w:val="nil"/>
                  </w:tcBorders>
                  <w:shd w:val="clear" w:color="auto" w:fill="FFFFFF"/>
                  <w:noWrap w:val="0"/>
                  <w:vAlign w:val="center"/>
                </w:tcPr>
                <w:p w14:paraId="09AB67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2390" w:type="dxa"/>
                  <w:tcBorders>
                    <w:tl2br w:val="nil"/>
                    <w:tr2bl w:val="nil"/>
                  </w:tcBorders>
                  <w:shd w:val="clear" w:color="auto" w:fill="FFFFFF"/>
                  <w:noWrap w:val="0"/>
                  <w:vAlign w:val="center"/>
                </w:tcPr>
                <w:p w14:paraId="143E87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30.44</w:t>
                  </w:r>
                </w:p>
              </w:tc>
              <w:tc>
                <w:tcPr>
                  <w:tcW w:w="2361" w:type="dxa"/>
                  <w:tcBorders>
                    <w:tl2br w:val="nil"/>
                    <w:tr2bl w:val="nil"/>
                  </w:tcBorders>
                  <w:shd w:val="clear" w:color="auto" w:fill="FFFFFF"/>
                  <w:noWrap w:val="0"/>
                  <w:vAlign w:val="center"/>
                </w:tcPr>
                <w:p w14:paraId="3668A2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2.265</w:t>
                  </w:r>
                </w:p>
              </w:tc>
            </w:tr>
            <w:tr w14:paraId="1CF621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32C41A6E">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3</w:t>
                  </w:r>
                </w:p>
              </w:tc>
              <w:tc>
                <w:tcPr>
                  <w:tcW w:w="721" w:type="pct"/>
                  <w:vMerge w:val="continue"/>
                  <w:tcBorders>
                    <w:tl2br w:val="nil"/>
                    <w:tr2bl w:val="nil"/>
                  </w:tcBorders>
                  <w:shd w:val="clear" w:color="auto" w:fill="FFFFFF"/>
                  <w:noWrap w:val="0"/>
                  <w:vAlign w:val="center"/>
                </w:tcPr>
                <w:p w14:paraId="7A094B04">
                  <w:pPr>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829" w:type="pct"/>
                  <w:tcBorders>
                    <w:tl2br w:val="nil"/>
                    <w:tr2bl w:val="nil"/>
                  </w:tcBorders>
                  <w:shd w:val="clear" w:color="auto" w:fill="FFFFFF"/>
                  <w:noWrap w:val="0"/>
                  <w:vAlign w:val="center"/>
                </w:tcPr>
                <w:p w14:paraId="6384D3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NOx</w:t>
                  </w:r>
                </w:p>
              </w:tc>
              <w:tc>
                <w:tcPr>
                  <w:tcW w:w="2390" w:type="dxa"/>
                  <w:tcBorders>
                    <w:tl2br w:val="nil"/>
                    <w:tr2bl w:val="nil"/>
                  </w:tcBorders>
                  <w:shd w:val="clear" w:color="auto" w:fill="FFFFFF"/>
                  <w:noWrap w:val="0"/>
                  <w:vAlign w:val="center"/>
                </w:tcPr>
                <w:p w14:paraId="42320C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137.11</w:t>
                  </w:r>
                </w:p>
              </w:tc>
              <w:tc>
                <w:tcPr>
                  <w:tcW w:w="2361" w:type="dxa"/>
                  <w:tcBorders>
                    <w:tl2br w:val="nil"/>
                    <w:tr2bl w:val="nil"/>
                  </w:tcBorders>
                  <w:shd w:val="clear" w:color="auto" w:fill="FFFFFF"/>
                  <w:noWrap w:val="0"/>
                  <w:vAlign w:val="center"/>
                </w:tcPr>
                <w:p w14:paraId="03C9B6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0"/>
                      <w:szCs w:val="20"/>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10.2</w:t>
                  </w:r>
                </w:p>
              </w:tc>
            </w:tr>
            <w:tr w14:paraId="663B0A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0BF830E5">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b w:val="0"/>
                      <w:bCs/>
                      <w:color w:val="auto"/>
                      <w:kern w:val="0"/>
                      <w:sz w:val="21"/>
                      <w:szCs w:val="21"/>
                      <w:u w:val="none" w:color="auto"/>
                      <w:lang w:val="en-US" w:eastAsia="zh-CN" w:bidi="ar-SA"/>
                    </w:rPr>
                    <w:t>4</w:t>
                  </w:r>
                </w:p>
              </w:tc>
              <w:tc>
                <w:tcPr>
                  <w:tcW w:w="721" w:type="pct"/>
                  <w:vMerge w:val="restart"/>
                  <w:tcBorders>
                    <w:tl2br w:val="nil"/>
                    <w:tr2bl w:val="nil"/>
                  </w:tcBorders>
                  <w:shd w:val="clear" w:color="auto" w:fill="FFFFFF"/>
                  <w:noWrap w:val="0"/>
                  <w:vAlign w:val="center"/>
                </w:tcPr>
                <w:p w14:paraId="714BD211">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b w:val="0"/>
                      <w:bCs/>
                      <w:color w:val="auto"/>
                      <w:kern w:val="0"/>
                      <w:sz w:val="21"/>
                      <w:szCs w:val="21"/>
                      <w:u w:val="none" w:color="auto"/>
                      <w:lang w:val="en-US" w:eastAsia="zh-CN" w:bidi="ar-SA"/>
                    </w:rPr>
                    <w:t>DA002</w:t>
                  </w:r>
                </w:p>
              </w:tc>
              <w:tc>
                <w:tcPr>
                  <w:tcW w:w="1299" w:type="dxa"/>
                  <w:tcBorders>
                    <w:tl2br w:val="nil"/>
                    <w:tr2bl w:val="nil"/>
                  </w:tcBorders>
                  <w:shd w:val="clear" w:color="auto" w:fill="FFFFFF"/>
                  <w:noWrap w:val="0"/>
                  <w:vAlign w:val="center"/>
                </w:tcPr>
                <w:p w14:paraId="1FCDA7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2390" w:type="dxa"/>
                  <w:tcBorders>
                    <w:tl2br w:val="nil"/>
                    <w:tr2bl w:val="nil"/>
                  </w:tcBorders>
                  <w:shd w:val="clear" w:color="auto" w:fill="FFFFFF"/>
                  <w:noWrap w:val="0"/>
                  <w:vAlign w:val="center"/>
                </w:tcPr>
                <w:p w14:paraId="5ECCE8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0.8</w:t>
                  </w:r>
                </w:p>
              </w:tc>
              <w:tc>
                <w:tcPr>
                  <w:tcW w:w="2361" w:type="dxa"/>
                  <w:tcBorders>
                    <w:tl2br w:val="nil"/>
                    <w:tr2bl w:val="nil"/>
                  </w:tcBorders>
                  <w:shd w:val="clear" w:color="auto" w:fill="FFFFFF"/>
                  <w:noWrap w:val="0"/>
                  <w:vAlign w:val="center"/>
                </w:tcPr>
                <w:p w14:paraId="1F13ED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0.06</w:t>
                  </w:r>
                </w:p>
              </w:tc>
            </w:tr>
            <w:tr w14:paraId="2BA830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1AC85DA0">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b w:val="0"/>
                      <w:bCs/>
                      <w:color w:val="auto"/>
                      <w:kern w:val="0"/>
                      <w:sz w:val="21"/>
                      <w:szCs w:val="21"/>
                      <w:u w:val="none" w:color="auto"/>
                      <w:lang w:val="en-US" w:eastAsia="zh-CN" w:bidi="ar-SA"/>
                    </w:rPr>
                    <w:t>5</w:t>
                  </w:r>
                </w:p>
              </w:tc>
              <w:tc>
                <w:tcPr>
                  <w:tcW w:w="721" w:type="pct"/>
                  <w:vMerge w:val="continue"/>
                  <w:tcBorders>
                    <w:tl2br w:val="nil"/>
                    <w:tr2bl w:val="nil"/>
                  </w:tcBorders>
                  <w:shd w:val="clear" w:color="auto" w:fill="FFFFFF"/>
                  <w:noWrap w:val="0"/>
                  <w:vAlign w:val="center"/>
                </w:tcPr>
                <w:p w14:paraId="226F1B1E">
                  <w:pPr>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1299" w:type="dxa"/>
                  <w:tcBorders>
                    <w:tl2br w:val="nil"/>
                    <w:tr2bl w:val="nil"/>
                  </w:tcBorders>
                  <w:shd w:val="clear" w:color="auto" w:fill="FFFFFF"/>
                  <w:noWrap w:val="0"/>
                  <w:vAlign w:val="center"/>
                </w:tcPr>
                <w:p w14:paraId="750006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2390" w:type="dxa"/>
                  <w:tcBorders>
                    <w:tl2br w:val="nil"/>
                    <w:tr2bl w:val="nil"/>
                  </w:tcBorders>
                  <w:shd w:val="clear" w:color="auto" w:fill="FFFFFF"/>
                  <w:noWrap w:val="0"/>
                  <w:vAlign w:val="center"/>
                </w:tcPr>
                <w:p w14:paraId="7B0D0C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1.294</w:t>
                  </w:r>
                </w:p>
              </w:tc>
              <w:tc>
                <w:tcPr>
                  <w:tcW w:w="2361" w:type="dxa"/>
                  <w:tcBorders>
                    <w:tl2br w:val="nil"/>
                    <w:tr2bl w:val="nil"/>
                  </w:tcBorders>
                  <w:shd w:val="clear" w:color="auto" w:fill="FFFFFF"/>
                  <w:noWrap w:val="0"/>
                  <w:vAlign w:val="center"/>
                </w:tcPr>
                <w:p w14:paraId="3E976B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0.096</w:t>
                  </w:r>
                </w:p>
              </w:tc>
            </w:tr>
            <w:tr w14:paraId="56660F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16" w:type="pct"/>
                  <w:tcBorders>
                    <w:tl2br w:val="nil"/>
                    <w:tr2bl w:val="nil"/>
                  </w:tcBorders>
                  <w:shd w:val="clear" w:color="auto" w:fill="FFFFFF"/>
                  <w:noWrap w:val="0"/>
                  <w:vAlign w:val="center"/>
                </w:tcPr>
                <w:p w14:paraId="25B22AD4">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b w:val="0"/>
                      <w:bCs/>
                      <w:color w:val="auto"/>
                      <w:kern w:val="0"/>
                      <w:sz w:val="21"/>
                      <w:szCs w:val="21"/>
                      <w:u w:val="none" w:color="auto"/>
                      <w:lang w:val="en-US" w:eastAsia="zh-CN" w:bidi="ar-SA"/>
                    </w:rPr>
                    <w:t>6</w:t>
                  </w:r>
                </w:p>
              </w:tc>
              <w:tc>
                <w:tcPr>
                  <w:tcW w:w="721" w:type="pct"/>
                  <w:vMerge w:val="continue"/>
                  <w:tcBorders>
                    <w:tl2br w:val="nil"/>
                    <w:tr2bl w:val="nil"/>
                  </w:tcBorders>
                  <w:shd w:val="clear" w:color="auto" w:fill="FFFFFF"/>
                  <w:noWrap w:val="0"/>
                  <w:vAlign w:val="center"/>
                </w:tcPr>
                <w:p w14:paraId="158B6DDC">
                  <w:pPr>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1299" w:type="dxa"/>
                  <w:tcBorders>
                    <w:tl2br w:val="nil"/>
                    <w:tr2bl w:val="nil"/>
                  </w:tcBorders>
                  <w:shd w:val="clear" w:color="auto" w:fill="FFFFFF"/>
                  <w:noWrap w:val="0"/>
                  <w:vAlign w:val="center"/>
                </w:tcPr>
                <w:p w14:paraId="6126A1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default" w:ascii="Times New Roman" w:hAnsi="Times New Roman" w:eastAsia="宋体" w:cs="Times New Roman"/>
                      <w:color w:val="auto"/>
                      <w:sz w:val="21"/>
                      <w:szCs w:val="21"/>
                      <w:u w:val="none" w:color="auto"/>
                      <w:vertAlign w:val="baseline"/>
                      <w:lang w:val="en-US" w:eastAsia="zh-CN"/>
                    </w:rPr>
                    <w:t>NOx</w:t>
                  </w:r>
                </w:p>
              </w:tc>
              <w:tc>
                <w:tcPr>
                  <w:tcW w:w="2390" w:type="dxa"/>
                  <w:tcBorders>
                    <w:tl2br w:val="nil"/>
                    <w:tr2bl w:val="nil"/>
                  </w:tcBorders>
                  <w:shd w:val="clear" w:color="auto" w:fill="FFFFFF"/>
                  <w:noWrap w:val="0"/>
                  <w:vAlign w:val="center"/>
                </w:tcPr>
                <w:p w14:paraId="005AA0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23.34</w:t>
                  </w:r>
                </w:p>
              </w:tc>
              <w:tc>
                <w:tcPr>
                  <w:tcW w:w="2361" w:type="dxa"/>
                  <w:tcBorders>
                    <w:tl2br w:val="nil"/>
                    <w:tr2bl w:val="nil"/>
                  </w:tcBorders>
                  <w:shd w:val="clear" w:color="auto" w:fill="FFFFFF"/>
                  <w:noWrap w:val="0"/>
                  <w:vAlign w:val="center"/>
                </w:tcPr>
                <w:p w14:paraId="2DFC33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u w:val="none" w:color="auto"/>
                      <w:vertAlign w:val="baseline"/>
                      <w:lang w:val="en-US" w:eastAsia="zh-CN"/>
                    </w:rPr>
                  </w:pPr>
                  <w:r>
                    <w:rPr>
                      <w:rFonts w:hint="eastAsia" w:ascii="Times New Roman" w:hAnsi="Times New Roman" w:eastAsia="宋体" w:cs="Times New Roman"/>
                      <w:color w:val="auto"/>
                      <w:sz w:val="21"/>
                      <w:szCs w:val="21"/>
                      <w:u w:val="none" w:color="auto"/>
                      <w:vertAlign w:val="baseline"/>
                      <w:lang w:val="en-US" w:eastAsia="zh-CN"/>
                    </w:rPr>
                    <w:t>1.73</w:t>
                  </w:r>
                </w:p>
              </w:tc>
            </w:tr>
            <w:tr w14:paraId="1EFC0E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5000" w:type="pct"/>
                  <w:gridSpan w:val="5"/>
                  <w:tcBorders>
                    <w:tl2br w:val="nil"/>
                    <w:tr2bl w:val="nil"/>
                  </w:tcBorders>
                  <w:shd w:val="clear" w:color="auto" w:fill="FFFFFF"/>
                  <w:noWrap w:val="0"/>
                  <w:vAlign w:val="center"/>
                </w:tcPr>
                <w:p w14:paraId="6BA8F609">
                  <w:pPr>
                    <w:pStyle w:val="71"/>
                    <w:overflowPunct/>
                    <w:adjustRightInd/>
                    <w:snapToGrid/>
                    <w:spacing w:before="0" w:after="0" w:line="240" w:lineRule="auto"/>
                    <w:ind w:right="0" w:firstLine="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有组织排放总计</w:t>
                  </w:r>
                </w:p>
              </w:tc>
            </w:tr>
            <w:tr w14:paraId="75E41A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1138" w:type="pct"/>
                  <w:gridSpan w:val="2"/>
                  <w:vMerge w:val="restart"/>
                  <w:tcBorders>
                    <w:tl2br w:val="nil"/>
                    <w:tr2bl w:val="nil"/>
                  </w:tcBorders>
                  <w:shd w:val="clear" w:color="auto" w:fill="FFFFFF"/>
                  <w:noWrap w:val="0"/>
                  <w:vAlign w:val="center"/>
                </w:tcPr>
                <w:p w14:paraId="1C5A345F">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有组织排放总计</w:t>
                  </w:r>
                </w:p>
              </w:tc>
              <w:tc>
                <w:tcPr>
                  <w:tcW w:w="2354" w:type="pct"/>
                  <w:gridSpan w:val="2"/>
                  <w:tcBorders>
                    <w:tl2br w:val="nil"/>
                    <w:tr2bl w:val="nil"/>
                  </w:tcBorders>
                  <w:shd w:val="clear" w:color="auto" w:fill="FFFFFF"/>
                  <w:noWrap w:val="0"/>
                  <w:vAlign w:val="center"/>
                </w:tcPr>
                <w:p w14:paraId="312DFB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颗粒物</w:t>
                  </w:r>
                </w:p>
              </w:tc>
              <w:tc>
                <w:tcPr>
                  <w:tcW w:w="2361" w:type="dxa"/>
                  <w:tcBorders>
                    <w:tl2br w:val="nil"/>
                    <w:tr2bl w:val="nil"/>
                  </w:tcBorders>
                  <w:shd w:val="clear" w:color="auto" w:fill="FFFFFF"/>
                  <w:noWrap w:val="0"/>
                  <w:vAlign w:val="center"/>
                </w:tcPr>
                <w:p w14:paraId="71F363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2.06</w:t>
                  </w:r>
                </w:p>
              </w:tc>
            </w:tr>
            <w:tr w14:paraId="5502F9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1138" w:type="pct"/>
                  <w:gridSpan w:val="2"/>
                  <w:vMerge w:val="continue"/>
                  <w:tcBorders>
                    <w:tl2br w:val="nil"/>
                    <w:tr2bl w:val="nil"/>
                  </w:tcBorders>
                  <w:shd w:val="clear" w:color="auto" w:fill="FFFFFF"/>
                  <w:noWrap w:val="0"/>
                  <w:vAlign w:val="center"/>
                </w:tcPr>
                <w:p w14:paraId="254A78AD">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2354" w:type="pct"/>
                  <w:gridSpan w:val="2"/>
                  <w:tcBorders>
                    <w:tl2br w:val="nil"/>
                    <w:tr2bl w:val="nil"/>
                  </w:tcBorders>
                  <w:shd w:val="clear" w:color="auto" w:fill="FFFFFF"/>
                  <w:noWrap w:val="0"/>
                  <w:vAlign w:val="center"/>
                </w:tcPr>
                <w:p w14:paraId="466B67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SO</w:t>
                  </w:r>
                  <w:r>
                    <w:rPr>
                      <w:rFonts w:hint="default" w:ascii="Times New Roman" w:hAnsi="Times New Roman" w:eastAsia="宋体" w:cs="Times New Roman"/>
                      <w:color w:val="auto"/>
                      <w:sz w:val="21"/>
                      <w:szCs w:val="21"/>
                      <w:u w:val="none" w:color="auto"/>
                      <w:vertAlign w:val="subscript"/>
                      <w:lang w:val="en-US" w:eastAsia="zh-CN"/>
                    </w:rPr>
                    <w:t>2</w:t>
                  </w:r>
                </w:p>
              </w:tc>
              <w:tc>
                <w:tcPr>
                  <w:tcW w:w="2361" w:type="dxa"/>
                  <w:tcBorders>
                    <w:tl2br w:val="nil"/>
                    <w:tr2bl w:val="nil"/>
                  </w:tcBorders>
                  <w:shd w:val="clear" w:color="auto" w:fill="FFFFFF"/>
                  <w:noWrap w:val="0"/>
                  <w:vAlign w:val="center"/>
                </w:tcPr>
                <w:p w14:paraId="5E1E11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w:t>
                  </w:r>
                  <w:r>
                    <w:rPr>
                      <w:rFonts w:hint="eastAsia" w:cs="Times New Roman"/>
                      <w:color w:val="auto"/>
                      <w:sz w:val="21"/>
                      <w:szCs w:val="21"/>
                      <w:u w:val="none" w:color="auto"/>
                      <w:vertAlign w:val="baseline"/>
                      <w:lang w:val="en-US" w:eastAsia="zh-CN"/>
                    </w:rPr>
                    <w:t>361</w:t>
                  </w:r>
                </w:p>
              </w:tc>
            </w:tr>
            <w:tr w14:paraId="560B71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1138" w:type="pct"/>
                  <w:gridSpan w:val="2"/>
                  <w:vMerge w:val="continue"/>
                  <w:tcBorders>
                    <w:tl2br w:val="nil"/>
                    <w:tr2bl w:val="nil"/>
                  </w:tcBorders>
                  <w:shd w:val="clear" w:color="auto" w:fill="FFFFFF"/>
                  <w:noWrap w:val="0"/>
                  <w:vAlign w:val="center"/>
                </w:tcPr>
                <w:p w14:paraId="25F152A3">
                  <w:pPr>
                    <w:pStyle w:val="71"/>
                    <w:overflowPunct/>
                    <w:adjustRightInd/>
                    <w:snapToGrid/>
                    <w:spacing w:before="0" w:after="0" w:line="240" w:lineRule="auto"/>
                    <w:ind w:left="0" w:leftChars="0" w:right="0" w:firstLine="0" w:firstLineChars="0"/>
                    <w:jc w:val="center"/>
                    <w:rPr>
                      <w:rFonts w:hint="default" w:ascii="Times New Roman" w:hAnsi="Times New Roman" w:eastAsia="宋体" w:cs="Times New Roman"/>
                      <w:b w:val="0"/>
                      <w:bCs/>
                      <w:color w:val="auto"/>
                      <w:kern w:val="0"/>
                      <w:sz w:val="21"/>
                      <w:szCs w:val="21"/>
                      <w:u w:val="none" w:color="auto"/>
                      <w:lang w:val="en-US" w:eastAsia="zh-CN" w:bidi="ar-SA"/>
                    </w:rPr>
                  </w:pPr>
                </w:p>
              </w:tc>
              <w:tc>
                <w:tcPr>
                  <w:tcW w:w="2354" w:type="pct"/>
                  <w:gridSpan w:val="2"/>
                  <w:tcBorders>
                    <w:tl2br w:val="nil"/>
                    <w:tr2bl w:val="nil"/>
                  </w:tcBorders>
                  <w:shd w:val="clear" w:color="auto" w:fill="FFFFFF"/>
                  <w:noWrap w:val="0"/>
                  <w:vAlign w:val="center"/>
                </w:tcPr>
                <w:p w14:paraId="7B0582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NOx</w:t>
                  </w:r>
                </w:p>
              </w:tc>
              <w:tc>
                <w:tcPr>
                  <w:tcW w:w="2361" w:type="dxa"/>
                  <w:tcBorders>
                    <w:tl2br w:val="nil"/>
                    <w:tr2bl w:val="nil"/>
                  </w:tcBorders>
                  <w:shd w:val="clear" w:color="auto" w:fill="FFFFFF"/>
                  <w:noWrap w:val="0"/>
                  <w:vAlign w:val="center"/>
                </w:tcPr>
                <w:p w14:paraId="7679CB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11.93</w:t>
                  </w:r>
                </w:p>
              </w:tc>
            </w:tr>
          </w:tbl>
          <w:p w14:paraId="7E04B91F">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②废气无组织排放量核算</w:t>
            </w:r>
          </w:p>
          <w:p w14:paraId="7D4A9402">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项目废气无组织排放量核算见下表：</w:t>
            </w:r>
          </w:p>
          <w:p w14:paraId="49B50E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表4-</w:t>
            </w:r>
            <w:r>
              <w:rPr>
                <w:rFonts w:hint="eastAsia" w:cs="Times New Roman"/>
                <w:b/>
                <w:bCs/>
                <w:color w:val="auto"/>
                <w:kern w:val="0"/>
                <w:sz w:val="22"/>
                <w:szCs w:val="22"/>
                <w:u w:val="none" w:color="auto"/>
                <w:lang w:val="en-US" w:eastAsia="zh-CN"/>
              </w:rPr>
              <w:t>8</w:t>
            </w:r>
            <w:r>
              <w:rPr>
                <w:rFonts w:hint="default" w:ascii="Times New Roman" w:hAnsi="Times New Roman" w:eastAsia="宋体" w:cs="Times New Roman"/>
                <w:b/>
                <w:bCs/>
                <w:color w:val="auto"/>
                <w:kern w:val="0"/>
                <w:sz w:val="22"/>
                <w:szCs w:val="22"/>
                <w:u w:val="none" w:color="auto"/>
                <w:lang w:val="en-US" w:eastAsia="zh-CN"/>
              </w:rPr>
              <w:t xml:space="preserve"> 大气污染物无组织排放量核算</w:t>
            </w:r>
          </w:p>
          <w:tbl>
            <w:tblPr>
              <w:tblStyle w:val="26"/>
              <w:tblW w:w="499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945"/>
              <w:gridCol w:w="1237"/>
              <w:gridCol w:w="1953"/>
              <w:gridCol w:w="2054"/>
              <w:gridCol w:w="1052"/>
            </w:tblGrid>
            <w:tr w14:paraId="5AB117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38" w:hRule="atLeast"/>
                <w:tblHeader/>
                <w:jc w:val="center"/>
              </w:trPr>
              <w:tc>
                <w:tcPr>
                  <w:tcW w:w="417" w:type="pct"/>
                  <w:vMerge w:val="restart"/>
                  <w:tcBorders>
                    <w:tl2br w:val="nil"/>
                    <w:tr2bl w:val="nil"/>
                  </w:tcBorders>
                  <w:shd w:val="clear" w:color="auto" w:fill="FFFFFF"/>
                  <w:noWrap w:val="0"/>
                  <w:vAlign w:val="center"/>
                </w:tcPr>
                <w:p w14:paraId="641FE4AF">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序号</w:t>
                  </w:r>
                </w:p>
              </w:tc>
              <w:tc>
                <w:tcPr>
                  <w:tcW w:w="598" w:type="pct"/>
                  <w:vMerge w:val="restart"/>
                  <w:tcBorders>
                    <w:tl2br w:val="nil"/>
                    <w:tr2bl w:val="nil"/>
                  </w:tcBorders>
                  <w:shd w:val="clear" w:color="auto" w:fill="FFFFFF"/>
                  <w:noWrap w:val="0"/>
                  <w:vAlign w:val="center"/>
                </w:tcPr>
                <w:p w14:paraId="2BDC348C">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产污</w:t>
                  </w:r>
                </w:p>
                <w:p w14:paraId="7DDE9B51">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环节</w:t>
                  </w:r>
                </w:p>
              </w:tc>
              <w:tc>
                <w:tcPr>
                  <w:tcW w:w="782" w:type="pct"/>
                  <w:vMerge w:val="restart"/>
                  <w:tcBorders>
                    <w:tl2br w:val="nil"/>
                    <w:tr2bl w:val="nil"/>
                  </w:tcBorders>
                  <w:shd w:val="clear" w:color="auto" w:fill="FFFFFF"/>
                  <w:noWrap w:val="0"/>
                  <w:vAlign w:val="center"/>
                </w:tcPr>
                <w:p w14:paraId="551BC7F1">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污染物</w:t>
                  </w:r>
                </w:p>
              </w:tc>
              <w:tc>
                <w:tcPr>
                  <w:tcW w:w="2535" w:type="pct"/>
                  <w:gridSpan w:val="2"/>
                  <w:tcBorders>
                    <w:tl2br w:val="nil"/>
                    <w:tr2bl w:val="nil"/>
                  </w:tcBorders>
                  <w:shd w:val="clear" w:color="auto" w:fill="FFFFFF"/>
                  <w:noWrap w:val="0"/>
                  <w:vAlign w:val="center"/>
                </w:tcPr>
                <w:p w14:paraId="42DC50C5">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国家或地方污染物排放标准</w:t>
                  </w:r>
                </w:p>
              </w:tc>
              <w:tc>
                <w:tcPr>
                  <w:tcW w:w="665" w:type="pct"/>
                  <w:vMerge w:val="restart"/>
                  <w:tcBorders>
                    <w:tl2br w:val="nil"/>
                    <w:tr2bl w:val="nil"/>
                  </w:tcBorders>
                  <w:shd w:val="clear" w:color="auto" w:fill="FFFFFF"/>
                  <w:noWrap w:val="0"/>
                  <w:vAlign w:val="center"/>
                </w:tcPr>
                <w:p w14:paraId="01CE5322">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核算年排放量/（t/a）</w:t>
                  </w:r>
                </w:p>
              </w:tc>
            </w:tr>
            <w:tr w14:paraId="1F276F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417" w:type="pct"/>
                  <w:vMerge w:val="continue"/>
                  <w:tcBorders>
                    <w:tl2br w:val="nil"/>
                    <w:tr2bl w:val="nil"/>
                  </w:tcBorders>
                  <w:shd w:val="clear" w:color="auto" w:fill="FFFFFF"/>
                  <w:noWrap w:val="0"/>
                  <w:vAlign w:val="center"/>
                </w:tcPr>
                <w:p w14:paraId="773BB596">
                  <w:pPr>
                    <w:pStyle w:val="71"/>
                    <w:overflowPunct/>
                    <w:adjustRightInd/>
                    <w:snapToGrid/>
                    <w:spacing w:before="0" w:after="0" w:line="240" w:lineRule="auto"/>
                    <w:ind w:right="0" w:firstLine="0"/>
                    <w:textAlignment w:val="auto"/>
                    <w:rPr>
                      <w:rFonts w:hint="default" w:ascii="Times New Roman" w:hAnsi="Times New Roman" w:eastAsia="宋体" w:cs="Times New Roman"/>
                      <w:b/>
                      <w:bCs/>
                      <w:color w:val="auto"/>
                      <w:sz w:val="18"/>
                      <w:szCs w:val="18"/>
                      <w:u w:val="none" w:color="auto"/>
                    </w:rPr>
                  </w:pPr>
                </w:p>
              </w:tc>
              <w:tc>
                <w:tcPr>
                  <w:tcW w:w="598" w:type="pct"/>
                  <w:vMerge w:val="continue"/>
                  <w:tcBorders>
                    <w:tl2br w:val="nil"/>
                    <w:tr2bl w:val="nil"/>
                  </w:tcBorders>
                  <w:shd w:val="clear" w:color="auto" w:fill="FFFFFF"/>
                  <w:noWrap w:val="0"/>
                  <w:vAlign w:val="center"/>
                </w:tcPr>
                <w:p w14:paraId="11DDE601">
                  <w:pPr>
                    <w:pStyle w:val="71"/>
                    <w:overflowPunct/>
                    <w:adjustRightInd/>
                    <w:snapToGrid/>
                    <w:spacing w:before="0" w:after="0" w:line="240" w:lineRule="auto"/>
                    <w:ind w:right="0" w:firstLine="0"/>
                    <w:textAlignment w:val="auto"/>
                    <w:rPr>
                      <w:rFonts w:hint="default" w:ascii="Times New Roman" w:hAnsi="Times New Roman" w:eastAsia="宋体" w:cs="Times New Roman"/>
                      <w:b/>
                      <w:bCs/>
                      <w:color w:val="auto"/>
                      <w:sz w:val="18"/>
                      <w:szCs w:val="18"/>
                      <w:u w:val="none" w:color="auto"/>
                    </w:rPr>
                  </w:pPr>
                </w:p>
              </w:tc>
              <w:tc>
                <w:tcPr>
                  <w:tcW w:w="782" w:type="pct"/>
                  <w:vMerge w:val="continue"/>
                  <w:tcBorders>
                    <w:tl2br w:val="nil"/>
                    <w:tr2bl w:val="nil"/>
                  </w:tcBorders>
                  <w:shd w:val="clear" w:color="auto" w:fill="FFFFFF"/>
                  <w:noWrap w:val="0"/>
                  <w:vAlign w:val="center"/>
                </w:tcPr>
                <w:p w14:paraId="40B6C017">
                  <w:pPr>
                    <w:pStyle w:val="71"/>
                    <w:overflowPunct/>
                    <w:adjustRightInd/>
                    <w:snapToGrid/>
                    <w:spacing w:before="0" w:after="0" w:line="240" w:lineRule="auto"/>
                    <w:ind w:right="0" w:firstLine="0"/>
                    <w:textAlignment w:val="auto"/>
                    <w:rPr>
                      <w:rFonts w:hint="default" w:ascii="Times New Roman" w:hAnsi="Times New Roman" w:eastAsia="宋体" w:cs="Times New Roman"/>
                      <w:b/>
                      <w:bCs/>
                      <w:color w:val="auto"/>
                      <w:sz w:val="18"/>
                      <w:szCs w:val="18"/>
                      <w:u w:val="none" w:color="auto"/>
                    </w:rPr>
                  </w:pPr>
                </w:p>
              </w:tc>
              <w:tc>
                <w:tcPr>
                  <w:tcW w:w="1235" w:type="pct"/>
                  <w:tcBorders>
                    <w:tl2br w:val="nil"/>
                    <w:tr2bl w:val="nil"/>
                  </w:tcBorders>
                  <w:shd w:val="clear" w:color="auto" w:fill="FFFFFF"/>
                  <w:noWrap w:val="0"/>
                  <w:vAlign w:val="center"/>
                </w:tcPr>
                <w:p w14:paraId="6F633559">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sz w:val="18"/>
                      <w:szCs w:val="18"/>
                      <w:u w:val="none" w:color="auto"/>
                    </w:rPr>
                  </w:pPr>
                  <w:r>
                    <w:rPr>
                      <w:rFonts w:hint="default" w:ascii="Times New Roman" w:hAnsi="Times New Roman" w:eastAsia="宋体" w:cs="Times New Roman"/>
                      <w:b/>
                      <w:bCs w:val="0"/>
                      <w:color w:val="auto"/>
                      <w:kern w:val="0"/>
                      <w:sz w:val="21"/>
                      <w:szCs w:val="21"/>
                      <w:u w:val="none" w:color="auto"/>
                      <w:lang w:val="en-US" w:eastAsia="zh-CN" w:bidi="ar-SA"/>
                    </w:rPr>
                    <w:t>标准名称</w:t>
                  </w:r>
                </w:p>
              </w:tc>
              <w:tc>
                <w:tcPr>
                  <w:tcW w:w="1299" w:type="pct"/>
                  <w:tcBorders>
                    <w:tl2br w:val="nil"/>
                    <w:tr2bl w:val="nil"/>
                  </w:tcBorders>
                  <w:shd w:val="clear" w:color="auto" w:fill="FFFFFF"/>
                  <w:noWrap w:val="0"/>
                  <w:vAlign w:val="center"/>
                </w:tcPr>
                <w:p w14:paraId="346A15A2">
                  <w:pPr>
                    <w:pStyle w:val="71"/>
                    <w:widowControl/>
                    <w:overflowPunct/>
                    <w:adjustRightInd/>
                    <w:snapToGrid/>
                    <w:spacing w:before="0" w:after="0" w:line="240" w:lineRule="auto"/>
                    <w:ind w:right="0" w:firstLine="0" w:firstLineChars="0"/>
                    <w:textAlignment w:val="auto"/>
                    <w:rPr>
                      <w:rFonts w:hint="default" w:ascii="Times New Roman" w:hAnsi="Times New Roman" w:eastAsia="宋体" w:cs="Times New Roman"/>
                      <w:b/>
                      <w:bCs w:val="0"/>
                      <w:color w:val="auto"/>
                      <w:sz w:val="18"/>
                      <w:szCs w:val="18"/>
                      <w:u w:val="none" w:color="auto"/>
                    </w:rPr>
                  </w:pPr>
                  <w:r>
                    <w:rPr>
                      <w:rFonts w:hint="default" w:ascii="Times New Roman" w:hAnsi="Times New Roman" w:eastAsia="宋体" w:cs="Times New Roman"/>
                      <w:b/>
                      <w:bCs w:val="0"/>
                      <w:color w:val="auto"/>
                      <w:kern w:val="0"/>
                      <w:sz w:val="21"/>
                      <w:szCs w:val="21"/>
                      <w:u w:val="none" w:color="auto"/>
                      <w:lang w:val="en-US" w:eastAsia="zh-CN" w:bidi="ar-SA"/>
                    </w:rPr>
                    <w:t>浓度限值</w:t>
                  </w:r>
                </w:p>
              </w:tc>
              <w:tc>
                <w:tcPr>
                  <w:tcW w:w="665" w:type="pct"/>
                  <w:vMerge w:val="continue"/>
                  <w:tcBorders>
                    <w:tl2br w:val="nil"/>
                    <w:tr2bl w:val="nil"/>
                  </w:tcBorders>
                  <w:shd w:val="clear" w:color="auto" w:fill="FFFFFF"/>
                  <w:noWrap w:val="0"/>
                  <w:vAlign w:val="center"/>
                </w:tcPr>
                <w:p w14:paraId="7D8037C4">
                  <w:pPr>
                    <w:pStyle w:val="71"/>
                    <w:overflowPunct/>
                    <w:adjustRightInd/>
                    <w:snapToGrid/>
                    <w:spacing w:before="0" w:after="0" w:line="240" w:lineRule="auto"/>
                    <w:ind w:right="0" w:firstLine="0"/>
                    <w:textAlignment w:val="auto"/>
                    <w:rPr>
                      <w:rFonts w:hint="default" w:ascii="Times New Roman" w:hAnsi="Times New Roman" w:eastAsia="宋体" w:cs="Times New Roman"/>
                      <w:color w:val="auto"/>
                      <w:sz w:val="18"/>
                      <w:szCs w:val="18"/>
                      <w:u w:val="none" w:color="auto"/>
                    </w:rPr>
                  </w:pPr>
                </w:p>
              </w:tc>
            </w:tr>
            <w:tr w14:paraId="00E5EE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417" w:type="pct"/>
                  <w:tcBorders>
                    <w:tl2br w:val="nil"/>
                    <w:tr2bl w:val="nil"/>
                  </w:tcBorders>
                  <w:shd w:val="clear" w:color="auto" w:fill="FFFFFF"/>
                  <w:noWrap w:val="0"/>
                  <w:vAlign w:val="center"/>
                </w:tcPr>
                <w:p w14:paraId="21F48DB1">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1</w:t>
                  </w:r>
                </w:p>
              </w:tc>
              <w:tc>
                <w:tcPr>
                  <w:tcW w:w="598" w:type="pct"/>
                  <w:tcBorders>
                    <w:tl2br w:val="nil"/>
                    <w:tr2bl w:val="nil"/>
                  </w:tcBorders>
                  <w:shd w:val="clear" w:color="auto" w:fill="FFFFFF"/>
                  <w:noWrap w:val="0"/>
                  <w:vAlign w:val="center"/>
                </w:tcPr>
                <w:p w14:paraId="69843FE3">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Cs w:val="21"/>
                      <w:u w:val="none" w:color="auto"/>
                      <w:lang w:val="en-US" w:eastAsia="zh-CN"/>
                    </w:rPr>
                    <w:t>清渣工序</w:t>
                  </w:r>
                </w:p>
              </w:tc>
              <w:tc>
                <w:tcPr>
                  <w:tcW w:w="782" w:type="pct"/>
                  <w:tcBorders>
                    <w:tl2br w:val="nil"/>
                    <w:tr2bl w:val="nil"/>
                  </w:tcBorders>
                  <w:shd w:val="clear" w:color="auto" w:fill="FFFFFF"/>
                  <w:noWrap w:val="0"/>
                  <w:vAlign w:val="center"/>
                </w:tcPr>
                <w:p w14:paraId="5317B4A0">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颗粒物</w:t>
                  </w:r>
                </w:p>
              </w:tc>
              <w:tc>
                <w:tcPr>
                  <w:tcW w:w="1235" w:type="pct"/>
                  <w:tcBorders>
                    <w:tl2br w:val="nil"/>
                    <w:tr2bl w:val="nil"/>
                  </w:tcBorders>
                  <w:shd w:val="clear" w:color="auto" w:fill="FFFFFF"/>
                  <w:noWrap w:val="0"/>
                  <w:vAlign w:val="center"/>
                </w:tcPr>
                <w:p w14:paraId="176977B4">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《大气污染物综合排放标准》</w:t>
                  </w:r>
                </w:p>
                <w:p w14:paraId="75BF36BF">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（GB16297-1996）</w:t>
                  </w:r>
                </w:p>
              </w:tc>
              <w:tc>
                <w:tcPr>
                  <w:tcW w:w="1299" w:type="pct"/>
                  <w:tcBorders>
                    <w:tl2br w:val="nil"/>
                    <w:tr2bl w:val="nil"/>
                  </w:tcBorders>
                  <w:shd w:val="clear" w:color="auto" w:fill="FFFFFF"/>
                  <w:noWrap w:val="0"/>
                  <w:vAlign w:val="center"/>
                </w:tcPr>
                <w:p w14:paraId="2D0E7062">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1.0mg/m</w:t>
                  </w:r>
                  <w:r>
                    <w:rPr>
                      <w:rFonts w:hint="default" w:ascii="Times New Roman" w:hAnsi="Times New Roman" w:eastAsia="宋体" w:cs="Times New Roman"/>
                      <w:b w:val="0"/>
                      <w:bCs/>
                      <w:color w:val="auto"/>
                      <w:kern w:val="0"/>
                      <w:sz w:val="21"/>
                      <w:szCs w:val="21"/>
                      <w:u w:val="none" w:color="auto"/>
                      <w:vertAlign w:val="superscript"/>
                      <w:lang w:val="en-US" w:eastAsia="zh-CN" w:bidi="ar-SA"/>
                    </w:rPr>
                    <w:t>3</w:t>
                  </w:r>
                </w:p>
              </w:tc>
              <w:tc>
                <w:tcPr>
                  <w:tcW w:w="665" w:type="pct"/>
                  <w:tcBorders>
                    <w:tl2br w:val="nil"/>
                    <w:tr2bl w:val="nil"/>
                  </w:tcBorders>
                  <w:shd w:val="clear" w:color="auto" w:fill="FFFFFF"/>
                  <w:noWrap w:val="0"/>
                  <w:vAlign w:val="center"/>
                </w:tcPr>
                <w:p w14:paraId="029FCF69">
                  <w:pPr>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Cs w:val="21"/>
                      <w:u w:val="none" w:color="auto"/>
                      <w:lang w:val="en-US" w:eastAsia="zh-CN"/>
                    </w:rPr>
                    <w:t>2.2</w:t>
                  </w:r>
                </w:p>
              </w:tc>
            </w:tr>
          </w:tbl>
          <w:p w14:paraId="39812D3F">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③项目废气污染源源强核算汇总</w:t>
            </w:r>
          </w:p>
          <w:p w14:paraId="3F272385">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项目废气污染源源强核算汇总见下表：</w:t>
            </w:r>
          </w:p>
          <w:p w14:paraId="065DD4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2"/>
                <w:szCs w:val="22"/>
                <w:u w:val="none" w:color="auto"/>
                <w:lang w:val="en-US" w:eastAsia="zh-CN"/>
              </w:rPr>
            </w:pPr>
            <w:r>
              <w:rPr>
                <w:rFonts w:hint="default" w:ascii="Times New Roman" w:hAnsi="Times New Roman" w:eastAsia="宋体" w:cs="Times New Roman"/>
                <w:b/>
                <w:bCs/>
                <w:color w:val="auto"/>
                <w:kern w:val="0"/>
                <w:sz w:val="22"/>
                <w:szCs w:val="22"/>
                <w:u w:val="none" w:color="auto"/>
                <w:lang w:val="en-US" w:eastAsia="zh-CN"/>
              </w:rPr>
              <w:t>表4-</w:t>
            </w:r>
            <w:r>
              <w:rPr>
                <w:rFonts w:hint="eastAsia" w:cs="Times New Roman"/>
                <w:b/>
                <w:bCs/>
                <w:color w:val="auto"/>
                <w:kern w:val="0"/>
                <w:sz w:val="22"/>
                <w:szCs w:val="22"/>
                <w:u w:val="none" w:color="auto"/>
                <w:lang w:val="en-US" w:eastAsia="zh-CN"/>
              </w:rPr>
              <w:t>9</w:t>
            </w:r>
            <w:r>
              <w:rPr>
                <w:rFonts w:hint="default" w:ascii="Times New Roman" w:hAnsi="Times New Roman" w:eastAsia="宋体" w:cs="Times New Roman"/>
                <w:b/>
                <w:bCs/>
                <w:color w:val="auto"/>
                <w:kern w:val="0"/>
                <w:sz w:val="22"/>
                <w:szCs w:val="22"/>
                <w:u w:val="none" w:color="auto"/>
                <w:lang w:val="en-US" w:eastAsia="zh-CN"/>
              </w:rPr>
              <w:t xml:space="preserve">  大气污染物年排放量核算表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2988"/>
              <w:gridCol w:w="3130"/>
            </w:tblGrid>
            <w:tr w14:paraId="5D58A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1805" w:type="dxa"/>
                  <w:tcBorders>
                    <w:tl2br w:val="nil"/>
                    <w:tr2bl w:val="nil"/>
                  </w:tcBorders>
                  <w:noWrap w:val="0"/>
                  <w:vAlign w:val="center"/>
                </w:tcPr>
                <w:p w14:paraId="308F8812">
                  <w:pPr>
                    <w:pStyle w:val="71"/>
                    <w:overflowPunct/>
                    <w:adjustRightInd/>
                    <w:snapToGrid/>
                    <w:spacing w:before="0" w:after="0" w:line="240" w:lineRule="auto"/>
                    <w:ind w:right="0" w:firstLine="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序号</w:t>
                  </w:r>
                </w:p>
              </w:tc>
              <w:tc>
                <w:tcPr>
                  <w:tcW w:w="2999" w:type="dxa"/>
                  <w:tcBorders>
                    <w:tl2br w:val="nil"/>
                    <w:tr2bl w:val="nil"/>
                  </w:tcBorders>
                  <w:noWrap w:val="0"/>
                  <w:vAlign w:val="center"/>
                </w:tcPr>
                <w:p w14:paraId="6B15493D">
                  <w:pPr>
                    <w:pStyle w:val="71"/>
                    <w:overflowPunct/>
                    <w:adjustRightInd/>
                    <w:snapToGrid/>
                    <w:spacing w:before="0" w:after="0" w:line="240" w:lineRule="auto"/>
                    <w:ind w:right="0" w:firstLine="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污染物</w:t>
                  </w:r>
                </w:p>
              </w:tc>
              <w:tc>
                <w:tcPr>
                  <w:tcW w:w="3142" w:type="dxa"/>
                  <w:tcBorders>
                    <w:tl2br w:val="nil"/>
                    <w:tr2bl w:val="nil"/>
                  </w:tcBorders>
                  <w:noWrap w:val="0"/>
                  <w:vAlign w:val="center"/>
                </w:tcPr>
                <w:p w14:paraId="003724E3">
                  <w:pPr>
                    <w:pStyle w:val="71"/>
                    <w:overflowPunct/>
                    <w:adjustRightInd/>
                    <w:snapToGrid/>
                    <w:spacing w:before="0" w:after="0" w:line="240" w:lineRule="auto"/>
                    <w:ind w:right="0" w:firstLine="0"/>
                    <w:textAlignment w:val="auto"/>
                    <w:rPr>
                      <w:rFonts w:hint="default" w:ascii="Times New Roman" w:hAnsi="Times New Roman" w:eastAsia="宋体" w:cs="Times New Roman"/>
                      <w:b/>
                      <w:bCs w:val="0"/>
                      <w:color w:val="auto"/>
                      <w:kern w:val="0"/>
                      <w:sz w:val="21"/>
                      <w:szCs w:val="21"/>
                      <w:u w:val="none" w:color="auto"/>
                      <w:lang w:val="en-US" w:eastAsia="zh-CN" w:bidi="ar-SA"/>
                    </w:rPr>
                  </w:pPr>
                  <w:r>
                    <w:rPr>
                      <w:rFonts w:hint="default" w:ascii="Times New Roman" w:hAnsi="Times New Roman" w:eastAsia="宋体" w:cs="Times New Roman"/>
                      <w:b/>
                      <w:bCs w:val="0"/>
                      <w:color w:val="auto"/>
                      <w:kern w:val="0"/>
                      <w:sz w:val="21"/>
                      <w:szCs w:val="21"/>
                      <w:u w:val="none" w:color="auto"/>
                      <w:lang w:val="en-US" w:eastAsia="zh-CN" w:bidi="ar-SA"/>
                    </w:rPr>
                    <w:t>年排放量/（t/a）</w:t>
                  </w:r>
                </w:p>
              </w:tc>
            </w:tr>
            <w:tr w14:paraId="7FDC1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805" w:type="dxa"/>
                  <w:tcBorders>
                    <w:tl2br w:val="nil"/>
                    <w:tr2bl w:val="nil"/>
                  </w:tcBorders>
                  <w:noWrap w:val="0"/>
                  <w:vAlign w:val="center"/>
                </w:tcPr>
                <w:p w14:paraId="64E809A6">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1</w:t>
                  </w:r>
                </w:p>
              </w:tc>
              <w:tc>
                <w:tcPr>
                  <w:tcW w:w="2999" w:type="dxa"/>
                  <w:tcBorders>
                    <w:tl2br w:val="nil"/>
                    <w:tr2bl w:val="nil"/>
                  </w:tcBorders>
                  <w:noWrap w:val="0"/>
                  <w:vAlign w:val="center"/>
                </w:tcPr>
                <w:p w14:paraId="7F09A9E7">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颗粒物</w:t>
                  </w:r>
                </w:p>
              </w:tc>
              <w:tc>
                <w:tcPr>
                  <w:tcW w:w="3142" w:type="dxa"/>
                  <w:tcBorders>
                    <w:tl2br w:val="nil"/>
                    <w:tr2bl w:val="nil"/>
                  </w:tcBorders>
                  <w:noWrap w:val="0"/>
                  <w:vAlign w:val="top"/>
                </w:tcPr>
                <w:p w14:paraId="280B8B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4.26</w:t>
                  </w:r>
                </w:p>
              </w:tc>
            </w:tr>
            <w:tr w14:paraId="62B9F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805" w:type="dxa"/>
                  <w:tcBorders>
                    <w:tl2br w:val="nil"/>
                    <w:tr2bl w:val="nil"/>
                  </w:tcBorders>
                  <w:noWrap w:val="0"/>
                  <w:vAlign w:val="center"/>
                </w:tcPr>
                <w:p w14:paraId="05753D56">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2</w:t>
                  </w:r>
                </w:p>
              </w:tc>
              <w:tc>
                <w:tcPr>
                  <w:tcW w:w="2999" w:type="dxa"/>
                  <w:tcBorders>
                    <w:tl2br w:val="nil"/>
                    <w:tr2bl w:val="nil"/>
                  </w:tcBorders>
                  <w:noWrap w:val="0"/>
                  <w:vAlign w:val="center"/>
                </w:tcPr>
                <w:p w14:paraId="36284387">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SO</w:t>
                  </w:r>
                  <w:r>
                    <w:rPr>
                      <w:rFonts w:hint="default" w:ascii="Times New Roman" w:hAnsi="Times New Roman" w:eastAsia="宋体" w:cs="Times New Roman"/>
                      <w:b w:val="0"/>
                      <w:bCs/>
                      <w:color w:val="auto"/>
                      <w:kern w:val="0"/>
                      <w:sz w:val="21"/>
                      <w:szCs w:val="21"/>
                      <w:u w:val="none" w:color="auto"/>
                      <w:vertAlign w:val="subscript"/>
                      <w:lang w:val="en-US" w:eastAsia="zh-CN" w:bidi="ar-SA"/>
                    </w:rPr>
                    <w:t>2</w:t>
                  </w:r>
                </w:p>
              </w:tc>
              <w:tc>
                <w:tcPr>
                  <w:tcW w:w="3142" w:type="dxa"/>
                  <w:tcBorders>
                    <w:tl2br w:val="nil"/>
                    <w:tr2bl w:val="nil"/>
                  </w:tcBorders>
                  <w:noWrap w:val="0"/>
                  <w:vAlign w:val="center"/>
                </w:tcPr>
                <w:p w14:paraId="338720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vertAlign w:val="baseline"/>
                      <w:lang w:val="en-US" w:eastAsia="zh-CN"/>
                    </w:rPr>
                    <w:t>2.</w:t>
                  </w:r>
                  <w:r>
                    <w:rPr>
                      <w:rFonts w:hint="eastAsia" w:cs="Times New Roman"/>
                      <w:color w:val="auto"/>
                      <w:sz w:val="21"/>
                      <w:szCs w:val="21"/>
                      <w:u w:val="none" w:color="auto"/>
                      <w:vertAlign w:val="baseline"/>
                      <w:lang w:val="en-US" w:eastAsia="zh-CN"/>
                    </w:rPr>
                    <w:t>361</w:t>
                  </w:r>
                </w:p>
              </w:tc>
            </w:tr>
            <w:tr w14:paraId="6B408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805" w:type="dxa"/>
                  <w:tcBorders>
                    <w:tl2br w:val="nil"/>
                    <w:tr2bl w:val="nil"/>
                  </w:tcBorders>
                  <w:noWrap w:val="0"/>
                  <w:vAlign w:val="center"/>
                </w:tcPr>
                <w:p w14:paraId="05288660">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3</w:t>
                  </w:r>
                </w:p>
              </w:tc>
              <w:tc>
                <w:tcPr>
                  <w:tcW w:w="2999" w:type="dxa"/>
                  <w:tcBorders>
                    <w:tl2br w:val="nil"/>
                    <w:tr2bl w:val="nil"/>
                  </w:tcBorders>
                  <w:noWrap w:val="0"/>
                  <w:vAlign w:val="center"/>
                </w:tcPr>
                <w:p w14:paraId="34A18A57">
                  <w:pPr>
                    <w:pStyle w:val="71"/>
                    <w:overflowPunct/>
                    <w:adjustRightInd/>
                    <w:snapToGrid/>
                    <w:spacing w:before="0" w:after="0" w:line="240" w:lineRule="auto"/>
                    <w:ind w:right="0" w:firstLine="0"/>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NOx</w:t>
                  </w:r>
                </w:p>
              </w:tc>
              <w:tc>
                <w:tcPr>
                  <w:tcW w:w="3142" w:type="dxa"/>
                  <w:tcBorders>
                    <w:tl2br w:val="nil"/>
                    <w:tr2bl w:val="nil"/>
                  </w:tcBorders>
                  <w:noWrap w:val="0"/>
                  <w:vAlign w:val="center"/>
                </w:tcPr>
                <w:p w14:paraId="07733C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auto"/>
                      <w:kern w:val="0"/>
                      <w:sz w:val="21"/>
                      <w:szCs w:val="21"/>
                      <w:u w:val="none" w:color="auto"/>
                      <w:lang w:val="en-US" w:eastAsia="zh-CN" w:bidi="ar-SA"/>
                    </w:rPr>
                  </w:pPr>
                  <w:r>
                    <w:rPr>
                      <w:rFonts w:hint="eastAsia" w:cs="Times New Roman"/>
                      <w:color w:val="auto"/>
                      <w:sz w:val="21"/>
                      <w:szCs w:val="21"/>
                      <w:u w:val="none" w:color="auto"/>
                      <w:vertAlign w:val="baseline"/>
                      <w:lang w:val="en-US" w:eastAsia="zh-CN"/>
                    </w:rPr>
                    <w:t>11.93</w:t>
                  </w:r>
                </w:p>
              </w:tc>
            </w:tr>
          </w:tbl>
          <w:p w14:paraId="0DA72965">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 xml:space="preserve">（4）污染防治措施可行性分析 </w:t>
            </w:r>
          </w:p>
          <w:p w14:paraId="1719D0C0">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根据《排污许可证申请与核发技术规范锅炉》(HJ953-2018）表7中生物质锅炉烟气污染物防治可行技术，颗粒物防治可行技术为“旋风除尘和袋式除尘组合技术”，本项目新增</w:t>
            </w:r>
            <w:r>
              <w:rPr>
                <w:rFonts w:hint="eastAsia" w:cs="Times New Roman"/>
                <w:color w:val="auto"/>
                <w:sz w:val="24"/>
                <w:u w:val="none" w:color="auto"/>
                <w:lang w:val="en-US" w:eastAsia="zh-CN"/>
              </w:rPr>
              <w:t>4</w:t>
            </w:r>
            <w:r>
              <w:rPr>
                <w:rFonts w:hint="default" w:ascii="Times New Roman" w:hAnsi="Times New Roman" w:eastAsia="宋体" w:cs="Times New Roman"/>
                <w:color w:val="auto"/>
                <w:sz w:val="24"/>
                <w:u w:val="none" w:color="auto"/>
                <w:lang w:val="en-US" w:eastAsia="zh-CN"/>
              </w:rPr>
              <w:t>t/h生物质</w:t>
            </w:r>
            <w:r>
              <w:rPr>
                <w:rFonts w:hint="eastAsia" w:cs="Times New Roman"/>
                <w:color w:val="auto"/>
                <w:sz w:val="24"/>
                <w:u w:val="none" w:color="auto"/>
                <w:lang w:val="en-US" w:eastAsia="zh-CN"/>
              </w:rPr>
              <w:t>导热油炉</w:t>
            </w:r>
            <w:r>
              <w:rPr>
                <w:rFonts w:hint="default" w:ascii="Times New Roman" w:hAnsi="Times New Roman" w:eastAsia="宋体" w:cs="Times New Roman"/>
                <w:color w:val="auto"/>
                <w:sz w:val="24"/>
                <w:u w:val="none" w:color="auto"/>
                <w:lang w:val="en-US" w:eastAsia="zh-CN"/>
              </w:rPr>
              <w:t>烟气治理措施为“旋风除尘和袋式除尘组合技术”，</w:t>
            </w:r>
            <w:r>
              <w:rPr>
                <w:rFonts w:hint="eastAsia" w:cs="Times New Roman"/>
                <w:color w:val="auto"/>
                <w:sz w:val="24"/>
                <w:u w:val="none" w:color="auto"/>
                <w:lang w:val="en-US" w:eastAsia="zh-CN"/>
              </w:rPr>
              <w:t>符合</w:t>
            </w:r>
            <w:r>
              <w:rPr>
                <w:rFonts w:hint="default" w:ascii="Times New Roman" w:hAnsi="Times New Roman" w:eastAsia="宋体" w:cs="Times New Roman"/>
                <w:color w:val="auto"/>
                <w:sz w:val="24"/>
                <w:u w:val="none" w:color="auto"/>
                <w:lang w:val="en-US" w:eastAsia="zh-CN"/>
              </w:rPr>
              <w:t>废气污染防治推荐可行技术</w:t>
            </w:r>
            <w:r>
              <w:rPr>
                <w:rFonts w:hint="eastAsia" w:cs="Times New Roman"/>
                <w:color w:val="auto"/>
                <w:sz w:val="24"/>
                <w:u w:val="none" w:color="auto"/>
                <w:lang w:val="en-US" w:eastAsia="zh-CN"/>
              </w:rPr>
              <w:t>，</w:t>
            </w:r>
            <w:r>
              <w:rPr>
                <w:rFonts w:hint="default" w:ascii="Times New Roman" w:hAnsi="Times New Roman" w:eastAsia="宋体" w:cs="Times New Roman"/>
                <w:color w:val="auto"/>
                <w:sz w:val="24"/>
                <w:u w:val="none" w:color="auto"/>
                <w:lang w:val="en-US" w:eastAsia="zh-CN"/>
              </w:rPr>
              <w:t xml:space="preserve">本项目新增15t/h生物质锅炉烟气治理措施为“旋风除尘和袋式除尘组合技术”，现有备用的15t/h生物质锅炉烟气治理措施为“袋式除尘+水膜除尘组合技术”，废气处理效率高于旋风除尘和袋式除尘组合技术，故本项目新增锅炉和备用锅炉配套的废气处理设施均属于废气污染防治推荐可行技术。 </w:t>
            </w:r>
          </w:p>
          <w:p w14:paraId="55DA7BE7">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lang w:val="en-US" w:eastAsia="zh-CN"/>
              </w:rPr>
              <w:t>根据《锅炉大气污染物排放标准》（GB13271-2014）表4燃煤锅炉房烟囱最低允许高度以及“4.5 新建锅炉房的烟囱周围半径200m距离内有建筑物时，其烟囱应高出最高建筑物3m以上”要求，项目周边200m范围内最高建筑物低于20m，本项目15t/h生物质锅炉烟囱43m，</w:t>
            </w:r>
            <w:r>
              <w:rPr>
                <w:rFonts w:hint="eastAsia" w:cs="Times New Roman"/>
                <w:color w:val="auto"/>
                <w:sz w:val="24"/>
                <w:u w:val="none" w:color="auto"/>
                <w:lang w:val="en-US" w:eastAsia="zh-CN"/>
              </w:rPr>
              <w:t>4</w:t>
            </w:r>
            <w:r>
              <w:rPr>
                <w:rFonts w:hint="default" w:ascii="Times New Roman" w:hAnsi="Times New Roman" w:eastAsia="宋体" w:cs="Times New Roman"/>
                <w:color w:val="auto"/>
                <w:sz w:val="24"/>
                <w:u w:val="none" w:color="auto"/>
                <w:lang w:val="en-US" w:eastAsia="zh-CN"/>
              </w:rPr>
              <w:t>t/h生物质</w:t>
            </w:r>
            <w:r>
              <w:rPr>
                <w:rFonts w:hint="eastAsia" w:cs="Times New Roman"/>
                <w:color w:val="auto"/>
                <w:sz w:val="24"/>
                <w:u w:val="none" w:color="auto"/>
                <w:lang w:val="en-US" w:eastAsia="zh-CN"/>
              </w:rPr>
              <w:t>导热油炉</w:t>
            </w:r>
            <w:r>
              <w:rPr>
                <w:rFonts w:hint="default" w:ascii="Times New Roman" w:hAnsi="Times New Roman" w:eastAsia="宋体" w:cs="Times New Roman"/>
                <w:color w:val="auto"/>
                <w:sz w:val="24"/>
                <w:u w:val="none" w:color="auto"/>
                <w:lang w:val="en-US" w:eastAsia="zh-CN"/>
              </w:rPr>
              <w:t>烟囱</w:t>
            </w:r>
            <w:r>
              <w:rPr>
                <w:rFonts w:hint="eastAsia" w:cs="Times New Roman"/>
                <w:color w:val="auto"/>
                <w:sz w:val="24"/>
                <w:u w:val="none" w:color="auto"/>
                <w:lang w:val="en-US" w:eastAsia="zh-CN"/>
              </w:rPr>
              <w:t>38</w:t>
            </w:r>
            <w:r>
              <w:rPr>
                <w:rFonts w:hint="default" w:ascii="Times New Roman" w:hAnsi="Times New Roman" w:eastAsia="宋体" w:cs="Times New Roman"/>
                <w:color w:val="auto"/>
                <w:sz w:val="24"/>
                <w:u w:val="none" w:color="auto"/>
                <w:lang w:val="en-US" w:eastAsia="zh-CN"/>
              </w:rPr>
              <w:t>m，满足烟囱高度要求。</w:t>
            </w:r>
          </w:p>
          <w:p w14:paraId="610C32D2">
            <w:pPr>
              <w:keepNext w:val="0"/>
              <w:keepLines w:val="0"/>
              <w:suppressLineNumbers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auto"/>
                <w:sz w:val="24"/>
                <w:szCs w:val="24"/>
                <w:u w:val="none" w:color="auto"/>
                <w:lang w:eastAsia="zh-CN"/>
              </w:rPr>
            </w:pPr>
            <w:r>
              <w:rPr>
                <w:rFonts w:hint="default" w:ascii="Times New Roman" w:hAnsi="Times New Roman" w:eastAsia="宋体" w:cs="Times New Roman"/>
                <w:b/>
                <w:bCs/>
                <w:color w:val="auto"/>
                <w:sz w:val="24"/>
                <w:szCs w:val="24"/>
                <w:u w:val="none" w:color="auto"/>
                <w:lang w:val="en-US" w:eastAsia="zh-CN"/>
              </w:rPr>
              <w:t>（5）</w:t>
            </w:r>
            <w:r>
              <w:rPr>
                <w:rFonts w:hint="default" w:ascii="Times New Roman" w:hAnsi="Times New Roman" w:eastAsia="宋体" w:cs="Times New Roman"/>
                <w:b/>
                <w:bCs/>
                <w:color w:val="auto"/>
                <w:sz w:val="24"/>
                <w:szCs w:val="24"/>
                <w:u w:val="none" w:color="auto"/>
                <w:lang w:eastAsia="zh-CN"/>
              </w:rPr>
              <w:t>大气环境影响</w:t>
            </w:r>
          </w:p>
          <w:p w14:paraId="65B5B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本次对大气环境影响的定性分析基于以下方面：</w:t>
            </w:r>
          </w:p>
          <w:p w14:paraId="74BB2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①项目排放的大气污染物包含颗粒物、</w:t>
            </w:r>
            <w:r>
              <w:rPr>
                <w:rFonts w:hint="default" w:ascii="Times New Roman" w:hAnsi="Times New Roman" w:eastAsia="宋体" w:cs="Times New Roman"/>
                <w:color w:val="auto"/>
                <w:sz w:val="24"/>
                <w:szCs w:val="24"/>
                <w:u w:val="none" w:color="auto"/>
                <w:lang w:val="en-US" w:eastAsia="zh-CN"/>
              </w:rPr>
              <w:t>二氧化硫、氮氧化物</w:t>
            </w:r>
            <w:r>
              <w:rPr>
                <w:rFonts w:hint="default" w:ascii="Times New Roman" w:hAnsi="Times New Roman" w:eastAsia="宋体" w:cs="Times New Roman"/>
                <w:color w:val="auto"/>
                <w:sz w:val="24"/>
                <w:szCs w:val="24"/>
                <w:u w:val="none" w:color="auto"/>
                <w:lang w:eastAsia="zh-CN"/>
              </w:rPr>
              <w:t>，不涉及《有毒有害大气污染物名录》中的污染物以及二噁英、苯并[a]芘、氰化物、氯气等有毒有害污染物。</w:t>
            </w:r>
          </w:p>
          <w:p w14:paraId="7F6D2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②根据大气环境质量现状评价结果，项目排放的大气污染物的环境质量现状均可达到相应质量标准要求，区域大气环境尚有容量。</w:t>
            </w:r>
          </w:p>
          <w:p w14:paraId="1EF283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③项目采取的废气治理措施属于废气治理可行技术。</w:t>
            </w:r>
          </w:p>
          <w:p w14:paraId="63B4F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④项目各废气污染源的排放速率、浓度均可满足达标排放。</w:t>
            </w:r>
          </w:p>
          <w:p w14:paraId="124F6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⑤项目在</w:t>
            </w:r>
            <w:r>
              <w:rPr>
                <w:rFonts w:hint="default" w:ascii="Times New Roman" w:hAnsi="Times New Roman" w:eastAsia="宋体" w:cs="Times New Roman"/>
                <w:color w:val="auto"/>
                <w:sz w:val="24"/>
                <w:szCs w:val="24"/>
                <w:u w:val="none" w:color="auto"/>
                <w:lang w:val="zh-CN" w:eastAsia="zh-CN"/>
              </w:rPr>
              <w:t>落实报告表提出的各项环保措施的基础上，项目建设不会对周围环境产生明显影响。</w:t>
            </w:r>
          </w:p>
          <w:p w14:paraId="611E0A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eastAsia="zh-CN"/>
              </w:rPr>
              <w:t>综上，项目废气排放对区域大气环境和敏感目标的影响较小。</w:t>
            </w:r>
          </w:p>
          <w:p w14:paraId="6E9AAB5D">
            <w:pPr>
              <w:pStyle w:val="34"/>
              <w:keepNext w:val="0"/>
              <w:keepLines w:val="0"/>
              <w:pageBreakBefore w:val="0"/>
              <w:widowControl w:val="0"/>
              <w:kinsoku/>
              <w:wordWrap/>
              <w:overflowPunct/>
              <w:topLinePunct w:val="0"/>
              <w:bidi w:val="0"/>
              <w:adjustRightInd w:val="0"/>
              <w:snapToGrid w:val="0"/>
              <w:spacing w:line="360" w:lineRule="auto"/>
              <w:ind w:firstLine="482"/>
              <w:textAlignment w:val="auto"/>
              <w:rPr>
                <w:rFonts w:hint="default" w:ascii="Times New Roman" w:hAnsi="Times New Roman" w:eastAsia="宋体" w:cs="Times New Roman"/>
                <w:b/>
                <w:bCs/>
                <w:color w:val="auto"/>
                <w:kern w:val="2"/>
                <w:highlight w:val="none"/>
                <w:u w:val="none" w:color="auto"/>
              </w:rPr>
            </w:pPr>
            <w:r>
              <w:rPr>
                <w:rFonts w:hint="default" w:ascii="Times New Roman" w:hAnsi="Times New Roman" w:eastAsia="宋体" w:cs="Times New Roman"/>
                <w:b/>
                <w:bCs/>
                <w:color w:val="auto"/>
                <w:kern w:val="2"/>
                <w:highlight w:val="none"/>
                <w:u w:val="none" w:color="auto"/>
                <w:lang w:val="en-US" w:eastAsia="zh-CN"/>
              </w:rPr>
              <w:t>2、</w:t>
            </w:r>
            <w:r>
              <w:rPr>
                <w:rFonts w:hint="default" w:ascii="Times New Roman" w:hAnsi="Times New Roman" w:eastAsia="宋体" w:cs="Times New Roman"/>
                <w:b/>
                <w:bCs/>
                <w:color w:val="auto"/>
                <w:kern w:val="2"/>
                <w:highlight w:val="none"/>
                <w:u w:val="none" w:color="auto"/>
              </w:rPr>
              <w:t>地表水环境影响及治理措施</w:t>
            </w:r>
          </w:p>
          <w:p w14:paraId="7154299F">
            <w:pPr>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本项目锅炉在运行中产生的废水主要为锅炉定期排污水和水膜除尘器排污水，锅炉定期排污水和水膜除尘器排污水均进入沉淀池沉淀处理后回用，不外排废水。</w:t>
            </w:r>
          </w:p>
          <w:p w14:paraId="03B129CA">
            <w:pPr>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本项目锅炉用排水情况如下：</w:t>
            </w:r>
          </w:p>
          <w:p w14:paraId="4D88E775">
            <w:pPr>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蒸汽锅炉提供热蒸汽进行加热过程中容易发生水汽损失，因此需定期对蒸汽锅炉进行补水。经</w:t>
            </w:r>
            <w:r>
              <w:rPr>
                <w:rFonts w:hint="default" w:ascii="Times New Roman" w:hAnsi="Times New Roman" w:eastAsia="宋体" w:cs="Times New Roman"/>
                <w:sz w:val="24"/>
                <w:szCs w:val="24"/>
                <w:u w:val="none" w:color="auto"/>
                <w:lang w:val="en-US" w:eastAsia="zh-CN"/>
              </w:rPr>
              <w:t>现有工程</w:t>
            </w:r>
            <w:r>
              <w:rPr>
                <w:rFonts w:hint="default" w:ascii="Times New Roman" w:hAnsi="Times New Roman" w:eastAsia="宋体" w:cs="Times New Roman"/>
                <w:sz w:val="24"/>
                <w:szCs w:val="24"/>
                <w:u w:val="none" w:color="auto"/>
              </w:rPr>
              <w:t>可知，蒸汽锅炉的补水量</w:t>
            </w:r>
            <w:r>
              <w:rPr>
                <w:rFonts w:hint="default" w:ascii="Times New Roman" w:hAnsi="Times New Roman" w:eastAsia="宋体" w:cs="Times New Roman"/>
                <w:sz w:val="24"/>
                <w:szCs w:val="24"/>
                <w:u w:val="none" w:color="auto"/>
                <w:lang w:val="en-US" w:eastAsia="zh-CN"/>
              </w:rPr>
              <w:t>为</w:t>
            </w:r>
            <w:r>
              <w:rPr>
                <w:rFonts w:hint="default" w:ascii="Times New Roman" w:hAnsi="Times New Roman" w:eastAsia="宋体" w:cs="Times New Roman"/>
                <w:sz w:val="24"/>
                <w:szCs w:val="24"/>
                <w:u w:val="none" w:color="auto"/>
              </w:rPr>
              <w:t>锅炉每日蒸发量的5%，本项目采用的1台15t/h的燃生物质蒸汽锅炉额定蒸发量为15t/h，每天运转时间按</w:t>
            </w:r>
            <w:r>
              <w:rPr>
                <w:rFonts w:hint="default" w:ascii="Times New Roman" w:hAnsi="Times New Roman" w:eastAsia="宋体" w:cs="Times New Roman"/>
                <w:sz w:val="24"/>
                <w:szCs w:val="24"/>
                <w:u w:val="none" w:color="auto"/>
                <w:lang w:val="en-US" w:eastAsia="zh-CN"/>
              </w:rPr>
              <w:t>20</w:t>
            </w:r>
            <w:r>
              <w:rPr>
                <w:rFonts w:hint="default" w:ascii="Times New Roman" w:hAnsi="Times New Roman" w:eastAsia="宋体" w:cs="Times New Roman"/>
                <w:sz w:val="24"/>
                <w:szCs w:val="24"/>
                <w:u w:val="none" w:color="auto"/>
              </w:rPr>
              <w:t>h计，即该蒸汽锅炉的蒸发量为</w:t>
            </w:r>
            <w:r>
              <w:rPr>
                <w:rFonts w:hint="default" w:ascii="Times New Roman" w:hAnsi="Times New Roman" w:eastAsia="宋体" w:cs="Times New Roman"/>
                <w:sz w:val="24"/>
                <w:szCs w:val="24"/>
                <w:u w:val="none" w:color="auto"/>
                <w:lang w:val="en-US" w:eastAsia="zh-CN"/>
              </w:rPr>
              <w:t>300</w:t>
            </w:r>
            <w:r>
              <w:rPr>
                <w:rFonts w:hint="default" w:ascii="Times New Roman" w:hAnsi="Times New Roman" w:eastAsia="宋体" w:cs="Times New Roman"/>
                <w:sz w:val="24"/>
                <w:szCs w:val="24"/>
                <w:u w:val="none" w:color="auto"/>
              </w:rPr>
              <w:t>m</w:t>
            </w:r>
            <w:r>
              <w:rPr>
                <w:rFonts w:hint="default" w:ascii="Times New Roman" w:hAnsi="Times New Roman" w:eastAsia="宋体" w:cs="Times New Roman"/>
                <w:sz w:val="24"/>
                <w:szCs w:val="24"/>
                <w:u w:val="none" w:color="auto"/>
                <w:vertAlign w:val="superscript"/>
              </w:rPr>
              <w:t>3</w:t>
            </w:r>
            <w:r>
              <w:rPr>
                <w:rFonts w:hint="default" w:ascii="Times New Roman" w:hAnsi="Times New Roman" w:eastAsia="宋体" w:cs="Times New Roman"/>
                <w:sz w:val="24"/>
                <w:szCs w:val="24"/>
                <w:u w:val="none" w:color="auto"/>
              </w:rPr>
              <w:t>/d，因此，本项目锅炉水补水量为</w:t>
            </w:r>
            <w:r>
              <w:rPr>
                <w:rFonts w:hint="default" w:ascii="Times New Roman" w:hAnsi="Times New Roman" w:eastAsia="宋体" w:cs="Times New Roman"/>
                <w:sz w:val="24"/>
                <w:szCs w:val="24"/>
                <w:u w:val="none" w:color="auto"/>
                <w:lang w:val="en-US" w:eastAsia="zh-CN"/>
              </w:rPr>
              <w:t>15</w:t>
            </w:r>
            <w:r>
              <w:rPr>
                <w:rFonts w:hint="default" w:ascii="Times New Roman" w:hAnsi="Times New Roman" w:eastAsia="宋体" w:cs="Times New Roman"/>
                <w:sz w:val="24"/>
                <w:szCs w:val="24"/>
                <w:u w:val="none" w:color="auto"/>
              </w:rPr>
              <w:t>m</w:t>
            </w:r>
            <w:r>
              <w:rPr>
                <w:rFonts w:hint="default" w:ascii="Times New Roman" w:hAnsi="Times New Roman" w:eastAsia="宋体" w:cs="Times New Roman"/>
                <w:sz w:val="24"/>
                <w:szCs w:val="24"/>
                <w:u w:val="none" w:color="auto"/>
                <w:vertAlign w:val="superscript"/>
              </w:rPr>
              <w:t>3</w:t>
            </w:r>
            <w:r>
              <w:rPr>
                <w:rFonts w:hint="default" w:ascii="Times New Roman" w:hAnsi="Times New Roman" w:eastAsia="宋体" w:cs="Times New Roman"/>
                <w:sz w:val="24"/>
                <w:szCs w:val="24"/>
                <w:u w:val="none" w:color="auto"/>
              </w:rPr>
              <w:t>/d。</w:t>
            </w:r>
          </w:p>
          <w:p w14:paraId="2DDE1CD0">
            <w:pPr>
              <w:adjustRightInd w:val="0"/>
              <w:snapToGrid w:val="0"/>
              <w:spacing w:line="360" w:lineRule="auto"/>
              <w:ind w:firstLine="480" w:firstLineChars="200"/>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锅炉需定期排水，</w:t>
            </w:r>
            <w:r>
              <w:rPr>
                <w:rFonts w:hint="default" w:ascii="Times New Roman" w:hAnsi="Times New Roman" w:eastAsia="宋体" w:cs="Times New Roman"/>
                <w:color w:val="000000"/>
                <w:sz w:val="24"/>
                <w:highlight w:val="none"/>
                <w:u w:val="none" w:color="auto"/>
                <w:lang w:val="en-US" w:eastAsia="zh-CN"/>
              </w:rPr>
              <w:t>根据</w:t>
            </w:r>
            <w:r>
              <w:rPr>
                <w:rFonts w:hint="default" w:ascii="Times New Roman" w:hAnsi="Times New Roman" w:eastAsia="宋体" w:cs="Times New Roman"/>
                <w:color w:val="auto"/>
                <w:kern w:val="2"/>
                <w:sz w:val="24"/>
                <w:szCs w:val="24"/>
                <w:highlight w:val="none"/>
                <w:u w:val="none" w:color="auto"/>
                <w:lang w:val="en-US" w:eastAsia="zh-CN"/>
              </w:rPr>
              <w:t>《排放源统计调查产排污核算方法和系数手册》4430工业锅炉(热力供应)行业系数手册，生物质燃料锅炉排污水产生系数为0.259t/t-原料，锅炉年用生物质燃料10000t，则锅炉排污水产生量为2590m</w:t>
            </w:r>
            <w:r>
              <w:rPr>
                <w:rFonts w:hint="default" w:ascii="Times New Roman" w:hAnsi="Times New Roman" w:eastAsia="宋体" w:cs="Times New Roman"/>
                <w:color w:val="auto"/>
                <w:kern w:val="2"/>
                <w:sz w:val="24"/>
                <w:szCs w:val="24"/>
                <w:highlight w:val="none"/>
                <w:u w:val="none" w:color="auto"/>
                <w:vertAlign w:val="superscript"/>
                <w:lang w:val="en-US" w:eastAsia="zh-CN"/>
              </w:rPr>
              <w:t>3</w:t>
            </w:r>
            <w:r>
              <w:rPr>
                <w:rFonts w:hint="default" w:ascii="Times New Roman" w:hAnsi="Times New Roman" w:eastAsia="宋体" w:cs="Times New Roman"/>
                <w:color w:val="auto"/>
                <w:kern w:val="2"/>
                <w:sz w:val="24"/>
                <w:szCs w:val="24"/>
                <w:highlight w:val="none"/>
                <w:u w:val="none" w:color="auto"/>
                <w:lang w:val="en-US" w:eastAsia="zh-CN"/>
              </w:rPr>
              <w:t>/a</w:t>
            </w:r>
            <w:r>
              <w:rPr>
                <w:rFonts w:hint="default" w:ascii="Times New Roman" w:hAnsi="Times New Roman" w:eastAsia="宋体" w:cs="Times New Roman"/>
                <w:color w:val="000000"/>
                <w:sz w:val="24"/>
                <w:highlight w:val="none"/>
                <w:u w:val="none" w:color="auto"/>
              </w:rPr>
              <w:t>。</w:t>
            </w:r>
            <w:r>
              <w:rPr>
                <w:rFonts w:hint="default" w:ascii="Times New Roman" w:hAnsi="Times New Roman" w:eastAsia="宋体" w:cs="Times New Roman"/>
                <w:sz w:val="24"/>
                <w:szCs w:val="24"/>
                <w:u w:val="none" w:color="auto"/>
              </w:rPr>
              <w:t>锅炉排水主要是杂质，锅炉排污产生的废水水质较好，因此本项目15t/h的燃生物质蒸汽锅炉产生的锅炉排污水经沉淀池沉淀后补给到锅炉除尘循环水中。</w:t>
            </w:r>
          </w:p>
          <w:p w14:paraId="042227C7">
            <w:pPr>
              <w:pStyle w:val="17"/>
              <w:keepNext w:val="0"/>
              <w:keepLines w:val="0"/>
              <w:pageBreakBefore w:val="0"/>
              <w:widowControl w:val="0"/>
              <w:kinsoku/>
              <w:wordWrap/>
              <w:overflowPunct/>
              <w:topLinePunct w:val="0"/>
              <w:bidi w:val="0"/>
              <w:adjustRightInd w:val="0"/>
              <w:snapToGrid w:val="0"/>
              <w:spacing w:after="0" w:line="360" w:lineRule="auto"/>
              <w:ind w:left="0" w:leftChars="0" w:firstLine="482" w:firstLineChars="200"/>
              <w:textAlignment w:val="auto"/>
              <w:rPr>
                <w:rFonts w:hint="default" w:ascii="Times New Roman" w:hAnsi="Times New Roman" w:eastAsia="宋体" w:cs="Times New Roman"/>
                <w:b/>
                <w:bCs/>
                <w:color w:val="auto"/>
                <w:sz w:val="24"/>
                <w:u w:val="none" w:color="auto"/>
              </w:rPr>
            </w:pPr>
            <w:r>
              <w:rPr>
                <w:rFonts w:hint="default" w:ascii="Times New Roman" w:hAnsi="Times New Roman" w:eastAsia="宋体" w:cs="Times New Roman"/>
                <w:b/>
                <w:bCs/>
                <w:color w:val="auto"/>
                <w:sz w:val="24"/>
                <w:u w:val="none" w:color="auto"/>
                <w:lang w:val="en-US" w:eastAsia="zh-CN"/>
              </w:rPr>
              <w:t>3、</w:t>
            </w:r>
            <w:r>
              <w:rPr>
                <w:rFonts w:hint="default" w:ascii="Times New Roman" w:hAnsi="Times New Roman" w:eastAsia="宋体" w:cs="Times New Roman"/>
                <w:b/>
                <w:bCs/>
                <w:color w:val="auto"/>
                <w:sz w:val="24"/>
                <w:u w:val="none" w:color="auto"/>
              </w:rPr>
              <w:t>声环境影响及治理措施</w:t>
            </w:r>
          </w:p>
          <w:p w14:paraId="14349B72">
            <w:pPr>
              <w:pStyle w:val="34"/>
              <w:keepNext w:val="0"/>
              <w:keepLines w:val="0"/>
              <w:pageBreakBefore w:val="0"/>
              <w:widowControl w:val="0"/>
              <w:kinsoku/>
              <w:wordWrap/>
              <w:overflowPunct/>
              <w:topLinePunct w:val="0"/>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color w:val="auto"/>
                <w:u w:val="none" w:color="auto"/>
              </w:rPr>
            </w:pPr>
            <w:r>
              <w:rPr>
                <w:rFonts w:hint="default" w:ascii="Times New Roman" w:hAnsi="Times New Roman" w:eastAsia="宋体" w:cs="Times New Roman"/>
                <w:b/>
                <w:color w:val="auto"/>
                <w:u w:val="none" w:color="auto"/>
                <w:lang w:val="en-US" w:eastAsia="zh-CN"/>
              </w:rPr>
              <w:t>(</w:t>
            </w:r>
            <w:r>
              <w:rPr>
                <w:rFonts w:hint="default" w:ascii="Times New Roman" w:hAnsi="Times New Roman" w:eastAsia="宋体" w:cs="Times New Roman"/>
                <w:b/>
                <w:color w:val="auto"/>
                <w:u w:val="none" w:color="auto"/>
              </w:rPr>
              <w:t>1)噪声排放情况</w:t>
            </w:r>
          </w:p>
          <w:p w14:paraId="33C4223C">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sz w:val="24"/>
                <w:szCs w:val="24"/>
                <w:u w:val="none" w:color="auto"/>
              </w:rPr>
              <w:t>本项目噪声源是锅炉房内锅炉本体和风机、除尘器</w:t>
            </w:r>
            <w:r>
              <w:rPr>
                <w:rFonts w:hint="default" w:ascii="Times New Roman" w:hAnsi="Times New Roman" w:eastAsia="宋体" w:cs="Times New Roman"/>
                <w:sz w:val="24"/>
                <w:szCs w:val="24"/>
                <w:u w:val="none" w:color="auto"/>
                <w:lang w:eastAsia="zh-CN"/>
              </w:rPr>
              <w:t>、</w:t>
            </w:r>
            <w:r>
              <w:rPr>
                <w:rFonts w:hint="default" w:ascii="Times New Roman" w:hAnsi="Times New Roman" w:eastAsia="宋体" w:cs="Times New Roman"/>
                <w:sz w:val="24"/>
                <w:szCs w:val="24"/>
                <w:u w:val="none" w:color="auto"/>
                <w:lang w:val="en-US" w:eastAsia="zh-CN"/>
              </w:rPr>
              <w:t>喷淋塔</w:t>
            </w:r>
            <w:r>
              <w:rPr>
                <w:rFonts w:hint="default" w:ascii="Times New Roman" w:hAnsi="Times New Roman" w:eastAsia="宋体" w:cs="Times New Roman"/>
                <w:sz w:val="24"/>
                <w:szCs w:val="24"/>
                <w:u w:val="none" w:color="auto"/>
              </w:rPr>
              <w:t>的噪声，噪声声级一般为75~85dB(A)，为减少设备噪声对周边声环境的影响，已对锅炉本体加设防震垫，减轻震动传声及对风机房采取相应隔声、消声措施</w:t>
            </w:r>
            <w:r>
              <w:rPr>
                <w:rFonts w:hint="default" w:ascii="Times New Roman" w:hAnsi="Times New Roman" w:eastAsia="宋体" w:cs="Times New Roman"/>
                <w:color w:val="auto"/>
                <w:u w:val="none" w:color="auto"/>
              </w:rPr>
              <w:t>，</w:t>
            </w:r>
            <w:r>
              <w:rPr>
                <w:rFonts w:hint="default" w:ascii="Times New Roman" w:hAnsi="Times New Roman" w:eastAsia="宋体" w:cs="Times New Roman"/>
                <w:color w:val="auto"/>
                <w:u w:val="none" w:color="auto"/>
                <w:lang w:eastAsia="zh-CN"/>
              </w:rPr>
              <w:t>噪声情</w:t>
            </w:r>
            <w:r>
              <w:rPr>
                <w:rFonts w:hint="default" w:ascii="Times New Roman" w:hAnsi="Times New Roman" w:eastAsia="宋体" w:cs="Times New Roman"/>
                <w:sz w:val="24"/>
                <w:szCs w:val="24"/>
                <w:u w:val="none" w:color="auto"/>
                <w:lang w:eastAsia="zh-CN"/>
              </w:rPr>
              <w:t>况如下：</w:t>
            </w:r>
          </w:p>
        </w:tc>
      </w:tr>
    </w:tbl>
    <w:p w14:paraId="78B4D1C0">
      <w:pPr>
        <w:pStyle w:val="23"/>
        <w:spacing w:line="240" w:lineRule="auto"/>
        <w:ind w:firstLine="422"/>
        <w:jc w:val="center"/>
        <w:rPr>
          <w:rFonts w:hint="default" w:ascii="Times New Roman" w:hAnsi="Times New Roman" w:eastAsia="宋体" w:cs="Times New Roman"/>
          <w:b/>
          <w:color w:val="auto"/>
          <w:sz w:val="21"/>
          <w:szCs w:val="21"/>
          <w:u w:val="none" w:color="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B1D4691">
      <w:pPr>
        <w:pStyle w:val="23"/>
        <w:spacing w:line="240" w:lineRule="auto"/>
        <w:ind w:firstLine="422"/>
        <w:jc w:val="center"/>
        <w:rPr>
          <w:rFonts w:hint="default" w:ascii="Times New Roman" w:hAnsi="Times New Roman" w:eastAsia="宋体" w:cs="Times New Roman"/>
          <w:color w:val="auto"/>
          <w:u w:val="none" w:color="auto"/>
        </w:rPr>
      </w:pPr>
      <w:r>
        <w:rPr>
          <w:rFonts w:hint="default" w:ascii="Times New Roman" w:hAnsi="Times New Roman" w:eastAsia="宋体" w:cs="Times New Roman"/>
          <w:b/>
          <w:color w:val="auto"/>
          <w:sz w:val="21"/>
          <w:szCs w:val="21"/>
          <w:u w:val="none" w:color="auto"/>
        </w:rPr>
        <w:t>表4-</w:t>
      </w:r>
      <w:r>
        <w:rPr>
          <w:rFonts w:hint="eastAsia" w:ascii="Times New Roman" w:hAnsi="Times New Roman" w:cs="Times New Roman"/>
          <w:b/>
          <w:color w:val="auto"/>
          <w:sz w:val="21"/>
          <w:szCs w:val="21"/>
          <w:u w:val="none" w:color="auto"/>
          <w:lang w:val="en-US" w:eastAsia="zh-CN"/>
        </w:rPr>
        <w:t>10</w:t>
      </w:r>
      <w:r>
        <w:rPr>
          <w:rFonts w:hint="default" w:ascii="Times New Roman" w:hAnsi="Times New Roman" w:eastAsia="宋体" w:cs="Times New Roman"/>
          <w:b/>
          <w:color w:val="auto"/>
          <w:sz w:val="21"/>
          <w:szCs w:val="21"/>
          <w:u w:val="none" w:color="auto"/>
        </w:rPr>
        <w:t xml:space="preserve"> 工业企业噪声源强调查清单（室内声源）</w:t>
      </w:r>
    </w:p>
    <w:tbl>
      <w:tblPr>
        <w:tblStyle w:val="26"/>
        <w:tblpPr w:leftFromText="180" w:rightFromText="180" w:vertAnchor="text" w:horzAnchor="page" w:tblpXSpec="center" w:tblpY="323"/>
        <w:tblOverlap w:val="never"/>
        <w:tblW w:w="1351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1"/>
        <w:gridCol w:w="474"/>
        <w:gridCol w:w="490"/>
        <w:gridCol w:w="401"/>
        <w:gridCol w:w="448"/>
        <w:gridCol w:w="448"/>
        <w:gridCol w:w="430"/>
        <w:gridCol w:w="305"/>
        <w:gridCol w:w="312"/>
        <w:gridCol w:w="389"/>
        <w:gridCol w:w="464"/>
        <w:gridCol w:w="505"/>
        <w:gridCol w:w="399"/>
        <w:gridCol w:w="562"/>
        <w:gridCol w:w="562"/>
        <w:gridCol w:w="562"/>
        <w:gridCol w:w="571"/>
        <w:gridCol w:w="492"/>
        <w:gridCol w:w="542"/>
        <w:gridCol w:w="542"/>
        <w:gridCol w:w="542"/>
        <w:gridCol w:w="551"/>
        <w:gridCol w:w="579"/>
        <w:gridCol w:w="579"/>
        <w:gridCol w:w="579"/>
        <w:gridCol w:w="579"/>
        <w:gridCol w:w="805"/>
      </w:tblGrid>
      <w:tr w14:paraId="3C348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9" w:hRule="exact"/>
          <w:jc w:val="center"/>
        </w:trPr>
        <w:tc>
          <w:tcPr>
            <w:tcW w:w="401" w:type="dxa"/>
            <w:vMerge w:val="restart"/>
            <w:tcBorders>
              <w:tl2br w:val="nil"/>
              <w:tr2bl w:val="nil"/>
            </w:tcBorders>
            <w:vAlign w:val="center"/>
          </w:tcPr>
          <w:p w14:paraId="2C7D07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bookmarkStart w:id="7" w:name="PT_6"/>
            <w:r>
              <w:rPr>
                <w:rFonts w:hint="default" w:ascii="Times New Roman" w:hAnsi="Times New Roman" w:eastAsia="宋体" w:cs="Times New Roman"/>
                <w:b/>
                <w:sz w:val="21"/>
                <w:szCs w:val="21"/>
                <w:u w:val="none" w:color="auto"/>
              </w:rPr>
              <w:t>序号</w:t>
            </w:r>
          </w:p>
        </w:tc>
        <w:tc>
          <w:tcPr>
            <w:tcW w:w="474" w:type="dxa"/>
            <w:vMerge w:val="restart"/>
            <w:tcBorders>
              <w:tl2br w:val="nil"/>
              <w:tr2bl w:val="nil"/>
            </w:tcBorders>
            <w:vAlign w:val="center"/>
          </w:tcPr>
          <w:p w14:paraId="65AEBC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建筑物名称</w:t>
            </w:r>
          </w:p>
        </w:tc>
        <w:tc>
          <w:tcPr>
            <w:tcW w:w="490" w:type="dxa"/>
            <w:vMerge w:val="restart"/>
            <w:tcBorders>
              <w:tl2br w:val="nil"/>
              <w:tr2bl w:val="nil"/>
            </w:tcBorders>
            <w:vAlign w:val="center"/>
          </w:tcPr>
          <w:p w14:paraId="4E8B51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声源名称</w:t>
            </w:r>
          </w:p>
        </w:tc>
        <w:tc>
          <w:tcPr>
            <w:tcW w:w="401" w:type="dxa"/>
            <w:vMerge w:val="restart"/>
            <w:tcBorders>
              <w:tl2br w:val="nil"/>
              <w:tr2bl w:val="nil"/>
            </w:tcBorders>
            <w:vAlign w:val="center"/>
          </w:tcPr>
          <w:p w14:paraId="028082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型号</w:t>
            </w:r>
          </w:p>
        </w:tc>
        <w:tc>
          <w:tcPr>
            <w:tcW w:w="448" w:type="dxa"/>
            <w:tcBorders>
              <w:tl2br w:val="nil"/>
              <w:tr2bl w:val="nil"/>
            </w:tcBorders>
            <w:vAlign w:val="center"/>
          </w:tcPr>
          <w:p w14:paraId="423C6F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lang w:eastAsia="zh-CN"/>
              </w:rPr>
            </w:pPr>
            <w:r>
              <w:rPr>
                <w:rFonts w:hint="default" w:ascii="Times New Roman" w:hAnsi="Times New Roman" w:eastAsia="宋体" w:cs="Times New Roman"/>
                <w:b/>
                <w:sz w:val="21"/>
                <w:szCs w:val="21"/>
                <w:u w:val="none" w:color="auto"/>
                <w:lang w:eastAsia="zh-CN"/>
              </w:rPr>
              <w:t>声源源强</w:t>
            </w:r>
          </w:p>
        </w:tc>
        <w:tc>
          <w:tcPr>
            <w:tcW w:w="448" w:type="dxa"/>
            <w:vMerge w:val="restart"/>
            <w:tcBorders>
              <w:tl2br w:val="nil"/>
              <w:tr2bl w:val="nil"/>
            </w:tcBorders>
            <w:vAlign w:val="center"/>
          </w:tcPr>
          <w:p w14:paraId="49CB04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声源控制措施</w:t>
            </w:r>
          </w:p>
        </w:tc>
        <w:tc>
          <w:tcPr>
            <w:tcW w:w="1047" w:type="dxa"/>
            <w:gridSpan w:val="3"/>
            <w:tcBorders>
              <w:tl2br w:val="nil"/>
              <w:tr2bl w:val="nil"/>
            </w:tcBorders>
            <w:vAlign w:val="center"/>
          </w:tcPr>
          <w:p w14:paraId="33C18F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空间相对位置/m</w:t>
            </w:r>
          </w:p>
        </w:tc>
        <w:tc>
          <w:tcPr>
            <w:tcW w:w="1757" w:type="dxa"/>
            <w:gridSpan w:val="4"/>
            <w:tcBorders>
              <w:tl2br w:val="nil"/>
              <w:tr2bl w:val="nil"/>
            </w:tcBorders>
            <w:vAlign w:val="center"/>
          </w:tcPr>
          <w:p w14:paraId="6CBF62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距室内边界距离/m</w:t>
            </w:r>
          </w:p>
        </w:tc>
        <w:tc>
          <w:tcPr>
            <w:tcW w:w="2257" w:type="dxa"/>
            <w:gridSpan w:val="4"/>
            <w:tcBorders>
              <w:tl2br w:val="nil"/>
              <w:tr2bl w:val="nil"/>
            </w:tcBorders>
            <w:vAlign w:val="center"/>
          </w:tcPr>
          <w:p w14:paraId="303EEC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室内边界声级/dB(A)</w:t>
            </w:r>
          </w:p>
        </w:tc>
        <w:tc>
          <w:tcPr>
            <w:tcW w:w="492" w:type="dxa"/>
            <w:vMerge w:val="restart"/>
            <w:tcBorders>
              <w:tl2br w:val="nil"/>
              <w:tr2bl w:val="nil"/>
            </w:tcBorders>
            <w:vAlign w:val="center"/>
          </w:tcPr>
          <w:p w14:paraId="06A1EA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运行时段</w:t>
            </w:r>
          </w:p>
        </w:tc>
        <w:tc>
          <w:tcPr>
            <w:tcW w:w="2177" w:type="dxa"/>
            <w:gridSpan w:val="4"/>
            <w:tcBorders>
              <w:tl2br w:val="nil"/>
              <w:tr2bl w:val="nil"/>
            </w:tcBorders>
            <w:vAlign w:val="center"/>
          </w:tcPr>
          <w:p w14:paraId="220BAE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建筑物插入损失 / dB(A)</w:t>
            </w:r>
            <w:bookmarkStart w:id="8" w:name="PT_10"/>
            <w:bookmarkEnd w:id="8"/>
          </w:p>
        </w:tc>
        <w:tc>
          <w:tcPr>
            <w:tcW w:w="3121" w:type="dxa"/>
            <w:gridSpan w:val="5"/>
            <w:tcBorders>
              <w:tl2br w:val="nil"/>
              <w:tr2bl w:val="nil"/>
            </w:tcBorders>
            <w:vAlign w:val="center"/>
          </w:tcPr>
          <w:p w14:paraId="475515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sz w:val="21"/>
                <w:szCs w:val="21"/>
                <w:u w:val="none" w:color="auto"/>
              </w:rPr>
            </w:pPr>
            <w:r>
              <w:rPr>
                <w:rFonts w:hint="default" w:ascii="Times New Roman" w:hAnsi="Times New Roman" w:eastAsia="宋体" w:cs="Times New Roman"/>
                <w:b/>
                <w:bCs w:val="0"/>
                <w:sz w:val="21"/>
                <w:szCs w:val="21"/>
                <w:u w:val="none" w:color="auto"/>
              </w:rPr>
              <w:t>建筑物外噪声声压级/dB(A)</w:t>
            </w:r>
          </w:p>
        </w:tc>
      </w:tr>
      <w:tr w14:paraId="09B55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840" w:hRule="atLeast"/>
          <w:jc w:val="center"/>
        </w:trPr>
        <w:tc>
          <w:tcPr>
            <w:tcW w:w="401" w:type="dxa"/>
            <w:vMerge w:val="continue"/>
            <w:tcBorders>
              <w:tl2br w:val="nil"/>
              <w:tr2bl w:val="nil"/>
            </w:tcBorders>
            <w:shd w:val="clear" w:color="auto" w:fill="FFFFFF"/>
            <w:tcMar>
              <w:top w:w="0" w:type="dxa"/>
              <w:left w:w="0" w:type="dxa"/>
              <w:bottom w:w="0" w:type="dxa"/>
              <w:right w:w="0" w:type="dxa"/>
            </w:tcMar>
            <w:vAlign w:val="center"/>
          </w:tcPr>
          <w:p w14:paraId="5B4F18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lang w:val="en-US" w:eastAsia="zh-CN"/>
              </w:rPr>
            </w:pPr>
          </w:p>
        </w:tc>
        <w:tc>
          <w:tcPr>
            <w:tcW w:w="474" w:type="dxa"/>
            <w:vMerge w:val="continue"/>
            <w:tcBorders>
              <w:tl2br w:val="nil"/>
              <w:tr2bl w:val="nil"/>
            </w:tcBorders>
            <w:shd w:val="clear" w:color="auto" w:fill="FFFFFF"/>
            <w:tcMar>
              <w:top w:w="0" w:type="dxa"/>
              <w:left w:w="0" w:type="dxa"/>
              <w:bottom w:w="0" w:type="dxa"/>
              <w:right w:w="0" w:type="dxa"/>
            </w:tcMar>
            <w:vAlign w:val="center"/>
          </w:tcPr>
          <w:p w14:paraId="1A6D10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90" w:type="dxa"/>
            <w:vMerge w:val="continue"/>
            <w:tcBorders>
              <w:tl2br w:val="nil"/>
              <w:tr2bl w:val="nil"/>
            </w:tcBorders>
            <w:shd w:val="clear" w:color="auto" w:fill="FFFFFF"/>
            <w:tcMar>
              <w:top w:w="0" w:type="dxa"/>
              <w:left w:w="0" w:type="dxa"/>
              <w:bottom w:w="0" w:type="dxa"/>
              <w:right w:w="0" w:type="dxa"/>
            </w:tcMar>
            <w:vAlign w:val="center"/>
          </w:tcPr>
          <w:p w14:paraId="3C5DE4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01" w:type="dxa"/>
            <w:vMerge w:val="continue"/>
            <w:tcBorders>
              <w:tl2br w:val="nil"/>
              <w:tr2bl w:val="nil"/>
            </w:tcBorders>
            <w:shd w:val="clear" w:color="auto" w:fill="FFFFFF"/>
            <w:tcMar>
              <w:top w:w="0" w:type="dxa"/>
              <w:left w:w="0" w:type="dxa"/>
              <w:bottom w:w="0" w:type="dxa"/>
              <w:right w:w="0" w:type="dxa"/>
            </w:tcMar>
            <w:vAlign w:val="center"/>
          </w:tcPr>
          <w:p w14:paraId="6857A6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48" w:type="dxa"/>
            <w:tcBorders>
              <w:tl2br w:val="nil"/>
              <w:tr2bl w:val="nil"/>
            </w:tcBorders>
            <w:shd w:val="clear" w:color="auto" w:fill="FFFFFF"/>
            <w:tcMar>
              <w:top w:w="0" w:type="dxa"/>
              <w:left w:w="0" w:type="dxa"/>
              <w:bottom w:w="0" w:type="dxa"/>
              <w:right w:w="0" w:type="dxa"/>
            </w:tcMar>
            <w:vAlign w:val="center"/>
          </w:tcPr>
          <w:p w14:paraId="29B5B9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声功率级/dB(A)</w:t>
            </w:r>
          </w:p>
        </w:tc>
        <w:tc>
          <w:tcPr>
            <w:tcW w:w="448" w:type="dxa"/>
            <w:vMerge w:val="continue"/>
            <w:tcBorders>
              <w:tl2br w:val="nil"/>
              <w:tr2bl w:val="nil"/>
            </w:tcBorders>
            <w:shd w:val="clear" w:color="auto" w:fill="FFFFFF"/>
            <w:tcMar>
              <w:top w:w="0" w:type="dxa"/>
              <w:left w:w="0" w:type="dxa"/>
              <w:bottom w:w="0" w:type="dxa"/>
              <w:right w:w="0" w:type="dxa"/>
            </w:tcMar>
            <w:vAlign w:val="center"/>
          </w:tcPr>
          <w:p w14:paraId="2D3FEA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30" w:type="dxa"/>
            <w:tcBorders>
              <w:tl2br w:val="nil"/>
              <w:tr2bl w:val="nil"/>
            </w:tcBorders>
            <w:shd w:val="clear" w:color="auto" w:fill="FFFFFF"/>
            <w:tcMar>
              <w:top w:w="0" w:type="dxa"/>
              <w:left w:w="0" w:type="dxa"/>
              <w:bottom w:w="0" w:type="dxa"/>
              <w:right w:w="0" w:type="dxa"/>
            </w:tcMar>
            <w:vAlign w:val="center"/>
          </w:tcPr>
          <w:p w14:paraId="0C8556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X</w:t>
            </w:r>
          </w:p>
        </w:tc>
        <w:tc>
          <w:tcPr>
            <w:tcW w:w="305" w:type="dxa"/>
            <w:tcBorders>
              <w:tl2br w:val="nil"/>
              <w:tr2bl w:val="nil"/>
            </w:tcBorders>
            <w:shd w:val="clear" w:color="auto" w:fill="FFFFFF"/>
            <w:tcMar>
              <w:top w:w="0" w:type="dxa"/>
              <w:left w:w="0" w:type="dxa"/>
              <w:bottom w:w="0" w:type="dxa"/>
              <w:right w:w="0" w:type="dxa"/>
            </w:tcMar>
            <w:vAlign w:val="center"/>
          </w:tcPr>
          <w:p w14:paraId="2CBFF9D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Y</w:t>
            </w:r>
          </w:p>
        </w:tc>
        <w:tc>
          <w:tcPr>
            <w:tcW w:w="312" w:type="dxa"/>
            <w:tcBorders>
              <w:tl2br w:val="nil"/>
              <w:tr2bl w:val="nil"/>
            </w:tcBorders>
            <w:shd w:val="clear" w:color="auto" w:fill="FFFFFF"/>
            <w:tcMar>
              <w:top w:w="0" w:type="dxa"/>
              <w:left w:w="0" w:type="dxa"/>
              <w:bottom w:w="0" w:type="dxa"/>
              <w:right w:w="0" w:type="dxa"/>
            </w:tcMar>
            <w:vAlign w:val="center"/>
          </w:tcPr>
          <w:p w14:paraId="23F880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Z</w:t>
            </w:r>
          </w:p>
        </w:tc>
        <w:tc>
          <w:tcPr>
            <w:tcW w:w="389" w:type="dxa"/>
            <w:tcBorders>
              <w:tl2br w:val="nil"/>
              <w:tr2bl w:val="nil"/>
            </w:tcBorders>
            <w:shd w:val="clear" w:color="auto" w:fill="FFFFFF"/>
            <w:tcMar>
              <w:top w:w="0" w:type="dxa"/>
              <w:left w:w="0" w:type="dxa"/>
              <w:bottom w:w="0" w:type="dxa"/>
              <w:right w:w="0" w:type="dxa"/>
            </w:tcMar>
            <w:vAlign w:val="center"/>
          </w:tcPr>
          <w:p w14:paraId="467494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东</w:t>
            </w:r>
          </w:p>
        </w:tc>
        <w:tc>
          <w:tcPr>
            <w:tcW w:w="464" w:type="dxa"/>
            <w:tcBorders>
              <w:tl2br w:val="nil"/>
              <w:tr2bl w:val="nil"/>
            </w:tcBorders>
            <w:shd w:val="clear" w:color="auto" w:fill="FFFFFF"/>
            <w:tcMar>
              <w:top w:w="0" w:type="dxa"/>
              <w:left w:w="0" w:type="dxa"/>
              <w:bottom w:w="0" w:type="dxa"/>
              <w:right w:w="0" w:type="dxa"/>
            </w:tcMar>
            <w:vAlign w:val="center"/>
          </w:tcPr>
          <w:p w14:paraId="4EEDED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南</w:t>
            </w:r>
          </w:p>
        </w:tc>
        <w:tc>
          <w:tcPr>
            <w:tcW w:w="505" w:type="dxa"/>
            <w:tcBorders>
              <w:tl2br w:val="nil"/>
              <w:tr2bl w:val="nil"/>
            </w:tcBorders>
            <w:shd w:val="clear" w:color="auto" w:fill="FFFFFF"/>
            <w:tcMar>
              <w:top w:w="0" w:type="dxa"/>
              <w:left w:w="0" w:type="dxa"/>
              <w:bottom w:w="0" w:type="dxa"/>
              <w:right w:w="0" w:type="dxa"/>
            </w:tcMar>
            <w:vAlign w:val="center"/>
          </w:tcPr>
          <w:p w14:paraId="277E86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西</w:t>
            </w:r>
          </w:p>
        </w:tc>
        <w:tc>
          <w:tcPr>
            <w:tcW w:w="399" w:type="dxa"/>
            <w:tcBorders>
              <w:tl2br w:val="nil"/>
              <w:tr2bl w:val="nil"/>
            </w:tcBorders>
            <w:shd w:val="clear" w:color="auto" w:fill="FFFFFF"/>
            <w:tcMar>
              <w:top w:w="0" w:type="dxa"/>
              <w:left w:w="0" w:type="dxa"/>
              <w:bottom w:w="0" w:type="dxa"/>
              <w:right w:w="0" w:type="dxa"/>
            </w:tcMar>
            <w:vAlign w:val="center"/>
          </w:tcPr>
          <w:p w14:paraId="1050BE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北</w:t>
            </w:r>
          </w:p>
        </w:tc>
        <w:tc>
          <w:tcPr>
            <w:tcW w:w="562" w:type="dxa"/>
            <w:tcBorders>
              <w:tl2br w:val="nil"/>
              <w:tr2bl w:val="nil"/>
            </w:tcBorders>
            <w:shd w:val="clear" w:color="auto" w:fill="FFFFFF"/>
            <w:tcMar>
              <w:top w:w="0" w:type="dxa"/>
              <w:left w:w="0" w:type="dxa"/>
              <w:bottom w:w="0" w:type="dxa"/>
              <w:right w:w="0" w:type="dxa"/>
            </w:tcMar>
            <w:vAlign w:val="center"/>
          </w:tcPr>
          <w:p w14:paraId="316D11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东</w:t>
            </w:r>
          </w:p>
        </w:tc>
        <w:tc>
          <w:tcPr>
            <w:tcW w:w="562" w:type="dxa"/>
            <w:tcBorders>
              <w:tl2br w:val="nil"/>
              <w:tr2bl w:val="nil"/>
            </w:tcBorders>
            <w:shd w:val="clear" w:color="auto" w:fill="FFFFFF"/>
            <w:tcMar>
              <w:top w:w="0" w:type="dxa"/>
              <w:left w:w="0" w:type="dxa"/>
              <w:bottom w:w="0" w:type="dxa"/>
              <w:right w:w="0" w:type="dxa"/>
            </w:tcMar>
            <w:vAlign w:val="center"/>
          </w:tcPr>
          <w:p w14:paraId="63D621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南</w:t>
            </w:r>
          </w:p>
        </w:tc>
        <w:tc>
          <w:tcPr>
            <w:tcW w:w="562" w:type="dxa"/>
            <w:tcBorders>
              <w:tl2br w:val="nil"/>
              <w:tr2bl w:val="nil"/>
            </w:tcBorders>
            <w:shd w:val="clear" w:color="auto" w:fill="FFFFFF"/>
            <w:tcMar>
              <w:top w:w="0" w:type="dxa"/>
              <w:left w:w="0" w:type="dxa"/>
              <w:bottom w:w="0" w:type="dxa"/>
              <w:right w:w="0" w:type="dxa"/>
            </w:tcMar>
            <w:vAlign w:val="center"/>
          </w:tcPr>
          <w:p w14:paraId="0D0BA7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西</w:t>
            </w:r>
          </w:p>
        </w:tc>
        <w:tc>
          <w:tcPr>
            <w:tcW w:w="571" w:type="dxa"/>
            <w:tcBorders>
              <w:tl2br w:val="nil"/>
              <w:tr2bl w:val="nil"/>
            </w:tcBorders>
            <w:shd w:val="clear" w:color="auto" w:fill="FFFFFF"/>
            <w:tcMar>
              <w:top w:w="0" w:type="dxa"/>
              <w:left w:w="0" w:type="dxa"/>
              <w:bottom w:w="0" w:type="dxa"/>
              <w:right w:w="0" w:type="dxa"/>
            </w:tcMar>
            <w:vAlign w:val="center"/>
          </w:tcPr>
          <w:p w14:paraId="2BF071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北</w:t>
            </w:r>
          </w:p>
        </w:tc>
        <w:tc>
          <w:tcPr>
            <w:tcW w:w="492" w:type="dxa"/>
            <w:vMerge w:val="continue"/>
            <w:tcBorders>
              <w:tl2br w:val="nil"/>
              <w:tr2bl w:val="nil"/>
            </w:tcBorders>
            <w:shd w:val="clear" w:color="auto" w:fill="FFFFFF"/>
            <w:tcMar>
              <w:top w:w="0" w:type="dxa"/>
              <w:left w:w="0" w:type="dxa"/>
              <w:bottom w:w="0" w:type="dxa"/>
              <w:right w:w="0" w:type="dxa"/>
            </w:tcMar>
            <w:vAlign w:val="center"/>
          </w:tcPr>
          <w:p w14:paraId="458AE6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542" w:type="dxa"/>
            <w:tcBorders>
              <w:tl2br w:val="nil"/>
              <w:tr2bl w:val="nil"/>
            </w:tcBorders>
            <w:shd w:val="clear" w:color="auto" w:fill="FFFFFF"/>
            <w:tcMar>
              <w:top w:w="0" w:type="dxa"/>
              <w:left w:w="0" w:type="dxa"/>
              <w:bottom w:w="0" w:type="dxa"/>
              <w:right w:w="0" w:type="dxa"/>
            </w:tcMar>
            <w:vAlign w:val="center"/>
          </w:tcPr>
          <w:p w14:paraId="7E8383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东</w:t>
            </w:r>
          </w:p>
        </w:tc>
        <w:tc>
          <w:tcPr>
            <w:tcW w:w="542" w:type="dxa"/>
            <w:tcBorders>
              <w:tl2br w:val="nil"/>
              <w:tr2bl w:val="nil"/>
            </w:tcBorders>
            <w:shd w:val="clear" w:color="auto" w:fill="FFFFFF"/>
            <w:tcMar>
              <w:top w:w="0" w:type="dxa"/>
              <w:left w:w="0" w:type="dxa"/>
              <w:bottom w:w="0" w:type="dxa"/>
              <w:right w:w="0" w:type="dxa"/>
            </w:tcMar>
            <w:vAlign w:val="center"/>
          </w:tcPr>
          <w:p w14:paraId="66313F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南</w:t>
            </w:r>
          </w:p>
        </w:tc>
        <w:tc>
          <w:tcPr>
            <w:tcW w:w="542" w:type="dxa"/>
            <w:tcBorders>
              <w:tl2br w:val="nil"/>
              <w:tr2bl w:val="nil"/>
            </w:tcBorders>
            <w:shd w:val="clear" w:color="auto" w:fill="FFFFFF"/>
            <w:tcMar>
              <w:top w:w="0" w:type="dxa"/>
              <w:left w:w="0" w:type="dxa"/>
              <w:bottom w:w="0" w:type="dxa"/>
              <w:right w:w="0" w:type="dxa"/>
            </w:tcMar>
            <w:vAlign w:val="center"/>
          </w:tcPr>
          <w:p w14:paraId="209B02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西</w:t>
            </w:r>
          </w:p>
        </w:tc>
        <w:tc>
          <w:tcPr>
            <w:tcW w:w="551" w:type="dxa"/>
            <w:tcBorders>
              <w:tl2br w:val="nil"/>
              <w:tr2bl w:val="nil"/>
            </w:tcBorders>
            <w:shd w:val="clear" w:color="auto" w:fill="FFFFFF"/>
            <w:tcMar>
              <w:top w:w="0" w:type="dxa"/>
              <w:left w:w="0" w:type="dxa"/>
              <w:bottom w:w="0" w:type="dxa"/>
              <w:right w:w="0" w:type="dxa"/>
            </w:tcMar>
            <w:vAlign w:val="center"/>
          </w:tcPr>
          <w:p w14:paraId="22CAFF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北</w:t>
            </w:r>
          </w:p>
        </w:tc>
        <w:tc>
          <w:tcPr>
            <w:tcW w:w="579" w:type="dxa"/>
            <w:tcBorders>
              <w:tl2br w:val="nil"/>
              <w:tr2bl w:val="nil"/>
            </w:tcBorders>
            <w:shd w:val="clear" w:color="auto" w:fill="FFFFFF"/>
            <w:tcMar>
              <w:top w:w="0" w:type="dxa"/>
              <w:left w:w="0" w:type="dxa"/>
              <w:bottom w:w="0" w:type="dxa"/>
              <w:right w:w="0" w:type="dxa"/>
            </w:tcMar>
            <w:vAlign w:val="center"/>
          </w:tcPr>
          <w:p w14:paraId="11FFCA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东</w:t>
            </w:r>
          </w:p>
        </w:tc>
        <w:tc>
          <w:tcPr>
            <w:tcW w:w="579" w:type="dxa"/>
            <w:tcBorders>
              <w:tl2br w:val="nil"/>
              <w:tr2bl w:val="nil"/>
            </w:tcBorders>
            <w:shd w:val="clear" w:color="auto" w:fill="FFFFFF"/>
            <w:tcMar>
              <w:top w:w="0" w:type="dxa"/>
              <w:left w:w="0" w:type="dxa"/>
              <w:bottom w:w="0" w:type="dxa"/>
              <w:right w:w="0" w:type="dxa"/>
            </w:tcMar>
            <w:vAlign w:val="center"/>
          </w:tcPr>
          <w:p w14:paraId="5F2F5C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南</w:t>
            </w:r>
          </w:p>
        </w:tc>
        <w:tc>
          <w:tcPr>
            <w:tcW w:w="579" w:type="dxa"/>
            <w:tcBorders>
              <w:tl2br w:val="nil"/>
              <w:tr2bl w:val="nil"/>
            </w:tcBorders>
            <w:shd w:val="clear" w:color="auto" w:fill="FFFFFF"/>
            <w:tcMar>
              <w:top w:w="0" w:type="dxa"/>
              <w:left w:w="0" w:type="dxa"/>
              <w:bottom w:w="0" w:type="dxa"/>
              <w:right w:w="0" w:type="dxa"/>
            </w:tcMar>
            <w:vAlign w:val="center"/>
          </w:tcPr>
          <w:p w14:paraId="4B74FFE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西</w:t>
            </w:r>
          </w:p>
        </w:tc>
        <w:tc>
          <w:tcPr>
            <w:tcW w:w="579" w:type="dxa"/>
            <w:tcBorders>
              <w:tl2br w:val="nil"/>
              <w:tr2bl w:val="nil"/>
            </w:tcBorders>
            <w:shd w:val="clear" w:color="auto" w:fill="FFFFFF"/>
            <w:tcMar>
              <w:top w:w="0" w:type="dxa"/>
              <w:left w:w="0" w:type="dxa"/>
              <w:bottom w:w="0" w:type="dxa"/>
              <w:right w:w="0" w:type="dxa"/>
            </w:tcMar>
            <w:vAlign w:val="center"/>
          </w:tcPr>
          <w:p w14:paraId="5C7FC3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北</w:t>
            </w:r>
          </w:p>
        </w:tc>
        <w:tc>
          <w:tcPr>
            <w:tcW w:w="805" w:type="dxa"/>
            <w:tcBorders>
              <w:tl2br w:val="nil"/>
              <w:tr2bl w:val="nil"/>
            </w:tcBorders>
            <w:shd w:val="clear" w:color="auto" w:fill="FFFFFF"/>
            <w:tcMar>
              <w:top w:w="0" w:type="dxa"/>
              <w:left w:w="0" w:type="dxa"/>
              <w:bottom w:w="0" w:type="dxa"/>
              <w:right w:w="0" w:type="dxa"/>
            </w:tcMar>
            <w:vAlign w:val="center"/>
          </w:tcPr>
          <w:p w14:paraId="635CE8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建筑物外距离</w:t>
            </w:r>
          </w:p>
        </w:tc>
      </w:tr>
      <w:tr w14:paraId="5DAFA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51" w:hRule="atLeast"/>
          <w:jc w:val="center"/>
        </w:trPr>
        <w:tc>
          <w:tcPr>
            <w:tcW w:w="401" w:type="dxa"/>
            <w:tcBorders>
              <w:tl2br w:val="nil"/>
              <w:tr2bl w:val="nil"/>
            </w:tcBorders>
            <w:shd w:val="clear" w:color="auto" w:fill="FFFFFF"/>
            <w:tcMar>
              <w:top w:w="0" w:type="dxa"/>
              <w:left w:w="0" w:type="dxa"/>
              <w:bottom w:w="0" w:type="dxa"/>
              <w:right w:w="0" w:type="dxa"/>
            </w:tcMar>
            <w:vAlign w:val="center"/>
          </w:tcPr>
          <w:p w14:paraId="751874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w:t>
            </w:r>
          </w:p>
        </w:tc>
        <w:tc>
          <w:tcPr>
            <w:tcW w:w="474" w:type="dxa"/>
            <w:tcBorders>
              <w:tl2br w:val="nil"/>
              <w:tr2bl w:val="nil"/>
            </w:tcBorders>
            <w:shd w:val="clear" w:color="auto" w:fill="FFFFFF"/>
            <w:tcMar>
              <w:top w:w="0" w:type="dxa"/>
              <w:left w:w="0" w:type="dxa"/>
              <w:bottom w:w="0" w:type="dxa"/>
              <w:right w:w="0" w:type="dxa"/>
            </w:tcMar>
            <w:vAlign w:val="center"/>
          </w:tcPr>
          <w:p w14:paraId="25E431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宝丽纺织</w:t>
            </w:r>
          </w:p>
        </w:tc>
        <w:tc>
          <w:tcPr>
            <w:tcW w:w="490" w:type="dxa"/>
            <w:tcBorders>
              <w:tl2br w:val="nil"/>
              <w:tr2bl w:val="nil"/>
            </w:tcBorders>
            <w:shd w:val="clear" w:color="auto" w:fill="FFFFFF"/>
            <w:tcMar>
              <w:top w:w="0" w:type="dxa"/>
              <w:left w:w="0" w:type="dxa"/>
              <w:bottom w:w="0" w:type="dxa"/>
              <w:right w:w="0" w:type="dxa"/>
            </w:tcMar>
            <w:vAlign w:val="center"/>
          </w:tcPr>
          <w:p w14:paraId="3672BE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eastAsia" w:cs="Times New Roman"/>
                <w:sz w:val="21"/>
                <w:szCs w:val="21"/>
                <w:u w:val="none" w:color="auto"/>
                <w:lang w:val="en-US" w:eastAsia="zh-CN"/>
              </w:rPr>
              <w:t>15t/h</w:t>
            </w:r>
            <w:r>
              <w:rPr>
                <w:rFonts w:hint="default" w:ascii="Times New Roman" w:hAnsi="Times New Roman" w:eastAsia="宋体" w:cs="Times New Roman"/>
                <w:sz w:val="21"/>
                <w:szCs w:val="21"/>
                <w:u w:val="none" w:color="auto"/>
              </w:rPr>
              <w:t>锅炉</w:t>
            </w:r>
          </w:p>
        </w:tc>
        <w:tc>
          <w:tcPr>
            <w:tcW w:w="401" w:type="dxa"/>
            <w:tcBorders>
              <w:tl2br w:val="nil"/>
              <w:tr2bl w:val="nil"/>
            </w:tcBorders>
            <w:shd w:val="clear" w:color="auto" w:fill="FFFFFF"/>
            <w:tcMar>
              <w:top w:w="0" w:type="dxa"/>
              <w:left w:w="0" w:type="dxa"/>
              <w:bottom w:w="0" w:type="dxa"/>
              <w:right w:w="0" w:type="dxa"/>
            </w:tcMar>
            <w:vAlign w:val="center"/>
          </w:tcPr>
          <w:p w14:paraId="582D88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48" w:type="dxa"/>
            <w:tcBorders>
              <w:tl2br w:val="nil"/>
              <w:tr2bl w:val="nil"/>
            </w:tcBorders>
            <w:shd w:val="clear" w:color="auto" w:fill="FFFFFF"/>
            <w:tcMar>
              <w:top w:w="0" w:type="dxa"/>
              <w:left w:w="0" w:type="dxa"/>
              <w:bottom w:w="0" w:type="dxa"/>
              <w:right w:w="0" w:type="dxa"/>
            </w:tcMar>
            <w:vAlign w:val="center"/>
          </w:tcPr>
          <w:p w14:paraId="1B0385E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75</w:t>
            </w:r>
          </w:p>
        </w:tc>
        <w:tc>
          <w:tcPr>
            <w:tcW w:w="448" w:type="dxa"/>
            <w:tcBorders>
              <w:tl2br w:val="nil"/>
              <w:tr2bl w:val="nil"/>
            </w:tcBorders>
            <w:shd w:val="clear" w:color="auto" w:fill="FFFFFF"/>
            <w:tcMar>
              <w:top w:w="0" w:type="dxa"/>
              <w:left w:w="0" w:type="dxa"/>
              <w:bottom w:w="0" w:type="dxa"/>
              <w:right w:w="0" w:type="dxa"/>
            </w:tcMar>
            <w:vAlign w:val="center"/>
          </w:tcPr>
          <w:p w14:paraId="41CF5E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隔声减震</w:t>
            </w:r>
          </w:p>
        </w:tc>
        <w:tc>
          <w:tcPr>
            <w:tcW w:w="430" w:type="dxa"/>
            <w:tcBorders>
              <w:tl2br w:val="nil"/>
              <w:tr2bl w:val="nil"/>
            </w:tcBorders>
            <w:shd w:val="clear" w:color="auto" w:fill="FFFFFF"/>
            <w:tcMar>
              <w:top w:w="0" w:type="dxa"/>
              <w:left w:w="0" w:type="dxa"/>
              <w:bottom w:w="0" w:type="dxa"/>
              <w:right w:w="0" w:type="dxa"/>
            </w:tcMar>
            <w:vAlign w:val="center"/>
          </w:tcPr>
          <w:p w14:paraId="06A9CC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305" w:type="dxa"/>
            <w:tcBorders>
              <w:tl2br w:val="nil"/>
              <w:tr2bl w:val="nil"/>
            </w:tcBorders>
            <w:shd w:val="clear" w:color="auto" w:fill="FFFFFF"/>
            <w:tcMar>
              <w:top w:w="0" w:type="dxa"/>
              <w:left w:w="0" w:type="dxa"/>
              <w:bottom w:w="0" w:type="dxa"/>
              <w:right w:w="0" w:type="dxa"/>
            </w:tcMar>
            <w:vAlign w:val="center"/>
          </w:tcPr>
          <w:p w14:paraId="070F4DE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132</w:t>
            </w:r>
          </w:p>
        </w:tc>
        <w:tc>
          <w:tcPr>
            <w:tcW w:w="312" w:type="dxa"/>
            <w:tcBorders>
              <w:tl2br w:val="nil"/>
              <w:tr2bl w:val="nil"/>
            </w:tcBorders>
            <w:shd w:val="clear" w:color="auto" w:fill="FFFFFF"/>
            <w:tcMar>
              <w:top w:w="0" w:type="dxa"/>
              <w:left w:w="0" w:type="dxa"/>
              <w:bottom w:w="0" w:type="dxa"/>
              <w:right w:w="0" w:type="dxa"/>
            </w:tcMar>
            <w:vAlign w:val="center"/>
          </w:tcPr>
          <w:p w14:paraId="6C5882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1.2</w:t>
            </w:r>
          </w:p>
        </w:tc>
        <w:tc>
          <w:tcPr>
            <w:tcW w:w="389" w:type="dxa"/>
            <w:tcBorders>
              <w:tl2br w:val="nil"/>
              <w:tr2bl w:val="nil"/>
            </w:tcBorders>
            <w:shd w:val="clear" w:color="auto" w:fill="FFFFFF"/>
            <w:tcMar>
              <w:top w:w="0" w:type="dxa"/>
              <w:left w:w="0" w:type="dxa"/>
              <w:bottom w:w="0" w:type="dxa"/>
              <w:right w:w="0" w:type="dxa"/>
            </w:tcMar>
            <w:vAlign w:val="center"/>
          </w:tcPr>
          <w:p w14:paraId="5777CF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109.2</w:t>
            </w:r>
          </w:p>
        </w:tc>
        <w:tc>
          <w:tcPr>
            <w:tcW w:w="464" w:type="dxa"/>
            <w:tcBorders>
              <w:tl2br w:val="nil"/>
              <w:tr2bl w:val="nil"/>
            </w:tcBorders>
            <w:shd w:val="clear" w:color="auto" w:fill="FFFFFF"/>
            <w:tcMar>
              <w:top w:w="0" w:type="dxa"/>
              <w:left w:w="0" w:type="dxa"/>
              <w:bottom w:w="0" w:type="dxa"/>
              <w:right w:w="0" w:type="dxa"/>
            </w:tcMar>
            <w:vAlign w:val="center"/>
          </w:tcPr>
          <w:p w14:paraId="0857B8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332.6</w:t>
            </w:r>
          </w:p>
        </w:tc>
        <w:tc>
          <w:tcPr>
            <w:tcW w:w="505" w:type="dxa"/>
            <w:tcBorders>
              <w:tl2br w:val="nil"/>
              <w:tr2bl w:val="nil"/>
            </w:tcBorders>
            <w:shd w:val="clear" w:color="auto" w:fill="FFFFFF"/>
            <w:tcMar>
              <w:top w:w="0" w:type="dxa"/>
              <w:left w:w="0" w:type="dxa"/>
              <w:bottom w:w="0" w:type="dxa"/>
              <w:right w:w="0" w:type="dxa"/>
            </w:tcMar>
            <w:vAlign w:val="center"/>
          </w:tcPr>
          <w:p w14:paraId="79EC86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255.4</w:t>
            </w:r>
          </w:p>
        </w:tc>
        <w:tc>
          <w:tcPr>
            <w:tcW w:w="399" w:type="dxa"/>
            <w:tcBorders>
              <w:tl2br w:val="nil"/>
              <w:tr2bl w:val="nil"/>
            </w:tcBorders>
            <w:shd w:val="clear" w:color="auto" w:fill="FFFFFF"/>
            <w:tcMar>
              <w:top w:w="0" w:type="dxa"/>
              <w:left w:w="0" w:type="dxa"/>
              <w:bottom w:w="0" w:type="dxa"/>
              <w:right w:w="0" w:type="dxa"/>
            </w:tcMar>
            <w:vAlign w:val="center"/>
          </w:tcPr>
          <w:p w14:paraId="5FF230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37.9</w:t>
            </w:r>
          </w:p>
        </w:tc>
        <w:tc>
          <w:tcPr>
            <w:tcW w:w="562" w:type="dxa"/>
            <w:tcBorders>
              <w:tl2br w:val="nil"/>
              <w:tr2bl w:val="nil"/>
            </w:tcBorders>
            <w:shd w:val="clear" w:color="auto" w:fill="FFFFFF"/>
            <w:tcMar>
              <w:top w:w="0" w:type="dxa"/>
              <w:left w:w="0" w:type="dxa"/>
              <w:bottom w:w="0" w:type="dxa"/>
              <w:right w:w="0" w:type="dxa"/>
            </w:tcMar>
            <w:vAlign w:val="center"/>
          </w:tcPr>
          <w:p w14:paraId="1522FF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62" w:type="dxa"/>
            <w:tcBorders>
              <w:tl2br w:val="nil"/>
              <w:tr2bl w:val="nil"/>
            </w:tcBorders>
            <w:shd w:val="clear" w:color="auto" w:fill="FFFFFF"/>
            <w:tcMar>
              <w:top w:w="0" w:type="dxa"/>
              <w:left w:w="0" w:type="dxa"/>
              <w:bottom w:w="0" w:type="dxa"/>
              <w:right w:w="0" w:type="dxa"/>
            </w:tcMar>
            <w:vAlign w:val="center"/>
          </w:tcPr>
          <w:p w14:paraId="6520141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62" w:type="dxa"/>
            <w:tcBorders>
              <w:tl2br w:val="nil"/>
              <w:tr2bl w:val="nil"/>
            </w:tcBorders>
            <w:shd w:val="clear" w:color="auto" w:fill="FFFFFF"/>
            <w:tcMar>
              <w:top w:w="0" w:type="dxa"/>
              <w:left w:w="0" w:type="dxa"/>
              <w:bottom w:w="0" w:type="dxa"/>
              <w:right w:w="0" w:type="dxa"/>
            </w:tcMar>
            <w:vAlign w:val="center"/>
          </w:tcPr>
          <w:p w14:paraId="6315E2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71" w:type="dxa"/>
            <w:tcBorders>
              <w:tl2br w:val="nil"/>
              <w:tr2bl w:val="nil"/>
            </w:tcBorders>
            <w:shd w:val="clear" w:color="auto" w:fill="FFFFFF"/>
            <w:tcMar>
              <w:top w:w="0" w:type="dxa"/>
              <w:left w:w="0" w:type="dxa"/>
              <w:bottom w:w="0" w:type="dxa"/>
              <w:right w:w="0" w:type="dxa"/>
            </w:tcMar>
            <w:vAlign w:val="center"/>
          </w:tcPr>
          <w:p w14:paraId="378773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58.8</w:t>
            </w:r>
          </w:p>
        </w:tc>
        <w:tc>
          <w:tcPr>
            <w:tcW w:w="492" w:type="dxa"/>
            <w:tcBorders>
              <w:tl2br w:val="nil"/>
              <w:tr2bl w:val="nil"/>
            </w:tcBorders>
            <w:shd w:val="clear" w:color="auto" w:fill="FFFFFF"/>
            <w:tcMar>
              <w:top w:w="0" w:type="dxa"/>
              <w:left w:w="0" w:type="dxa"/>
              <w:bottom w:w="0" w:type="dxa"/>
              <w:right w:w="0" w:type="dxa"/>
            </w:tcMar>
            <w:vAlign w:val="center"/>
          </w:tcPr>
          <w:p w14:paraId="5F1CF8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9:00-17:00</w:t>
            </w:r>
          </w:p>
        </w:tc>
        <w:tc>
          <w:tcPr>
            <w:tcW w:w="542" w:type="dxa"/>
            <w:tcBorders>
              <w:tl2br w:val="nil"/>
              <w:tr2bl w:val="nil"/>
            </w:tcBorders>
            <w:shd w:val="clear" w:color="auto" w:fill="FFFFFF"/>
            <w:tcMar>
              <w:top w:w="0" w:type="dxa"/>
              <w:left w:w="0" w:type="dxa"/>
              <w:bottom w:w="0" w:type="dxa"/>
              <w:right w:w="0" w:type="dxa"/>
            </w:tcMar>
            <w:vAlign w:val="center"/>
          </w:tcPr>
          <w:p w14:paraId="35C8C9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42" w:type="dxa"/>
            <w:tcBorders>
              <w:tl2br w:val="nil"/>
              <w:tr2bl w:val="nil"/>
            </w:tcBorders>
            <w:shd w:val="clear" w:color="auto" w:fill="FFFFFF"/>
            <w:tcMar>
              <w:top w:w="0" w:type="dxa"/>
              <w:left w:w="0" w:type="dxa"/>
              <w:bottom w:w="0" w:type="dxa"/>
              <w:right w:w="0" w:type="dxa"/>
            </w:tcMar>
            <w:vAlign w:val="center"/>
          </w:tcPr>
          <w:p w14:paraId="75CB87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42" w:type="dxa"/>
            <w:tcBorders>
              <w:tl2br w:val="nil"/>
              <w:tr2bl w:val="nil"/>
            </w:tcBorders>
            <w:shd w:val="clear" w:color="auto" w:fill="FFFFFF"/>
            <w:tcMar>
              <w:top w:w="0" w:type="dxa"/>
              <w:left w:w="0" w:type="dxa"/>
              <w:bottom w:w="0" w:type="dxa"/>
              <w:right w:w="0" w:type="dxa"/>
            </w:tcMar>
            <w:vAlign w:val="center"/>
          </w:tcPr>
          <w:p w14:paraId="120818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51" w:type="dxa"/>
            <w:tcBorders>
              <w:tl2br w:val="nil"/>
              <w:tr2bl w:val="nil"/>
            </w:tcBorders>
            <w:shd w:val="clear" w:color="auto" w:fill="FFFFFF"/>
            <w:tcMar>
              <w:top w:w="0" w:type="dxa"/>
              <w:left w:w="0" w:type="dxa"/>
              <w:bottom w:w="0" w:type="dxa"/>
              <w:right w:w="0" w:type="dxa"/>
            </w:tcMar>
            <w:vAlign w:val="center"/>
          </w:tcPr>
          <w:p w14:paraId="785B2E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79" w:type="dxa"/>
            <w:tcBorders>
              <w:tl2br w:val="nil"/>
              <w:tr2bl w:val="nil"/>
            </w:tcBorders>
            <w:shd w:val="clear" w:color="auto" w:fill="FFFFFF"/>
            <w:tcMar>
              <w:top w:w="0" w:type="dxa"/>
              <w:left w:w="0" w:type="dxa"/>
              <w:bottom w:w="0" w:type="dxa"/>
              <w:right w:w="0" w:type="dxa"/>
            </w:tcMar>
            <w:vAlign w:val="center"/>
          </w:tcPr>
          <w:p w14:paraId="586167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5D8384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1114D5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67DCA4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.8</w:t>
            </w:r>
          </w:p>
        </w:tc>
        <w:tc>
          <w:tcPr>
            <w:tcW w:w="805" w:type="dxa"/>
            <w:tcBorders>
              <w:tl2br w:val="nil"/>
              <w:tr2bl w:val="nil"/>
            </w:tcBorders>
            <w:shd w:val="clear" w:color="auto" w:fill="FFFFFF"/>
            <w:tcMar>
              <w:top w:w="0" w:type="dxa"/>
              <w:left w:w="0" w:type="dxa"/>
              <w:bottom w:w="0" w:type="dxa"/>
              <w:right w:w="0" w:type="dxa"/>
            </w:tcMar>
            <w:vAlign w:val="center"/>
          </w:tcPr>
          <w:p w14:paraId="442EFDA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w:t>
            </w:r>
          </w:p>
        </w:tc>
      </w:tr>
      <w:tr w14:paraId="24830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51" w:hRule="atLeast"/>
          <w:jc w:val="center"/>
        </w:trPr>
        <w:tc>
          <w:tcPr>
            <w:tcW w:w="401" w:type="dxa"/>
            <w:tcBorders>
              <w:tl2br w:val="nil"/>
              <w:tr2bl w:val="nil"/>
            </w:tcBorders>
            <w:shd w:val="clear" w:color="auto" w:fill="FFFFFF"/>
            <w:tcMar>
              <w:top w:w="0" w:type="dxa"/>
              <w:left w:w="0" w:type="dxa"/>
              <w:bottom w:w="0" w:type="dxa"/>
              <w:right w:w="0" w:type="dxa"/>
            </w:tcMar>
            <w:vAlign w:val="center"/>
          </w:tcPr>
          <w:p w14:paraId="635860C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2</w:t>
            </w:r>
          </w:p>
        </w:tc>
        <w:tc>
          <w:tcPr>
            <w:tcW w:w="474" w:type="dxa"/>
            <w:tcBorders>
              <w:tl2br w:val="nil"/>
              <w:tr2bl w:val="nil"/>
            </w:tcBorders>
            <w:shd w:val="clear" w:color="auto" w:fill="FFFFFF"/>
            <w:tcMar>
              <w:top w:w="0" w:type="dxa"/>
              <w:left w:w="0" w:type="dxa"/>
              <w:bottom w:w="0" w:type="dxa"/>
              <w:right w:w="0" w:type="dxa"/>
            </w:tcMar>
            <w:vAlign w:val="center"/>
          </w:tcPr>
          <w:p w14:paraId="32762C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宝丽纺织</w:t>
            </w:r>
          </w:p>
        </w:tc>
        <w:tc>
          <w:tcPr>
            <w:tcW w:w="490" w:type="dxa"/>
            <w:tcBorders>
              <w:tl2br w:val="nil"/>
              <w:tr2bl w:val="nil"/>
            </w:tcBorders>
            <w:shd w:val="clear" w:color="auto" w:fill="FFFFFF"/>
            <w:tcMar>
              <w:top w:w="0" w:type="dxa"/>
              <w:left w:w="0" w:type="dxa"/>
              <w:bottom w:w="0" w:type="dxa"/>
              <w:right w:w="0" w:type="dxa"/>
            </w:tcMar>
            <w:vAlign w:val="center"/>
          </w:tcPr>
          <w:p w14:paraId="717715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eastAsia" w:cs="Times New Roman"/>
                <w:sz w:val="21"/>
                <w:szCs w:val="21"/>
                <w:u w:val="none" w:color="auto"/>
                <w:lang w:val="en-US" w:eastAsia="zh-CN"/>
              </w:rPr>
              <w:t>4t/h导热油</w:t>
            </w:r>
            <w:r>
              <w:rPr>
                <w:rFonts w:hint="default" w:ascii="Times New Roman" w:hAnsi="Times New Roman" w:eastAsia="宋体" w:cs="Times New Roman"/>
                <w:sz w:val="21"/>
                <w:szCs w:val="21"/>
                <w:u w:val="none" w:color="auto"/>
              </w:rPr>
              <w:t>锅炉</w:t>
            </w:r>
          </w:p>
        </w:tc>
        <w:tc>
          <w:tcPr>
            <w:tcW w:w="401" w:type="dxa"/>
            <w:tcBorders>
              <w:tl2br w:val="nil"/>
              <w:tr2bl w:val="nil"/>
            </w:tcBorders>
            <w:shd w:val="clear" w:color="auto" w:fill="FFFFFF"/>
            <w:tcMar>
              <w:top w:w="0" w:type="dxa"/>
              <w:left w:w="0" w:type="dxa"/>
              <w:bottom w:w="0" w:type="dxa"/>
              <w:right w:w="0" w:type="dxa"/>
            </w:tcMar>
            <w:vAlign w:val="center"/>
          </w:tcPr>
          <w:p w14:paraId="1D9429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p>
        </w:tc>
        <w:tc>
          <w:tcPr>
            <w:tcW w:w="448" w:type="dxa"/>
            <w:tcBorders>
              <w:tl2br w:val="nil"/>
              <w:tr2bl w:val="nil"/>
            </w:tcBorders>
            <w:shd w:val="clear" w:color="auto" w:fill="FFFFFF"/>
            <w:tcMar>
              <w:top w:w="0" w:type="dxa"/>
              <w:left w:w="0" w:type="dxa"/>
              <w:bottom w:w="0" w:type="dxa"/>
              <w:right w:w="0" w:type="dxa"/>
            </w:tcMar>
            <w:vAlign w:val="center"/>
          </w:tcPr>
          <w:p w14:paraId="22B695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75</w:t>
            </w:r>
          </w:p>
        </w:tc>
        <w:tc>
          <w:tcPr>
            <w:tcW w:w="448" w:type="dxa"/>
            <w:tcBorders>
              <w:tl2br w:val="nil"/>
              <w:tr2bl w:val="nil"/>
            </w:tcBorders>
            <w:shd w:val="clear" w:color="auto" w:fill="FFFFFF"/>
            <w:tcMar>
              <w:top w:w="0" w:type="dxa"/>
              <w:left w:w="0" w:type="dxa"/>
              <w:bottom w:w="0" w:type="dxa"/>
              <w:right w:w="0" w:type="dxa"/>
            </w:tcMar>
            <w:vAlign w:val="center"/>
          </w:tcPr>
          <w:p w14:paraId="0280F3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隔声减震</w:t>
            </w:r>
          </w:p>
        </w:tc>
        <w:tc>
          <w:tcPr>
            <w:tcW w:w="430" w:type="dxa"/>
            <w:tcBorders>
              <w:tl2br w:val="nil"/>
              <w:tr2bl w:val="nil"/>
            </w:tcBorders>
            <w:shd w:val="clear" w:color="auto" w:fill="FFFFFF"/>
            <w:tcMar>
              <w:top w:w="0" w:type="dxa"/>
              <w:left w:w="0" w:type="dxa"/>
              <w:bottom w:w="0" w:type="dxa"/>
              <w:right w:w="0" w:type="dxa"/>
            </w:tcMar>
            <w:vAlign w:val="center"/>
          </w:tcPr>
          <w:p w14:paraId="32650B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63.7</w:t>
            </w:r>
          </w:p>
        </w:tc>
        <w:tc>
          <w:tcPr>
            <w:tcW w:w="305" w:type="dxa"/>
            <w:tcBorders>
              <w:tl2br w:val="nil"/>
              <w:tr2bl w:val="nil"/>
            </w:tcBorders>
            <w:shd w:val="clear" w:color="auto" w:fill="FFFFFF"/>
            <w:tcMar>
              <w:top w:w="0" w:type="dxa"/>
              <w:left w:w="0" w:type="dxa"/>
              <w:bottom w:w="0" w:type="dxa"/>
              <w:right w:w="0" w:type="dxa"/>
            </w:tcMar>
            <w:vAlign w:val="center"/>
          </w:tcPr>
          <w:p w14:paraId="654BC7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132</w:t>
            </w:r>
          </w:p>
        </w:tc>
        <w:tc>
          <w:tcPr>
            <w:tcW w:w="312" w:type="dxa"/>
            <w:tcBorders>
              <w:tl2br w:val="nil"/>
              <w:tr2bl w:val="nil"/>
            </w:tcBorders>
            <w:shd w:val="clear" w:color="auto" w:fill="FFFFFF"/>
            <w:tcMar>
              <w:top w:w="0" w:type="dxa"/>
              <w:left w:w="0" w:type="dxa"/>
              <w:bottom w:w="0" w:type="dxa"/>
              <w:right w:w="0" w:type="dxa"/>
            </w:tcMar>
            <w:vAlign w:val="center"/>
          </w:tcPr>
          <w:p w14:paraId="0DA83C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1.2</w:t>
            </w:r>
          </w:p>
        </w:tc>
        <w:tc>
          <w:tcPr>
            <w:tcW w:w="389" w:type="dxa"/>
            <w:tcBorders>
              <w:tl2br w:val="nil"/>
              <w:tr2bl w:val="nil"/>
            </w:tcBorders>
            <w:shd w:val="clear" w:color="auto" w:fill="FFFFFF"/>
            <w:tcMar>
              <w:top w:w="0" w:type="dxa"/>
              <w:left w:w="0" w:type="dxa"/>
              <w:bottom w:w="0" w:type="dxa"/>
              <w:right w:w="0" w:type="dxa"/>
            </w:tcMar>
            <w:vAlign w:val="center"/>
          </w:tcPr>
          <w:p w14:paraId="6287D6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w:t>
            </w:r>
            <w:r>
              <w:rPr>
                <w:rFonts w:hint="eastAsia" w:cs="Times New Roman"/>
                <w:sz w:val="21"/>
                <w:szCs w:val="21"/>
                <w:u w:val="none" w:color="auto"/>
                <w:lang w:val="en-US" w:eastAsia="zh-CN"/>
              </w:rPr>
              <w:t>47</w:t>
            </w:r>
            <w:r>
              <w:rPr>
                <w:rFonts w:hint="default" w:ascii="Times New Roman" w:hAnsi="Times New Roman" w:eastAsia="宋体" w:cs="Times New Roman"/>
                <w:sz w:val="21"/>
                <w:szCs w:val="21"/>
                <w:u w:val="none" w:color="auto"/>
              </w:rPr>
              <w:t>.2</w:t>
            </w:r>
          </w:p>
        </w:tc>
        <w:tc>
          <w:tcPr>
            <w:tcW w:w="464" w:type="dxa"/>
            <w:tcBorders>
              <w:tl2br w:val="nil"/>
              <w:tr2bl w:val="nil"/>
            </w:tcBorders>
            <w:shd w:val="clear" w:color="auto" w:fill="FFFFFF"/>
            <w:tcMar>
              <w:top w:w="0" w:type="dxa"/>
              <w:left w:w="0" w:type="dxa"/>
              <w:bottom w:w="0" w:type="dxa"/>
              <w:right w:w="0" w:type="dxa"/>
            </w:tcMar>
            <w:vAlign w:val="center"/>
          </w:tcPr>
          <w:p w14:paraId="5E1DA3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332.6</w:t>
            </w:r>
          </w:p>
        </w:tc>
        <w:tc>
          <w:tcPr>
            <w:tcW w:w="505" w:type="dxa"/>
            <w:tcBorders>
              <w:tl2br w:val="nil"/>
              <w:tr2bl w:val="nil"/>
            </w:tcBorders>
            <w:shd w:val="clear" w:color="auto" w:fill="FFFFFF"/>
            <w:tcMar>
              <w:top w:w="0" w:type="dxa"/>
              <w:left w:w="0" w:type="dxa"/>
              <w:bottom w:w="0" w:type="dxa"/>
              <w:right w:w="0" w:type="dxa"/>
            </w:tcMar>
            <w:vAlign w:val="center"/>
          </w:tcPr>
          <w:p w14:paraId="3167E8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eastAsia" w:cs="Times New Roman"/>
                <w:sz w:val="21"/>
                <w:szCs w:val="21"/>
                <w:u w:val="none" w:color="auto"/>
                <w:lang w:val="en-US" w:eastAsia="zh-CN"/>
              </w:rPr>
              <w:t>06.</w:t>
            </w:r>
            <w:r>
              <w:rPr>
                <w:rFonts w:hint="default" w:ascii="Times New Roman" w:hAnsi="Times New Roman" w:eastAsia="宋体" w:cs="Times New Roman"/>
                <w:sz w:val="21"/>
                <w:szCs w:val="21"/>
                <w:u w:val="none" w:color="auto"/>
              </w:rPr>
              <w:t>.4</w:t>
            </w:r>
          </w:p>
        </w:tc>
        <w:tc>
          <w:tcPr>
            <w:tcW w:w="399" w:type="dxa"/>
            <w:tcBorders>
              <w:tl2br w:val="nil"/>
              <w:tr2bl w:val="nil"/>
            </w:tcBorders>
            <w:shd w:val="clear" w:color="auto" w:fill="FFFFFF"/>
            <w:tcMar>
              <w:top w:w="0" w:type="dxa"/>
              <w:left w:w="0" w:type="dxa"/>
              <w:bottom w:w="0" w:type="dxa"/>
              <w:right w:w="0" w:type="dxa"/>
            </w:tcMar>
            <w:vAlign w:val="center"/>
          </w:tcPr>
          <w:p w14:paraId="0FBD04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37.9</w:t>
            </w:r>
          </w:p>
        </w:tc>
        <w:tc>
          <w:tcPr>
            <w:tcW w:w="562" w:type="dxa"/>
            <w:tcBorders>
              <w:tl2br w:val="nil"/>
              <w:tr2bl w:val="nil"/>
            </w:tcBorders>
            <w:shd w:val="clear" w:color="auto" w:fill="FFFFFF"/>
            <w:tcMar>
              <w:top w:w="0" w:type="dxa"/>
              <w:left w:w="0" w:type="dxa"/>
              <w:bottom w:w="0" w:type="dxa"/>
              <w:right w:w="0" w:type="dxa"/>
            </w:tcMar>
            <w:vAlign w:val="center"/>
          </w:tcPr>
          <w:p w14:paraId="421B22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62" w:type="dxa"/>
            <w:tcBorders>
              <w:tl2br w:val="nil"/>
              <w:tr2bl w:val="nil"/>
            </w:tcBorders>
            <w:shd w:val="clear" w:color="auto" w:fill="FFFFFF"/>
            <w:tcMar>
              <w:top w:w="0" w:type="dxa"/>
              <w:left w:w="0" w:type="dxa"/>
              <w:bottom w:w="0" w:type="dxa"/>
              <w:right w:w="0" w:type="dxa"/>
            </w:tcMar>
            <w:vAlign w:val="center"/>
          </w:tcPr>
          <w:p w14:paraId="62CBE4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62" w:type="dxa"/>
            <w:tcBorders>
              <w:tl2br w:val="nil"/>
              <w:tr2bl w:val="nil"/>
            </w:tcBorders>
            <w:shd w:val="clear" w:color="auto" w:fill="FFFFFF"/>
            <w:tcMar>
              <w:top w:w="0" w:type="dxa"/>
              <w:left w:w="0" w:type="dxa"/>
              <w:bottom w:w="0" w:type="dxa"/>
              <w:right w:w="0" w:type="dxa"/>
            </w:tcMar>
            <w:vAlign w:val="center"/>
          </w:tcPr>
          <w:p w14:paraId="4D02F8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58.7</w:t>
            </w:r>
          </w:p>
        </w:tc>
        <w:tc>
          <w:tcPr>
            <w:tcW w:w="571" w:type="dxa"/>
            <w:tcBorders>
              <w:tl2br w:val="nil"/>
              <w:tr2bl w:val="nil"/>
            </w:tcBorders>
            <w:shd w:val="clear" w:color="auto" w:fill="FFFFFF"/>
            <w:tcMar>
              <w:top w:w="0" w:type="dxa"/>
              <w:left w:w="0" w:type="dxa"/>
              <w:bottom w:w="0" w:type="dxa"/>
              <w:right w:w="0" w:type="dxa"/>
            </w:tcMar>
            <w:vAlign w:val="center"/>
          </w:tcPr>
          <w:p w14:paraId="3FC9E7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58.8</w:t>
            </w:r>
          </w:p>
        </w:tc>
        <w:tc>
          <w:tcPr>
            <w:tcW w:w="492" w:type="dxa"/>
            <w:tcBorders>
              <w:tl2br w:val="nil"/>
              <w:tr2bl w:val="nil"/>
            </w:tcBorders>
            <w:shd w:val="clear" w:color="auto" w:fill="FFFFFF"/>
            <w:tcMar>
              <w:top w:w="0" w:type="dxa"/>
              <w:left w:w="0" w:type="dxa"/>
              <w:bottom w:w="0" w:type="dxa"/>
              <w:right w:w="0" w:type="dxa"/>
            </w:tcMar>
            <w:vAlign w:val="center"/>
          </w:tcPr>
          <w:p w14:paraId="552ECA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9:00-17:00</w:t>
            </w:r>
          </w:p>
        </w:tc>
        <w:tc>
          <w:tcPr>
            <w:tcW w:w="542" w:type="dxa"/>
            <w:tcBorders>
              <w:tl2br w:val="nil"/>
              <w:tr2bl w:val="nil"/>
            </w:tcBorders>
            <w:shd w:val="clear" w:color="auto" w:fill="FFFFFF"/>
            <w:tcMar>
              <w:top w:w="0" w:type="dxa"/>
              <w:left w:w="0" w:type="dxa"/>
              <w:bottom w:w="0" w:type="dxa"/>
              <w:right w:w="0" w:type="dxa"/>
            </w:tcMar>
            <w:vAlign w:val="center"/>
          </w:tcPr>
          <w:p w14:paraId="39C78A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42" w:type="dxa"/>
            <w:tcBorders>
              <w:tl2br w:val="nil"/>
              <w:tr2bl w:val="nil"/>
            </w:tcBorders>
            <w:shd w:val="clear" w:color="auto" w:fill="FFFFFF"/>
            <w:tcMar>
              <w:top w:w="0" w:type="dxa"/>
              <w:left w:w="0" w:type="dxa"/>
              <w:bottom w:w="0" w:type="dxa"/>
              <w:right w:w="0" w:type="dxa"/>
            </w:tcMar>
            <w:vAlign w:val="center"/>
          </w:tcPr>
          <w:p w14:paraId="746F0A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42" w:type="dxa"/>
            <w:tcBorders>
              <w:tl2br w:val="nil"/>
              <w:tr2bl w:val="nil"/>
            </w:tcBorders>
            <w:shd w:val="clear" w:color="auto" w:fill="FFFFFF"/>
            <w:tcMar>
              <w:top w:w="0" w:type="dxa"/>
              <w:left w:w="0" w:type="dxa"/>
              <w:bottom w:w="0" w:type="dxa"/>
              <w:right w:w="0" w:type="dxa"/>
            </w:tcMar>
            <w:vAlign w:val="center"/>
          </w:tcPr>
          <w:p w14:paraId="6A37A0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51" w:type="dxa"/>
            <w:tcBorders>
              <w:tl2br w:val="nil"/>
              <w:tr2bl w:val="nil"/>
            </w:tcBorders>
            <w:shd w:val="clear" w:color="auto" w:fill="FFFFFF"/>
            <w:tcMar>
              <w:top w:w="0" w:type="dxa"/>
              <w:left w:w="0" w:type="dxa"/>
              <w:bottom w:w="0" w:type="dxa"/>
              <w:right w:w="0" w:type="dxa"/>
            </w:tcMar>
            <w:vAlign w:val="center"/>
          </w:tcPr>
          <w:p w14:paraId="3D79F3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r>
              <w:rPr>
                <w:rFonts w:hint="default" w:ascii="Times New Roman" w:hAnsi="Times New Roman" w:eastAsia="宋体" w:cs="Times New Roman"/>
                <w:sz w:val="21"/>
                <w:szCs w:val="21"/>
                <w:u w:val="none" w:color="auto"/>
                <w:lang w:val="en-US" w:eastAsia="zh-CN"/>
              </w:rPr>
              <w:t>0</w:t>
            </w:r>
            <w:r>
              <w:rPr>
                <w:rFonts w:hint="default" w:ascii="Times New Roman" w:hAnsi="Times New Roman" w:eastAsia="宋体" w:cs="Times New Roman"/>
                <w:sz w:val="21"/>
                <w:szCs w:val="21"/>
                <w:u w:val="none" w:color="auto"/>
              </w:rPr>
              <w:t>.0</w:t>
            </w:r>
          </w:p>
        </w:tc>
        <w:tc>
          <w:tcPr>
            <w:tcW w:w="579" w:type="dxa"/>
            <w:tcBorders>
              <w:tl2br w:val="nil"/>
              <w:tr2bl w:val="nil"/>
            </w:tcBorders>
            <w:shd w:val="clear" w:color="auto" w:fill="FFFFFF"/>
            <w:tcMar>
              <w:top w:w="0" w:type="dxa"/>
              <w:left w:w="0" w:type="dxa"/>
              <w:bottom w:w="0" w:type="dxa"/>
              <w:right w:w="0" w:type="dxa"/>
            </w:tcMar>
            <w:vAlign w:val="center"/>
          </w:tcPr>
          <w:p w14:paraId="4D5CB8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4DB4B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3063A9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.7</w:t>
            </w:r>
          </w:p>
        </w:tc>
        <w:tc>
          <w:tcPr>
            <w:tcW w:w="579" w:type="dxa"/>
            <w:tcBorders>
              <w:tl2br w:val="nil"/>
              <w:tr2bl w:val="nil"/>
            </w:tcBorders>
            <w:shd w:val="clear" w:color="auto" w:fill="FFFFFF"/>
            <w:tcMar>
              <w:top w:w="0" w:type="dxa"/>
              <w:left w:w="0" w:type="dxa"/>
              <w:bottom w:w="0" w:type="dxa"/>
              <w:right w:w="0" w:type="dxa"/>
            </w:tcMar>
            <w:vAlign w:val="center"/>
          </w:tcPr>
          <w:p w14:paraId="477A89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r>
              <w:rPr>
                <w:rFonts w:hint="default" w:ascii="Times New Roman" w:hAnsi="Times New Roman" w:eastAsia="宋体" w:cs="Times New Roman"/>
                <w:sz w:val="21"/>
                <w:szCs w:val="21"/>
                <w:u w:val="none" w:color="auto"/>
                <w:lang w:val="en-US" w:eastAsia="zh-CN"/>
              </w:rPr>
              <w:t>8</w:t>
            </w:r>
            <w:r>
              <w:rPr>
                <w:rFonts w:hint="default" w:ascii="Times New Roman" w:hAnsi="Times New Roman" w:eastAsia="宋体" w:cs="Times New Roman"/>
                <w:sz w:val="21"/>
                <w:szCs w:val="21"/>
                <w:u w:val="none" w:color="auto"/>
              </w:rPr>
              <w:t>.8</w:t>
            </w:r>
          </w:p>
        </w:tc>
        <w:tc>
          <w:tcPr>
            <w:tcW w:w="805" w:type="dxa"/>
            <w:tcBorders>
              <w:tl2br w:val="nil"/>
              <w:tr2bl w:val="nil"/>
            </w:tcBorders>
            <w:shd w:val="clear" w:color="auto" w:fill="FFFFFF"/>
            <w:tcMar>
              <w:top w:w="0" w:type="dxa"/>
              <w:left w:w="0" w:type="dxa"/>
              <w:bottom w:w="0" w:type="dxa"/>
              <w:right w:w="0" w:type="dxa"/>
            </w:tcMar>
            <w:vAlign w:val="center"/>
          </w:tcPr>
          <w:p w14:paraId="792566E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w:t>
            </w:r>
          </w:p>
        </w:tc>
      </w:tr>
      <w:bookmarkEnd w:id="7"/>
    </w:tbl>
    <w:p w14:paraId="755BB033">
      <w:pPr>
        <w:pStyle w:val="23"/>
        <w:spacing w:line="240" w:lineRule="auto"/>
        <w:ind w:left="0" w:leftChars="0" w:firstLine="0" w:firstLineChars="0"/>
        <w:jc w:val="both"/>
        <w:rPr>
          <w:rFonts w:hint="default" w:ascii="Times New Roman" w:hAnsi="Times New Roman" w:eastAsia="宋体" w:cs="Times New Roman"/>
          <w:b/>
          <w:color w:val="auto"/>
          <w:sz w:val="21"/>
          <w:szCs w:val="21"/>
          <w:u w:val="none" w:color="auto"/>
        </w:rPr>
      </w:pPr>
    </w:p>
    <w:p w14:paraId="4458025E">
      <w:pPr>
        <w:rPr>
          <w:rFonts w:hint="default"/>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8184"/>
      </w:tblGrid>
      <w:tr w14:paraId="218E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4" w:hRule="atLeast"/>
        </w:trPr>
        <w:tc>
          <w:tcPr>
            <w:tcW w:w="877" w:type="dxa"/>
            <w:noWrap w:val="0"/>
            <w:vAlign w:val="top"/>
          </w:tcPr>
          <w:p w14:paraId="16973667">
            <w:pPr>
              <w:rPr>
                <w:rFonts w:hint="default" w:ascii="Times New Roman" w:hAnsi="Times New Roman" w:eastAsia="宋体" w:cs="Times New Roman"/>
                <w:color w:val="auto"/>
                <w:u w:val="none" w:color="auto"/>
                <w:vertAlign w:val="baseline"/>
              </w:rPr>
            </w:pPr>
          </w:p>
        </w:tc>
        <w:tc>
          <w:tcPr>
            <w:tcW w:w="8184" w:type="dxa"/>
            <w:noWrap w:val="0"/>
            <w:vAlign w:val="top"/>
          </w:tcPr>
          <w:p w14:paraId="757F5C28">
            <w:pPr>
              <w:pStyle w:val="23"/>
              <w:spacing w:line="240" w:lineRule="auto"/>
              <w:ind w:firstLine="422"/>
              <w:jc w:val="center"/>
              <w:rPr>
                <w:rFonts w:hint="default" w:ascii="Times New Roman" w:hAnsi="Times New Roman" w:eastAsia="宋体" w:cs="Times New Roman"/>
                <w:color w:val="auto"/>
                <w:u w:val="none" w:color="auto"/>
              </w:rPr>
            </w:pPr>
            <w:r>
              <w:rPr>
                <w:rFonts w:hint="default" w:ascii="Times New Roman" w:hAnsi="Times New Roman" w:eastAsia="宋体" w:cs="Times New Roman"/>
                <w:b/>
                <w:color w:val="auto"/>
                <w:sz w:val="21"/>
                <w:szCs w:val="21"/>
                <w:u w:val="none" w:color="auto"/>
              </w:rPr>
              <w:t>表4-</w:t>
            </w:r>
            <w:r>
              <w:rPr>
                <w:rFonts w:hint="eastAsia" w:ascii="Times New Roman" w:hAnsi="Times New Roman" w:cs="Times New Roman"/>
                <w:b/>
                <w:color w:val="auto"/>
                <w:sz w:val="21"/>
                <w:szCs w:val="21"/>
                <w:u w:val="none" w:color="auto"/>
                <w:lang w:val="en-US" w:eastAsia="zh-CN"/>
              </w:rPr>
              <w:t>11</w:t>
            </w:r>
            <w:r>
              <w:rPr>
                <w:rFonts w:hint="default" w:ascii="Times New Roman" w:hAnsi="Times New Roman" w:eastAsia="宋体" w:cs="Times New Roman"/>
                <w:b/>
                <w:color w:val="auto"/>
                <w:sz w:val="21"/>
                <w:szCs w:val="21"/>
                <w:u w:val="none" w:color="auto"/>
                <w:lang w:val="en-US" w:eastAsia="zh-CN"/>
              </w:rPr>
              <w:t xml:space="preserve"> </w:t>
            </w:r>
            <w:r>
              <w:rPr>
                <w:rFonts w:hint="default" w:ascii="Times New Roman" w:hAnsi="Times New Roman" w:eastAsia="宋体" w:cs="Times New Roman"/>
                <w:b/>
                <w:color w:val="auto"/>
                <w:sz w:val="21"/>
                <w:szCs w:val="21"/>
                <w:u w:val="none" w:color="auto"/>
              </w:rPr>
              <w:t xml:space="preserve"> 工业企业噪声源强调查清单（室</w:t>
            </w:r>
            <w:r>
              <w:rPr>
                <w:rFonts w:hint="default" w:ascii="Times New Roman" w:hAnsi="Times New Roman" w:eastAsia="宋体" w:cs="Times New Roman"/>
                <w:b/>
                <w:color w:val="auto"/>
                <w:sz w:val="21"/>
                <w:szCs w:val="21"/>
                <w:u w:val="none" w:color="auto"/>
                <w:lang w:val="en-US" w:eastAsia="zh-CN"/>
              </w:rPr>
              <w:t>外</w:t>
            </w:r>
            <w:r>
              <w:rPr>
                <w:rFonts w:hint="default" w:ascii="Times New Roman" w:hAnsi="Times New Roman" w:eastAsia="宋体" w:cs="Times New Roman"/>
                <w:b/>
                <w:color w:val="auto"/>
                <w:sz w:val="21"/>
                <w:szCs w:val="21"/>
                <w:u w:val="none" w:color="auto"/>
              </w:rPr>
              <w:t>声源）</w:t>
            </w:r>
          </w:p>
          <w:tbl>
            <w:tblPr>
              <w:tblStyle w:val="26"/>
              <w:tblW w:w="77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6"/>
              <w:gridCol w:w="691"/>
              <w:gridCol w:w="416"/>
              <w:gridCol w:w="631"/>
              <w:gridCol w:w="750"/>
              <w:gridCol w:w="555"/>
              <w:gridCol w:w="1604"/>
              <w:gridCol w:w="1077"/>
              <w:gridCol w:w="829"/>
              <w:gridCol w:w="828"/>
            </w:tblGrid>
            <w:tr w14:paraId="57023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416" w:type="dxa"/>
                  <w:vMerge w:val="restart"/>
                  <w:tcBorders>
                    <w:tl2br w:val="nil"/>
                    <w:tr2bl w:val="nil"/>
                  </w:tcBorders>
                  <w:vAlign w:val="center"/>
                </w:tcPr>
                <w:p w14:paraId="19BD021E">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序号</w:t>
                  </w:r>
                </w:p>
              </w:tc>
              <w:tc>
                <w:tcPr>
                  <w:tcW w:w="691" w:type="dxa"/>
                  <w:vMerge w:val="restart"/>
                  <w:tcBorders>
                    <w:tl2br w:val="nil"/>
                    <w:tr2bl w:val="nil"/>
                  </w:tcBorders>
                  <w:vAlign w:val="center"/>
                </w:tcPr>
                <w:p w14:paraId="269F682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声源名称</w:t>
                  </w:r>
                </w:p>
              </w:tc>
              <w:tc>
                <w:tcPr>
                  <w:tcW w:w="416" w:type="dxa"/>
                  <w:vMerge w:val="restart"/>
                  <w:tcBorders>
                    <w:tl2br w:val="nil"/>
                    <w:tr2bl w:val="nil"/>
                  </w:tcBorders>
                  <w:vAlign w:val="center"/>
                </w:tcPr>
                <w:p w14:paraId="47752E8F">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型号</w:t>
                  </w:r>
                </w:p>
              </w:tc>
              <w:tc>
                <w:tcPr>
                  <w:tcW w:w="1936" w:type="dxa"/>
                  <w:gridSpan w:val="3"/>
                  <w:tcBorders>
                    <w:tl2br w:val="nil"/>
                    <w:tr2bl w:val="nil"/>
                  </w:tcBorders>
                  <w:vAlign w:val="center"/>
                </w:tcPr>
                <w:p w14:paraId="19260AE6">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空间相对位置/m</w:t>
                  </w:r>
                </w:p>
              </w:tc>
              <w:tc>
                <w:tcPr>
                  <w:tcW w:w="2681" w:type="dxa"/>
                  <w:gridSpan w:val="2"/>
                  <w:tcBorders>
                    <w:tl2br w:val="nil"/>
                    <w:tr2bl w:val="nil"/>
                  </w:tcBorders>
                  <w:vAlign w:val="center"/>
                </w:tcPr>
                <w:p w14:paraId="30325388">
                  <w:pPr>
                    <w:jc w:val="center"/>
                    <w:rPr>
                      <w:rFonts w:hint="default" w:ascii="Times New Roman" w:hAnsi="Times New Roman" w:eastAsia="宋体" w:cs="Times New Roman"/>
                      <w:sz w:val="21"/>
                      <w:szCs w:val="21"/>
                      <w:u w:val="none" w:color="auto"/>
                      <w:lang w:eastAsia="zh-CN"/>
                    </w:rPr>
                  </w:pPr>
                  <w:r>
                    <w:rPr>
                      <w:rFonts w:hint="default" w:ascii="Times New Roman" w:hAnsi="Times New Roman" w:eastAsia="宋体" w:cs="Times New Roman"/>
                      <w:b/>
                      <w:sz w:val="21"/>
                      <w:szCs w:val="21"/>
                      <w:u w:val="none" w:color="auto"/>
                      <w:lang w:eastAsia="zh-CN"/>
                    </w:rPr>
                    <w:t>声源源强（任选一种）</w:t>
                  </w:r>
                </w:p>
              </w:tc>
              <w:tc>
                <w:tcPr>
                  <w:tcW w:w="829" w:type="dxa"/>
                  <w:vMerge w:val="restart"/>
                  <w:tcBorders>
                    <w:tl2br w:val="nil"/>
                    <w:tr2bl w:val="nil"/>
                  </w:tcBorders>
                  <w:vAlign w:val="center"/>
                </w:tcPr>
                <w:p w14:paraId="0223FE76">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声源控制措施</w:t>
                  </w:r>
                </w:p>
              </w:tc>
              <w:tc>
                <w:tcPr>
                  <w:tcW w:w="828" w:type="dxa"/>
                  <w:vMerge w:val="restart"/>
                  <w:tcBorders>
                    <w:tl2br w:val="nil"/>
                    <w:tr2bl w:val="nil"/>
                  </w:tcBorders>
                  <w:vAlign w:val="center"/>
                </w:tcPr>
                <w:p w14:paraId="36054C2A">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运行时段</w:t>
                  </w:r>
                </w:p>
              </w:tc>
            </w:tr>
            <w:tr w14:paraId="49052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6" w:type="dxa"/>
                  <w:vMerge w:val="continue"/>
                  <w:tcBorders>
                    <w:tl2br w:val="nil"/>
                    <w:tr2bl w:val="nil"/>
                  </w:tcBorders>
                  <w:shd w:val="clear" w:color="auto" w:fill="FFFFFF"/>
                  <w:vAlign w:val="center"/>
                </w:tcPr>
                <w:p w14:paraId="3C4907C3">
                  <w:pPr>
                    <w:jc w:val="center"/>
                    <w:rPr>
                      <w:rFonts w:hint="default" w:ascii="Times New Roman" w:hAnsi="Times New Roman" w:eastAsia="宋体" w:cs="Times New Roman"/>
                      <w:sz w:val="21"/>
                      <w:szCs w:val="21"/>
                      <w:u w:val="none" w:color="auto"/>
                    </w:rPr>
                  </w:pPr>
                </w:p>
              </w:tc>
              <w:tc>
                <w:tcPr>
                  <w:tcW w:w="691" w:type="dxa"/>
                  <w:vMerge w:val="continue"/>
                  <w:tcBorders>
                    <w:tl2br w:val="nil"/>
                    <w:tr2bl w:val="nil"/>
                  </w:tcBorders>
                  <w:shd w:val="clear" w:color="auto" w:fill="FFFFFF"/>
                  <w:vAlign w:val="center"/>
                </w:tcPr>
                <w:p w14:paraId="0F3DC0C5">
                  <w:pPr>
                    <w:jc w:val="center"/>
                    <w:rPr>
                      <w:rFonts w:hint="default" w:ascii="Times New Roman" w:hAnsi="Times New Roman" w:eastAsia="宋体" w:cs="Times New Roman"/>
                      <w:sz w:val="21"/>
                      <w:szCs w:val="21"/>
                      <w:u w:val="none" w:color="auto"/>
                    </w:rPr>
                  </w:pPr>
                </w:p>
              </w:tc>
              <w:tc>
                <w:tcPr>
                  <w:tcW w:w="416" w:type="dxa"/>
                  <w:vMerge w:val="continue"/>
                  <w:tcBorders>
                    <w:tl2br w:val="nil"/>
                    <w:tr2bl w:val="nil"/>
                  </w:tcBorders>
                  <w:shd w:val="clear" w:color="auto" w:fill="FFFFFF"/>
                  <w:vAlign w:val="center"/>
                </w:tcPr>
                <w:p w14:paraId="26197A56">
                  <w:pPr>
                    <w:jc w:val="both"/>
                    <w:rPr>
                      <w:rFonts w:hint="default" w:ascii="Times New Roman" w:hAnsi="Times New Roman" w:eastAsia="宋体" w:cs="Times New Roman"/>
                      <w:sz w:val="21"/>
                      <w:szCs w:val="21"/>
                      <w:u w:val="none" w:color="auto"/>
                    </w:rPr>
                  </w:pPr>
                </w:p>
              </w:tc>
              <w:tc>
                <w:tcPr>
                  <w:tcW w:w="631" w:type="dxa"/>
                  <w:tcBorders>
                    <w:tl2br w:val="nil"/>
                    <w:tr2bl w:val="nil"/>
                  </w:tcBorders>
                  <w:shd w:val="clear" w:color="auto" w:fill="FFFFFF"/>
                  <w:vAlign w:val="center"/>
                </w:tcPr>
                <w:p w14:paraId="0B42450D">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X</w:t>
                  </w:r>
                </w:p>
              </w:tc>
              <w:tc>
                <w:tcPr>
                  <w:tcW w:w="750" w:type="dxa"/>
                  <w:tcBorders>
                    <w:tl2br w:val="nil"/>
                    <w:tr2bl w:val="nil"/>
                  </w:tcBorders>
                  <w:shd w:val="clear" w:color="auto" w:fill="FFFFFF"/>
                  <w:vAlign w:val="center"/>
                </w:tcPr>
                <w:p w14:paraId="66D197B8">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Y</w:t>
                  </w:r>
                </w:p>
              </w:tc>
              <w:tc>
                <w:tcPr>
                  <w:tcW w:w="555" w:type="dxa"/>
                  <w:tcBorders>
                    <w:tl2br w:val="nil"/>
                    <w:tr2bl w:val="nil"/>
                  </w:tcBorders>
                  <w:shd w:val="clear" w:color="auto" w:fill="FFFFFF"/>
                  <w:vAlign w:val="center"/>
                </w:tcPr>
                <w:p w14:paraId="58722520">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Z</w:t>
                  </w:r>
                </w:p>
              </w:tc>
              <w:tc>
                <w:tcPr>
                  <w:tcW w:w="1604" w:type="dxa"/>
                  <w:tcBorders>
                    <w:tl2br w:val="nil"/>
                    <w:tr2bl w:val="nil"/>
                  </w:tcBorders>
                  <w:shd w:val="clear" w:color="auto" w:fill="FFFFFF"/>
                  <w:vAlign w:val="center"/>
                </w:tcPr>
                <w:p w14:paraId="5DD38D6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（声压级/距声源距离）/（dB(A)/m）</w:t>
                  </w:r>
                </w:p>
              </w:tc>
              <w:tc>
                <w:tcPr>
                  <w:tcW w:w="1077" w:type="dxa"/>
                  <w:tcBorders>
                    <w:tl2br w:val="nil"/>
                    <w:tr2bl w:val="nil"/>
                  </w:tcBorders>
                  <w:shd w:val="clear" w:color="auto" w:fill="FFFFFF"/>
                  <w:vAlign w:val="center"/>
                </w:tcPr>
                <w:p w14:paraId="4C65C318">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声功率级/dB(A)</w:t>
                  </w:r>
                </w:p>
              </w:tc>
              <w:tc>
                <w:tcPr>
                  <w:tcW w:w="829" w:type="dxa"/>
                  <w:vMerge w:val="continue"/>
                  <w:tcBorders>
                    <w:tl2br w:val="nil"/>
                    <w:tr2bl w:val="nil"/>
                  </w:tcBorders>
                  <w:shd w:val="clear" w:color="auto" w:fill="FFFFFF"/>
                  <w:vAlign w:val="center"/>
                </w:tcPr>
                <w:p w14:paraId="3361429E">
                  <w:pPr>
                    <w:jc w:val="center"/>
                    <w:rPr>
                      <w:rFonts w:hint="default" w:ascii="Times New Roman" w:hAnsi="Times New Roman" w:eastAsia="宋体" w:cs="Times New Roman"/>
                      <w:sz w:val="21"/>
                      <w:szCs w:val="21"/>
                      <w:u w:val="none" w:color="auto"/>
                    </w:rPr>
                  </w:pPr>
                </w:p>
              </w:tc>
              <w:tc>
                <w:tcPr>
                  <w:tcW w:w="828" w:type="dxa"/>
                  <w:vMerge w:val="continue"/>
                  <w:tcBorders>
                    <w:tl2br w:val="nil"/>
                    <w:tr2bl w:val="nil"/>
                  </w:tcBorders>
                  <w:shd w:val="clear" w:color="auto" w:fill="FFFFFF"/>
                  <w:vAlign w:val="center"/>
                </w:tcPr>
                <w:p w14:paraId="14CE826F">
                  <w:pPr>
                    <w:jc w:val="center"/>
                    <w:rPr>
                      <w:rFonts w:hint="default" w:ascii="Times New Roman" w:hAnsi="Times New Roman" w:eastAsia="宋体" w:cs="Times New Roman"/>
                      <w:sz w:val="21"/>
                      <w:szCs w:val="21"/>
                      <w:u w:val="none" w:color="auto"/>
                    </w:rPr>
                  </w:pPr>
                </w:p>
              </w:tc>
            </w:tr>
            <w:tr w14:paraId="35037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5E669410">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w:t>
                  </w:r>
                </w:p>
              </w:tc>
              <w:tc>
                <w:tcPr>
                  <w:tcW w:w="691" w:type="dxa"/>
                  <w:tcBorders>
                    <w:tl2br w:val="nil"/>
                    <w:tr2bl w:val="nil"/>
                  </w:tcBorders>
                  <w:shd w:val="clear" w:color="auto" w:fill="FFFFFF"/>
                  <w:vAlign w:val="center"/>
                </w:tcPr>
                <w:p w14:paraId="57EA1331">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风机</w:t>
                  </w:r>
                </w:p>
              </w:tc>
              <w:tc>
                <w:tcPr>
                  <w:tcW w:w="416" w:type="dxa"/>
                  <w:tcBorders>
                    <w:tl2br w:val="nil"/>
                    <w:tr2bl w:val="nil"/>
                  </w:tcBorders>
                  <w:shd w:val="clear" w:color="auto" w:fill="FFFFFF"/>
                  <w:vAlign w:val="center"/>
                </w:tcPr>
                <w:p w14:paraId="170875E9">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3C124ECE">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55.3</w:t>
                  </w:r>
                </w:p>
              </w:tc>
              <w:tc>
                <w:tcPr>
                  <w:tcW w:w="750" w:type="dxa"/>
                  <w:tcBorders>
                    <w:tl2br w:val="nil"/>
                    <w:tr2bl w:val="nil"/>
                  </w:tcBorders>
                  <w:shd w:val="clear" w:color="auto" w:fill="FFFFFF"/>
                  <w:vAlign w:val="center"/>
                </w:tcPr>
                <w:p w14:paraId="570A476A">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151.7</w:t>
                  </w:r>
                </w:p>
              </w:tc>
              <w:tc>
                <w:tcPr>
                  <w:tcW w:w="555" w:type="dxa"/>
                  <w:tcBorders>
                    <w:tl2br w:val="nil"/>
                    <w:tr2bl w:val="nil"/>
                  </w:tcBorders>
                  <w:shd w:val="clear" w:color="auto" w:fill="FFFFFF"/>
                  <w:vAlign w:val="center"/>
                </w:tcPr>
                <w:p w14:paraId="501537AC">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7CFA5AD0">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766F58B6">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85</w:t>
                  </w:r>
                </w:p>
              </w:tc>
              <w:tc>
                <w:tcPr>
                  <w:tcW w:w="829" w:type="dxa"/>
                  <w:tcBorders>
                    <w:tl2br w:val="nil"/>
                    <w:tr2bl w:val="nil"/>
                  </w:tcBorders>
                  <w:shd w:val="clear" w:color="auto" w:fill="FFFFFF"/>
                  <w:vAlign w:val="center"/>
                </w:tcPr>
                <w:p w14:paraId="62B8D05E">
                  <w:pP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57E7BB6B">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sz w:val="20"/>
                      <w:u w:val="none" w:color="auto"/>
                      <w:lang w:val="en-US" w:eastAsia="zh-CN"/>
                    </w:rPr>
                    <w:t>9:00-17:00</w:t>
                  </w:r>
                </w:p>
              </w:tc>
            </w:tr>
            <w:tr w14:paraId="22F09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0DDAF1AB">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2</w:t>
                  </w:r>
                </w:p>
              </w:tc>
              <w:tc>
                <w:tcPr>
                  <w:tcW w:w="691" w:type="dxa"/>
                  <w:tcBorders>
                    <w:tl2br w:val="nil"/>
                    <w:tr2bl w:val="nil"/>
                  </w:tcBorders>
                  <w:shd w:val="clear" w:color="auto" w:fill="FFFFFF"/>
                  <w:vAlign w:val="center"/>
                </w:tcPr>
                <w:p w14:paraId="499B72DD">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布袋除尘器</w:t>
                  </w:r>
                </w:p>
              </w:tc>
              <w:tc>
                <w:tcPr>
                  <w:tcW w:w="416" w:type="dxa"/>
                  <w:tcBorders>
                    <w:tl2br w:val="nil"/>
                    <w:tr2bl w:val="nil"/>
                  </w:tcBorders>
                  <w:shd w:val="clear" w:color="auto" w:fill="FFFFFF"/>
                  <w:vAlign w:val="center"/>
                </w:tcPr>
                <w:p w14:paraId="5EB4E446">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62E34175">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55.3</w:t>
                  </w:r>
                </w:p>
              </w:tc>
              <w:tc>
                <w:tcPr>
                  <w:tcW w:w="750" w:type="dxa"/>
                  <w:tcBorders>
                    <w:tl2br w:val="nil"/>
                    <w:tr2bl w:val="nil"/>
                  </w:tcBorders>
                  <w:shd w:val="clear" w:color="auto" w:fill="FFFFFF"/>
                  <w:vAlign w:val="center"/>
                </w:tcPr>
                <w:p w14:paraId="5676F929">
                  <w:pPr>
                    <w:rPr>
                      <w:rFonts w:hint="default" w:ascii="Times New Roman" w:hAnsi="Times New Roman" w:eastAsia="宋体" w:cs="Times New Roman"/>
                      <w:sz w:val="20"/>
                      <w:u w:val="none" w:color="auto"/>
                      <w:lang w:eastAsia="zh-CN"/>
                    </w:rPr>
                  </w:pPr>
                  <w:r>
                    <w:rPr>
                      <w:rFonts w:hint="default" w:ascii="Times New Roman" w:hAnsi="Times New Roman" w:eastAsia="宋体" w:cs="Times New Roman"/>
                      <w:sz w:val="20"/>
                      <w:u w:val="none" w:color="auto"/>
                    </w:rPr>
                    <w:t>15</w:t>
                  </w:r>
                  <w:r>
                    <w:rPr>
                      <w:rFonts w:hint="default" w:ascii="Times New Roman" w:hAnsi="Times New Roman" w:eastAsia="宋体" w:cs="Times New Roman"/>
                      <w:sz w:val="20"/>
                      <w:u w:val="none" w:color="auto"/>
                      <w:lang w:val="en-US" w:eastAsia="zh-CN"/>
                    </w:rPr>
                    <w:t>3</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4</w:t>
                  </w:r>
                </w:p>
              </w:tc>
              <w:tc>
                <w:tcPr>
                  <w:tcW w:w="555" w:type="dxa"/>
                  <w:tcBorders>
                    <w:tl2br w:val="nil"/>
                    <w:tr2bl w:val="nil"/>
                  </w:tcBorders>
                  <w:shd w:val="clear" w:color="auto" w:fill="FFFFFF"/>
                  <w:vAlign w:val="center"/>
                </w:tcPr>
                <w:p w14:paraId="3ABDE036">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61C76FDC">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55E185C5">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85</w:t>
                  </w:r>
                </w:p>
              </w:tc>
              <w:tc>
                <w:tcPr>
                  <w:tcW w:w="829" w:type="dxa"/>
                  <w:tcBorders>
                    <w:tl2br w:val="nil"/>
                    <w:tr2bl w:val="nil"/>
                  </w:tcBorders>
                  <w:shd w:val="clear" w:color="auto" w:fill="FFFFFF"/>
                  <w:vAlign w:val="center"/>
                </w:tcPr>
                <w:p w14:paraId="41309AFD">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59DBB959">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9:00-17:00</w:t>
                  </w:r>
                </w:p>
              </w:tc>
            </w:tr>
            <w:tr w14:paraId="4FBC9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0A40B7A1">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3</w:t>
                  </w:r>
                </w:p>
              </w:tc>
              <w:tc>
                <w:tcPr>
                  <w:tcW w:w="691" w:type="dxa"/>
                  <w:tcBorders>
                    <w:tl2br w:val="nil"/>
                    <w:tr2bl w:val="nil"/>
                  </w:tcBorders>
                  <w:shd w:val="clear" w:color="auto" w:fill="FFFFFF"/>
                  <w:vAlign w:val="center"/>
                </w:tcPr>
                <w:p w14:paraId="6AF7D4DE">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多管旋风除尘器</w:t>
                  </w:r>
                </w:p>
              </w:tc>
              <w:tc>
                <w:tcPr>
                  <w:tcW w:w="416" w:type="dxa"/>
                  <w:tcBorders>
                    <w:tl2br w:val="nil"/>
                    <w:tr2bl w:val="nil"/>
                  </w:tcBorders>
                  <w:shd w:val="clear" w:color="auto" w:fill="FFFFFF"/>
                  <w:vAlign w:val="center"/>
                </w:tcPr>
                <w:p w14:paraId="38E25DD0">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114C6FCE">
                  <w:pPr>
                    <w:rPr>
                      <w:rFonts w:hint="default" w:ascii="Times New Roman" w:hAnsi="Times New Roman" w:eastAsia="宋体" w:cs="Times New Roman"/>
                      <w:sz w:val="20"/>
                      <w:u w:val="none" w:color="auto"/>
                      <w:lang w:eastAsia="zh-CN"/>
                    </w:rPr>
                  </w:pPr>
                  <w:r>
                    <w:rPr>
                      <w:rFonts w:hint="default" w:ascii="Times New Roman" w:hAnsi="Times New Roman" w:eastAsia="宋体" w:cs="Times New Roman"/>
                      <w:sz w:val="20"/>
                      <w:u w:val="none" w:color="auto"/>
                    </w:rPr>
                    <w:t>5</w:t>
                  </w:r>
                  <w:r>
                    <w:rPr>
                      <w:rFonts w:hint="default" w:ascii="Times New Roman" w:hAnsi="Times New Roman" w:eastAsia="宋体" w:cs="Times New Roman"/>
                      <w:sz w:val="20"/>
                      <w:u w:val="none" w:color="auto"/>
                      <w:lang w:val="en-US" w:eastAsia="zh-CN"/>
                    </w:rPr>
                    <w:t>7</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9</w:t>
                  </w:r>
                </w:p>
              </w:tc>
              <w:tc>
                <w:tcPr>
                  <w:tcW w:w="750" w:type="dxa"/>
                  <w:tcBorders>
                    <w:tl2br w:val="nil"/>
                    <w:tr2bl w:val="nil"/>
                  </w:tcBorders>
                  <w:shd w:val="clear" w:color="auto" w:fill="FFFFFF"/>
                  <w:vAlign w:val="center"/>
                </w:tcPr>
                <w:p w14:paraId="4B9F95DF">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15</w:t>
                  </w:r>
                  <w:r>
                    <w:rPr>
                      <w:rFonts w:hint="default" w:ascii="Times New Roman" w:hAnsi="Times New Roman" w:eastAsia="宋体" w:cs="Times New Roman"/>
                      <w:sz w:val="20"/>
                      <w:u w:val="none" w:color="auto"/>
                      <w:lang w:val="en-US" w:eastAsia="zh-CN"/>
                    </w:rPr>
                    <w:t>3</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4</w:t>
                  </w:r>
                </w:p>
              </w:tc>
              <w:tc>
                <w:tcPr>
                  <w:tcW w:w="555" w:type="dxa"/>
                  <w:tcBorders>
                    <w:tl2br w:val="nil"/>
                    <w:tr2bl w:val="nil"/>
                  </w:tcBorders>
                  <w:shd w:val="clear" w:color="auto" w:fill="FFFFFF"/>
                  <w:vAlign w:val="center"/>
                </w:tcPr>
                <w:p w14:paraId="44AC1D54">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3F94CDAA">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47CB8046">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85</w:t>
                  </w:r>
                </w:p>
              </w:tc>
              <w:tc>
                <w:tcPr>
                  <w:tcW w:w="829" w:type="dxa"/>
                  <w:tcBorders>
                    <w:tl2br w:val="nil"/>
                    <w:tr2bl w:val="nil"/>
                  </w:tcBorders>
                  <w:shd w:val="clear" w:color="auto" w:fill="FFFFFF"/>
                  <w:vAlign w:val="center"/>
                </w:tcPr>
                <w:p w14:paraId="616BD643">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2C9F4CC8">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9:00-17:00</w:t>
                  </w:r>
                </w:p>
              </w:tc>
            </w:tr>
            <w:tr w14:paraId="41E92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23AB1FDD">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4</w:t>
                  </w:r>
                </w:p>
              </w:tc>
              <w:tc>
                <w:tcPr>
                  <w:tcW w:w="691" w:type="dxa"/>
                  <w:tcBorders>
                    <w:tl2br w:val="nil"/>
                    <w:tr2bl w:val="nil"/>
                  </w:tcBorders>
                  <w:shd w:val="clear" w:color="auto" w:fill="FFFFFF"/>
                  <w:vAlign w:val="center"/>
                </w:tcPr>
                <w:p w14:paraId="13C7234D">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喷淋塔</w:t>
                  </w:r>
                </w:p>
              </w:tc>
              <w:tc>
                <w:tcPr>
                  <w:tcW w:w="416" w:type="dxa"/>
                  <w:tcBorders>
                    <w:tl2br w:val="nil"/>
                    <w:tr2bl w:val="nil"/>
                  </w:tcBorders>
                  <w:shd w:val="clear" w:color="auto" w:fill="FFFFFF"/>
                  <w:vAlign w:val="center"/>
                </w:tcPr>
                <w:p w14:paraId="301B610F">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61D8AB3D">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60.3</w:t>
                  </w:r>
                </w:p>
              </w:tc>
              <w:tc>
                <w:tcPr>
                  <w:tcW w:w="750" w:type="dxa"/>
                  <w:tcBorders>
                    <w:tl2br w:val="nil"/>
                    <w:tr2bl w:val="nil"/>
                  </w:tcBorders>
                  <w:shd w:val="clear" w:color="auto" w:fill="FFFFFF"/>
                  <w:vAlign w:val="center"/>
                </w:tcPr>
                <w:p w14:paraId="1433AE07">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15</w:t>
                  </w:r>
                  <w:r>
                    <w:rPr>
                      <w:rFonts w:hint="default" w:ascii="Times New Roman" w:hAnsi="Times New Roman" w:eastAsia="宋体" w:cs="Times New Roman"/>
                      <w:sz w:val="20"/>
                      <w:u w:val="none" w:color="auto"/>
                      <w:lang w:val="en-US" w:eastAsia="zh-CN"/>
                    </w:rPr>
                    <w:t>3</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4</w:t>
                  </w:r>
                </w:p>
              </w:tc>
              <w:tc>
                <w:tcPr>
                  <w:tcW w:w="555" w:type="dxa"/>
                  <w:tcBorders>
                    <w:tl2br w:val="nil"/>
                    <w:tr2bl w:val="nil"/>
                  </w:tcBorders>
                  <w:shd w:val="clear" w:color="auto" w:fill="FFFFFF"/>
                  <w:vAlign w:val="center"/>
                </w:tcPr>
                <w:p w14:paraId="760EFFB4">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10C2549A">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00CD7F4E">
                  <w:pPr>
                    <w:rPr>
                      <w:rFonts w:hint="default" w:ascii="Times New Roman" w:hAnsi="Times New Roman" w:eastAsia="宋体" w:cs="Times New Roman"/>
                      <w:sz w:val="20"/>
                      <w:u w:val="none" w:color="auto"/>
                      <w:lang w:eastAsia="zh-CN"/>
                    </w:rPr>
                  </w:pPr>
                  <w:r>
                    <w:rPr>
                      <w:rFonts w:hint="default" w:ascii="Times New Roman" w:hAnsi="Times New Roman" w:eastAsia="宋体" w:cs="Times New Roman"/>
                      <w:sz w:val="20"/>
                      <w:u w:val="none" w:color="auto"/>
                    </w:rPr>
                    <w:t>8</w:t>
                  </w:r>
                  <w:r>
                    <w:rPr>
                      <w:rFonts w:hint="default" w:ascii="Times New Roman" w:hAnsi="Times New Roman" w:eastAsia="宋体" w:cs="Times New Roman"/>
                      <w:sz w:val="20"/>
                      <w:u w:val="none" w:color="auto"/>
                      <w:lang w:val="en-US" w:eastAsia="zh-CN"/>
                    </w:rPr>
                    <w:t>0</w:t>
                  </w:r>
                </w:p>
              </w:tc>
              <w:tc>
                <w:tcPr>
                  <w:tcW w:w="829" w:type="dxa"/>
                  <w:tcBorders>
                    <w:tl2br w:val="nil"/>
                    <w:tr2bl w:val="nil"/>
                  </w:tcBorders>
                  <w:shd w:val="clear" w:color="auto" w:fill="FFFFFF"/>
                  <w:vAlign w:val="center"/>
                </w:tcPr>
                <w:p w14:paraId="746F5907">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6DB02DF8">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9:00-17:00</w:t>
                  </w:r>
                </w:p>
              </w:tc>
            </w:tr>
            <w:tr w14:paraId="1EF09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1232A1F0">
                  <w:pPr>
                    <w:rPr>
                      <w:rFonts w:hint="default" w:ascii="Times New Roman" w:hAnsi="Times New Roman" w:eastAsia="宋体" w:cs="Times New Roman"/>
                      <w:sz w:val="20"/>
                      <w:u w:val="none" w:color="auto"/>
                      <w:lang w:val="en-US" w:eastAsia="zh-CN"/>
                    </w:rPr>
                  </w:pPr>
                  <w:r>
                    <w:rPr>
                      <w:rFonts w:hint="eastAsia" w:cs="Times New Roman"/>
                      <w:sz w:val="20"/>
                      <w:u w:val="none" w:color="auto"/>
                      <w:lang w:val="en-US" w:eastAsia="zh-CN"/>
                    </w:rPr>
                    <w:t>5</w:t>
                  </w:r>
                </w:p>
              </w:tc>
              <w:tc>
                <w:tcPr>
                  <w:tcW w:w="691" w:type="dxa"/>
                  <w:tcBorders>
                    <w:tl2br w:val="nil"/>
                    <w:tr2bl w:val="nil"/>
                  </w:tcBorders>
                  <w:shd w:val="clear" w:color="auto" w:fill="FFFFFF"/>
                  <w:vAlign w:val="center"/>
                </w:tcPr>
                <w:p w14:paraId="4A6CB23A">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布袋除尘器</w:t>
                  </w:r>
                </w:p>
              </w:tc>
              <w:tc>
                <w:tcPr>
                  <w:tcW w:w="416" w:type="dxa"/>
                  <w:tcBorders>
                    <w:tl2br w:val="nil"/>
                    <w:tr2bl w:val="nil"/>
                  </w:tcBorders>
                  <w:shd w:val="clear" w:color="auto" w:fill="FFFFFF"/>
                  <w:vAlign w:val="center"/>
                </w:tcPr>
                <w:p w14:paraId="2702903C">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352CDC63">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rPr>
                    <w:t>55.3</w:t>
                  </w:r>
                </w:p>
              </w:tc>
              <w:tc>
                <w:tcPr>
                  <w:tcW w:w="750" w:type="dxa"/>
                  <w:tcBorders>
                    <w:tl2br w:val="nil"/>
                    <w:tr2bl w:val="nil"/>
                  </w:tcBorders>
                  <w:shd w:val="clear" w:color="auto" w:fill="FFFFFF"/>
                  <w:vAlign w:val="center"/>
                </w:tcPr>
                <w:p w14:paraId="5C31F4A7">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15</w:t>
                  </w:r>
                  <w:r>
                    <w:rPr>
                      <w:rFonts w:hint="default" w:ascii="Times New Roman" w:hAnsi="Times New Roman" w:eastAsia="宋体" w:cs="Times New Roman"/>
                      <w:sz w:val="20"/>
                      <w:u w:val="none" w:color="auto"/>
                      <w:lang w:val="en-US" w:eastAsia="zh-CN"/>
                    </w:rPr>
                    <w:t>3</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4</w:t>
                  </w:r>
                </w:p>
              </w:tc>
              <w:tc>
                <w:tcPr>
                  <w:tcW w:w="555" w:type="dxa"/>
                  <w:tcBorders>
                    <w:tl2br w:val="nil"/>
                    <w:tr2bl w:val="nil"/>
                  </w:tcBorders>
                  <w:shd w:val="clear" w:color="auto" w:fill="FFFFFF"/>
                  <w:vAlign w:val="center"/>
                </w:tcPr>
                <w:p w14:paraId="1D2A6CA0">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469DA5CD">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785B6F9D">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85</w:t>
                  </w:r>
                </w:p>
              </w:tc>
              <w:tc>
                <w:tcPr>
                  <w:tcW w:w="829" w:type="dxa"/>
                  <w:tcBorders>
                    <w:tl2br w:val="nil"/>
                    <w:tr2bl w:val="nil"/>
                  </w:tcBorders>
                  <w:shd w:val="clear" w:color="auto" w:fill="FFFFFF"/>
                  <w:vAlign w:val="center"/>
                </w:tcPr>
                <w:p w14:paraId="5F32493F">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44E2D544">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9:00-17:00</w:t>
                  </w:r>
                </w:p>
              </w:tc>
            </w:tr>
            <w:tr w14:paraId="50474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3" w:hRule="exact"/>
                <w:jc w:val="center"/>
              </w:trPr>
              <w:tc>
                <w:tcPr>
                  <w:tcW w:w="416" w:type="dxa"/>
                  <w:tcBorders>
                    <w:tl2br w:val="nil"/>
                    <w:tr2bl w:val="nil"/>
                  </w:tcBorders>
                  <w:shd w:val="clear" w:color="auto" w:fill="FFFFFF"/>
                  <w:vAlign w:val="center"/>
                </w:tcPr>
                <w:p w14:paraId="7494B17A">
                  <w:pPr>
                    <w:rPr>
                      <w:rFonts w:hint="default" w:ascii="Times New Roman" w:hAnsi="Times New Roman" w:eastAsia="宋体" w:cs="Times New Roman"/>
                      <w:sz w:val="20"/>
                      <w:u w:val="none" w:color="auto"/>
                      <w:lang w:val="en-US" w:eastAsia="zh-CN"/>
                    </w:rPr>
                  </w:pPr>
                  <w:r>
                    <w:rPr>
                      <w:rFonts w:hint="eastAsia" w:cs="Times New Roman"/>
                      <w:sz w:val="20"/>
                      <w:u w:val="none" w:color="auto"/>
                      <w:lang w:val="en-US" w:eastAsia="zh-CN"/>
                    </w:rPr>
                    <w:t>6</w:t>
                  </w:r>
                </w:p>
              </w:tc>
              <w:tc>
                <w:tcPr>
                  <w:tcW w:w="691" w:type="dxa"/>
                  <w:tcBorders>
                    <w:tl2br w:val="nil"/>
                    <w:tr2bl w:val="nil"/>
                  </w:tcBorders>
                  <w:shd w:val="clear" w:color="auto" w:fill="FFFFFF"/>
                  <w:vAlign w:val="center"/>
                </w:tcPr>
                <w:p w14:paraId="141B458E">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多管旋风除尘器</w:t>
                  </w:r>
                </w:p>
              </w:tc>
              <w:tc>
                <w:tcPr>
                  <w:tcW w:w="416" w:type="dxa"/>
                  <w:tcBorders>
                    <w:tl2br w:val="nil"/>
                    <w:tr2bl w:val="nil"/>
                  </w:tcBorders>
                  <w:shd w:val="clear" w:color="auto" w:fill="FFFFFF"/>
                  <w:vAlign w:val="center"/>
                </w:tcPr>
                <w:p w14:paraId="34215CF6">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631" w:type="dxa"/>
                  <w:tcBorders>
                    <w:tl2br w:val="nil"/>
                    <w:tr2bl w:val="nil"/>
                  </w:tcBorders>
                  <w:shd w:val="clear" w:color="auto" w:fill="FFFFFF"/>
                  <w:vAlign w:val="center"/>
                </w:tcPr>
                <w:p w14:paraId="42C41D40">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rPr>
                    <w:t>5</w:t>
                  </w:r>
                  <w:r>
                    <w:rPr>
                      <w:rFonts w:hint="default" w:ascii="Times New Roman" w:hAnsi="Times New Roman" w:eastAsia="宋体" w:cs="Times New Roman"/>
                      <w:sz w:val="20"/>
                      <w:u w:val="none" w:color="auto"/>
                      <w:lang w:val="en-US" w:eastAsia="zh-CN"/>
                    </w:rPr>
                    <w:t>7</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9</w:t>
                  </w:r>
                </w:p>
              </w:tc>
              <w:tc>
                <w:tcPr>
                  <w:tcW w:w="750" w:type="dxa"/>
                  <w:tcBorders>
                    <w:tl2br w:val="nil"/>
                    <w:tr2bl w:val="nil"/>
                  </w:tcBorders>
                  <w:shd w:val="clear" w:color="auto" w:fill="FFFFFF"/>
                  <w:vAlign w:val="center"/>
                </w:tcPr>
                <w:p w14:paraId="117AE518">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15</w:t>
                  </w:r>
                  <w:r>
                    <w:rPr>
                      <w:rFonts w:hint="default" w:ascii="Times New Roman" w:hAnsi="Times New Roman" w:eastAsia="宋体" w:cs="Times New Roman"/>
                      <w:sz w:val="20"/>
                      <w:u w:val="none" w:color="auto"/>
                      <w:lang w:val="en-US" w:eastAsia="zh-CN"/>
                    </w:rPr>
                    <w:t>3</w:t>
                  </w:r>
                  <w:r>
                    <w:rPr>
                      <w:rFonts w:hint="default" w:ascii="Times New Roman" w:hAnsi="Times New Roman" w:eastAsia="宋体" w:cs="Times New Roman"/>
                      <w:sz w:val="20"/>
                      <w:u w:val="none" w:color="auto"/>
                    </w:rPr>
                    <w:t>.</w:t>
                  </w:r>
                  <w:r>
                    <w:rPr>
                      <w:rFonts w:hint="default" w:ascii="Times New Roman" w:hAnsi="Times New Roman" w:eastAsia="宋体" w:cs="Times New Roman"/>
                      <w:sz w:val="20"/>
                      <w:u w:val="none" w:color="auto"/>
                      <w:lang w:val="en-US" w:eastAsia="zh-CN"/>
                    </w:rPr>
                    <w:t>4</w:t>
                  </w:r>
                </w:p>
              </w:tc>
              <w:tc>
                <w:tcPr>
                  <w:tcW w:w="555" w:type="dxa"/>
                  <w:tcBorders>
                    <w:tl2br w:val="nil"/>
                    <w:tr2bl w:val="nil"/>
                  </w:tcBorders>
                  <w:shd w:val="clear" w:color="auto" w:fill="FFFFFF"/>
                  <w:vAlign w:val="center"/>
                </w:tcPr>
                <w:p w14:paraId="0E1E72A8">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1.2</w:t>
                  </w:r>
                </w:p>
              </w:tc>
              <w:tc>
                <w:tcPr>
                  <w:tcW w:w="1604" w:type="dxa"/>
                  <w:tcBorders>
                    <w:tl2br w:val="nil"/>
                    <w:tr2bl w:val="nil"/>
                  </w:tcBorders>
                  <w:shd w:val="clear" w:color="auto" w:fill="FFFFFF"/>
                  <w:vAlign w:val="center"/>
                </w:tcPr>
                <w:p w14:paraId="595BA8BA">
                  <w:pPr>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w:t>
                  </w:r>
                </w:p>
              </w:tc>
              <w:tc>
                <w:tcPr>
                  <w:tcW w:w="1077" w:type="dxa"/>
                  <w:tcBorders>
                    <w:tl2br w:val="nil"/>
                    <w:tr2bl w:val="nil"/>
                  </w:tcBorders>
                  <w:shd w:val="clear" w:color="auto" w:fill="FFFFFF"/>
                  <w:vAlign w:val="center"/>
                </w:tcPr>
                <w:p w14:paraId="1FAF5045">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85</w:t>
                  </w:r>
                </w:p>
              </w:tc>
              <w:tc>
                <w:tcPr>
                  <w:tcW w:w="829" w:type="dxa"/>
                  <w:tcBorders>
                    <w:tl2br w:val="nil"/>
                    <w:tr2bl w:val="nil"/>
                  </w:tcBorders>
                  <w:shd w:val="clear" w:color="auto" w:fill="FFFFFF"/>
                  <w:vAlign w:val="center"/>
                </w:tcPr>
                <w:p w14:paraId="79D9F109">
                  <w:pPr>
                    <w:rPr>
                      <w:rFonts w:hint="default" w:ascii="Times New Roman" w:hAnsi="Times New Roman" w:eastAsia="宋体" w:cs="Times New Roman"/>
                      <w:sz w:val="20"/>
                      <w:u w:val="none" w:color="auto"/>
                    </w:rPr>
                  </w:pPr>
                  <w:r>
                    <w:rPr>
                      <w:rFonts w:hint="default" w:ascii="Times New Roman" w:hAnsi="Times New Roman" w:eastAsia="宋体" w:cs="Times New Roman"/>
                      <w:sz w:val="20"/>
                      <w:u w:val="none" w:color="auto"/>
                    </w:rPr>
                    <w:t>隔声减震</w:t>
                  </w:r>
                </w:p>
              </w:tc>
              <w:tc>
                <w:tcPr>
                  <w:tcW w:w="828" w:type="dxa"/>
                  <w:tcBorders>
                    <w:tl2br w:val="nil"/>
                    <w:tr2bl w:val="nil"/>
                  </w:tcBorders>
                  <w:shd w:val="clear" w:color="auto" w:fill="FFFFFF"/>
                  <w:vAlign w:val="center"/>
                </w:tcPr>
                <w:p w14:paraId="5942EEE4">
                  <w:pPr>
                    <w:rPr>
                      <w:rFonts w:hint="default" w:ascii="Times New Roman" w:hAnsi="Times New Roman" w:eastAsia="宋体" w:cs="Times New Roman"/>
                      <w:sz w:val="20"/>
                      <w:u w:val="none" w:color="auto"/>
                      <w:lang w:val="en-US" w:eastAsia="zh-CN"/>
                    </w:rPr>
                  </w:pPr>
                  <w:r>
                    <w:rPr>
                      <w:rFonts w:hint="default" w:ascii="Times New Roman" w:hAnsi="Times New Roman" w:eastAsia="宋体" w:cs="Times New Roman"/>
                      <w:sz w:val="20"/>
                      <w:u w:val="none" w:color="auto"/>
                      <w:lang w:val="en-US" w:eastAsia="zh-CN"/>
                    </w:rPr>
                    <w:t>9:00-17:00</w:t>
                  </w:r>
                </w:p>
              </w:tc>
            </w:tr>
          </w:tbl>
          <w:p w14:paraId="33B0D424">
            <w:pPr>
              <w:pStyle w:val="87"/>
              <w:adjustRightInd w:val="0"/>
              <w:snapToGrid w:val="0"/>
              <w:spacing w:line="360" w:lineRule="auto"/>
              <w:ind w:firstLine="476"/>
              <w:rPr>
                <w:rFonts w:hint="default" w:ascii="Times New Roman" w:hAnsi="Times New Roman" w:eastAsia="宋体" w:cs="Times New Roman"/>
                <w:b/>
                <w:bCs/>
                <w:color w:val="auto"/>
                <w:spacing w:val="-3"/>
                <w:sz w:val="24"/>
                <w:u w:val="none" w:color="auto"/>
                <w:lang w:eastAsia="zh-CN"/>
              </w:rPr>
            </w:pPr>
            <w:r>
              <w:rPr>
                <w:rFonts w:hint="default" w:ascii="Times New Roman" w:hAnsi="Times New Roman" w:eastAsia="宋体" w:cs="Times New Roman"/>
                <w:b/>
                <w:bCs/>
                <w:color w:val="auto"/>
                <w:spacing w:val="-3"/>
                <w:sz w:val="24"/>
                <w:u w:val="none" w:color="auto"/>
                <w:lang w:eastAsia="zh-CN"/>
              </w:rPr>
              <w:t>（2）预测模式</w:t>
            </w:r>
          </w:p>
          <w:p w14:paraId="3223F66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本次声环境影响评价根据《环境影响评价技术导则 声环境》（HJ2.4-2021）中的工业噪声预测模式进行预测分析。</w:t>
            </w:r>
          </w:p>
          <w:p w14:paraId="60E646C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w:t>
            </w:r>
            <w:r>
              <w:rPr>
                <w:rFonts w:hint="default" w:ascii="Times New Roman" w:hAnsi="Times New Roman" w:eastAsia="宋体" w:cs="Times New Roman"/>
                <w:color w:val="auto"/>
                <w:sz w:val="24"/>
                <w:szCs w:val="24"/>
                <w:u w:val="none" w:color="auto"/>
                <w:lang w:val="en-US" w:eastAsia="zh-CN"/>
              </w:rPr>
              <w:t>I</w:t>
            </w:r>
            <w:r>
              <w:rPr>
                <w:rFonts w:hint="default" w:ascii="Times New Roman" w:hAnsi="Times New Roman" w:eastAsia="宋体" w:cs="Times New Roman"/>
                <w:color w:val="auto"/>
                <w:sz w:val="24"/>
                <w:szCs w:val="24"/>
                <w:u w:val="none" w:color="auto"/>
                <w:lang w:eastAsia="zh-CN"/>
              </w:rPr>
              <w:t>）室内声源等效室外声源声功率级计算方法</w:t>
            </w:r>
          </w:p>
          <w:p w14:paraId="010AEB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室内声源可采用等效室外声源声功率级法进行计算。如下图所示，设靠近开口处（或窗户）室内、室外某倍频带的声压级分别为</w:t>
            </w:r>
            <w:r>
              <w:rPr>
                <w:rFonts w:hint="default" w:ascii="Times New Roman" w:hAnsi="Times New Roman" w:eastAsia="宋体" w:cs="Times New Roman"/>
                <w:i/>
                <w:iCs/>
                <w:color w:val="auto"/>
                <w:sz w:val="24"/>
                <w:szCs w:val="24"/>
                <w:u w:val="none" w:color="auto"/>
                <w:lang w:eastAsia="zh-CN"/>
              </w:rPr>
              <w:t>L</w:t>
            </w:r>
            <w:r>
              <w:rPr>
                <w:rFonts w:hint="default" w:ascii="Times New Roman" w:hAnsi="Times New Roman" w:eastAsia="宋体" w:cs="Times New Roman"/>
                <w:i/>
                <w:iCs/>
                <w:color w:val="auto"/>
                <w:sz w:val="24"/>
                <w:szCs w:val="24"/>
                <w:u w:val="none" w:color="auto"/>
                <w:vertAlign w:val="subscript"/>
                <w:lang w:eastAsia="zh-CN"/>
              </w:rPr>
              <w:t>p1</w:t>
            </w:r>
            <w:r>
              <w:rPr>
                <w:rFonts w:hint="default" w:ascii="Times New Roman" w:hAnsi="Times New Roman" w:eastAsia="宋体" w:cs="Times New Roman"/>
                <w:color w:val="auto"/>
                <w:sz w:val="24"/>
                <w:szCs w:val="24"/>
                <w:u w:val="none" w:color="auto"/>
                <w:lang w:eastAsia="zh-CN"/>
              </w:rPr>
              <w:t>和</w:t>
            </w:r>
            <w:r>
              <w:rPr>
                <w:rFonts w:hint="default" w:ascii="Times New Roman" w:hAnsi="Times New Roman" w:eastAsia="宋体" w:cs="Times New Roman"/>
                <w:i/>
                <w:iCs/>
                <w:color w:val="auto"/>
                <w:sz w:val="24"/>
                <w:szCs w:val="24"/>
                <w:u w:val="none" w:color="auto"/>
                <w:lang w:eastAsia="zh-CN"/>
              </w:rPr>
              <w:t>L</w:t>
            </w:r>
            <w:r>
              <w:rPr>
                <w:rFonts w:hint="default" w:ascii="Times New Roman" w:hAnsi="Times New Roman" w:eastAsia="宋体" w:cs="Times New Roman"/>
                <w:i/>
                <w:iCs/>
                <w:color w:val="auto"/>
                <w:sz w:val="24"/>
                <w:szCs w:val="24"/>
                <w:u w:val="none" w:color="auto"/>
                <w:vertAlign w:val="subscript"/>
                <w:lang w:eastAsia="zh-CN"/>
              </w:rPr>
              <w:t>p2</w:t>
            </w:r>
            <w:r>
              <w:rPr>
                <w:rFonts w:hint="default" w:ascii="Times New Roman" w:hAnsi="Times New Roman" w:eastAsia="宋体" w:cs="Times New Roman"/>
                <w:color w:val="auto"/>
                <w:sz w:val="24"/>
                <w:szCs w:val="24"/>
                <w:u w:val="none" w:color="auto"/>
                <w:lang w:eastAsia="zh-CN"/>
              </w:rPr>
              <w:t>。若声源所在室内声场为近似扩散声场，则室外的倍频带声压级可按下式近似求出：</w:t>
            </w:r>
          </w:p>
          <w:p w14:paraId="02203FC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position w:val="-14"/>
                <w:sz w:val="24"/>
                <w:szCs w:val="24"/>
                <w:u w:val="none" w:color="auto"/>
                <w:lang w:eastAsia="zh-CN"/>
              </w:rPr>
              <w:object>
                <v:shape id="_x0000_i1026" o:spt="75" type="#_x0000_t75" style="height:19pt;width:103.95pt;" o:ole="t" filled="f" o:preferrelative="t" stroked="f" coordsize="21600,21600">
                  <v:path/>
                  <v:fill on="f" focussize="0,0"/>
                  <v:stroke on="f"/>
                  <v:imagedata r:id="rId30" o:title=""/>
                  <o:lock v:ext="edit" aspectratio="t"/>
                  <w10:wrap type="none"/>
                  <w10:anchorlock/>
                </v:shape>
                <o:OLEObject Type="Embed" ProgID="Equation.KSEE3" ShapeID="_x0000_i1026" DrawAspect="Content" ObjectID="_1468075726" r:id="rId29">
                  <o:LockedField>false</o:LockedField>
                </o:OLEObject>
              </w:object>
            </w:r>
          </w:p>
          <w:p w14:paraId="57A8313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式中：</w:t>
            </w:r>
          </w:p>
          <w:p w14:paraId="31E0B5C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i/>
                <w:iCs/>
                <w:color w:val="auto"/>
                <w:sz w:val="24"/>
                <w:szCs w:val="24"/>
                <w:u w:val="none" w:color="auto"/>
                <w:lang w:eastAsia="zh-CN"/>
              </w:rPr>
              <w:t>L</w:t>
            </w:r>
            <w:r>
              <w:rPr>
                <w:rFonts w:hint="default" w:ascii="Times New Roman" w:hAnsi="Times New Roman" w:eastAsia="宋体" w:cs="Times New Roman"/>
                <w:i/>
                <w:iCs/>
                <w:color w:val="auto"/>
                <w:sz w:val="24"/>
                <w:szCs w:val="24"/>
                <w:u w:val="none" w:color="auto"/>
                <w:vertAlign w:val="subscript"/>
                <w:lang w:eastAsia="zh-CN"/>
              </w:rPr>
              <w:t>p1</w:t>
            </w:r>
            <w:r>
              <w:rPr>
                <w:rFonts w:hint="default" w:ascii="Times New Roman" w:hAnsi="Times New Roman" w:eastAsia="宋体" w:cs="Times New Roman"/>
                <w:color w:val="auto"/>
                <w:sz w:val="24"/>
                <w:szCs w:val="24"/>
                <w:u w:val="none" w:color="auto"/>
                <w:lang w:eastAsia="zh-CN"/>
              </w:rPr>
              <w:t>——靠近开口处（或窗户）室内某倍频带的声压级或A 声级，dB；</w:t>
            </w:r>
          </w:p>
          <w:p w14:paraId="0D092D6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i/>
                <w:iCs/>
                <w:color w:val="auto"/>
                <w:sz w:val="24"/>
                <w:szCs w:val="24"/>
                <w:u w:val="none" w:color="auto"/>
                <w:lang w:eastAsia="zh-CN"/>
              </w:rPr>
              <w:t>L</w:t>
            </w:r>
            <w:r>
              <w:rPr>
                <w:rFonts w:hint="default" w:ascii="Times New Roman" w:hAnsi="Times New Roman" w:eastAsia="宋体" w:cs="Times New Roman"/>
                <w:i/>
                <w:iCs/>
                <w:color w:val="auto"/>
                <w:sz w:val="24"/>
                <w:szCs w:val="24"/>
                <w:u w:val="none" w:color="auto"/>
                <w:vertAlign w:val="subscript"/>
                <w:lang w:eastAsia="zh-CN"/>
              </w:rPr>
              <w:t>p2</w:t>
            </w:r>
            <w:r>
              <w:rPr>
                <w:rFonts w:hint="default" w:ascii="Times New Roman" w:hAnsi="Times New Roman" w:eastAsia="宋体" w:cs="Times New Roman"/>
                <w:color w:val="auto"/>
                <w:sz w:val="24"/>
                <w:szCs w:val="24"/>
                <w:u w:val="none" w:color="auto"/>
                <w:lang w:eastAsia="zh-CN"/>
              </w:rPr>
              <w:t>——靠近开口处（或窗户）室外某倍频带的声压级或A 声级，dB；</w:t>
            </w:r>
          </w:p>
          <w:p w14:paraId="11087B1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i/>
                <w:iCs/>
                <w:color w:val="auto"/>
                <w:sz w:val="24"/>
                <w:szCs w:val="24"/>
                <w:u w:val="none" w:color="auto"/>
                <w:lang w:eastAsia="zh-CN"/>
              </w:rPr>
              <w:t>TL</w:t>
            </w:r>
            <w:r>
              <w:rPr>
                <w:rFonts w:hint="default" w:ascii="Times New Roman" w:hAnsi="Times New Roman" w:eastAsia="宋体" w:cs="Times New Roman"/>
                <w:color w:val="auto"/>
                <w:sz w:val="24"/>
                <w:szCs w:val="24"/>
                <w:u w:val="none" w:color="auto"/>
                <w:lang w:eastAsia="zh-CN"/>
              </w:rPr>
              <w:t>——隔墙（或窗户）倍频带的隔声量，dB。</w:t>
            </w:r>
          </w:p>
          <w:p w14:paraId="52D6F35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u w:val="none" w:color="auto"/>
              </w:rPr>
              <w:drawing>
                <wp:inline distT="0" distB="0" distL="114300" distR="114300">
                  <wp:extent cx="2971800" cy="1504950"/>
                  <wp:effectExtent l="0" t="0" r="0" b="0"/>
                  <wp:docPr id="10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4"/>
                          <pic:cNvPicPr>
                            <a:picLocks noChangeAspect="1"/>
                          </pic:cNvPicPr>
                        </pic:nvPicPr>
                        <pic:blipFill>
                          <a:blip r:embed="rId31"/>
                          <a:stretch>
                            <a:fillRect/>
                          </a:stretch>
                        </pic:blipFill>
                        <pic:spPr>
                          <a:xfrm>
                            <a:off x="0" y="0"/>
                            <a:ext cx="2971800" cy="1504950"/>
                          </a:xfrm>
                          <a:prstGeom prst="rect">
                            <a:avLst/>
                          </a:prstGeom>
                          <a:noFill/>
                          <a:ln>
                            <a:noFill/>
                          </a:ln>
                        </pic:spPr>
                      </pic:pic>
                    </a:graphicData>
                  </a:graphic>
                </wp:inline>
              </w:drawing>
            </w:r>
          </w:p>
          <w:p w14:paraId="7820D0E7">
            <w:pPr>
              <w:pStyle w:val="87"/>
              <w:adjustRightInd w:val="0"/>
              <w:snapToGrid w:val="0"/>
              <w:spacing w:line="240" w:lineRule="auto"/>
              <w:ind w:firstLine="0" w:firstLineChars="0"/>
              <w:jc w:val="center"/>
              <w:rPr>
                <w:rFonts w:hint="default" w:ascii="Times New Roman" w:hAnsi="Times New Roman" w:eastAsia="宋体" w:cs="Times New Roman"/>
                <w:b/>
                <w:color w:val="auto"/>
                <w:kern w:val="24"/>
                <w:sz w:val="22"/>
                <w:szCs w:val="22"/>
                <w:u w:val="none" w:color="auto"/>
                <w:lang w:val="en-US" w:eastAsia="zh-CN" w:bidi="ar-SA"/>
              </w:rPr>
            </w:pPr>
            <w:r>
              <w:rPr>
                <w:rFonts w:hint="default" w:ascii="Times New Roman" w:hAnsi="Times New Roman" w:eastAsia="宋体" w:cs="Times New Roman"/>
                <w:b/>
                <w:color w:val="auto"/>
                <w:kern w:val="24"/>
                <w:sz w:val="22"/>
                <w:szCs w:val="22"/>
                <w:u w:val="none" w:color="auto"/>
                <w:lang w:val="en-US" w:eastAsia="zh-CN" w:bidi="ar-SA"/>
              </w:rPr>
              <w:t>图4-1  室内声源等效为室外声源示意图</w:t>
            </w:r>
          </w:p>
          <w:p w14:paraId="4228EAC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u w:val="none" w:color="auto"/>
              </w:rPr>
              <w:t>①计算某一室内声源在靠近围护结构处产生的倍频带声压级或A声级</w:t>
            </w:r>
            <w:r>
              <w:rPr>
                <w:rFonts w:hint="default" w:ascii="Times New Roman" w:hAnsi="Times New Roman" w:eastAsia="宋体" w:cs="Times New Roman"/>
                <w:color w:val="auto"/>
                <w:sz w:val="24"/>
                <w:szCs w:val="24"/>
                <w:u w:val="none" w:color="auto"/>
                <w:lang w:eastAsia="zh-CN"/>
              </w:rPr>
              <w:t>：</w:t>
            </w:r>
          </w:p>
          <w:p w14:paraId="43DEB2D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34"/>
                <w:sz w:val="24"/>
                <w:u w:val="none" w:color="auto"/>
              </w:rPr>
              <w:object>
                <v:shape id="_x0000_i1027" o:spt="75" type="#_x0000_t75" style="height:40.3pt;width:164.05pt;" o:ole="t" filled="f" o:preferrelative="t" stroked="f" coordsize="21600,21600">
                  <v:path/>
                  <v:fill on="f" focussize="0,0"/>
                  <v:stroke on="f"/>
                  <v:imagedata r:id="rId33" o:title=""/>
                  <o:lock v:ext="edit" aspectratio="t"/>
                  <w10:wrap type="none"/>
                  <w10:anchorlock/>
                </v:shape>
                <o:OLEObject Type="Embed" ProgID="Equation.3" ShapeID="_x0000_i1027" DrawAspect="Content" ObjectID="_1468075727" r:id="rId32">
                  <o:LockedField>false</o:LockedField>
                </o:OLEObject>
              </w:object>
            </w:r>
          </w:p>
          <w:p w14:paraId="187674E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式中：</w:t>
            </w:r>
          </w:p>
          <w:p w14:paraId="6898496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28" o:spt="75" type="#_x0000_t75" style="height:18.75pt;width:18pt;" o:ole="t" filled="f" o:preferrelative="t" stroked="f" coordsize="21600,21600">
                  <v:path/>
                  <v:fill on="f" focussize="0,0"/>
                  <v:stroke on="f" joinstyle="miter"/>
                  <v:imagedata r:id="rId35" o:title=""/>
                  <o:lock v:ext="edit" aspectratio="t"/>
                  <w10:wrap type="none"/>
                  <w10:anchorlock/>
                </v:shape>
                <o:OLEObject Type="Embed" ProgID="Equation.3" ShapeID="_x0000_i1028" DrawAspect="Content" ObjectID="_1468075728" r:id="rId34">
                  <o:LockedField>false</o:LockedField>
                </o:OLEObject>
              </w:object>
            </w:r>
            <w:r>
              <w:rPr>
                <w:rFonts w:hint="default" w:ascii="Times New Roman" w:hAnsi="Times New Roman" w:eastAsia="宋体" w:cs="Times New Roman"/>
                <w:color w:val="auto"/>
                <w:sz w:val="24"/>
                <w:u w:val="none" w:color="auto"/>
              </w:rPr>
              <w:t>—靠近开口处（或窗户）室内某倍频带的声压级或A声级，dB；</w:t>
            </w:r>
          </w:p>
          <w:p w14:paraId="60694B2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2"/>
                <w:sz w:val="24"/>
                <w:u w:val="none" w:color="auto"/>
              </w:rPr>
              <w:object>
                <v:shape id="_x0000_i1029" o:spt="75" type="#_x0000_t75" style="height:18pt;width:15pt;" o:ole="t" filled="f" o:preferrelative="t" stroked="f" coordsize="21600,21600">
                  <v:path/>
                  <v:fill on="f" focussize="0,0"/>
                  <v:stroke on="f" joinstyle="miter"/>
                  <v:imagedata r:id="rId37" o:title=""/>
                  <o:lock v:ext="edit" aspectratio="t"/>
                  <w10:wrap type="none"/>
                  <w10:anchorlock/>
                </v:shape>
                <o:OLEObject Type="Embed" ProgID="Equation.3" ShapeID="_x0000_i1029" DrawAspect="Content" ObjectID="_1468075729" r:id="rId36">
                  <o:LockedField>false</o:LockedField>
                </o:OLEObject>
              </w:object>
            </w:r>
            <w:r>
              <w:rPr>
                <w:rFonts w:hint="default" w:ascii="Times New Roman" w:hAnsi="Times New Roman" w:eastAsia="宋体" w:cs="Times New Roman"/>
                <w:color w:val="auto"/>
                <w:sz w:val="24"/>
                <w:u w:val="none" w:color="auto"/>
              </w:rPr>
              <w:t>—点声源声功率级（A计权或倍频带），dB；</w:t>
            </w:r>
          </w:p>
          <w:p w14:paraId="4193C70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object>
                <v:shape id="_x0000_i1030" o:spt="75" type="#_x0000_t75" style="height:15.75pt;width:12pt;" o:ole="t" filled="f" o:preferrelative="t" stroked="f" coordsize="21600,21600">
                  <v:path/>
                  <v:fill on="f" focussize="0,0"/>
                  <v:stroke on="f" joinstyle="miter"/>
                  <v:imagedata r:id="rId39" o:title=""/>
                  <o:lock v:ext="edit" aspectratio="t"/>
                  <w10:wrap type="none"/>
                  <w10:anchorlock/>
                </v:shape>
                <o:OLEObject Type="Embed" ProgID="Equation.3" ShapeID="_x0000_i1030" DrawAspect="Content" ObjectID="_1468075730" r:id="rId38">
                  <o:LockedField>false</o:LockedField>
                </o:OLEObject>
              </w:object>
            </w:r>
            <w:r>
              <w:rPr>
                <w:rFonts w:hint="default" w:ascii="Times New Roman" w:hAnsi="Times New Roman" w:eastAsia="宋体" w:cs="Times New Roman"/>
                <w:color w:val="auto"/>
                <w:sz w:val="24"/>
                <w:u w:val="none" w:color="auto"/>
              </w:rPr>
              <w:t>—指向性因数；通常对无指向性声源，当声源放在房间中心时，Q=1；当放在一面墙的中心时，Q=2；当放在两面墙夹角处时，Q=4；当放在三面墙夹角处时，Q=8；</w:t>
            </w:r>
          </w:p>
          <w:p w14:paraId="32A6D13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object>
                <v:shape id="_x0000_i1031" o:spt="75" type="#_x0000_t75" style="height:12.75pt;width:12pt;" o:ole="t" filled="f" o:preferrelative="t" stroked="f" coordsize="21600,21600">
                  <v:path/>
                  <v:fill on="f" focussize="0,0"/>
                  <v:stroke on="f" joinstyle="miter"/>
                  <v:imagedata r:id="rId41" o:title=""/>
                  <o:lock v:ext="edit" aspectratio="t"/>
                  <w10:wrap type="none"/>
                  <w10:anchorlock/>
                </v:shape>
                <o:OLEObject Type="Embed" ProgID="Equation.3" ShapeID="_x0000_i1031" DrawAspect="Content" ObjectID="_1468075731" r:id="rId40">
                  <o:LockedField>false</o:LockedField>
                </o:OLEObject>
              </w:object>
            </w:r>
            <w:r>
              <w:rPr>
                <w:rFonts w:hint="default" w:ascii="Times New Roman" w:hAnsi="Times New Roman" w:eastAsia="宋体" w:cs="Times New Roman"/>
                <w:color w:val="auto"/>
                <w:sz w:val="24"/>
                <w:u w:val="none" w:color="auto"/>
              </w:rPr>
              <w:t>—房间常数；</w:t>
            </w:r>
            <w:r>
              <w:rPr>
                <w:rFonts w:hint="default" w:ascii="Times New Roman" w:hAnsi="Times New Roman" w:eastAsia="宋体" w:cs="Times New Roman"/>
                <w:color w:val="auto"/>
                <w:position w:val="-6"/>
                <w:sz w:val="24"/>
                <w:u w:val="none" w:color="auto"/>
              </w:rPr>
              <w:object>
                <v:shape id="_x0000_i1032" o:spt="75" type="#_x0000_t75" style="height:14.25pt;width:76.5pt;" o:ole="t" filled="f" o:preferrelative="t" stroked="f" coordsize="21600,21600">
                  <v:path/>
                  <v:fill on="f" focussize="0,0"/>
                  <v:stroke on="f" joinstyle="miter"/>
                  <v:imagedata r:id="rId43" o:title=""/>
                  <o:lock v:ext="edit" aspectratio="t"/>
                  <w10:wrap type="none"/>
                  <w10:anchorlock/>
                </v:shape>
                <o:OLEObject Type="Embed" ProgID="Equation.3" ShapeID="_x0000_i1032" DrawAspect="Content" ObjectID="_1468075732" r:id="rId42">
                  <o:LockedField>false</o:LockedField>
                </o:OLEObject>
              </w:object>
            </w:r>
            <w:r>
              <w:rPr>
                <w:rFonts w:hint="default" w:ascii="Times New Roman" w:hAnsi="Times New Roman" w:eastAsia="宋体" w:cs="Times New Roman"/>
                <w:color w:val="auto"/>
                <w:sz w:val="24"/>
                <w:u w:val="none" w:color="auto"/>
              </w:rPr>
              <w:t>，S为房间内表面面积，m</w:t>
            </w:r>
            <w:r>
              <w:rPr>
                <w:rFonts w:hint="default" w:ascii="Times New Roman" w:hAnsi="Times New Roman" w:eastAsia="宋体" w:cs="Times New Roman"/>
                <w:color w:val="auto"/>
                <w:sz w:val="24"/>
                <w:u w:val="none" w:color="auto"/>
                <w:vertAlign w:val="superscript"/>
              </w:rPr>
              <w:t>2</w:t>
            </w:r>
            <w:r>
              <w:rPr>
                <w:rFonts w:hint="default" w:ascii="Times New Roman" w:hAnsi="Times New Roman" w:eastAsia="宋体" w:cs="Times New Roman"/>
                <w:color w:val="auto"/>
                <w:sz w:val="24"/>
                <w:u w:val="none" w:color="auto"/>
              </w:rPr>
              <w:t>；α为平均吸声系数；</w:t>
            </w:r>
          </w:p>
          <w:p w14:paraId="142042B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4"/>
                <w:sz w:val="24"/>
                <w:u w:val="none" w:color="auto"/>
              </w:rPr>
              <w:object>
                <v:shape id="_x0000_i1033" o:spt="75" type="#_x0000_t75" style="height:9.75pt;width:9pt;" o:ole="t" filled="f" o:preferrelative="t" stroked="f" coordsize="21600,21600">
                  <v:path/>
                  <v:fill on="f" focussize="0,0"/>
                  <v:stroke on="f" joinstyle="miter"/>
                  <v:imagedata r:id="rId45" o:title=""/>
                  <o:lock v:ext="edit" aspectratio="t"/>
                  <w10:wrap type="none"/>
                  <w10:anchorlock/>
                </v:shape>
                <o:OLEObject Type="Embed" ProgID="Equation.3" ShapeID="_x0000_i1033" DrawAspect="Content" ObjectID="_1468075733" r:id="rId44">
                  <o:LockedField>false</o:LockedField>
                </o:OLEObject>
              </w:object>
            </w:r>
            <w:r>
              <w:rPr>
                <w:rFonts w:hint="default" w:ascii="Times New Roman" w:hAnsi="Times New Roman" w:eastAsia="宋体" w:cs="Times New Roman"/>
                <w:color w:val="auto"/>
                <w:sz w:val="24"/>
                <w:u w:val="none" w:color="auto"/>
              </w:rPr>
              <w:t>—声源到靠近围护结构某点处的距离，m。</w:t>
            </w:r>
          </w:p>
          <w:p w14:paraId="6060C41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②计算出所有室内声源在靠近围护结构处产生的i倍频带叠加声压级：</w:t>
            </w:r>
          </w:p>
          <w:p w14:paraId="02A14E0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32"/>
                <w:sz w:val="24"/>
                <w:u w:val="none" w:color="auto"/>
              </w:rPr>
              <w:object>
                <v:shape id="_x0000_i1034" o:spt="75" type="#_x0000_t75" style="height:45pt;width:159pt;" o:ole="t" filled="f" o:preferrelative="t" stroked="f" coordsize="21600,21600">
                  <v:path/>
                  <v:fill on="f" focussize="0,0"/>
                  <v:stroke on="f" joinstyle="miter"/>
                  <v:imagedata r:id="rId47" o:title=""/>
                  <o:lock v:ext="edit" aspectratio="t"/>
                  <w10:wrap type="none"/>
                  <w10:anchorlock/>
                </v:shape>
                <o:OLEObject Type="Embed" ProgID="Equation.3" ShapeID="_x0000_i1034" DrawAspect="Content" ObjectID="_1468075734" r:id="rId46">
                  <o:LockedField>false</o:LockedField>
                </o:OLEObject>
              </w:object>
            </w:r>
          </w:p>
          <w:p w14:paraId="2FCFCB6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式中：</w:t>
            </w:r>
          </w:p>
          <w:p w14:paraId="5C3BBE2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35" o:spt="75" type="#_x0000_t75" style="height:18.75pt;width:39pt;" o:ole="t" filled="f" o:preferrelative="t" stroked="f" coordsize="21600,21600">
                  <v:path/>
                  <v:fill on="f" focussize="0,0"/>
                  <v:stroke on="f" joinstyle="miter"/>
                  <v:imagedata r:id="rId49" o:title=""/>
                  <o:lock v:ext="edit" aspectratio="t"/>
                  <w10:wrap type="none"/>
                  <w10:anchorlock/>
                </v:shape>
                <o:OLEObject Type="Embed" ProgID="Equation.3" ShapeID="_x0000_i1035" DrawAspect="Content" ObjectID="_1468075735" r:id="rId48">
                  <o:LockedField>false</o:LockedField>
                </o:OLEObject>
              </w:object>
            </w:r>
            <w:r>
              <w:rPr>
                <w:rFonts w:hint="default" w:ascii="Times New Roman" w:hAnsi="Times New Roman" w:eastAsia="宋体" w:cs="Times New Roman"/>
                <w:color w:val="auto"/>
                <w:sz w:val="24"/>
                <w:u w:val="none" w:color="auto"/>
              </w:rPr>
              <w:t>—靠近围护结构处室内N个声源i倍频带的叠加声压级，dB；</w:t>
            </w:r>
          </w:p>
          <w:p w14:paraId="33359DF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36" o:spt="75" type="#_x0000_t75" style="height:18.75pt;width:23.25pt;" o:ole="t" filled="f" o:preferrelative="t" stroked="f" coordsize="21600,21600">
                  <v:path/>
                  <v:fill on="f" focussize="0,0"/>
                  <v:stroke on="f" joinstyle="miter"/>
                  <v:imagedata r:id="rId51" o:title=""/>
                  <o:lock v:ext="edit" aspectratio="t"/>
                  <w10:wrap type="none"/>
                  <w10:anchorlock/>
                </v:shape>
                <o:OLEObject Type="Embed" ProgID="Equation.3" ShapeID="_x0000_i1036" DrawAspect="Content" ObjectID="_1468075736" r:id="rId50">
                  <o:LockedField>false</o:LockedField>
                </o:OLEObject>
              </w:object>
            </w:r>
            <w:r>
              <w:rPr>
                <w:rFonts w:hint="default" w:ascii="Times New Roman" w:hAnsi="Times New Roman" w:eastAsia="宋体" w:cs="Times New Roman"/>
                <w:color w:val="auto"/>
                <w:sz w:val="24"/>
                <w:u w:val="none" w:color="auto"/>
              </w:rPr>
              <w:t>—室内j声源i倍频带的声压级，dB；</w:t>
            </w:r>
          </w:p>
          <w:p w14:paraId="6D394E3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6"/>
                <w:sz w:val="24"/>
                <w:u w:val="none" w:color="auto"/>
              </w:rPr>
              <w:object>
                <v:shape id="_x0000_i1037" o:spt="75" type="#_x0000_t75" style="height:14.25pt;width:14.25pt;" o:ole="t" filled="f" o:preferrelative="t" stroked="f" coordsize="21600,21600">
                  <v:path/>
                  <v:fill on="f" focussize="0,0"/>
                  <v:stroke on="f" joinstyle="miter"/>
                  <v:imagedata r:id="rId53" o:title=""/>
                  <o:lock v:ext="edit" aspectratio="t"/>
                  <w10:wrap type="none"/>
                  <w10:anchorlock/>
                </v:shape>
                <o:OLEObject Type="Embed" ProgID="Equation.3" ShapeID="_x0000_i1037" DrawAspect="Content" ObjectID="_1468075737" r:id="rId52">
                  <o:LockedField>false</o:LockedField>
                </o:OLEObject>
              </w:object>
            </w:r>
            <w:r>
              <w:rPr>
                <w:rFonts w:hint="default" w:ascii="Times New Roman" w:hAnsi="Times New Roman" w:eastAsia="宋体" w:cs="Times New Roman"/>
                <w:color w:val="auto"/>
                <w:sz w:val="24"/>
                <w:u w:val="none" w:color="auto"/>
              </w:rPr>
              <w:t>—室内总声源总数。</w:t>
            </w:r>
          </w:p>
          <w:p w14:paraId="4D7984A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③计算出靠近室外围护结构处的声压级：</w:t>
            </w:r>
          </w:p>
          <w:p w14:paraId="08A01B2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38" o:spt="75" type="#_x0000_t75" style="height:18.75pt;width:132pt;" o:ole="t" filled="f" o:preferrelative="t" stroked="f" coordsize="21600,21600">
                  <v:path/>
                  <v:fill on="f" focussize="0,0"/>
                  <v:stroke on="f" joinstyle="miter"/>
                  <v:imagedata r:id="rId55" o:title=""/>
                  <o:lock v:ext="edit" aspectratio="t"/>
                  <w10:wrap type="none"/>
                  <w10:anchorlock/>
                </v:shape>
                <o:OLEObject Type="Embed" ProgID="Equation.3" ShapeID="_x0000_i1038" DrawAspect="Content" ObjectID="_1468075738" r:id="rId54">
                  <o:LockedField>false</o:LockedField>
                </o:OLEObject>
              </w:object>
            </w:r>
          </w:p>
          <w:p w14:paraId="2EE16B4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式中：</w:t>
            </w:r>
          </w:p>
          <w:p w14:paraId="7A9936C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39" o:spt="75" type="#_x0000_t75" style="height:18.75pt;width:39.75pt;" o:ole="t" filled="f" o:preferrelative="t" stroked="f" coordsize="21600,21600">
                  <v:path/>
                  <v:fill on="f" focussize="0,0"/>
                  <v:stroke on="f" joinstyle="miter"/>
                  <v:imagedata r:id="rId57" o:title=""/>
                  <o:lock v:ext="edit" aspectratio="t"/>
                  <w10:wrap type="none"/>
                  <w10:anchorlock/>
                </v:shape>
                <o:OLEObject Type="Embed" ProgID="Equation.3" ShapeID="_x0000_i1039" DrawAspect="Content" ObjectID="_1468075739" r:id="rId56">
                  <o:LockedField>false</o:LockedField>
                </o:OLEObject>
              </w:object>
            </w:r>
            <w:r>
              <w:rPr>
                <w:rFonts w:hint="default" w:ascii="Times New Roman" w:hAnsi="Times New Roman" w:eastAsia="宋体" w:cs="Times New Roman"/>
                <w:color w:val="auto"/>
                <w:sz w:val="24"/>
                <w:u w:val="none" w:color="auto"/>
              </w:rPr>
              <w:t>—靠近围护结构处室外N个声源i倍频带的叠加声压级，dB；</w:t>
            </w:r>
          </w:p>
          <w:p w14:paraId="2364566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40" o:spt="75" type="#_x0000_t75" style="height:18.75pt;width:39pt;" o:ole="t" filled="f" o:preferrelative="t" stroked="f" coordsize="21600,21600">
                  <v:path/>
                  <v:fill on="f" focussize="0,0"/>
                  <v:stroke on="f" joinstyle="miter"/>
                  <v:imagedata r:id="rId49" o:title=""/>
                  <o:lock v:ext="edit" aspectratio="t"/>
                  <w10:wrap type="none"/>
                  <w10:anchorlock/>
                </v:shape>
                <o:OLEObject Type="Embed" ProgID="Equation.3" ShapeID="_x0000_i1040" DrawAspect="Content" ObjectID="_1468075740" r:id="rId58">
                  <o:LockedField>false</o:LockedField>
                </o:OLEObject>
              </w:object>
            </w:r>
            <w:r>
              <w:rPr>
                <w:rFonts w:hint="default" w:ascii="Times New Roman" w:hAnsi="Times New Roman" w:eastAsia="宋体" w:cs="Times New Roman"/>
                <w:color w:val="auto"/>
                <w:sz w:val="24"/>
                <w:u w:val="none" w:color="auto"/>
              </w:rPr>
              <w:t>—靠近围护结构处室内N个声源i倍频带的叠加声压级，dB；</w:t>
            </w:r>
          </w:p>
          <w:p w14:paraId="5A80EBC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2"/>
                <w:sz w:val="24"/>
                <w:u w:val="none" w:color="auto"/>
              </w:rPr>
              <w:object>
                <v:shape id="_x0000_i1041" o:spt="75" type="#_x0000_t75" style="height:18pt;width:18pt;" o:ole="t" filled="f" o:preferrelative="t" stroked="f" coordsize="21600,21600">
                  <v:path/>
                  <v:fill on="f" focussize="0,0"/>
                  <v:stroke on="f" joinstyle="miter"/>
                  <v:imagedata r:id="rId60" o:title=""/>
                  <o:lock v:ext="edit" aspectratio="t"/>
                  <w10:wrap type="none"/>
                  <w10:anchorlock/>
                </v:shape>
                <o:OLEObject Type="Embed" ProgID="Equation.3" ShapeID="_x0000_i1041" DrawAspect="Content" ObjectID="_1468075741" r:id="rId59">
                  <o:LockedField>false</o:LockedField>
                </o:OLEObject>
              </w:object>
            </w:r>
            <w:r>
              <w:rPr>
                <w:rFonts w:hint="default" w:ascii="Times New Roman" w:hAnsi="Times New Roman" w:eastAsia="宋体" w:cs="Times New Roman"/>
                <w:color w:val="auto"/>
                <w:sz w:val="24"/>
                <w:u w:val="none" w:color="auto"/>
              </w:rPr>
              <w:t>—围护结构i倍频带的隔声量，dB。</w:t>
            </w:r>
          </w:p>
          <w:p w14:paraId="7A91449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④将室外声源的声压级和透过面积换算成等效的室外声源，计算出中心位声面积（S）处的等效声源的倍频带声功率级。</w:t>
            </w:r>
          </w:p>
          <w:p w14:paraId="1599017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42" o:spt="75" type="#_x0000_t75" style="height:18.75pt;width:101.25pt;" o:ole="t" filled="f" o:preferrelative="t" stroked="f" coordsize="21600,21600">
                  <v:path/>
                  <v:fill on="f" focussize="0,0"/>
                  <v:stroke on="f" joinstyle="miter"/>
                  <v:imagedata r:id="rId62" o:title=""/>
                  <o:lock v:ext="edit" aspectratio="t"/>
                  <w10:wrap type="none"/>
                  <w10:anchorlock/>
                </v:shape>
                <o:OLEObject Type="Embed" ProgID="Equation.3" ShapeID="_x0000_i1042" DrawAspect="Content" ObjectID="_1468075742" r:id="rId61">
                  <o:LockedField>false</o:LockedField>
                </o:OLEObject>
              </w:object>
            </w:r>
          </w:p>
          <w:p w14:paraId="5561366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式中：</w:t>
            </w:r>
          </w:p>
          <w:p w14:paraId="5B0742A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2"/>
                <w:sz w:val="24"/>
                <w:u w:val="none" w:color="auto"/>
              </w:rPr>
              <w:object>
                <v:shape id="_x0000_i1043" o:spt="75" type="#_x0000_t75" style="height:18pt;width:15pt;" o:ole="t" filled="f" o:preferrelative="t" stroked="f" coordsize="21600,21600">
                  <v:path/>
                  <v:fill on="f" focussize="0,0"/>
                  <v:stroke on="f" joinstyle="miter"/>
                  <v:imagedata r:id="rId37" o:title=""/>
                  <o:lock v:ext="edit" aspectratio="t"/>
                  <w10:wrap type="none"/>
                  <w10:anchorlock/>
                </v:shape>
                <o:OLEObject Type="Embed" ProgID="Equation.3" ShapeID="_x0000_i1043" DrawAspect="Content" ObjectID="_1468075743" r:id="rId63">
                  <o:LockedField>false</o:LockedField>
                </o:OLEObject>
              </w:object>
            </w:r>
            <w:r>
              <w:rPr>
                <w:rFonts w:hint="default" w:ascii="Times New Roman" w:hAnsi="Times New Roman" w:eastAsia="宋体" w:cs="Times New Roman"/>
                <w:color w:val="auto"/>
                <w:sz w:val="24"/>
                <w:u w:val="none" w:color="auto"/>
              </w:rPr>
              <w:t>—中心位置位于透声面积（S）处的等效声源的倍频带声功率级，dB；</w:t>
            </w:r>
          </w:p>
          <w:p w14:paraId="317538A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44" o:spt="75" type="#_x0000_t75" style="height:18.75pt;width:36.75pt;" o:ole="t" filled="f" o:preferrelative="t" stroked="f" coordsize="21600,21600">
                  <v:path/>
                  <v:fill on="f" focussize="0,0"/>
                  <v:stroke on="f" joinstyle="miter"/>
                  <v:imagedata r:id="rId65" o:title=""/>
                  <o:lock v:ext="edit" aspectratio="t"/>
                  <w10:wrap type="none"/>
                  <w10:anchorlock/>
                </v:shape>
                <o:OLEObject Type="Embed" ProgID="Equation.3" ShapeID="_x0000_i1044" DrawAspect="Content" ObjectID="_1468075744" r:id="rId64">
                  <o:LockedField>false</o:LockedField>
                </o:OLEObject>
              </w:object>
            </w:r>
            <w:r>
              <w:rPr>
                <w:rFonts w:hint="default" w:ascii="Times New Roman" w:hAnsi="Times New Roman" w:eastAsia="宋体" w:cs="Times New Roman"/>
                <w:color w:val="auto"/>
                <w:sz w:val="24"/>
                <w:u w:val="none" w:color="auto"/>
              </w:rPr>
              <w:t>—靠近围护结构处室外声源的声压级，dB；</w:t>
            </w:r>
          </w:p>
          <w:p w14:paraId="6C30886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6"/>
                <w:sz w:val="24"/>
                <w:u w:val="none" w:color="auto"/>
              </w:rPr>
              <w:object>
                <v:shape id="_x0000_i1045" o:spt="75" type="#_x0000_t75" style="height:14.25pt;width:11.25pt;" o:ole="t" filled="f" o:preferrelative="t" stroked="f" coordsize="21600,21600">
                  <v:path/>
                  <v:fill on="f" focussize="0,0"/>
                  <v:stroke on="f" joinstyle="miter"/>
                  <v:imagedata r:id="rId67" o:title=""/>
                  <o:lock v:ext="edit" aspectratio="t"/>
                  <w10:wrap type="none"/>
                  <w10:anchorlock/>
                </v:shape>
                <o:OLEObject Type="Embed" ProgID="Equation.3" ShapeID="_x0000_i1045" DrawAspect="Content" ObjectID="_1468075745" r:id="rId66">
                  <o:LockedField>false</o:LockedField>
                </o:OLEObject>
              </w:object>
            </w:r>
            <w:r>
              <w:rPr>
                <w:rFonts w:hint="default" w:ascii="Times New Roman" w:hAnsi="Times New Roman" w:eastAsia="宋体" w:cs="Times New Roman"/>
                <w:color w:val="auto"/>
                <w:sz w:val="24"/>
                <w:u w:val="none" w:color="auto"/>
              </w:rPr>
              <w:t>—透声面积，m</w:t>
            </w:r>
            <w:r>
              <w:rPr>
                <w:rFonts w:hint="default" w:ascii="Times New Roman" w:hAnsi="Times New Roman" w:eastAsia="宋体" w:cs="Times New Roman"/>
                <w:color w:val="auto"/>
                <w:sz w:val="24"/>
                <w:u w:val="none" w:color="auto"/>
                <w:vertAlign w:val="superscript"/>
              </w:rPr>
              <w:t>2</w:t>
            </w:r>
            <w:r>
              <w:rPr>
                <w:rFonts w:hint="default" w:ascii="Times New Roman" w:hAnsi="Times New Roman" w:eastAsia="宋体" w:cs="Times New Roman"/>
                <w:color w:val="auto"/>
                <w:sz w:val="24"/>
                <w:u w:val="none" w:color="auto"/>
              </w:rPr>
              <w:t>。</w:t>
            </w:r>
          </w:p>
          <w:p w14:paraId="4F6996C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szCs w:val="24"/>
                <w:u w:val="none" w:color="auto"/>
                <w:lang w:eastAsia="zh-CN"/>
              </w:rPr>
              <w:t>然后按室外声源预测方法计算预测点处的A声级。</w:t>
            </w:r>
          </w:p>
          <w:p w14:paraId="5C5776E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color="auto"/>
                <w:lang w:eastAsia="zh-CN"/>
              </w:rPr>
            </w:pPr>
            <w:r>
              <w:rPr>
                <w:rFonts w:hint="default" w:ascii="Times New Roman" w:hAnsi="Times New Roman" w:eastAsia="宋体" w:cs="Times New Roman"/>
                <w:color w:val="auto"/>
                <w:sz w:val="24"/>
                <w:u w:val="none" w:color="auto"/>
              </w:rPr>
              <w:t>⑤</w:t>
            </w:r>
            <w:r>
              <w:rPr>
                <w:rFonts w:hint="default" w:ascii="Times New Roman" w:hAnsi="Times New Roman" w:eastAsia="宋体" w:cs="Times New Roman"/>
                <w:color w:val="auto"/>
                <w:sz w:val="24"/>
                <w:szCs w:val="24"/>
                <w:u w:val="none" w:color="auto"/>
                <w:lang w:eastAsia="zh-CN"/>
              </w:rPr>
              <w:t>工业企业噪声计算</w:t>
            </w:r>
          </w:p>
          <w:p w14:paraId="2200FA1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设第i个室外声源在预测点产生的A声级为</w:t>
            </w:r>
            <w:r>
              <w:rPr>
                <w:rFonts w:hint="default" w:ascii="Times New Roman" w:hAnsi="Times New Roman" w:eastAsia="宋体" w:cs="Times New Roman"/>
                <w:color w:val="auto"/>
                <w:position w:val="-12"/>
                <w:sz w:val="24"/>
                <w:u w:val="none" w:color="auto"/>
              </w:rPr>
              <w:object>
                <v:shape id="_x0000_i1046" o:spt="75" type="#_x0000_t75" style="height:18pt;width:18pt;" o:ole="t" filled="f" o:preferrelative="t" stroked="f" coordsize="21600,21600">
                  <v:path/>
                  <v:fill on="f" focussize="0,0"/>
                  <v:stroke on="f" joinstyle="miter"/>
                  <v:imagedata r:id="rId69" o:title=""/>
                  <o:lock v:ext="edit" aspectratio="t"/>
                  <w10:wrap type="none"/>
                  <w10:anchorlock/>
                </v:shape>
                <o:OLEObject Type="Embed" ProgID="Equation.3" ShapeID="_x0000_i1046" DrawAspect="Content" ObjectID="_1468075746" r:id="rId68">
                  <o:LockedField>false</o:LockedField>
                </o:OLEObject>
              </w:object>
            </w:r>
            <w:r>
              <w:rPr>
                <w:rFonts w:hint="default" w:ascii="Times New Roman" w:hAnsi="Times New Roman" w:eastAsia="宋体" w:cs="Times New Roman"/>
                <w:color w:val="auto"/>
                <w:sz w:val="24"/>
                <w:u w:val="none" w:color="auto"/>
              </w:rPr>
              <w:t>，在</w:t>
            </w:r>
            <w:r>
              <w:rPr>
                <w:rFonts w:hint="default" w:ascii="Times New Roman" w:hAnsi="Times New Roman" w:eastAsia="宋体" w:cs="Times New Roman"/>
                <w:color w:val="auto"/>
                <w:sz w:val="24"/>
                <w:u w:val="none" w:color="auto"/>
              </w:rPr>
              <w:object>
                <v:shape id="_x0000_i1047" o:spt="75" type="#_x0000_t75" style="height:12.75pt;width:11.25pt;" o:ole="t" filled="f" o:preferrelative="t" stroked="f" coordsize="21600,21600">
                  <v:path/>
                  <v:fill on="f" focussize="0,0"/>
                  <v:stroke on="f" joinstyle="miter"/>
                  <v:imagedata r:id="rId71" o:title=""/>
                  <o:lock v:ext="edit" aspectratio="t"/>
                  <w10:wrap type="none"/>
                  <w10:anchorlock/>
                </v:shape>
                <o:OLEObject Type="Embed" ProgID="Equation.3" ShapeID="_x0000_i1047" DrawAspect="Content" ObjectID="_1468075747" r:id="rId70">
                  <o:LockedField>false</o:LockedField>
                </o:OLEObject>
              </w:object>
            </w:r>
            <w:r>
              <w:rPr>
                <w:rFonts w:hint="default" w:ascii="Times New Roman" w:hAnsi="Times New Roman" w:eastAsia="宋体" w:cs="Times New Roman"/>
                <w:color w:val="auto"/>
                <w:sz w:val="24"/>
                <w:u w:val="none" w:color="auto"/>
              </w:rPr>
              <w:t>时间内该声源工作时间为</w:t>
            </w:r>
            <w:r>
              <w:rPr>
                <w:rFonts w:hint="default" w:ascii="Times New Roman" w:hAnsi="Times New Roman" w:eastAsia="宋体" w:cs="Times New Roman"/>
                <w:color w:val="auto"/>
                <w:position w:val="-12"/>
                <w:sz w:val="24"/>
                <w:u w:val="none" w:color="auto"/>
              </w:rPr>
              <w:object>
                <v:shape id="_x0000_i1048" o:spt="75" type="#_x0000_t75" style="height:18pt;width:9pt;" o:ole="t" filled="f" o:preferrelative="t" stroked="f" coordsize="21600,21600">
                  <v:path/>
                  <v:fill on="f" focussize="0,0"/>
                  <v:stroke on="f" joinstyle="miter"/>
                  <v:imagedata r:id="rId73" o:title=""/>
                  <o:lock v:ext="edit" aspectratio="t"/>
                  <w10:wrap type="none"/>
                  <w10:anchorlock/>
                </v:shape>
                <o:OLEObject Type="Embed" ProgID="Equation.3" ShapeID="_x0000_i1048" DrawAspect="Content" ObjectID="_1468075748" r:id="rId72">
                  <o:LockedField>false</o:LockedField>
                </o:OLEObject>
              </w:object>
            </w:r>
            <w:r>
              <w:rPr>
                <w:rFonts w:hint="default" w:ascii="Times New Roman" w:hAnsi="Times New Roman" w:eastAsia="宋体" w:cs="Times New Roman"/>
                <w:color w:val="auto"/>
                <w:sz w:val="24"/>
                <w:u w:val="none" w:color="auto"/>
              </w:rPr>
              <w:t>，第j个等效室外声源在预测点产生的A声级为</w:t>
            </w:r>
            <w:r>
              <w:rPr>
                <w:rFonts w:hint="default" w:ascii="Times New Roman" w:hAnsi="Times New Roman" w:eastAsia="宋体" w:cs="Times New Roman"/>
                <w:color w:val="auto"/>
                <w:position w:val="-14"/>
                <w:sz w:val="24"/>
                <w:u w:val="none" w:color="auto"/>
              </w:rPr>
              <w:object>
                <v:shape id="_x0000_i1049" o:spt="75" type="#_x0000_t75" style="height:18.75pt;width:18pt;" o:ole="t" filled="f" o:preferrelative="t" stroked="f" coordsize="21600,21600">
                  <v:path/>
                  <v:fill on="f" focussize="0,0"/>
                  <v:stroke on="f" joinstyle="miter"/>
                  <v:imagedata r:id="rId75" o:title=""/>
                  <o:lock v:ext="edit" aspectratio="t"/>
                  <w10:wrap type="none"/>
                  <w10:anchorlock/>
                </v:shape>
                <o:OLEObject Type="Embed" ProgID="Equation.3" ShapeID="_x0000_i1049" DrawAspect="Content" ObjectID="_1468075749" r:id="rId74">
                  <o:LockedField>false</o:LockedField>
                </o:OLEObject>
              </w:object>
            </w:r>
            <w:r>
              <w:rPr>
                <w:rFonts w:hint="default" w:ascii="Times New Roman" w:hAnsi="Times New Roman" w:eastAsia="宋体" w:cs="Times New Roman"/>
                <w:color w:val="auto"/>
                <w:sz w:val="24"/>
                <w:u w:val="none" w:color="auto"/>
              </w:rPr>
              <w:t>，在</w:t>
            </w:r>
            <w:r>
              <w:rPr>
                <w:rFonts w:hint="default" w:ascii="Times New Roman" w:hAnsi="Times New Roman" w:eastAsia="宋体" w:cs="Times New Roman"/>
                <w:color w:val="auto"/>
                <w:sz w:val="24"/>
                <w:u w:val="none" w:color="auto"/>
              </w:rPr>
              <w:object>
                <v:shape id="_x0000_i1050" o:spt="75" type="#_x0000_t75" style="height:12.75pt;width:11.25pt;" o:ole="t" filled="f" o:preferrelative="t" stroked="f" coordsize="21600,21600">
                  <v:path/>
                  <v:fill on="f" focussize="0,0"/>
                  <v:stroke on="f" joinstyle="miter"/>
                  <v:imagedata r:id="rId71" o:title=""/>
                  <o:lock v:ext="edit" aspectratio="t"/>
                  <w10:wrap type="none"/>
                  <w10:anchorlock/>
                </v:shape>
                <o:OLEObject Type="Embed" ProgID="Equation.3" ShapeID="_x0000_i1050" DrawAspect="Content" ObjectID="_1468075750" r:id="rId76">
                  <o:LockedField>false</o:LockedField>
                </o:OLEObject>
              </w:object>
            </w:r>
            <w:r>
              <w:rPr>
                <w:rFonts w:hint="default" w:ascii="Times New Roman" w:hAnsi="Times New Roman" w:eastAsia="宋体" w:cs="Times New Roman"/>
                <w:color w:val="auto"/>
                <w:sz w:val="24"/>
                <w:u w:val="none" w:color="auto"/>
              </w:rPr>
              <w:t>时间内该声源工作时间为</w:t>
            </w:r>
            <w:r>
              <w:rPr>
                <w:rFonts w:hint="default" w:ascii="Times New Roman" w:hAnsi="Times New Roman" w:eastAsia="宋体" w:cs="Times New Roman"/>
                <w:color w:val="auto"/>
                <w:position w:val="-14"/>
                <w:sz w:val="24"/>
                <w:u w:val="none" w:color="auto"/>
              </w:rPr>
              <w:object>
                <v:shape id="_x0000_i1051" o:spt="75" type="#_x0000_t75" style="height:18.75pt;width:11.25pt;" o:ole="t" filled="f" o:preferrelative="t" stroked="f" coordsize="21600,21600">
                  <v:path/>
                  <v:fill on="f" focussize="0,0"/>
                  <v:stroke on="f" joinstyle="miter"/>
                  <v:imagedata r:id="rId78" o:title=""/>
                  <o:lock v:ext="edit" aspectratio="t"/>
                  <w10:wrap type="none"/>
                  <w10:anchorlock/>
                </v:shape>
                <o:OLEObject Type="Embed" ProgID="Equation.3" ShapeID="_x0000_i1051" DrawAspect="Content" ObjectID="_1468075751" r:id="rId77">
                  <o:LockedField>false</o:LockedField>
                </o:OLEObject>
              </w:object>
            </w:r>
            <w:r>
              <w:rPr>
                <w:rFonts w:hint="default" w:ascii="Times New Roman" w:hAnsi="Times New Roman" w:eastAsia="宋体" w:cs="Times New Roman"/>
                <w:color w:val="auto"/>
                <w:sz w:val="24"/>
                <w:u w:val="none" w:color="auto"/>
              </w:rPr>
              <w:t>，则拟建工程声源对预测点产生的贡献值（</w:t>
            </w:r>
            <w:r>
              <w:rPr>
                <w:rFonts w:hint="default" w:ascii="Times New Roman" w:hAnsi="Times New Roman" w:eastAsia="宋体" w:cs="Times New Roman"/>
                <w:color w:val="auto"/>
                <w:position w:val="-14"/>
                <w:sz w:val="24"/>
                <w:u w:val="none" w:color="auto"/>
              </w:rPr>
              <w:object>
                <v:shape id="_x0000_i1052" o:spt="75" type="#_x0000_t75" style="height:18.75pt;width:21pt;" o:ole="t" filled="f" o:preferrelative="t" stroked="f" coordsize="21600,21600">
                  <v:path/>
                  <v:fill on="f" focussize="0,0"/>
                  <v:stroke on="f" joinstyle="miter"/>
                  <v:imagedata r:id="rId80" o:title=""/>
                  <o:lock v:ext="edit" aspectratio="t"/>
                  <w10:wrap type="none"/>
                  <w10:anchorlock/>
                </v:shape>
                <o:OLEObject Type="Embed" ProgID="Equation.3" ShapeID="_x0000_i1052" DrawAspect="Content" ObjectID="_1468075752" r:id="rId79">
                  <o:LockedField>false</o:LockedField>
                </o:OLEObject>
              </w:object>
            </w:r>
            <w:r>
              <w:rPr>
                <w:rFonts w:hint="default" w:ascii="Times New Roman" w:hAnsi="Times New Roman" w:eastAsia="宋体" w:cs="Times New Roman"/>
                <w:color w:val="auto"/>
                <w:sz w:val="24"/>
                <w:u w:val="none" w:color="auto"/>
              </w:rPr>
              <w:t>）为：</w:t>
            </w:r>
          </w:p>
          <w:p w14:paraId="3CF88E7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32"/>
                <w:sz w:val="24"/>
                <w:u w:val="none" w:color="auto"/>
              </w:rPr>
              <w:object>
                <v:shape id="_x0000_i1053" o:spt="75" type="#_x0000_t75" style="height:47.1pt;width:251.1pt;" o:ole="t" filled="f" o:preferrelative="t" stroked="f" coordsize="21600,21600">
                  <v:path/>
                  <v:fill on="f" focussize="0,0"/>
                  <v:stroke on="f"/>
                  <v:imagedata r:id="rId82" o:title=""/>
                  <o:lock v:ext="edit" aspectratio="t"/>
                  <w10:wrap type="none"/>
                  <w10:anchorlock/>
                </v:shape>
                <o:OLEObject Type="Embed" ProgID="Equation.3" ShapeID="_x0000_i1053" DrawAspect="Content" ObjectID="_1468075753" r:id="rId81">
                  <o:LockedField>false</o:LockedField>
                </o:OLEObject>
              </w:object>
            </w:r>
          </w:p>
          <w:p w14:paraId="083CBAF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式中：</w:t>
            </w:r>
          </w:p>
          <w:p w14:paraId="0D2C638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54" o:spt="75" type="#_x0000_t75" style="height:18.75pt;width:21pt;" o:ole="t" filled="f" o:preferrelative="t" stroked="f" coordsize="21600,21600">
                  <v:path/>
                  <v:fill on="f" focussize="0,0"/>
                  <v:stroke on="f" joinstyle="miter"/>
                  <v:imagedata r:id="rId80" o:title=""/>
                  <o:lock v:ext="edit" aspectratio="t"/>
                  <w10:wrap type="none"/>
                  <w10:anchorlock/>
                </v:shape>
                <o:OLEObject Type="Embed" ProgID="Equation.3" ShapeID="_x0000_i1054" DrawAspect="Content" ObjectID="_1468075754" r:id="rId83">
                  <o:LockedField>false</o:LockedField>
                </o:OLEObject>
              </w:object>
            </w:r>
            <w:r>
              <w:rPr>
                <w:rFonts w:hint="default" w:ascii="Times New Roman" w:hAnsi="Times New Roman" w:eastAsia="宋体" w:cs="Times New Roman"/>
                <w:color w:val="auto"/>
                <w:sz w:val="24"/>
                <w:u w:val="none" w:color="auto"/>
              </w:rPr>
              <w:t>—建设项目声源在预测点产生的噪声贡献值，dB；</w:t>
            </w:r>
          </w:p>
          <w:p w14:paraId="0EB8B58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object>
                <v:shape id="_x0000_i1055" o:spt="75" type="#_x0000_t75" style="height:12.75pt;width:11.25pt;" o:ole="t" filled="f" o:preferrelative="t" stroked="f" coordsize="21600,21600">
                  <v:path/>
                  <v:fill on="f" focussize="0,0"/>
                  <v:stroke on="f" joinstyle="miter"/>
                  <v:imagedata r:id="rId71" o:title=""/>
                  <o:lock v:ext="edit" aspectratio="t"/>
                  <w10:wrap type="none"/>
                  <w10:anchorlock/>
                </v:shape>
                <o:OLEObject Type="Embed" ProgID="Equation.3" ShapeID="_x0000_i1055" DrawAspect="Content" ObjectID="_1468075755" r:id="rId84">
                  <o:LockedField>false</o:LockedField>
                </o:OLEObject>
              </w:object>
            </w:r>
            <w:r>
              <w:rPr>
                <w:rFonts w:hint="default" w:ascii="Times New Roman" w:hAnsi="Times New Roman" w:eastAsia="宋体" w:cs="Times New Roman"/>
                <w:color w:val="auto"/>
                <w:sz w:val="24"/>
                <w:u w:val="none" w:color="auto"/>
              </w:rPr>
              <w:t>—用于计算等效声级的时间，s；</w:t>
            </w:r>
          </w:p>
          <w:p w14:paraId="272DCC4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object>
                <v:shape id="_x0000_i1056" o:spt="75" type="#_x0000_t75" style="height:14.25pt;width:14.25pt;" o:ole="t" filled="f" o:preferrelative="t" stroked="f" coordsize="21600,21600">
                  <v:path/>
                  <v:fill on="f" focussize="0,0"/>
                  <v:stroke on="f" joinstyle="miter"/>
                  <v:imagedata r:id="rId86" o:title=""/>
                  <o:lock v:ext="edit" aspectratio="t"/>
                  <w10:wrap type="none"/>
                  <w10:anchorlock/>
                </v:shape>
                <o:OLEObject Type="Embed" ProgID="Equation.3" ShapeID="_x0000_i1056" DrawAspect="Content" ObjectID="_1468075756" r:id="rId85">
                  <o:LockedField>false</o:LockedField>
                </o:OLEObject>
              </w:object>
            </w:r>
            <w:r>
              <w:rPr>
                <w:rFonts w:hint="default" w:ascii="Times New Roman" w:hAnsi="Times New Roman" w:eastAsia="宋体" w:cs="Times New Roman"/>
                <w:color w:val="auto"/>
                <w:sz w:val="24"/>
                <w:u w:val="none" w:color="auto"/>
              </w:rPr>
              <w:t>—室外声源个数；</w:t>
            </w:r>
          </w:p>
          <w:p w14:paraId="03D1C79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2"/>
                <w:sz w:val="24"/>
                <w:u w:val="none" w:color="auto"/>
              </w:rPr>
              <w:object>
                <v:shape id="_x0000_i1057" o:spt="75" type="#_x0000_t75" style="height:18pt;width:9pt;" o:ole="t" filled="f" o:preferrelative="t" stroked="f" coordsize="21600,21600">
                  <v:path/>
                  <v:fill on="f" focussize="0,0"/>
                  <v:stroke on="f" joinstyle="miter"/>
                  <v:imagedata r:id="rId88" o:title=""/>
                  <o:lock v:ext="edit" aspectratio="t"/>
                  <w10:wrap type="none"/>
                  <w10:anchorlock/>
                </v:shape>
                <o:OLEObject Type="Embed" ProgID="Equation.3" ShapeID="_x0000_i1057" DrawAspect="Content" ObjectID="_1468075757" r:id="rId87">
                  <o:LockedField>false</o:LockedField>
                </o:OLEObject>
              </w:object>
            </w:r>
            <w:r>
              <w:rPr>
                <w:rFonts w:hint="default" w:ascii="Times New Roman" w:hAnsi="Times New Roman" w:eastAsia="宋体" w:cs="Times New Roman"/>
                <w:color w:val="auto"/>
                <w:sz w:val="24"/>
                <w:u w:val="none" w:color="auto"/>
              </w:rPr>
              <w:t>—在T时间内i声源工作时间，s；</w:t>
            </w:r>
          </w:p>
          <w:p w14:paraId="048DA79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object>
                <v:shape id="_x0000_i1058" o:spt="75" type="#_x0000_t75" style="height:12.75pt;width:15.75pt;" o:ole="t" filled="f" o:preferrelative="t" stroked="f" coordsize="21600,21600">
                  <v:path/>
                  <v:fill on="f" focussize="0,0"/>
                  <v:stroke on="f" joinstyle="miter"/>
                  <v:imagedata r:id="rId90" o:title=""/>
                  <o:lock v:ext="edit" aspectratio="t"/>
                  <w10:wrap type="none"/>
                  <w10:anchorlock/>
                </v:shape>
                <o:OLEObject Type="Embed" ProgID="Equation.3" ShapeID="_x0000_i1058" DrawAspect="Content" ObjectID="_1468075758" r:id="rId89">
                  <o:LockedField>false</o:LockedField>
                </o:OLEObject>
              </w:object>
            </w:r>
            <w:r>
              <w:rPr>
                <w:rFonts w:hint="default" w:ascii="Times New Roman" w:hAnsi="Times New Roman" w:eastAsia="宋体" w:cs="Times New Roman"/>
                <w:color w:val="auto"/>
                <w:sz w:val="24"/>
                <w:u w:val="none" w:color="auto"/>
              </w:rPr>
              <w:t>—等效室外声源个数；</w:t>
            </w:r>
          </w:p>
          <w:p w14:paraId="31FA80A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position w:val="-14"/>
                <w:sz w:val="24"/>
                <w:u w:val="none" w:color="auto"/>
              </w:rPr>
              <w:object>
                <v:shape id="_x0000_i1059" o:spt="75" type="#_x0000_t75" style="height:18.75pt;width:11.25pt;" o:ole="t" filled="f" o:preferrelative="t" stroked="f" coordsize="21600,21600">
                  <v:path/>
                  <v:fill on="f" focussize="0,0"/>
                  <v:stroke on="f" joinstyle="miter"/>
                  <v:imagedata r:id="rId92" o:title=""/>
                  <o:lock v:ext="edit" aspectratio="t"/>
                  <w10:wrap type="none"/>
                  <w10:anchorlock/>
                </v:shape>
                <o:OLEObject Type="Embed" ProgID="Equation.3" ShapeID="_x0000_i1059" DrawAspect="Content" ObjectID="_1468075759" r:id="rId91">
                  <o:LockedField>false</o:LockedField>
                </o:OLEObject>
              </w:object>
            </w:r>
            <w:r>
              <w:rPr>
                <w:rFonts w:hint="default" w:ascii="Times New Roman" w:hAnsi="Times New Roman" w:eastAsia="宋体" w:cs="Times New Roman"/>
                <w:color w:val="auto"/>
                <w:sz w:val="24"/>
                <w:u w:val="none" w:color="auto"/>
              </w:rPr>
              <w:t>—在T时间内j声源工作时间，s。</w:t>
            </w:r>
          </w:p>
          <w:p w14:paraId="6EEA75C4">
            <w:pPr>
              <w:pStyle w:val="34"/>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auto"/>
                <w:kern w:val="2"/>
                <w:sz w:val="24"/>
                <w:szCs w:val="24"/>
                <w:u w:val="none" w:color="auto"/>
                <w:lang w:val="en-US" w:eastAsia="zh-CN" w:bidi="ar-SA"/>
              </w:rPr>
            </w:pPr>
            <w:r>
              <w:rPr>
                <w:rFonts w:hint="default" w:ascii="Times New Roman" w:hAnsi="Times New Roman" w:eastAsia="宋体" w:cs="Times New Roman"/>
                <w:b/>
                <w:bCs/>
                <w:color w:val="auto"/>
                <w:kern w:val="2"/>
                <w:sz w:val="24"/>
                <w:szCs w:val="24"/>
                <w:u w:val="none" w:color="auto"/>
                <w:lang w:val="en-US" w:eastAsia="zh-CN" w:bidi="ar-SA"/>
              </w:rPr>
              <w:t>（3）预测结果</w:t>
            </w:r>
          </w:p>
          <w:p w14:paraId="7310C3B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根据项目平面布局，综合考虑距离衰减、地面吸收、空气吸收以及厂房墙体的阻隔，利用上述的预测评价数学模型，将有关参数代入公式计算、预测厂界噪声，项目噪声预测结果见下表：</w:t>
            </w:r>
          </w:p>
          <w:p w14:paraId="31BD4B28">
            <w:pPr>
              <w:pStyle w:val="87"/>
              <w:adjustRightInd w:val="0"/>
              <w:snapToGrid w:val="0"/>
              <w:spacing w:line="240" w:lineRule="auto"/>
              <w:ind w:firstLine="0" w:firstLineChars="0"/>
              <w:jc w:val="center"/>
              <w:rPr>
                <w:rFonts w:hint="default" w:ascii="Times New Roman" w:hAnsi="Times New Roman" w:eastAsia="宋体" w:cs="Times New Roman"/>
                <w:b/>
                <w:color w:val="auto"/>
                <w:kern w:val="24"/>
                <w:sz w:val="21"/>
                <w:szCs w:val="21"/>
                <w:u w:val="none" w:color="auto"/>
                <w:lang w:val="en-US" w:eastAsia="zh-CN" w:bidi="ar-SA"/>
              </w:rPr>
            </w:pPr>
            <w:r>
              <w:rPr>
                <w:rFonts w:hint="default" w:ascii="Times New Roman" w:hAnsi="Times New Roman" w:eastAsia="宋体" w:cs="Times New Roman"/>
                <w:b/>
                <w:color w:val="auto"/>
                <w:kern w:val="24"/>
                <w:sz w:val="21"/>
                <w:szCs w:val="21"/>
                <w:u w:val="none" w:color="auto"/>
                <w:lang w:val="en-US" w:eastAsia="zh-CN" w:bidi="ar-SA"/>
              </w:rPr>
              <w:t>表4-1</w:t>
            </w:r>
            <w:r>
              <w:rPr>
                <w:rFonts w:hint="eastAsia" w:cs="Times New Roman"/>
                <w:b/>
                <w:color w:val="auto"/>
                <w:kern w:val="24"/>
                <w:sz w:val="21"/>
                <w:szCs w:val="21"/>
                <w:u w:val="none" w:color="auto"/>
                <w:lang w:val="en-US" w:eastAsia="zh-CN" w:bidi="ar-SA"/>
              </w:rPr>
              <w:t>2</w:t>
            </w:r>
            <w:r>
              <w:rPr>
                <w:rFonts w:hint="default" w:ascii="Times New Roman" w:hAnsi="Times New Roman" w:eastAsia="宋体" w:cs="Times New Roman"/>
                <w:b/>
                <w:color w:val="auto"/>
                <w:kern w:val="24"/>
                <w:sz w:val="21"/>
                <w:szCs w:val="21"/>
                <w:u w:val="none" w:color="auto"/>
                <w:lang w:val="en-US" w:eastAsia="zh-CN" w:bidi="ar-SA"/>
              </w:rPr>
              <w:t xml:space="preserve"> 拟建工程厂界噪声预测结果    单位：dB(A)</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747"/>
              <w:gridCol w:w="747"/>
              <w:gridCol w:w="749"/>
              <w:gridCol w:w="924"/>
              <w:gridCol w:w="1319"/>
              <w:gridCol w:w="1320"/>
              <w:gridCol w:w="1106"/>
            </w:tblGrid>
            <w:tr w14:paraId="4F18B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025" w:type="dxa"/>
                  <w:vMerge w:val="restart"/>
                  <w:tcBorders>
                    <w:tl2br w:val="nil"/>
                    <w:tr2bl w:val="nil"/>
                  </w:tcBorders>
                  <w:vAlign w:val="center"/>
                </w:tcPr>
                <w:p w14:paraId="7BB37935">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预测方位</w:t>
                  </w:r>
                </w:p>
              </w:tc>
              <w:tc>
                <w:tcPr>
                  <w:tcW w:w="2243" w:type="dxa"/>
                  <w:gridSpan w:val="3"/>
                  <w:tcBorders>
                    <w:tl2br w:val="nil"/>
                    <w:tr2bl w:val="nil"/>
                  </w:tcBorders>
                  <w:vAlign w:val="center"/>
                </w:tcPr>
                <w:p w14:paraId="32AD33A0">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lang w:val="en-US" w:eastAsia="zh-CN"/>
                    </w:rPr>
                    <w:t>最大值点</w:t>
                  </w:r>
                  <w:r>
                    <w:rPr>
                      <w:rFonts w:hint="default" w:ascii="Times New Roman" w:hAnsi="Times New Roman" w:eastAsia="宋体" w:cs="Times New Roman"/>
                      <w:b/>
                      <w:sz w:val="21"/>
                      <w:szCs w:val="21"/>
                      <w:u w:val="none" w:color="auto"/>
                    </w:rPr>
                    <w:t>空间相对位置/m</w:t>
                  </w:r>
                </w:p>
              </w:tc>
              <w:tc>
                <w:tcPr>
                  <w:tcW w:w="924" w:type="dxa"/>
                  <w:vMerge w:val="restart"/>
                  <w:tcBorders>
                    <w:tl2br w:val="nil"/>
                    <w:tr2bl w:val="nil"/>
                  </w:tcBorders>
                  <w:vAlign w:val="center"/>
                </w:tcPr>
                <w:p w14:paraId="56232633">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时段</w:t>
                  </w:r>
                </w:p>
              </w:tc>
              <w:tc>
                <w:tcPr>
                  <w:tcW w:w="1319" w:type="dxa"/>
                  <w:vMerge w:val="restart"/>
                  <w:tcBorders>
                    <w:tl2br w:val="nil"/>
                    <w:tr2bl w:val="nil"/>
                  </w:tcBorders>
                  <w:vAlign w:val="center"/>
                </w:tcPr>
                <w:p w14:paraId="6A3EF1B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贡献值（dB(A)）</w:t>
                  </w:r>
                </w:p>
              </w:tc>
              <w:tc>
                <w:tcPr>
                  <w:tcW w:w="1320" w:type="dxa"/>
                  <w:vMerge w:val="restart"/>
                  <w:tcBorders>
                    <w:tl2br w:val="nil"/>
                    <w:tr2bl w:val="nil"/>
                  </w:tcBorders>
                  <w:vAlign w:val="center"/>
                </w:tcPr>
                <w:p w14:paraId="02179150">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标准限值（dB(A)）</w:t>
                  </w:r>
                </w:p>
              </w:tc>
              <w:tc>
                <w:tcPr>
                  <w:tcW w:w="1106" w:type="dxa"/>
                  <w:vMerge w:val="restart"/>
                  <w:tcBorders>
                    <w:tl2br w:val="nil"/>
                    <w:tr2bl w:val="nil"/>
                  </w:tcBorders>
                  <w:vAlign w:val="center"/>
                </w:tcPr>
                <w:p w14:paraId="6B522DEB">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达标情况</w:t>
                  </w:r>
                </w:p>
              </w:tc>
            </w:tr>
            <w:tr w14:paraId="3866A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25" w:type="dxa"/>
                  <w:vMerge w:val="continue"/>
                  <w:tcBorders>
                    <w:tl2br w:val="nil"/>
                    <w:tr2bl w:val="nil"/>
                  </w:tcBorders>
                  <w:shd w:val="clear" w:color="auto" w:fill="FFFFFF"/>
                  <w:vAlign w:val="center"/>
                </w:tcPr>
                <w:p w14:paraId="4F7AB6AB">
                  <w:pPr>
                    <w:jc w:val="center"/>
                    <w:rPr>
                      <w:rFonts w:hint="default" w:ascii="Times New Roman" w:hAnsi="Times New Roman" w:eastAsia="宋体" w:cs="Times New Roman"/>
                      <w:sz w:val="21"/>
                      <w:szCs w:val="21"/>
                      <w:u w:val="none" w:color="auto"/>
                    </w:rPr>
                  </w:pPr>
                </w:p>
              </w:tc>
              <w:tc>
                <w:tcPr>
                  <w:tcW w:w="747" w:type="dxa"/>
                  <w:tcBorders>
                    <w:tl2br w:val="nil"/>
                    <w:tr2bl w:val="nil"/>
                  </w:tcBorders>
                  <w:shd w:val="clear" w:color="auto" w:fill="FFFFFF"/>
                  <w:vAlign w:val="center"/>
                </w:tcPr>
                <w:p w14:paraId="5D1C1291">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X</w:t>
                  </w:r>
                </w:p>
              </w:tc>
              <w:tc>
                <w:tcPr>
                  <w:tcW w:w="747" w:type="dxa"/>
                  <w:tcBorders>
                    <w:tl2br w:val="nil"/>
                    <w:tr2bl w:val="nil"/>
                  </w:tcBorders>
                  <w:shd w:val="clear" w:color="auto" w:fill="FFFFFF"/>
                  <w:vAlign w:val="center"/>
                </w:tcPr>
                <w:p w14:paraId="38DD77D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Y</w:t>
                  </w:r>
                </w:p>
              </w:tc>
              <w:tc>
                <w:tcPr>
                  <w:tcW w:w="749" w:type="dxa"/>
                  <w:tcBorders>
                    <w:tl2br w:val="nil"/>
                    <w:tr2bl w:val="nil"/>
                  </w:tcBorders>
                  <w:shd w:val="clear" w:color="auto" w:fill="FFFFFF"/>
                  <w:vAlign w:val="center"/>
                </w:tcPr>
                <w:p w14:paraId="00AA604B">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Z</w:t>
                  </w:r>
                </w:p>
              </w:tc>
              <w:tc>
                <w:tcPr>
                  <w:tcW w:w="924" w:type="dxa"/>
                  <w:vMerge w:val="continue"/>
                  <w:tcBorders>
                    <w:tl2br w:val="nil"/>
                    <w:tr2bl w:val="nil"/>
                  </w:tcBorders>
                  <w:shd w:val="clear" w:color="auto" w:fill="FFFFFF"/>
                  <w:vAlign w:val="center"/>
                </w:tcPr>
                <w:p w14:paraId="435115F8">
                  <w:pPr>
                    <w:jc w:val="center"/>
                    <w:rPr>
                      <w:rFonts w:hint="default" w:ascii="Times New Roman" w:hAnsi="Times New Roman" w:eastAsia="宋体" w:cs="Times New Roman"/>
                      <w:sz w:val="21"/>
                      <w:szCs w:val="21"/>
                      <w:u w:val="none" w:color="auto"/>
                    </w:rPr>
                  </w:pPr>
                </w:p>
              </w:tc>
              <w:tc>
                <w:tcPr>
                  <w:tcW w:w="1319" w:type="dxa"/>
                  <w:vMerge w:val="continue"/>
                  <w:tcBorders>
                    <w:tl2br w:val="nil"/>
                    <w:tr2bl w:val="nil"/>
                  </w:tcBorders>
                  <w:shd w:val="clear" w:color="auto" w:fill="FFFFFF"/>
                  <w:vAlign w:val="center"/>
                </w:tcPr>
                <w:p w14:paraId="18A1245A">
                  <w:pPr>
                    <w:jc w:val="center"/>
                    <w:rPr>
                      <w:rFonts w:hint="default" w:ascii="Times New Roman" w:hAnsi="Times New Roman" w:eastAsia="宋体" w:cs="Times New Roman"/>
                      <w:sz w:val="21"/>
                      <w:szCs w:val="21"/>
                      <w:u w:val="none" w:color="auto"/>
                    </w:rPr>
                  </w:pPr>
                </w:p>
              </w:tc>
              <w:tc>
                <w:tcPr>
                  <w:tcW w:w="1320" w:type="dxa"/>
                  <w:vMerge w:val="continue"/>
                  <w:tcBorders>
                    <w:tl2br w:val="nil"/>
                    <w:tr2bl w:val="nil"/>
                  </w:tcBorders>
                  <w:shd w:val="clear" w:color="auto" w:fill="FFFFFF"/>
                  <w:vAlign w:val="center"/>
                </w:tcPr>
                <w:p w14:paraId="695D88E9">
                  <w:pPr>
                    <w:jc w:val="center"/>
                    <w:rPr>
                      <w:rFonts w:hint="default" w:ascii="Times New Roman" w:hAnsi="Times New Roman" w:eastAsia="宋体" w:cs="Times New Roman"/>
                      <w:sz w:val="21"/>
                      <w:szCs w:val="21"/>
                      <w:u w:val="none" w:color="auto"/>
                    </w:rPr>
                  </w:pPr>
                </w:p>
              </w:tc>
              <w:tc>
                <w:tcPr>
                  <w:tcW w:w="1106" w:type="dxa"/>
                  <w:vMerge w:val="continue"/>
                  <w:tcBorders>
                    <w:tl2br w:val="nil"/>
                    <w:tr2bl w:val="nil"/>
                  </w:tcBorders>
                  <w:shd w:val="clear" w:color="auto" w:fill="FFFFFF"/>
                  <w:vAlign w:val="center"/>
                </w:tcPr>
                <w:p w14:paraId="7773FD9E">
                  <w:pPr>
                    <w:jc w:val="center"/>
                    <w:rPr>
                      <w:rFonts w:hint="default" w:ascii="Times New Roman" w:hAnsi="Times New Roman" w:eastAsia="宋体" w:cs="Times New Roman"/>
                      <w:sz w:val="21"/>
                      <w:szCs w:val="21"/>
                      <w:u w:val="none" w:color="auto"/>
                    </w:rPr>
                  </w:pPr>
                </w:p>
              </w:tc>
            </w:tr>
            <w:tr w14:paraId="57400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restart"/>
                  <w:tcBorders>
                    <w:tl2br w:val="nil"/>
                    <w:tr2bl w:val="nil"/>
                  </w:tcBorders>
                  <w:shd w:val="clear" w:color="auto" w:fill="FFFFFF"/>
                  <w:vAlign w:val="center"/>
                </w:tcPr>
                <w:p w14:paraId="5646BC55">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东侧</w:t>
                  </w:r>
                </w:p>
              </w:tc>
              <w:tc>
                <w:tcPr>
                  <w:tcW w:w="747" w:type="dxa"/>
                  <w:tcBorders>
                    <w:tl2br w:val="nil"/>
                    <w:tr2bl w:val="nil"/>
                  </w:tcBorders>
                  <w:shd w:val="clear" w:color="auto" w:fill="FFFFFF"/>
                  <w:vAlign w:val="center"/>
                </w:tcPr>
                <w:p w14:paraId="77621E4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169.7</w:t>
                  </w:r>
                </w:p>
              </w:tc>
              <w:tc>
                <w:tcPr>
                  <w:tcW w:w="747" w:type="dxa"/>
                  <w:tcBorders>
                    <w:tl2br w:val="nil"/>
                    <w:tr2bl w:val="nil"/>
                  </w:tcBorders>
                  <w:shd w:val="clear" w:color="auto" w:fill="FFFFFF"/>
                  <w:vAlign w:val="center"/>
                </w:tcPr>
                <w:p w14:paraId="5CA1193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141.4</w:t>
                  </w:r>
                </w:p>
              </w:tc>
              <w:tc>
                <w:tcPr>
                  <w:tcW w:w="749" w:type="dxa"/>
                  <w:tcBorders>
                    <w:tl2br w:val="nil"/>
                    <w:tr2bl w:val="nil"/>
                  </w:tcBorders>
                  <w:shd w:val="clear" w:color="auto" w:fill="FFFFFF"/>
                  <w:vAlign w:val="center"/>
                </w:tcPr>
                <w:p w14:paraId="21CEE17B">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2735098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昼间</w:t>
                  </w:r>
                </w:p>
              </w:tc>
              <w:tc>
                <w:tcPr>
                  <w:tcW w:w="1319" w:type="dxa"/>
                  <w:tcBorders>
                    <w:tl2br w:val="nil"/>
                    <w:tr2bl w:val="nil"/>
                  </w:tcBorders>
                  <w:shd w:val="clear" w:color="auto" w:fill="FFFFFF"/>
                  <w:vAlign w:val="center"/>
                </w:tcPr>
                <w:p w14:paraId="7B8ABFA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2</w:t>
                  </w:r>
                </w:p>
              </w:tc>
              <w:tc>
                <w:tcPr>
                  <w:tcW w:w="1320" w:type="dxa"/>
                  <w:tcBorders>
                    <w:tl2br w:val="nil"/>
                    <w:tr2bl w:val="nil"/>
                  </w:tcBorders>
                  <w:shd w:val="clear" w:color="auto" w:fill="FFFFFF"/>
                  <w:vAlign w:val="center"/>
                </w:tcPr>
                <w:p w14:paraId="4D0A874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1106" w:type="dxa"/>
                  <w:tcBorders>
                    <w:tl2br w:val="nil"/>
                    <w:tr2bl w:val="nil"/>
                  </w:tcBorders>
                  <w:shd w:val="clear" w:color="auto" w:fill="FFFFFF"/>
                  <w:vAlign w:val="center"/>
                </w:tcPr>
                <w:p w14:paraId="18B0472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783E2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continue"/>
                  <w:tcBorders>
                    <w:tl2br w:val="nil"/>
                    <w:tr2bl w:val="nil"/>
                  </w:tcBorders>
                  <w:shd w:val="clear" w:color="auto" w:fill="FFFFFF"/>
                  <w:vAlign w:val="center"/>
                </w:tcPr>
                <w:p w14:paraId="3F7C5E31">
                  <w:pPr>
                    <w:jc w:val="center"/>
                    <w:rPr>
                      <w:rFonts w:hint="default" w:ascii="Times New Roman" w:hAnsi="Times New Roman" w:eastAsia="宋体" w:cs="Times New Roman"/>
                      <w:u w:val="none" w:color="auto"/>
                    </w:rPr>
                  </w:pPr>
                </w:p>
              </w:tc>
              <w:tc>
                <w:tcPr>
                  <w:tcW w:w="747" w:type="dxa"/>
                  <w:tcBorders>
                    <w:tl2br w:val="nil"/>
                    <w:tr2bl w:val="nil"/>
                  </w:tcBorders>
                  <w:shd w:val="clear" w:color="auto" w:fill="FFFFFF"/>
                  <w:vAlign w:val="center"/>
                </w:tcPr>
                <w:p w14:paraId="1D44FB1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169.7</w:t>
                  </w:r>
                </w:p>
              </w:tc>
              <w:tc>
                <w:tcPr>
                  <w:tcW w:w="747" w:type="dxa"/>
                  <w:tcBorders>
                    <w:tl2br w:val="nil"/>
                    <w:tr2bl w:val="nil"/>
                  </w:tcBorders>
                  <w:shd w:val="clear" w:color="auto" w:fill="FFFFFF"/>
                  <w:vAlign w:val="center"/>
                </w:tcPr>
                <w:p w14:paraId="219AFAB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141.4</w:t>
                  </w:r>
                </w:p>
              </w:tc>
              <w:tc>
                <w:tcPr>
                  <w:tcW w:w="749" w:type="dxa"/>
                  <w:tcBorders>
                    <w:tl2br w:val="nil"/>
                    <w:tr2bl w:val="nil"/>
                  </w:tcBorders>
                  <w:shd w:val="clear" w:color="auto" w:fill="FFFFFF"/>
                  <w:vAlign w:val="center"/>
                </w:tcPr>
                <w:p w14:paraId="654FB0FE">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0EF64B8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夜间</w:t>
                  </w:r>
                </w:p>
              </w:tc>
              <w:tc>
                <w:tcPr>
                  <w:tcW w:w="1319" w:type="dxa"/>
                  <w:tcBorders>
                    <w:tl2br w:val="nil"/>
                    <w:tr2bl w:val="nil"/>
                  </w:tcBorders>
                  <w:shd w:val="clear" w:color="auto" w:fill="FFFFFF"/>
                  <w:vAlign w:val="center"/>
                </w:tcPr>
                <w:p w14:paraId="20E10041">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2</w:t>
                  </w:r>
                </w:p>
              </w:tc>
              <w:tc>
                <w:tcPr>
                  <w:tcW w:w="1320" w:type="dxa"/>
                  <w:tcBorders>
                    <w:tl2br w:val="nil"/>
                    <w:tr2bl w:val="nil"/>
                  </w:tcBorders>
                  <w:shd w:val="clear" w:color="auto" w:fill="FFFFFF"/>
                  <w:vAlign w:val="center"/>
                </w:tcPr>
                <w:p w14:paraId="052284F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1106" w:type="dxa"/>
                  <w:tcBorders>
                    <w:tl2br w:val="nil"/>
                    <w:tr2bl w:val="nil"/>
                  </w:tcBorders>
                  <w:shd w:val="clear" w:color="auto" w:fill="FFFFFF"/>
                  <w:vAlign w:val="center"/>
                </w:tcPr>
                <w:p w14:paraId="7DB2A935">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41A58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restart"/>
                  <w:tcBorders>
                    <w:tl2br w:val="nil"/>
                    <w:tr2bl w:val="nil"/>
                  </w:tcBorders>
                  <w:shd w:val="clear" w:color="auto" w:fill="FFFFFF"/>
                  <w:vAlign w:val="center"/>
                </w:tcPr>
                <w:p w14:paraId="46056EE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南侧</w:t>
                  </w:r>
                </w:p>
              </w:tc>
              <w:tc>
                <w:tcPr>
                  <w:tcW w:w="747" w:type="dxa"/>
                  <w:tcBorders>
                    <w:tl2br w:val="nil"/>
                    <w:tr2bl w:val="nil"/>
                  </w:tcBorders>
                  <w:shd w:val="clear" w:color="auto" w:fill="FFFFFF"/>
                  <w:vAlign w:val="center"/>
                </w:tcPr>
                <w:p w14:paraId="5DCB8B27">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-5.5</w:t>
                  </w:r>
                </w:p>
              </w:tc>
              <w:tc>
                <w:tcPr>
                  <w:tcW w:w="747" w:type="dxa"/>
                  <w:tcBorders>
                    <w:tl2br w:val="nil"/>
                    <w:tr2bl w:val="nil"/>
                  </w:tcBorders>
                  <w:shd w:val="clear" w:color="auto" w:fill="FFFFFF"/>
                  <w:vAlign w:val="center"/>
                </w:tcPr>
                <w:p w14:paraId="3694A32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-195.3</w:t>
                  </w:r>
                </w:p>
              </w:tc>
              <w:tc>
                <w:tcPr>
                  <w:tcW w:w="749" w:type="dxa"/>
                  <w:tcBorders>
                    <w:tl2br w:val="nil"/>
                    <w:tr2bl w:val="nil"/>
                  </w:tcBorders>
                  <w:shd w:val="clear" w:color="auto" w:fill="FFFFFF"/>
                  <w:vAlign w:val="center"/>
                </w:tcPr>
                <w:p w14:paraId="7F993D8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5CB88E69">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昼间</w:t>
                  </w:r>
                </w:p>
              </w:tc>
              <w:tc>
                <w:tcPr>
                  <w:tcW w:w="1319" w:type="dxa"/>
                  <w:tcBorders>
                    <w:tl2br w:val="nil"/>
                    <w:tr2bl w:val="nil"/>
                  </w:tcBorders>
                  <w:shd w:val="clear" w:color="auto" w:fill="FFFFFF"/>
                  <w:vAlign w:val="center"/>
                </w:tcPr>
                <w:p w14:paraId="0E9327E7">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6.4</w:t>
                  </w:r>
                </w:p>
              </w:tc>
              <w:tc>
                <w:tcPr>
                  <w:tcW w:w="1320" w:type="dxa"/>
                  <w:tcBorders>
                    <w:tl2br w:val="nil"/>
                    <w:tr2bl w:val="nil"/>
                  </w:tcBorders>
                  <w:shd w:val="clear" w:color="auto" w:fill="FFFFFF"/>
                  <w:vAlign w:val="center"/>
                </w:tcPr>
                <w:p w14:paraId="5559506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1106" w:type="dxa"/>
                  <w:tcBorders>
                    <w:tl2br w:val="nil"/>
                    <w:tr2bl w:val="nil"/>
                  </w:tcBorders>
                  <w:shd w:val="clear" w:color="auto" w:fill="FFFFFF"/>
                  <w:vAlign w:val="center"/>
                </w:tcPr>
                <w:p w14:paraId="7AD5775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4F980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continue"/>
                  <w:tcBorders>
                    <w:tl2br w:val="nil"/>
                    <w:tr2bl w:val="nil"/>
                  </w:tcBorders>
                  <w:shd w:val="clear" w:color="auto" w:fill="FFFFFF"/>
                  <w:vAlign w:val="center"/>
                </w:tcPr>
                <w:p w14:paraId="667AC8C2">
                  <w:pPr>
                    <w:jc w:val="center"/>
                    <w:rPr>
                      <w:rFonts w:hint="default" w:ascii="Times New Roman" w:hAnsi="Times New Roman" w:eastAsia="宋体" w:cs="Times New Roman"/>
                      <w:u w:val="none" w:color="auto"/>
                    </w:rPr>
                  </w:pPr>
                </w:p>
              </w:tc>
              <w:tc>
                <w:tcPr>
                  <w:tcW w:w="747" w:type="dxa"/>
                  <w:tcBorders>
                    <w:tl2br w:val="nil"/>
                    <w:tr2bl w:val="nil"/>
                  </w:tcBorders>
                  <w:shd w:val="clear" w:color="auto" w:fill="FFFFFF"/>
                  <w:vAlign w:val="center"/>
                </w:tcPr>
                <w:p w14:paraId="793E4C55">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-5.5</w:t>
                  </w:r>
                </w:p>
              </w:tc>
              <w:tc>
                <w:tcPr>
                  <w:tcW w:w="747" w:type="dxa"/>
                  <w:tcBorders>
                    <w:tl2br w:val="nil"/>
                    <w:tr2bl w:val="nil"/>
                  </w:tcBorders>
                  <w:shd w:val="clear" w:color="auto" w:fill="FFFFFF"/>
                  <w:vAlign w:val="center"/>
                </w:tcPr>
                <w:p w14:paraId="7959B761">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-195.3</w:t>
                  </w:r>
                </w:p>
              </w:tc>
              <w:tc>
                <w:tcPr>
                  <w:tcW w:w="749" w:type="dxa"/>
                  <w:tcBorders>
                    <w:tl2br w:val="nil"/>
                    <w:tr2bl w:val="nil"/>
                  </w:tcBorders>
                  <w:shd w:val="clear" w:color="auto" w:fill="FFFFFF"/>
                  <w:vAlign w:val="center"/>
                </w:tcPr>
                <w:p w14:paraId="59A91F0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2FAAD77F">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夜间</w:t>
                  </w:r>
                </w:p>
              </w:tc>
              <w:tc>
                <w:tcPr>
                  <w:tcW w:w="1319" w:type="dxa"/>
                  <w:tcBorders>
                    <w:tl2br w:val="nil"/>
                    <w:tr2bl w:val="nil"/>
                  </w:tcBorders>
                  <w:shd w:val="clear" w:color="auto" w:fill="FFFFFF"/>
                  <w:vAlign w:val="center"/>
                </w:tcPr>
                <w:p w14:paraId="0742A05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6.4</w:t>
                  </w:r>
                </w:p>
              </w:tc>
              <w:tc>
                <w:tcPr>
                  <w:tcW w:w="1320" w:type="dxa"/>
                  <w:tcBorders>
                    <w:tl2br w:val="nil"/>
                    <w:tr2bl w:val="nil"/>
                  </w:tcBorders>
                  <w:shd w:val="clear" w:color="auto" w:fill="FFFFFF"/>
                  <w:vAlign w:val="center"/>
                </w:tcPr>
                <w:p w14:paraId="519B6617">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1106" w:type="dxa"/>
                  <w:tcBorders>
                    <w:tl2br w:val="nil"/>
                    <w:tr2bl w:val="nil"/>
                  </w:tcBorders>
                  <w:shd w:val="clear" w:color="auto" w:fill="FFFFFF"/>
                  <w:vAlign w:val="center"/>
                </w:tcPr>
                <w:p w14:paraId="732180C9">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4EB54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restart"/>
                  <w:tcBorders>
                    <w:tl2br w:val="nil"/>
                    <w:tr2bl w:val="nil"/>
                  </w:tcBorders>
                  <w:shd w:val="clear" w:color="auto" w:fill="FFFFFF"/>
                  <w:vAlign w:val="center"/>
                </w:tcPr>
                <w:p w14:paraId="59445EE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西侧</w:t>
                  </w:r>
                </w:p>
              </w:tc>
              <w:tc>
                <w:tcPr>
                  <w:tcW w:w="747" w:type="dxa"/>
                  <w:tcBorders>
                    <w:tl2br w:val="nil"/>
                    <w:tr2bl w:val="nil"/>
                  </w:tcBorders>
                  <w:shd w:val="clear" w:color="auto" w:fill="FFFFFF"/>
                  <w:vAlign w:val="center"/>
                </w:tcPr>
                <w:p w14:paraId="2D0AC6F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-169.3</w:t>
                  </w:r>
                </w:p>
              </w:tc>
              <w:tc>
                <w:tcPr>
                  <w:tcW w:w="747" w:type="dxa"/>
                  <w:tcBorders>
                    <w:tl2br w:val="nil"/>
                    <w:tr2bl w:val="nil"/>
                  </w:tcBorders>
                  <w:shd w:val="clear" w:color="auto" w:fill="FFFFFF"/>
                  <w:vAlign w:val="center"/>
                </w:tcPr>
                <w:p w14:paraId="7BD8FAD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152.7</w:t>
                  </w:r>
                </w:p>
              </w:tc>
              <w:tc>
                <w:tcPr>
                  <w:tcW w:w="749" w:type="dxa"/>
                  <w:tcBorders>
                    <w:tl2br w:val="nil"/>
                    <w:tr2bl w:val="nil"/>
                  </w:tcBorders>
                  <w:shd w:val="clear" w:color="auto" w:fill="FFFFFF"/>
                  <w:vAlign w:val="center"/>
                </w:tcPr>
                <w:p w14:paraId="4F5AD86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2B975DDF">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昼间</w:t>
                  </w:r>
                </w:p>
              </w:tc>
              <w:tc>
                <w:tcPr>
                  <w:tcW w:w="1319" w:type="dxa"/>
                  <w:tcBorders>
                    <w:tl2br w:val="nil"/>
                    <w:tr2bl w:val="nil"/>
                  </w:tcBorders>
                  <w:shd w:val="clear" w:color="auto" w:fill="FFFFFF"/>
                  <w:vAlign w:val="center"/>
                </w:tcPr>
                <w:p w14:paraId="53A89DE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w:t>
                  </w:r>
                </w:p>
              </w:tc>
              <w:tc>
                <w:tcPr>
                  <w:tcW w:w="1320" w:type="dxa"/>
                  <w:tcBorders>
                    <w:tl2br w:val="nil"/>
                    <w:tr2bl w:val="nil"/>
                  </w:tcBorders>
                  <w:shd w:val="clear" w:color="auto" w:fill="FFFFFF"/>
                  <w:vAlign w:val="center"/>
                </w:tcPr>
                <w:p w14:paraId="41B93CC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1106" w:type="dxa"/>
                  <w:tcBorders>
                    <w:tl2br w:val="nil"/>
                    <w:tr2bl w:val="nil"/>
                  </w:tcBorders>
                  <w:shd w:val="clear" w:color="auto" w:fill="FFFFFF"/>
                  <w:vAlign w:val="center"/>
                </w:tcPr>
                <w:p w14:paraId="5E04BBDB">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65675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continue"/>
                  <w:tcBorders>
                    <w:tl2br w:val="nil"/>
                    <w:tr2bl w:val="nil"/>
                  </w:tcBorders>
                  <w:shd w:val="clear" w:color="auto" w:fill="FFFFFF"/>
                  <w:vAlign w:val="center"/>
                </w:tcPr>
                <w:p w14:paraId="0A550BEC">
                  <w:pPr>
                    <w:jc w:val="center"/>
                    <w:rPr>
                      <w:rFonts w:hint="default" w:ascii="Times New Roman" w:hAnsi="Times New Roman" w:eastAsia="宋体" w:cs="Times New Roman"/>
                      <w:u w:val="none" w:color="auto"/>
                    </w:rPr>
                  </w:pPr>
                </w:p>
              </w:tc>
              <w:tc>
                <w:tcPr>
                  <w:tcW w:w="747" w:type="dxa"/>
                  <w:tcBorders>
                    <w:tl2br w:val="nil"/>
                    <w:tr2bl w:val="nil"/>
                  </w:tcBorders>
                  <w:shd w:val="clear" w:color="auto" w:fill="FFFFFF"/>
                  <w:vAlign w:val="center"/>
                </w:tcPr>
                <w:p w14:paraId="20E2873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-169.3</w:t>
                  </w:r>
                </w:p>
              </w:tc>
              <w:tc>
                <w:tcPr>
                  <w:tcW w:w="747" w:type="dxa"/>
                  <w:tcBorders>
                    <w:tl2br w:val="nil"/>
                    <w:tr2bl w:val="nil"/>
                  </w:tcBorders>
                  <w:shd w:val="clear" w:color="auto" w:fill="FFFFFF"/>
                  <w:vAlign w:val="center"/>
                </w:tcPr>
                <w:p w14:paraId="56752BC9">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152.7</w:t>
                  </w:r>
                </w:p>
              </w:tc>
              <w:tc>
                <w:tcPr>
                  <w:tcW w:w="749" w:type="dxa"/>
                  <w:tcBorders>
                    <w:tl2br w:val="nil"/>
                    <w:tr2bl w:val="nil"/>
                  </w:tcBorders>
                  <w:shd w:val="clear" w:color="auto" w:fill="FFFFFF"/>
                  <w:vAlign w:val="center"/>
                </w:tcPr>
                <w:p w14:paraId="1542D96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735F665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夜间</w:t>
                  </w:r>
                </w:p>
              </w:tc>
              <w:tc>
                <w:tcPr>
                  <w:tcW w:w="1319" w:type="dxa"/>
                  <w:tcBorders>
                    <w:tl2br w:val="nil"/>
                    <w:tr2bl w:val="nil"/>
                  </w:tcBorders>
                  <w:shd w:val="clear" w:color="auto" w:fill="FFFFFF"/>
                  <w:vAlign w:val="center"/>
                </w:tcPr>
                <w:p w14:paraId="7675824F">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w:t>
                  </w:r>
                </w:p>
              </w:tc>
              <w:tc>
                <w:tcPr>
                  <w:tcW w:w="1320" w:type="dxa"/>
                  <w:tcBorders>
                    <w:tl2br w:val="nil"/>
                    <w:tr2bl w:val="nil"/>
                  </w:tcBorders>
                  <w:shd w:val="clear" w:color="auto" w:fill="FFFFFF"/>
                  <w:vAlign w:val="center"/>
                </w:tcPr>
                <w:p w14:paraId="47442E7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1106" w:type="dxa"/>
                  <w:tcBorders>
                    <w:tl2br w:val="nil"/>
                    <w:tr2bl w:val="nil"/>
                  </w:tcBorders>
                  <w:shd w:val="clear" w:color="auto" w:fill="FFFFFF"/>
                  <w:vAlign w:val="center"/>
                </w:tcPr>
                <w:p w14:paraId="29D7A03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651236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exact"/>
                <w:jc w:val="center"/>
              </w:trPr>
              <w:tc>
                <w:tcPr>
                  <w:tcW w:w="1025" w:type="dxa"/>
                  <w:vMerge w:val="restart"/>
                  <w:tcBorders>
                    <w:tl2br w:val="nil"/>
                    <w:tr2bl w:val="nil"/>
                  </w:tcBorders>
                  <w:shd w:val="clear" w:color="auto" w:fill="FFFFFF"/>
                  <w:vAlign w:val="center"/>
                </w:tcPr>
                <w:p w14:paraId="6C95102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北侧</w:t>
                  </w:r>
                </w:p>
              </w:tc>
              <w:tc>
                <w:tcPr>
                  <w:tcW w:w="747" w:type="dxa"/>
                  <w:tcBorders>
                    <w:tl2br w:val="nil"/>
                    <w:tr2bl w:val="nil"/>
                  </w:tcBorders>
                  <w:shd w:val="clear" w:color="auto" w:fill="FFFFFF"/>
                  <w:vAlign w:val="center"/>
                </w:tcPr>
                <w:p w14:paraId="3397DB6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55.7</w:t>
                  </w:r>
                </w:p>
              </w:tc>
              <w:tc>
                <w:tcPr>
                  <w:tcW w:w="747" w:type="dxa"/>
                  <w:tcBorders>
                    <w:tl2br w:val="nil"/>
                    <w:tr2bl w:val="nil"/>
                  </w:tcBorders>
                  <w:shd w:val="clear" w:color="auto" w:fill="FFFFFF"/>
                  <w:vAlign w:val="center"/>
                </w:tcPr>
                <w:p w14:paraId="5446DDA9">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160.3</w:t>
                  </w:r>
                </w:p>
              </w:tc>
              <w:tc>
                <w:tcPr>
                  <w:tcW w:w="749" w:type="dxa"/>
                  <w:tcBorders>
                    <w:tl2br w:val="nil"/>
                    <w:tr2bl w:val="nil"/>
                  </w:tcBorders>
                  <w:shd w:val="clear" w:color="auto" w:fill="FFFFFF"/>
                  <w:vAlign w:val="center"/>
                </w:tcPr>
                <w:p w14:paraId="531FCCE5">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35E3AD9E">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昼间</w:t>
                  </w:r>
                </w:p>
              </w:tc>
              <w:tc>
                <w:tcPr>
                  <w:tcW w:w="1319" w:type="dxa"/>
                  <w:tcBorders>
                    <w:tl2br w:val="nil"/>
                    <w:tr2bl w:val="nil"/>
                  </w:tcBorders>
                  <w:shd w:val="clear" w:color="auto" w:fill="FFFFFF"/>
                  <w:vAlign w:val="center"/>
                </w:tcPr>
                <w:p w14:paraId="1646651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33</w:t>
                  </w:r>
                </w:p>
              </w:tc>
              <w:tc>
                <w:tcPr>
                  <w:tcW w:w="1320" w:type="dxa"/>
                  <w:tcBorders>
                    <w:tl2br w:val="nil"/>
                    <w:tr2bl w:val="nil"/>
                  </w:tcBorders>
                  <w:shd w:val="clear" w:color="auto" w:fill="FFFFFF"/>
                  <w:vAlign w:val="center"/>
                </w:tcPr>
                <w:p w14:paraId="2DCC328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1106" w:type="dxa"/>
                  <w:tcBorders>
                    <w:tl2br w:val="nil"/>
                    <w:tr2bl w:val="nil"/>
                  </w:tcBorders>
                  <w:shd w:val="clear" w:color="auto" w:fill="FFFFFF"/>
                  <w:vAlign w:val="center"/>
                </w:tcPr>
                <w:p w14:paraId="19B1EBD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37F10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5" w:hRule="exact"/>
                <w:jc w:val="center"/>
              </w:trPr>
              <w:tc>
                <w:tcPr>
                  <w:tcW w:w="1025" w:type="dxa"/>
                  <w:vMerge w:val="continue"/>
                  <w:tcBorders>
                    <w:tl2br w:val="nil"/>
                    <w:tr2bl w:val="nil"/>
                  </w:tcBorders>
                  <w:shd w:val="clear" w:color="auto" w:fill="FFFFFF"/>
                  <w:vAlign w:val="center"/>
                </w:tcPr>
                <w:p w14:paraId="016DD061">
                  <w:pPr>
                    <w:jc w:val="center"/>
                    <w:rPr>
                      <w:rFonts w:hint="default" w:ascii="Times New Roman" w:hAnsi="Times New Roman" w:eastAsia="宋体" w:cs="Times New Roman"/>
                      <w:u w:val="none" w:color="auto"/>
                    </w:rPr>
                  </w:pPr>
                </w:p>
              </w:tc>
              <w:tc>
                <w:tcPr>
                  <w:tcW w:w="747" w:type="dxa"/>
                  <w:tcBorders>
                    <w:tl2br w:val="nil"/>
                    <w:tr2bl w:val="nil"/>
                  </w:tcBorders>
                  <w:shd w:val="clear" w:color="auto" w:fill="FFFFFF"/>
                  <w:vAlign w:val="center"/>
                </w:tcPr>
                <w:p w14:paraId="566C793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55.7</w:t>
                  </w:r>
                </w:p>
              </w:tc>
              <w:tc>
                <w:tcPr>
                  <w:tcW w:w="747" w:type="dxa"/>
                  <w:tcBorders>
                    <w:tl2br w:val="nil"/>
                    <w:tr2bl w:val="nil"/>
                  </w:tcBorders>
                  <w:shd w:val="clear" w:color="auto" w:fill="FFFFFF"/>
                  <w:vAlign w:val="center"/>
                </w:tcPr>
                <w:p w14:paraId="3EE16E2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160.3</w:t>
                  </w:r>
                </w:p>
              </w:tc>
              <w:tc>
                <w:tcPr>
                  <w:tcW w:w="749" w:type="dxa"/>
                  <w:tcBorders>
                    <w:tl2br w:val="nil"/>
                    <w:tr2bl w:val="nil"/>
                  </w:tcBorders>
                  <w:shd w:val="clear" w:color="auto" w:fill="FFFFFF"/>
                  <w:vAlign w:val="center"/>
                </w:tcPr>
                <w:p w14:paraId="032CF0E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1.2</w:t>
                  </w:r>
                </w:p>
              </w:tc>
              <w:tc>
                <w:tcPr>
                  <w:tcW w:w="924" w:type="dxa"/>
                  <w:tcBorders>
                    <w:tl2br w:val="nil"/>
                    <w:tr2bl w:val="nil"/>
                  </w:tcBorders>
                  <w:shd w:val="clear" w:color="auto" w:fill="FFFFFF"/>
                  <w:vAlign w:val="center"/>
                </w:tcPr>
                <w:p w14:paraId="18DEC93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夜间</w:t>
                  </w:r>
                </w:p>
              </w:tc>
              <w:tc>
                <w:tcPr>
                  <w:tcW w:w="1319" w:type="dxa"/>
                  <w:tcBorders>
                    <w:tl2br w:val="nil"/>
                    <w:tr2bl w:val="nil"/>
                  </w:tcBorders>
                  <w:shd w:val="clear" w:color="auto" w:fill="FFFFFF"/>
                  <w:vAlign w:val="center"/>
                </w:tcPr>
                <w:p w14:paraId="780ADB2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33</w:t>
                  </w:r>
                </w:p>
              </w:tc>
              <w:tc>
                <w:tcPr>
                  <w:tcW w:w="1320" w:type="dxa"/>
                  <w:tcBorders>
                    <w:tl2br w:val="nil"/>
                    <w:tr2bl w:val="nil"/>
                  </w:tcBorders>
                  <w:shd w:val="clear" w:color="auto" w:fill="FFFFFF"/>
                  <w:vAlign w:val="center"/>
                </w:tcPr>
                <w:p w14:paraId="526C908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1106" w:type="dxa"/>
                  <w:tcBorders>
                    <w:tl2br w:val="nil"/>
                    <w:tr2bl w:val="nil"/>
                  </w:tcBorders>
                  <w:shd w:val="clear" w:color="auto" w:fill="FFFFFF"/>
                  <w:vAlign w:val="center"/>
                </w:tcPr>
                <w:p w14:paraId="6B6727D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bl>
          <w:p w14:paraId="4430F49A">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由上表的预测结果可知，建设项目正常营运时，在采取隔声、减震等措施处理后，噪声贡献值较小，</w:t>
            </w:r>
            <w:r>
              <w:rPr>
                <w:rFonts w:hint="default" w:ascii="Times New Roman" w:hAnsi="Times New Roman" w:eastAsia="宋体" w:cs="Times New Roman"/>
                <w:color w:val="auto"/>
                <w:sz w:val="24"/>
                <w:u w:val="none" w:color="auto"/>
                <w:lang w:val="en-US" w:eastAsia="zh-CN"/>
              </w:rPr>
              <w:t>本项目夜间不生产，昼间</w:t>
            </w:r>
            <w:r>
              <w:rPr>
                <w:rFonts w:hint="default" w:ascii="Times New Roman" w:hAnsi="Times New Roman" w:eastAsia="宋体" w:cs="Times New Roman"/>
                <w:color w:val="auto"/>
                <w:sz w:val="24"/>
                <w:u w:val="none" w:color="auto"/>
              </w:rPr>
              <w:t>厂界噪声</w:t>
            </w:r>
            <w:r>
              <w:rPr>
                <w:rFonts w:hint="default" w:ascii="Times New Roman" w:hAnsi="Times New Roman" w:eastAsia="宋体" w:cs="Times New Roman"/>
                <w:color w:val="auto"/>
                <w:sz w:val="24"/>
                <w:u w:val="none" w:color="auto"/>
                <w:lang w:val="en-US" w:eastAsia="zh-CN"/>
              </w:rPr>
              <w:t>可</w:t>
            </w:r>
            <w:r>
              <w:rPr>
                <w:rFonts w:hint="default" w:ascii="Times New Roman" w:hAnsi="Times New Roman" w:eastAsia="宋体" w:cs="Times New Roman"/>
                <w:color w:val="auto"/>
                <w:sz w:val="24"/>
                <w:u w:val="none" w:color="auto"/>
              </w:rPr>
              <w:t>满足《工业企业厂界环境噪声排放标准》(GB12348-2008)</w:t>
            </w:r>
            <w:r>
              <w:rPr>
                <w:rFonts w:hint="default" w:ascii="Times New Roman" w:hAnsi="Times New Roman" w:eastAsia="宋体" w:cs="Times New Roman"/>
                <w:color w:val="auto"/>
                <w:sz w:val="24"/>
                <w:u w:val="none" w:color="auto"/>
                <w:lang w:val="en-US" w:eastAsia="zh-CN"/>
              </w:rPr>
              <w:t>3</w:t>
            </w:r>
            <w:r>
              <w:rPr>
                <w:rFonts w:hint="default" w:ascii="Times New Roman" w:hAnsi="Times New Roman" w:eastAsia="宋体" w:cs="Times New Roman"/>
                <w:color w:val="auto"/>
                <w:sz w:val="24"/>
                <w:u w:val="none" w:color="auto"/>
              </w:rPr>
              <w:t>类标准要求。</w:t>
            </w:r>
          </w:p>
          <w:p w14:paraId="4EA851F2">
            <w:pPr>
              <w:numPr>
                <w:ilvl w:val="0"/>
                <w:numId w:val="4"/>
              </w:numPr>
              <w:spacing w:line="360" w:lineRule="auto"/>
              <w:ind w:left="0" w:leftChars="0" w:firstLine="0" w:firstLineChars="0"/>
              <w:rPr>
                <w:rFonts w:hint="default" w:ascii="Times New Roman" w:hAnsi="Times New Roman" w:eastAsia="宋体" w:cs="Times New Roman"/>
                <w:b/>
                <w:bCs/>
                <w:color w:val="auto"/>
                <w:sz w:val="24"/>
                <w:u w:val="none" w:color="auto"/>
              </w:rPr>
            </w:pPr>
            <w:r>
              <w:rPr>
                <w:rFonts w:hint="default" w:ascii="Times New Roman" w:hAnsi="Times New Roman" w:eastAsia="宋体" w:cs="Times New Roman"/>
                <w:b/>
                <w:bCs/>
                <w:color w:val="auto"/>
                <w:sz w:val="24"/>
                <w:u w:val="none" w:color="auto"/>
              </w:rPr>
              <w:t>对</w:t>
            </w:r>
            <w:r>
              <w:rPr>
                <w:rFonts w:hint="default" w:ascii="Times New Roman" w:hAnsi="Times New Roman" w:eastAsia="宋体" w:cs="Times New Roman"/>
                <w:b/>
                <w:bCs/>
                <w:color w:val="auto"/>
                <w:sz w:val="24"/>
                <w:u w:val="none" w:color="auto"/>
                <w:lang w:eastAsia="zh-CN"/>
              </w:rPr>
              <w:t>敏感点</w:t>
            </w:r>
            <w:r>
              <w:rPr>
                <w:rFonts w:hint="default" w:ascii="Times New Roman" w:hAnsi="Times New Roman" w:eastAsia="宋体" w:cs="Times New Roman"/>
                <w:b/>
                <w:bCs/>
                <w:color w:val="auto"/>
                <w:sz w:val="24"/>
                <w:u w:val="none" w:color="auto"/>
              </w:rPr>
              <w:t xml:space="preserve">的影响 </w:t>
            </w:r>
          </w:p>
          <w:p w14:paraId="420884C8">
            <w:pPr>
              <w:pStyle w:val="87"/>
              <w:adjustRightInd w:val="0"/>
              <w:snapToGrid w:val="0"/>
              <w:spacing w:line="240" w:lineRule="auto"/>
              <w:ind w:firstLine="0" w:firstLineChars="0"/>
              <w:jc w:val="center"/>
              <w:rPr>
                <w:rFonts w:hint="default" w:ascii="Times New Roman" w:hAnsi="Times New Roman" w:eastAsia="宋体" w:cs="Times New Roman"/>
                <w:b/>
                <w:color w:val="auto"/>
                <w:kern w:val="24"/>
                <w:sz w:val="21"/>
                <w:szCs w:val="21"/>
                <w:u w:val="none" w:color="auto"/>
                <w:lang w:val="en-US" w:eastAsia="zh-CN" w:bidi="ar-SA"/>
              </w:rPr>
            </w:pPr>
            <w:r>
              <w:rPr>
                <w:rFonts w:hint="default" w:ascii="Times New Roman" w:hAnsi="Times New Roman" w:eastAsia="宋体" w:cs="Times New Roman"/>
                <w:b/>
                <w:color w:val="auto"/>
                <w:kern w:val="24"/>
                <w:sz w:val="21"/>
                <w:szCs w:val="21"/>
                <w:u w:val="none" w:color="auto"/>
                <w:lang w:val="en-US" w:eastAsia="zh-CN" w:bidi="ar-SA"/>
              </w:rPr>
              <w:t>表</w:t>
            </w:r>
            <w:r>
              <w:rPr>
                <w:rFonts w:hint="eastAsia" w:ascii="Times New Roman" w:hAnsi="Times New Roman" w:eastAsia="宋体" w:cs="Times New Roman"/>
                <w:b/>
                <w:color w:val="auto"/>
                <w:kern w:val="24"/>
                <w:sz w:val="21"/>
                <w:szCs w:val="21"/>
                <w:u w:val="none" w:color="auto"/>
                <w:lang w:val="en-US" w:eastAsia="zh-CN" w:bidi="ar-SA"/>
              </w:rPr>
              <w:t>4</w:t>
            </w:r>
            <w:r>
              <w:rPr>
                <w:rFonts w:hint="default" w:ascii="Times New Roman" w:hAnsi="Times New Roman" w:eastAsia="宋体" w:cs="Times New Roman"/>
                <w:b/>
                <w:color w:val="auto"/>
                <w:kern w:val="24"/>
                <w:sz w:val="21"/>
                <w:szCs w:val="21"/>
                <w:u w:val="none" w:color="auto"/>
                <w:lang w:val="en-US" w:eastAsia="zh-CN" w:bidi="ar-SA"/>
              </w:rPr>
              <w:t>-</w:t>
            </w:r>
            <w:r>
              <w:rPr>
                <w:rFonts w:hint="eastAsia" w:ascii="Times New Roman" w:hAnsi="Times New Roman" w:eastAsia="宋体" w:cs="Times New Roman"/>
                <w:b/>
                <w:color w:val="auto"/>
                <w:kern w:val="24"/>
                <w:sz w:val="21"/>
                <w:szCs w:val="21"/>
                <w:u w:val="none" w:color="auto"/>
                <w:lang w:val="en-US" w:eastAsia="zh-CN" w:bidi="ar-SA"/>
              </w:rPr>
              <w:t>1</w:t>
            </w:r>
            <w:r>
              <w:rPr>
                <w:rFonts w:hint="eastAsia" w:cs="Times New Roman"/>
                <w:b/>
                <w:color w:val="auto"/>
                <w:kern w:val="24"/>
                <w:sz w:val="21"/>
                <w:szCs w:val="21"/>
                <w:u w:val="none" w:color="auto"/>
                <w:lang w:val="en-US" w:eastAsia="zh-CN" w:bidi="ar-SA"/>
              </w:rPr>
              <w:t>3</w:t>
            </w:r>
            <w:r>
              <w:rPr>
                <w:rFonts w:hint="default" w:ascii="Times New Roman" w:hAnsi="Times New Roman" w:eastAsia="宋体" w:cs="Times New Roman"/>
                <w:b/>
                <w:color w:val="auto"/>
                <w:kern w:val="24"/>
                <w:sz w:val="21"/>
                <w:szCs w:val="21"/>
                <w:u w:val="none" w:color="auto"/>
                <w:lang w:val="en-US" w:eastAsia="zh-CN" w:bidi="ar-SA"/>
              </w:rPr>
              <w:tab/>
            </w:r>
            <w:r>
              <w:rPr>
                <w:rFonts w:hint="default" w:ascii="Times New Roman" w:hAnsi="Times New Roman" w:eastAsia="宋体" w:cs="Times New Roman"/>
                <w:b/>
                <w:color w:val="auto"/>
                <w:kern w:val="24"/>
                <w:sz w:val="21"/>
                <w:szCs w:val="21"/>
                <w:u w:val="none" w:color="auto"/>
                <w:lang w:val="en-US" w:eastAsia="zh-CN" w:bidi="ar-SA"/>
              </w:rPr>
              <w:t>工业企业声环境保护目标噪声预测结果与达标分析表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33"/>
              <w:gridCol w:w="1053"/>
              <w:gridCol w:w="468"/>
              <w:gridCol w:w="468"/>
              <w:gridCol w:w="488"/>
              <w:gridCol w:w="489"/>
              <w:gridCol w:w="422"/>
              <w:gridCol w:w="423"/>
              <w:gridCol w:w="476"/>
              <w:gridCol w:w="475"/>
              <w:gridCol w:w="488"/>
              <w:gridCol w:w="489"/>
              <w:gridCol w:w="476"/>
              <w:gridCol w:w="475"/>
              <w:gridCol w:w="426"/>
              <w:gridCol w:w="427"/>
            </w:tblGrid>
            <w:tr w14:paraId="4A531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3" w:hRule="exact"/>
                <w:jc w:val="center"/>
              </w:trPr>
              <w:tc>
                <w:tcPr>
                  <w:tcW w:w="333" w:type="dxa"/>
                  <w:vMerge w:val="restart"/>
                  <w:tcBorders>
                    <w:tl2br w:val="nil"/>
                    <w:tr2bl w:val="nil"/>
                  </w:tcBorders>
                  <w:vAlign w:val="center"/>
                </w:tcPr>
                <w:p w14:paraId="270D27A9">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序号</w:t>
                  </w:r>
                </w:p>
              </w:tc>
              <w:tc>
                <w:tcPr>
                  <w:tcW w:w="1053" w:type="dxa"/>
                  <w:vMerge w:val="restart"/>
                  <w:tcBorders>
                    <w:tl2br w:val="nil"/>
                    <w:tr2bl w:val="nil"/>
                  </w:tcBorders>
                  <w:vAlign w:val="center"/>
                </w:tcPr>
                <w:p w14:paraId="5D733CFF">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声环境保护目标名称</w:t>
                  </w:r>
                </w:p>
              </w:tc>
              <w:tc>
                <w:tcPr>
                  <w:tcW w:w="936" w:type="dxa"/>
                  <w:gridSpan w:val="2"/>
                  <w:tcBorders>
                    <w:tl2br w:val="nil"/>
                    <w:tr2bl w:val="nil"/>
                  </w:tcBorders>
                  <w:vAlign w:val="center"/>
                </w:tcPr>
                <w:p w14:paraId="67C4F286">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噪声背景值/dB(A)</w:t>
                  </w:r>
                </w:p>
              </w:tc>
              <w:tc>
                <w:tcPr>
                  <w:tcW w:w="977" w:type="dxa"/>
                  <w:gridSpan w:val="2"/>
                  <w:tcBorders>
                    <w:tl2br w:val="nil"/>
                    <w:tr2bl w:val="nil"/>
                  </w:tcBorders>
                  <w:vAlign w:val="center"/>
                </w:tcPr>
                <w:p w14:paraId="74924F2C">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噪声现状值/dB(A)</w:t>
                  </w:r>
                </w:p>
              </w:tc>
              <w:tc>
                <w:tcPr>
                  <w:tcW w:w="845" w:type="dxa"/>
                  <w:gridSpan w:val="2"/>
                  <w:tcBorders>
                    <w:tl2br w:val="nil"/>
                    <w:tr2bl w:val="nil"/>
                  </w:tcBorders>
                  <w:vAlign w:val="center"/>
                </w:tcPr>
                <w:p w14:paraId="51E58B83">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噪声标准/dB(A)</w:t>
                  </w:r>
                </w:p>
              </w:tc>
              <w:tc>
                <w:tcPr>
                  <w:tcW w:w="951" w:type="dxa"/>
                  <w:gridSpan w:val="2"/>
                  <w:tcBorders>
                    <w:tl2br w:val="nil"/>
                    <w:tr2bl w:val="nil"/>
                  </w:tcBorders>
                  <w:vAlign w:val="center"/>
                </w:tcPr>
                <w:p w14:paraId="4ADB00EB">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噪声贡献值/dB(A)</w:t>
                  </w:r>
                </w:p>
              </w:tc>
              <w:tc>
                <w:tcPr>
                  <w:tcW w:w="977" w:type="dxa"/>
                  <w:gridSpan w:val="2"/>
                  <w:tcBorders>
                    <w:tl2br w:val="nil"/>
                    <w:tr2bl w:val="nil"/>
                  </w:tcBorders>
                  <w:vAlign w:val="center"/>
                </w:tcPr>
                <w:p w14:paraId="155B26FD">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噪声预测值/dB(A)</w:t>
                  </w:r>
                </w:p>
              </w:tc>
              <w:tc>
                <w:tcPr>
                  <w:tcW w:w="951" w:type="dxa"/>
                  <w:gridSpan w:val="2"/>
                  <w:tcBorders>
                    <w:tl2br w:val="nil"/>
                    <w:tr2bl w:val="nil"/>
                  </w:tcBorders>
                  <w:vAlign w:val="center"/>
                </w:tcPr>
                <w:p w14:paraId="2FB7FFD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较现状增量/dB(A)</w:t>
                  </w:r>
                </w:p>
              </w:tc>
              <w:tc>
                <w:tcPr>
                  <w:tcW w:w="853" w:type="dxa"/>
                  <w:gridSpan w:val="2"/>
                  <w:tcBorders>
                    <w:tl2br w:val="nil"/>
                    <w:tr2bl w:val="nil"/>
                  </w:tcBorders>
                  <w:vAlign w:val="center"/>
                </w:tcPr>
                <w:p w14:paraId="0C7B8FC3">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b/>
                      <w:sz w:val="21"/>
                      <w:szCs w:val="21"/>
                      <w:u w:val="none" w:color="auto"/>
                    </w:rPr>
                    <w:t>超标和达标情况</w:t>
                  </w:r>
                </w:p>
              </w:tc>
            </w:tr>
            <w:tr w14:paraId="3CD39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33" w:type="dxa"/>
                  <w:vMerge w:val="continue"/>
                  <w:tcBorders>
                    <w:tl2br w:val="nil"/>
                    <w:tr2bl w:val="nil"/>
                  </w:tcBorders>
                  <w:shd w:val="clear" w:color="auto" w:fill="FFFFFF"/>
                  <w:vAlign w:val="center"/>
                </w:tcPr>
                <w:p w14:paraId="45227673">
                  <w:pPr>
                    <w:jc w:val="center"/>
                    <w:rPr>
                      <w:rFonts w:hint="default" w:ascii="Times New Roman" w:hAnsi="Times New Roman" w:eastAsia="宋体" w:cs="Times New Roman"/>
                      <w:sz w:val="21"/>
                      <w:szCs w:val="21"/>
                      <w:u w:val="none" w:color="auto"/>
                    </w:rPr>
                  </w:pPr>
                </w:p>
              </w:tc>
              <w:tc>
                <w:tcPr>
                  <w:tcW w:w="1053" w:type="dxa"/>
                  <w:vMerge w:val="continue"/>
                  <w:tcBorders>
                    <w:tl2br w:val="nil"/>
                    <w:tr2bl w:val="nil"/>
                  </w:tcBorders>
                  <w:shd w:val="clear" w:color="auto" w:fill="FFFFFF"/>
                  <w:vAlign w:val="center"/>
                </w:tcPr>
                <w:p w14:paraId="79997AA8">
                  <w:pPr>
                    <w:jc w:val="center"/>
                    <w:rPr>
                      <w:rFonts w:hint="default" w:ascii="Times New Roman" w:hAnsi="Times New Roman" w:eastAsia="宋体" w:cs="Times New Roman"/>
                      <w:sz w:val="21"/>
                      <w:szCs w:val="21"/>
                      <w:u w:val="none" w:color="auto"/>
                    </w:rPr>
                  </w:pPr>
                </w:p>
              </w:tc>
              <w:tc>
                <w:tcPr>
                  <w:tcW w:w="468" w:type="dxa"/>
                  <w:tcBorders>
                    <w:tl2br w:val="nil"/>
                    <w:tr2bl w:val="nil"/>
                  </w:tcBorders>
                  <w:shd w:val="clear" w:color="auto" w:fill="FFFFFF"/>
                  <w:vAlign w:val="center"/>
                </w:tcPr>
                <w:p w14:paraId="1FE76FDD">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68" w:type="dxa"/>
                  <w:tcBorders>
                    <w:tl2br w:val="nil"/>
                    <w:tr2bl w:val="nil"/>
                  </w:tcBorders>
                  <w:shd w:val="clear" w:color="auto" w:fill="FFFFFF"/>
                  <w:vAlign w:val="center"/>
                </w:tcPr>
                <w:p w14:paraId="5C522FB4">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88" w:type="dxa"/>
                  <w:tcBorders>
                    <w:tl2br w:val="nil"/>
                    <w:tr2bl w:val="nil"/>
                  </w:tcBorders>
                  <w:shd w:val="clear" w:color="auto" w:fill="FFFFFF"/>
                  <w:vAlign w:val="center"/>
                </w:tcPr>
                <w:p w14:paraId="0CF997F5">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89" w:type="dxa"/>
                  <w:tcBorders>
                    <w:tl2br w:val="nil"/>
                    <w:tr2bl w:val="nil"/>
                  </w:tcBorders>
                  <w:shd w:val="clear" w:color="auto" w:fill="FFFFFF"/>
                  <w:vAlign w:val="center"/>
                </w:tcPr>
                <w:p w14:paraId="77FF947E">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22" w:type="dxa"/>
                  <w:tcBorders>
                    <w:tl2br w:val="nil"/>
                    <w:tr2bl w:val="nil"/>
                  </w:tcBorders>
                  <w:shd w:val="clear" w:color="auto" w:fill="FFFFFF"/>
                  <w:vAlign w:val="center"/>
                </w:tcPr>
                <w:p w14:paraId="4FF86E2C">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23" w:type="dxa"/>
                  <w:tcBorders>
                    <w:tl2br w:val="nil"/>
                    <w:tr2bl w:val="nil"/>
                  </w:tcBorders>
                  <w:shd w:val="clear" w:color="auto" w:fill="FFFFFF"/>
                  <w:vAlign w:val="center"/>
                </w:tcPr>
                <w:p w14:paraId="4A5A1AFF">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76" w:type="dxa"/>
                  <w:tcBorders>
                    <w:tl2br w:val="nil"/>
                    <w:tr2bl w:val="nil"/>
                  </w:tcBorders>
                  <w:shd w:val="clear" w:color="auto" w:fill="FFFFFF"/>
                  <w:vAlign w:val="center"/>
                </w:tcPr>
                <w:p w14:paraId="1BDE45F1">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75" w:type="dxa"/>
                  <w:tcBorders>
                    <w:tl2br w:val="nil"/>
                    <w:tr2bl w:val="nil"/>
                  </w:tcBorders>
                  <w:shd w:val="clear" w:color="auto" w:fill="FFFFFF"/>
                  <w:vAlign w:val="center"/>
                </w:tcPr>
                <w:p w14:paraId="798B9B8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88" w:type="dxa"/>
                  <w:tcBorders>
                    <w:tl2br w:val="nil"/>
                    <w:tr2bl w:val="nil"/>
                  </w:tcBorders>
                  <w:shd w:val="clear" w:color="auto" w:fill="FFFFFF"/>
                  <w:vAlign w:val="center"/>
                </w:tcPr>
                <w:p w14:paraId="4F63FF40">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89" w:type="dxa"/>
                  <w:tcBorders>
                    <w:tl2br w:val="nil"/>
                    <w:tr2bl w:val="nil"/>
                  </w:tcBorders>
                  <w:shd w:val="clear" w:color="auto" w:fill="FFFFFF"/>
                  <w:vAlign w:val="center"/>
                </w:tcPr>
                <w:p w14:paraId="337EC52A">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76" w:type="dxa"/>
                  <w:tcBorders>
                    <w:tl2br w:val="nil"/>
                    <w:tr2bl w:val="nil"/>
                  </w:tcBorders>
                  <w:shd w:val="clear" w:color="auto" w:fill="FFFFFF"/>
                  <w:vAlign w:val="center"/>
                </w:tcPr>
                <w:p w14:paraId="215AFACE">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75" w:type="dxa"/>
                  <w:tcBorders>
                    <w:tl2br w:val="nil"/>
                    <w:tr2bl w:val="nil"/>
                  </w:tcBorders>
                  <w:shd w:val="clear" w:color="auto" w:fill="FFFFFF"/>
                  <w:vAlign w:val="center"/>
                </w:tcPr>
                <w:p w14:paraId="1604F72B">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c>
                <w:tcPr>
                  <w:tcW w:w="426" w:type="dxa"/>
                  <w:tcBorders>
                    <w:tl2br w:val="nil"/>
                    <w:tr2bl w:val="nil"/>
                  </w:tcBorders>
                  <w:shd w:val="clear" w:color="auto" w:fill="FFFFFF"/>
                  <w:vAlign w:val="center"/>
                </w:tcPr>
                <w:p w14:paraId="4C3A9BF4">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昼间</w:t>
                  </w:r>
                </w:p>
              </w:tc>
              <w:tc>
                <w:tcPr>
                  <w:tcW w:w="427" w:type="dxa"/>
                  <w:tcBorders>
                    <w:tl2br w:val="nil"/>
                    <w:tr2bl w:val="nil"/>
                  </w:tcBorders>
                  <w:shd w:val="clear" w:color="auto" w:fill="FFFFFF"/>
                  <w:vAlign w:val="center"/>
                </w:tcPr>
                <w:p w14:paraId="6105C007">
                  <w:pPr>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夜间</w:t>
                  </w:r>
                </w:p>
              </w:tc>
            </w:tr>
            <w:tr w14:paraId="578A3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86" w:hRule="atLeast"/>
                <w:jc w:val="center"/>
              </w:trPr>
              <w:tc>
                <w:tcPr>
                  <w:tcW w:w="333" w:type="dxa"/>
                  <w:tcBorders>
                    <w:tl2br w:val="nil"/>
                    <w:tr2bl w:val="nil"/>
                  </w:tcBorders>
                  <w:shd w:val="clear" w:color="auto" w:fill="FFFFFF"/>
                  <w:vAlign w:val="center"/>
                </w:tcPr>
                <w:p w14:paraId="1DAC7FC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1</w:t>
                  </w:r>
                </w:p>
              </w:tc>
              <w:tc>
                <w:tcPr>
                  <w:tcW w:w="1053" w:type="dxa"/>
                  <w:tcBorders>
                    <w:tl2br w:val="nil"/>
                    <w:tr2bl w:val="nil"/>
                  </w:tcBorders>
                  <w:shd w:val="clear" w:color="auto" w:fill="FFFFFF"/>
                  <w:vAlign w:val="center"/>
                </w:tcPr>
                <w:p w14:paraId="2A854FC7">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厂区西侧约35m居民点</w:t>
                  </w:r>
                </w:p>
              </w:tc>
              <w:tc>
                <w:tcPr>
                  <w:tcW w:w="468" w:type="dxa"/>
                  <w:tcBorders>
                    <w:tl2br w:val="nil"/>
                    <w:tr2bl w:val="nil"/>
                  </w:tcBorders>
                  <w:shd w:val="clear" w:color="auto" w:fill="FFFFFF"/>
                  <w:vAlign w:val="center"/>
                </w:tcPr>
                <w:p w14:paraId="2E1F629E">
                  <w:pPr>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54</w:t>
                  </w:r>
                </w:p>
              </w:tc>
              <w:tc>
                <w:tcPr>
                  <w:tcW w:w="468" w:type="dxa"/>
                  <w:tcBorders>
                    <w:tl2br w:val="nil"/>
                    <w:tr2bl w:val="nil"/>
                  </w:tcBorders>
                  <w:shd w:val="clear" w:color="auto" w:fill="FFFFFF"/>
                  <w:vAlign w:val="center"/>
                </w:tcPr>
                <w:p w14:paraId="7FC18496">
                  <w:pPr>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42</w:t>
                  </w:r>
                </w:p>
              </w:tc>
              <w:tc>
                <w:tcPr>
                  <w:tcW w:w="488" w:type="dxa"/>
                  <w:tcBorders>
                    <w:tl2br w:val="nil"/>
                    <w:tr2bl w:val="nil"/>
                  </w:tcBorders>
                  <w:shd w:val="clear" w:color="auto" w:fill="FFFFFF"/>
                  <w:vAlign w:val="center"/>
                </w:tcPr>
                <w:p w14:paraId="5A37E1A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51.6</w:t>
                  </w:r>
                </w:p>
              </w:tc>
              <w:tc>
                <w:tcPr>
                  <w:tcW w:w="489" w:type="dxa"/>
                  <w:tcBorders>
                    <w:tl2br w:val="nil"/>
                    <w:tr2bl w:val="nil"/>
                  </w:tcBorders>
                  <w:shd w:val="clear" w:color="auto" w:fill="FFFFFF"/>
                  <w:vAlign w:val="center"/>
                </w:tcPr>
                <w:p w14:paraId="7635B56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46.2</w:t>
                  </w:r>
                </w:p>
              </w:tc>
              <w:tc>
                <w:tcPr>
                  <w:tcW w:w="422" w:type="dxa"/>
                  <w:tcBorders>
                    <w:tl2br w:val="nil"/>
                    <w:tr2bl w:val="nil"/>
                  </w:tcBorders>
                  <w:shd w:val="clear" w:color="auto" w:fill="FFFFFF"/>
                  <w:vAlign w:val="center"/>
                </w:tcPr>
                <w:p w14:paraId="013BAAD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423" w:type="dxa"/>
                  <w:tcBorders>
                    <w:tl2br w:val="nil"/>
                    <w:tr2bl w:val="nil"/>
                  </w:tcBorders>
                  <w:shd w:val="clear" w:color="auto" w:fill="FFFFFF"/>
                  <w:vAlign w:val="center"/>
                </w:tcPr>
                <w:p w14:paraId="376A8DB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476" w:type="dxa"/>
                  <w:tcBorders>
                    <w:tl2br w:val="nil"/>
                    <w:tr2bl w:val="nil"/>
                  </w:tcBorders>
                  <w:shd w:val="clear" w:color="auto" w:fill="FFFFFF"/>
                  <w:vAlign w:val="center"/>
                </w:tcPr>
                <w:p w14:paraId="20A1E06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0.2</w:t>
                  </w:r>
                </w:p>
              </w:tc>
              <w:tc>
                <w:tcPr>
                  <w:tcW w:w="475" w:type="dxa"/>
                  <w:tcBorders>
                    <w:tl2br w:val="nil"/>
                    <w:tr2bl w:val="nil"/>
                  </w:tcBorders>
                  <w:shd w:val="clear" w:color="auto" w:fill="FFFFFF"/>
                  <w:vAlign w:val="center"/>
                </w:tcPr>
                <w:p w14:paraId="5E01067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0.2</w:t>
                  </w:r>
                </w:p>
              </w:tc>
              <w:tc>
                <w:tcPr>
                  <w:tcW w:w="488" w:type="dxa"/>
                  <w:tcBorders>
                    <w:tl2br w:val="nil"/>
                    <w:tr2bl w:val="nil"/>
                  </w:tcBorders>
                  <w:shd w:val="clear" w:color="auto" w:fill="FFFFFF"/>
                  <w:vAlign w:val="center"/>
                </w:tcPr>
                <w:p w14:paraId="2A54522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51.6</w:t>
                  </w:r>
                </w:p>
              </w:tc>
              <w:tc>
                <w:tcPr>
                  <w:tcW w:w="489" w:type="dxa"/>
                  <w:tcBorders>
                    <w:tl2br w:val="nil"/>
                    <w:tr2bl w:val="nil"/>
                  </w:tcBorders>
                  <w:shd w:val="clear" w:color="auto" w:fill="FFFFFF"/>
                  <w:vAlign w:val="center"/>
                </w:tcPr>
                <w:p w14:paraId="4290F4C7">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46.2</w:t>
                  </w:r>
                </w:p>
              </w:tc>
              <w:tc>
                <w:tcPr>
                  <w:tcW w:w="476" w:type="dxa"/>
                  <w:tcBorders>
                    <w:tl2br w:val="nil"/>
                    <w:tr2bl w:val="nil"/>
                  </w:tcBorders>
                  <w:shd w:val="clear" w:color="auto" w:fill="FFFFFF"/>
                  <w:vAlign w:val="center"/>
                </w:tcPr>
                <w:p w14:paraId="6946861A">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0.0</w:t>
                  </w:r>
                </w:p>
              </w:tc>
              <w:tc>
                <w:tcPr>
                  <w:tcW w:w="475" w:type="dxa"/>
                  <w:tcBorders>
                    <w:tl2br w:val="nil"/>
                    <w:tr2bl w:val="nil"/>
                  </w:tcBorders>
                  <w:shd w:val="clear" w:color="auto" w:fill="FFFFFF"/>
                  <w:vAlign w:val="center"/>
                </w:tcPr>
                <w:p w14:paraId="596637F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0.0</w:t>
                  </w:r>
                </w:p>
              </w:tc>
              <w:tc>
                <w:tcPr>
                  <w:tcW w:w="426" w:type="dxa"/>
                  <w:tcBorders>
                    <w:tl2br w:val="nil"/>
                    <w:tr2bl w:val="nil"/>
                  </w:tcBorders>
                  <w:shd w:val="clear" w:color="auto" w:fill="FFFFFF"/>
                  <w:vAlign w:val="center"/>
                </w:tcPr>
                <w:p w14:paraId="70161A0C">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c>
                <w:tcPr>
                  <w:tcW w:w="427" w:type="dxa"/>
                  <w:tcBorders>
                    <w:tl2br w:val="nil"/>
                    <w:tr2bl w:val="nil"/>
                  </w:tcBorders>
                  <w:shd w:val="clear" w:color="auto" w:fill="FFFFFF"/>
                  <w:vAlign w:val="center"/>
                </w:tcPr>
                <w:p w14:paraId="6D97E3E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r w14:paraId="74934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86" w:hRule="atLeast"/>
                <w:jc w:val="center"/>
              </w:trPr>
              <w:tc>
                <w:tcPr>
                  <w:tcW w:w="333" w:type="dxa"/>
                  <w:tcBorders>
                    <w:tl2br w:val="nil"/>
                    <w:tr2bl w:val="nil"/>
                  </w:tcBorders>
                  <w:shd w:val="clear" w:color="auto" w:fill="FFFFFF"/>
                  <w:vAlign w:val="center"/>
                </w:tcPr>
                <w:p w14:paraId="6E56752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2</w:t>
                  </w:r>
                </w:p>
              </w:tc>
              <w:tc>
                <w:tcPr>
                  <w:tcW w:w="1053" w:type="dxa"/>
                  <w:tcBorders>
                    <w:tl2br w:val="nil"/>
                    <w:tr2bl w:val="nil"/>
                  </w:tcBorders>
                  <w:shd w:val="clear" w:color="auto" w:fill="FFFFFF"/>
                  <w:vAlign w:val="center"/>
                </w:tcPr>
                <w:p w14:paraId="07515F11">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南侧约25m居民点</w:t>
                  </w:r>
                </w:p>
              </w:tc>
              <w:tc>
                <w:tcPr>
                  <w:tcW w:w="468" w:type="dxa"/>
                  <w:tcBorders>
                    <w:tl2br w:val="nil"/>
                    <w:tr2bl w:val="nil"/>
                  </w:tcBorders>
                  <w:shd w:val="clear" w:color="auto" w:fill="FFFFFF"/>
                  <w:vAlign w:val="center"/>
                </w:tcPr>
                <w:p w14:paraId="476E6E89">
                  <w:pPr>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54</w:t>
                  </w:r>
                </w:p>
              </w:tc>
              <w:tc>
                <w:tcPr>
                  <w:tcW w:w="468" w:type="dxa"/>
                  <w:tcBorders>
                    <w:tl2br w:val="nil"/>
                    <w:tr2bl w:val="nil"/>
                  </w:tcBorders>
                  <w:shd w:val="clear" w:color="auto" w:fill="FFFFFF"/>
                  <w:vAlign w:val="center"/>
                </w:tcPr>
                <w:p w14:paraId="2A637DDC">
                  <w:pPr>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44</w:t>
                  </w:r>
                </w:p>
              </w:tc>
              <w:tc>
                <w:tcPr>
                  <w:tcW w:w="488" w:type="dxa"/>
                  <w:tcBorders>
                    <w:tl2br w:val="nil"/>
                    <w:tr2bl w:val="nil"/>
                  </w:tcBorders>
                  <w:shd w:val="clear" w:color="auto" w:fill="FFFFFF"/>
                  <w:vAlign w:val="center"/>
                </w:tcPr>
                <w:p w14:paraId="2FD8EC1B">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57.7</w:t>
                  </w:r>
                </w:p>
              </w:tc>
              <w:tc>
                <w:tcPr>
                  <w:tcW w:w="489" w:type="dxa"/>
                  <w:tcBorders>
                    <w:tl2br w:val="nil"/>
                    <w:tr2bl w:val="nil"/>
                  </w:tcBorders>
                  <w:shd w:val="clear" w:color="auto" w:fill="FFFFFF"/>
                  <w:vAlign w:val="center"/>
                </w:tcPr>
                <w:p w14:paraId="4B67D77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48.9</w:t>
                  </w:r>
                </w:p>
              </w:tc>
              <w:tc>
                <w:tcPr>
                  <w:tcW w:w="422" w:type="dxa"/>
                  <w:tcBorders>
                    <w:tl2br w:val="nil"/>
                    <w:tr2bl w:val="nil"/>
                  </w:tcBorders>
                  <w:shd w:val="clear" w:color="auto" w:fill="FFFFFF"/>
                  <w:vAlign w:val="center"/>
                </w:tcPr>
                <w:p w14:paraId="694AA1C4">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60</w:t>
                  </w:r>
                </w:p>
              </w:tc>
              <w:tc>
                <w:tcPr>
                  <w:tcW w:w="423" w:type="dxa"/>
                  <w:tcBorders>
                    <w:tl2br w:val="nil"/>
                    <w:tr2bl w:val="nil"/>
                  </w:tcBorders>
                  <w:shd w:val="clear" w:color="auto" w:fill="FFFFFF"/>
                  <w:vAlign w:val="center"/>
                </w:tcPr>
                <w:p w14:paraId="57E6A563">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50</w:t>
                  </w:r>
                </w:p>
              </w:tc>
              <w:tc>
                <w:tcPr>
                  <w:tcW w:w="476" w:type="dxa"/>
                  <w:tcBorders>
                    <w:tl2br w:val="nil"/>
                    <w:tr2bl w:val="nil"/>
                  </w:tcBorders>
                  <w:shd w:val="clear" w:color="auto" w:fill="FFFFFF"/>
                  <w:vAlign w:val="center"/>
                </w:tcPr>
                <w:p w14:paraId="79EE2368">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w:t>
                  </w:r>
                </w:p>
              </w:tc>
              <w:tc>
                <w:tcPr>
                  <w:tcW w:w="475" w:type="dxa"/>
                  <w:tcBorders>
                    <w:tl2br w:val="nil"/>
                    <w:tr2bl w:val="nil"/>
                  </w:tcBorders>
                  <w:shd w:val="clear" w:color="auto" w:fill="FFFFFF"/>
                  <w:vAlign w:val="center"/>
                </w:tcPr>
                <w:p w14:paraId="1796FFA5">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w:t>
                  </w:r>
                </w:p>
              </w:tc>
              <w:tc>
                <w:tcPr>
                  <w:tcW w:w="488" w:type="dxa"/>
                  <w:tcBorders>
                    <w:tl2br w:val="nil"/>
                    <w:tr2bl w:val="nil"/>
                  </w:tcBorders>
                  <w:shd w:val="clear" w:color="auto" w:fill="FFFFFF"/>
                  <w:vAlign w:val="center"/>
                </w:tcPr>
                <w:p w14:paraId="4D570512">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57.7</w:t>
                  </w:r>
                </w:p>
              </w:tc>
              <w:tc>
                <w:tcPr>
                  <w:tcW w:w="489" w:type="dxa"/>
                  <w:tcBorders>
                    <w:tl2br w:val="nil"/>
                    <w:tr2bl w:val="nil"/>
                  </w:tcBorders>
                  <w:shd w:val="clear" w:color="auto" w:fill="FFFFFF"/>
                  <w:vAlign w:val="center"/>
                </w:tcPr>
                <w:p w14:paraId="483E0ECF">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48.9</w:t>
                  </w:r>
                </w:p>
              </w:tc>
              <w:tc>
                <w:tcPr>
                  <w:tcW w:w="476" w:type="dxa"/>
                  <w:tcBorders>
                    <w:tl2br w:val="nil"/>
                    <w:tr2bl w:val="nil"/>
                  </w:tcBorders>
                  <w:shd w:val="clear" w:color="auto" w:fill="FFFFFF"/>
                  <w:vAlign w:val="center"/>
                </w:tcPr>
                <w:p w14:paraId="3836140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0.0</w:t>
                  </w:r>
                </w:p>
              </w:tc>
              <w:tc>
                <w:tcPr>
                  <w:tcW w:w="475" w:type="dxa"/>
                  <w:tcBorders>
                    <w:tl2br w:val="nil"/>
                    <w:tr2bl w:val="nil"/>
                  </w:tcBorders>
                  <w:shd w:val="clear" w:color="auto" w:fill="FFFFFF"/>
                  <w:vAlign w:val="center"/>
                </w:tcPr>
                <w:p w14:paraId="6401EE16">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0.0</w:t>
                  </w:r>
                </w:p>
              </w:tc>
              <w:tc>
                <w:tcPr>
                  <w:tcW w:w="426" w:type="dxa"/>
                  <w:tcBorders>
                    <w:tl2br w:val="nil"/>
                    <w:tr2bl w:val="nil"/>
                  </w:tcBorders>
                  <w:shd w:val="clear" w:color="auto" w:fill="FFFFFF"/>
                  <w:vAlign w:val="center"/>
                </w:tcPr>
                <w:p w14:paraId="68C74FCF">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c>
                <w:tcPr>
                  <w:tcW w:w="427" w:type="dxa"/>
                  <w:tcBorders>
                    <w:tl2br w:val="nil"/>
                    <w:tr2bl w:val="nil"/>
                  </w:tcBorders>
                  <w:shd w:val="clear" w:color="auto" w:fill="FFFFFF"/>
                  <w:vAlign w:val="center"/>
                </w:tcPr>
                <w:p w14:paraId="19030FD0">
                  <w:pPr>
                    <w:jc w:val="center"/>
                    <w:rPr>
                      <w:rFonts w:hint="default" w:ascii="Times New Roman" w:hAnsi="Times New Roman" w:eastAsia="宋体" w:cs="Times New Roman"/>
                      <w:u w:val="none" w:color="auto"/>
                    </w:rPr>
                  </w:pPr>
                  <w:r>
                    <w:rPr>
                      <w:rFonts w:hint="default" w:ascii="Times New Roman" w:hAnsi="Times New Roman" w:eastAsia="宋体" w:cs="Times New Roman"/>
                      <w:sz w:val="20"/>
                      <w:u w:val="none" w:color="auto"/>
                    </w:rPr>
                    <w:t>达标</w:t>
                  </w:r>
                </w:p>
              </w:tc>
            </w:tr>
          </w:tbl>
          <w:p w14:paraId="670B3D52">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本项目厂界周边50m范围内敏感点噪声能满足《声环境质量标准》GB3096-2008中2类标准要求。项目噪声排放对敏感点的贡献小，项目建设对敏感点声环境影响较小。</w:t>
            </w:r>
          </w:p>
          <w:p w14:paraId="4B211D2B">
            <w:pPr>
              <w:spacing w:line="360" w:lineRule="auto"/>
              <w:rPr>
                <w:rFonts w:hint="default" w:ascii="Times New Roman" w:hAnsi="Times New Roman" w:eastAsia="宋体" w:cs="Times New Roman"/>
                <w:b/>
                <w:color w:val="auto"/>
                <w:sz w:val="24"/>
                <w:u w:val="none" w:color="auto"/>
              </w:rPr>
            </w:pPr>
            <w:r>
              <w:rPr>
                <w:rFonts w:hint="default" w:ascii="Times New Roman" w:hAnsi="Times New Roman" w:eastAsia="宋体" w:cs="Times New Roman"/>
                <w:b/>
                <w:color w:val="auto"/>
                <w:sz w:val="24"/>
                <w:u w:val="none" w:color="auto"/>
              </w:rPr>
              <w:t>4、固体废物环境影响分析</w:t>
            </w:r>
          </w:p>
          <w:p w14:paraId="3FD535DD">
            <w:pPr>
              <w:pStyle w:val="87"/>
              <w:adjustRightInd w:val="0"/>
              <w:snapToGrid w:val="0"/>
              <w:spacing w:line="360" w:lineRule="auto"/>
              <w:ind w:firstLine="476"/>
              <w:rPr>
                <w:rFonts w:hint="default" w:ascii="Times New Roman" w:hAnsi="Times New Roman" w:eastAsia="宋体" w:cs="Times New Roman"/>
                <w:b/>
                <w:bCs/>
                <w:color w:val="auto"/>
                <w:kern w:val="2"/>
                <w:sz w:val="24"/>
                <w:szCs w:val="24"/>
                <w:u w:val="none" w:color="auto"/>
                <w:lang w:val="en-US" w:eastAsia="zh-CN" w:bidi="ar-SA"/>
              </w:rPr>
            </w:pPr>
            <w:r>
              <w:rPr>
                <w:rFonts w:hint="default" w:ascii="Times New Roman" w:hAnsi="Times New Roman" w:eastAsia="宋体" w:cs="Times New Roman"/>
                <w:b/>
                <w:bCs/>
                <w:color w:val="auto"/>
                <w:kern w:val="2"/>
                <w:sz w:val="24"/>
                <w:szCs w:val="24"/>
                <w:u w:val="none" w:color="auto"/>
                <w:lang w:val="en-US" w:eastAsia="zh-CN" w:bidi="ar-SA"/>
              </w:rPr>
              <w:t>（1）固体废物产生情况</w:t>
            </w:r>
          </w:p>
          <w:p w14:paraId="6E94A48D">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项目产生的锅炉在生产中产生的固体废物主要为锅炉布袋除尘器和旋风除尘器收集的锅炉烟尘、锅炉炉渣，项目生物质燃料不添加任何化学物质，燃烧后产生的灰渣与除尘灰渣均为秸秆等生物质燃烧后残留物，主要成分为钾、镁、磷和钙等无机物，不具有毒性与环境危害，因此本项目营运期固废均属于一般工业固废。</w:t>
            </w:r>
          </w:p>
          <w:p w14:paraId="2E6897CB">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u w:val="none" w:color="auto"/>
                <w:lang w:val="en-US" w:eastAsia="zh-CN"/>
              </w:rPr>
            </w:pPr>
            <w:r>
              <w:rPr>
                <w:rFonts w:hint="default" w:ascii="Times New Roman" w:hAnsi="Times New Roman" w:eastAsia="宋体" w:cs="Times New Roman"/>
                <w:b w:val="0"/>
                <w:bCs w:val="0"/>
                <w:color w:val="auto"/>
                <w:sz w:val="24"/>
                <w:szCs w:val="24"/>
                <w:highlight w:val="none"/>
                <w:u w:val="none" w:color="auto"/>
                <w:lang w:val="en-US" w:eastAsia="zh-CN"/>
              </w:rPr>
              <w:t>布袋除尘器和旋风除尘器收集的锅炉烟尘固废代码（900-099-S03）：布袋除尘器和旋风除尘器收集的烟尘量约173.652吨/年，收集后外售附近农户作农肥。</w:t>
            </w:r>
          </w:p>
          <w:p w14:paraId="74AB51FA">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u w:val="none" w:color="auto"/>
                <w:lang w:val="en-US" w:eastAsia="zh-CN"/>
              </w:rPr>
            </w:pPr>
            <w:r>
              <w:rPr>
                <w:rFonts w:hint="default" w:ascii="Times New Roman" w:hAnsi="Times New Roman" w:eastAsia="宋体" w:cs="Times New Roman"/>
                <w:b w:val="0"/>
                <w:bCs w:val="0"/>
                <w:color w:val="auto"/>
                <w:sz w:val="24"/>
                <w:szCs w:val="24"/>
                <w:highlight w:val="none"/>
                <w:u w:val="none" w:color="auto"/>
                <w:lang w:val="en-US" w:eastAsia="zh-CN"/>
              </w:rPr>
              <w:t>锅炉炉渣固废代码（900-099-S03）：锅炉运行过程中产生的炉渣量约913.595吨/年，收集后外售附近农户作农肥。</w:t>
            </w:r>
          </w:p>
          <w:p w14:paraId="352F5808">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bidi="ar"/>
              </w:rPr>
              <w:t>综上，本项目固废产生情况及处置方式见表4-</w:t>
            </w:r>
            <w:r>
              <w:rPr>
                <w:rFonts w:hint="eastAsia" w:ascii="Times New Roman" w:hAnsi="Times New Roman" w:eastAsia="宋体" w:cs="Times New Roman"/>
                <w:color w:val="auto"/>
                <w:sz w:val="24"/>
                <w:u w:val="none" w:color="auto"/>
                <w:lang w:val="en-US" w:eastAsia="zh-CN" w:bidi="ar"/>
              </w:rPr>
              <w:t>1</w:t>
            </w:r>
            <w:r>
              <w:rPr>
                <w:rFonts w:hint="eastAsia" w:cs="Times New Roman"/>
                <w:color w:val="auto"/>
                <w:sz w:val="24"/>
                <w:u w:val="none" w:color="auto"/>
                <w:lang w:val="en-US" w:eastAsia="zh-CN" w:bidi="ar"/>
              </w:rPr>
              <w:t>4</w:t>
            </w:r>
            <w:r>
              <w:rPr>
                <w:rFonts w:hint="default" w:ascii="Times New Roman" w:hAnsi="Times New Roman" w:eastAsia="宋体" w:cs="Times New Roman"/>
                <w:color w:val="auto"/>
                <w:sz w:val="24"/>
                <w:u w:val="none" w:color="auto"/>
                <w:lang w:bidi="ar"/>
              </w:rPr>
              <w:t>。</w:t>
            </w:r>
          </w:p>
          <w:p w14:paraId="2B25C21D">
            <w:pPr>
              <w:pStyle w:val="87"/>
              <w:adjustRightInd w:val="0"/>
              <w:snapToGrid w:val="0"/>
              <w:spacing w:line="240" w:lineRule="auto"/>
              <w:ind w:firstLine="0" w:firstLineChars="0"/>
              <w:jc w:val="center"/>
              <w:rPr>
                <w:rFonts w:hint="default" w:ascii="Times New Roman" w:hAnsi="Times New Roman" w:eastAsia="宋体" w:cs="Times New Roman"/>
                <w:b/>
                <w:color w:val="auto"/>
                <w:kern w:val="24"/>
                <w:sz w:val="21"/>
                <w:szCs w:val="21"/>
                <w:u w:val="none" w:color="auto"/>
                <w:lang w:val="en-US" w:eastAsia="zh-CN" w:bidi="ar-SA"/>
              </w:rPr>
            </w:pPr>
            <w:r>
              <w:rPr>
                <w:rFonts w:hint="default" w:ascii="Times New Roman" w:hAnsi="Times New Roman" w:eastAsia="宋体" w:cs="Times New Roman"/>
                <w:b/>
                <w:color w:val="auto"/>
                <w:kern w:val="24"/>
                <w:sz w:val="21"/>
                <w:szCs w:val="21"/>
                <w:u w:val="none" w:color="auto"/>
                <w:lang w:val="en-US" w:eastAsia="zh-CN" w:bidi="ar-SA"/>
              </w:rPr>
              <w:t>表4-</w:t>
            </w:r>
            <w:r>
              <w:rPr>
                <w:rFonts w:hint="eastAsia" w:ascii="Times New Roman" w:hAnsi="Times New Roman" w:eastAsia="宋体" w:cs="Times New Roman"/>
                <w:b/>
                <w:color w:val="auto"/>
                <w:kern w:val="24"/>
                <w:sz w:val="21"/>
                <w:szCs w:val="21"/>
                <w:u w:val="none" w:color="auto"/>
                <w:lang w:val="en-US" w:eastAsia="zh-CN" w:bidi="ar-SA"/>
              </w:rPr>
              <w:t>1</w:t>
            </w:r>
            <w:r>
              <w:rPr>
                <w:rFonts w:hint="eastAsia" w:cs="Times New Roman"/>
                <w:b/>
                <w:color w:val="auto"/>
                <w:kern w:val="24"/>
                <w:sz w:val="21"/>
                <w:szCs w:val="21"/>
                <w:u w:val="none" w:color="auto"/>
                <w:lang w:val="en-US" w:eastAsia="zh-CN" w:bidi="ar-SA"/>
              </w:rPr>
              <w:t>4</w:t>
            </w:r>
            <w:r>
              <w:rPr>
                <w:rFonts w:hint="default" w:ascii="Times New Roman" w:hAnsi="Times New Roman" w:eastAsia="宋体" w:cs="Times New Roman"/>
                <w:b/>
                <w:color w:val="auto"/>
                <w:kern w:val="24"/>
                <w:sz w:val="21"/>
                <w:szCs w:val="21"/>
                <w:u w:val="none" w:color="auto"/>
                <w:lang w:val="en-US" w:eastAsia="zh-CN" w:bidi="ar-SA"/>
              </w:rPr>
              <w:t xml:space="preserve">  固体废物产生及处置情况   单位：t/a</w:t>
            </w:r>
          </w:p>
          <w:tbl>
            <w:tblPr>
              <w:tblStyle w:val="26"/>
              <w:tblW w:w="499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70"/>
              <w:gridCol w:w="1774"/>
              <w:gridCol w:w="910"/>
              <w:gridCol w:w="1210"/>
              <w:gridCol w:w="1342"/>
              <w:gridCol w:w="2121"/>
            </w:tblGrid>
            <w:tr w14:paraId="59357E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359" w:type="pct"/>
                  <w:tcBorders>
                    <w:tl2br w:val="nil"/>
                    <w:tr2bl w:val="nil"/>
                  </w:tcBorders>
                  <w:noWrap w:val="0"/>
                  <w:vAlign w:val="center"/>
                </w:tcPr>
                <w:p w14:paraId="1B2C3ACE">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序号</w:t>
                  </w:r>
                </w:p>
              </w:tc>
              <w:tc>
                <w:tcPr>
                  <w:tcW w:w="1118" w:type="pct"/>
                  <w:tcBorders>
                    <w:tl2br w:val="nil"/>
                    <w:tr2bl w:val="nil"/>
                  </w:tcBorders>
                  <w:noWrap w:val="0"/>
                  <w:vAlign w:val="center"/>
                </w:tcPr>
                <w:p w14:paraId="5617D722">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类型</w:t>
                  </w:r>
                </w:p>
              </w:tc>
              <w:tc>
                <w:tcPr>
                  <w:tcW w:w="573" w:type="pct"/>
                  <w:tcBorders>
                    <w:tl2br w:val="nil"/>
                    <w:tr2bl w:val="nil"/>
                  </w:tcBorders>
                  <w:noWrap w:val="0"/>
                  <w:vAlign w:val="center"/>
                </w:tcPr>
                <w:p w14:paraId="2A26B340">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数量</w:t>
                  </w:r>
                </w:p>
              </w:tc>
              <w:tc>
                <w:tcPr>
                  <w:tcW w:w="763" w:type="pct"/>
                  <w:tcBorders>
                    <w:tl2br w:val="nil"/>
                    <w:tr2bl w:val="nil"/>
                  </w:tcBorders>
                  <w:noWrap w:val="0"/>
                  <w:vAlign w:val="center"/>
                </w:tcPr>
                <w:p w14:paraId="22B02A61">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废物属性</w:t>
                  </w:r>
                </w:p>
              </w:tc>
              <w:tc>
                <w:tcPr>
                  <w:tcW w:w="846" w:type="pct"/>
                  <w:tcBorders>
                    <w:tl2br w:val="nil"/>
                    <w:tr2bl w:val="nil"/>
                  </w:tcBorders>
                  <w:noWrap w:val="0"/>
                  <w:vAlign w:val="center"/>
                </w:tcPr>
                <w:p w14:paraId="179CD65B">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废物代码</w:t>
                  </w:r>
                </w:p>
              </w:tc>
              <w:tc>
                <w:tcPr>
                  <w:tcW w:w="1337" w:type="pct"/>
                  <w:tcBorders>
                    <w:tl2br w:val="nil"/>
                    <w:tr2bl w:val="nil"/>
                  </w:tcBorders>
                  <w:noWrap w:val="0"/>
                  <w:vAlign w:val="center"/>
                </w:tcPr>
                <w:p w14:paraId="42B4E2BC">
                  <w:pPr>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去向</w:t>
                  </w:r>
                </w:p>
              </w:tc>
            </w:tr>
            <w:tr w14:paraId="156CDB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359" w:type="pct"/>
                  <w:tcBorders>
                    <w:tl2br w:val="nil"/>
                    <w:tr2bl w:val="nil"/>
                  </w:tcBorders>
                  <w:noWrap w:val="0"/>
                  <w:vAlign w:val="center"/>
                </w:tcPr>
                <w:p w14:paraId="52038312">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1</w:t>
                  </w:r>
                </w:p>
              </w:tc>
              <w:tc>
                <w:tcPr>
                  <w:tcW w:w="1118" w:type="pct"/>
                  <w:tcBorders>
                    <w:tl2br w:val="nil"/>
                    <w:tr2bl w:val="nil"/>
                  </w:tcBorders>
                  <w:noWrap w:val="0"/>
                  <w:vAlign w:val="center"/>
                </w:tcPr>
                <w:p w14:paraId="69B43F2A">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布袋除尘器和旋风除尘器收集的锅炉烟尘</w:t>
                  </w:r>
                </w:p>
              </w:tc>
              <w:tc>
                <w:tcPr>
                  <w:tcW w:w="573" w:type="pct"/>
                  <w:tcBorders>
                    <w:tl2br w:val="nil"/>
                    <w:tr2bl w:val="nil"/>
                  </w:tcBorders>
                  <w:noWrap w:val="0"/>
                  <w:vAlign w:val="center"/>
                </w:tcPr>
                <w:p w14:paraId="76D048D2">
                  <w:pPr>
                    <w:jc w:val="center"/>
                    <w:rPr>
                      <w:rFonts w:hint="default" w:ascii="Times New Roman" w:hAnsi="Times New Roman" w:eastAsia="宋体" w:cs="Times New Roman"/>
                      <w:color w:val="auto"/>
                      <w:kern w:val="2"/>
                      <w:sz w:val="21"/>
                      <w:szCs w:val="21"/>
                      <w:u w:val="none" w:color="auto"/>
                      <w:lang w:val="en-US" w:eastAsia="zh-CN" w:bidi="ar-SA"/>
                    </w:rPr>
                  </w:pPr>
                  <w:r>
                    <w:rPr>
                      <w:rFonts w:hint="eastAsia" w:cs="Times New Roman"/>
                      <w:color w:val="auto"/>
                      <w:kern w:val="2"/>
                      <w:sz w:val="21"/>
                      <w:szCs w:val="21"/>
                      <w:u w:val="none" w:color="auto"/>
                      <w:lang w:val="en-US" w:eastAsia="zh-CN" w:bidi="ar-SA"/>
                    </w:rPr>
                    <w:t>1027.54</w:t>
                  </w:r>
                  <w:r>
                    <w:rPr>
                      <w:rFonts w:hint="default" w:ascii="Times New Roman" w:hAnsi="Times New Roman" w:eastAsia="宋体" w:cs="Times New Roman"/>
                      <w:color w:val="auto"/>
                      <w:kern w:val="2"/>
                      <w:sz w:val="21"/>
                      <w:szCs w:val="21"/>
                      <w:u w:val="none" w:color="auto"/>
                      <w:lang w:val="en-US" w:eastAsia="zh-CN" w:bidi="ar-SA"/>
                    </w:rPr>
                    <w:t>t/a</w:t>
                  </w:r>
                </w:p>
              </w:tc>
              <w:tc>
                <w:tcPr>
                  <w:tcW w:w="763" w:type="pct"/>
                  <w:tcBorders>
                    <w:tl2br w:val="nil"/>
                    <w:tr2bl w:val="nil"/>
                  </w:tcBorders>
                  <w:noWrap w:val="0"/>
                  <w:vAlign w:val="center"/>
                </w:tcPr>
                <w:p w14:paraId="47BD06E0">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一般固废</w:t>
                  </w:r>
                </w:p>
              </w:tc>
              <w:tc>
                <w:tcPr>
                  <w:tcW w:w="846" w:type="pct"/>
                  <w:tcBorders>
                    <w:tl2br w:val="nil"/>
                    <w:tr2bl w:val="nil"/>
                  </w:tcBorders>
                  <w:noWrap w:val="0"/>
                  <w:vAlign w:val="center"/>
                </w:tcPr>
                <w:p w14:paraId="49D4A9AC">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900-099-S03</w:t>
                  </w:r>
                </w:p>
              </w:tc>
              <w:tc>
                <w:tcPr>
                  <w:tcW w:w="1337" w:type="pct"/>
                  <w:tcBorders>
                    <w:tl2br w:val="nil"/>
                    <w:tr2bl w:val="nil"/>
                  </w:tcBorders>
                  <w:noWrap w:val="0"/>
                  <w:vAlign w:val="center"/>
                </w:tcPr>
                <w:p w14:paraId="291E1BD3">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收集后外售附近农户作农肥</w:t>
                  </w:r>
                </w:p>
              </w:tc>
            </w:tr>
            <w:tr w14:paraId="77CB7F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359" w:type="pct"/>
                  <w:tcBorders>
                    <w:tl2br w:val="nil"/>
                    <w:tr2bl w:val="nil"/>
                  </w:tcBorders>
                  <w:noWrap w:val="0"/>
                  <w:vAlign w:val="center"/>
                </w:tcPr>
                <w:p w14:paraId="078CBDFD">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2</w:t>
                  </w:r>
                </w:p>
              </w:tc>
              <w:tc>
                <w:tcPr>
                  <w:tcW w:w="1118" w:type="pct"/>
                  <w:tcBorders>
                    <w:tl2br w:val="nil"/>
                    <w:tr2bl w:val="nil"/>
                  </w:tcBorders>
                  <w:noWrap w:val="0"/>
                  <w:vAlign w:val="center"/>
                </w:tcPr>
                <w:p w14:paraId="683112BC">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锅炉炉渣</w:t>
                  </w:r>
                </w:p>
              </w:tc>
              <w:tc>
                <w:tcPr>
                  <w:tcW w:w="573" w:type="pct"/>
                  <w:tcBorders>
                    <w:tl2br w:val="nil"/>
                    <w:tr2bl w:val="nil"/>
                  </w:tcBorders>
                  <w:noWrap w:val="0"/>
                  <w:vAlign w:val="center"/>
                </w:tcPr>
                <w:p w14:paraId="02D4B4C4">
                  <w:pPr>
                    <w:jc w:val="center"/>
                    <w:rPr>
                      <w:rFonts w:hint="default" w:ascii="Times New Roman" w:hAnsi="Times New Roman" w:eastAsia="宋体" w:cs="Times New Roman"/>
                      <w:color w:val="auto"/>
                      <w:kern w:val="2"/>
                      <w:sz w:val="21"/>
                      <w:szCs w:val="21"/>
                      <w:u w:val="none" w:color="auto"/>
                      <w:lang w:val="en-US" w:eastAsia="zh-CN" w:bidi="ar-SA"/>
                    </w:rPr>
                  </w:pPr>
                  <w:r>
                    <w:rPr>
                      <w:rFonts w:hint="eastAsia" w:cs="Times New Roman"/>
                      <w:color w:val="auto"/>
                      <w:kern w:val="2"/>
                      <w:sz w:val="21"/>
                      <w:szCs w:val="21"/>
                      <w:u w:val="none" w:color="auto"/>
                      <w:lang w:val="en-US" w:eastAsia="zh-CN" w:bidi="ar-SA"/>
                    </w:rPr>
                    <w:t>1173.94</w:t>
                  </w:r>
                  <w:r>
                    <w:rPr>
                      <w:rFonts w:hint="default" w:ascii="Times New Roman" w:hAnsi="Times New Roman" w:eastAsia="宋体" w:cs="Times New Roman"/>
                      <w:color w:val="auto"/>
                      <w:kern w:val="2"/>
                      <w:sz w:val="21"/>
                      <w:szCs w:val="21"/>
                      <w:u w:val="none" w:color="auto"/>
                      <w:lang w:val="en-US" w:eastAsia="zh-CN" w:bidi="ar-SA"/>
                    </w:rPr>
                    <w:t>t/a</w:t>
                  </w:r>
                </w:p>
              </w:tc>
              <w:tc>
                <w:tcPr>
                  <w:tcW w:w="763" w:type="pct"/>
                  <w:tcBorders>
                    <w:tl2br w:val="nil"/>
                    <w:tr2bl w:val="nil"/>
                  </w:tcBorders>
                  <w:noWrap w:val="0"/>
                  <w:vAlign w:val="center"/>
                </w:tcPr>
                <w:p w14:paraId="29FA31D0">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一般固废</w:t>
                  </w:r>
                </w:p>
              </w:tc>
              <w:tc>
                <w:tcPr>
                  <w:tcW w:w="846" w:type="pct"/>
                  <w:tcBorders>
                    <w:tl2br w:val="nil"/>
                    <w:tr2bl w:val="nil"/>
                  </w:tcBorders>
                  <w:noWrap w:val="0"/>
                  <w:vAlign w:val="center"/>
                </w:tcPr>
                <w:p w14:paraId="109642FD">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900-099-S03</w:t>
                  </w:r>
                </w:p>
              </w:tc>
              <w:tc>
                <w:tcPr>
                  <w:tcW w:w="1337" w:type="pct"/>
                  <w:tcBorders>
                    <w:tl2br w:val="nil"/>
                    <w:tr2bl w:val="nil"/>
                  </w:tcBorders>
                  <w:noWrap w:val="0"/>
                  <w:vAlign w:val="center"/>
                </w:tcPr>
                <w:p w14:paraId="7CFAC653">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收集后外售附近农户作农肥</w:t>
                  </w:r>
                </w:p>
              </w:tc>
            </w:tr>
          </w:tbl>
          <w:p w14:paraId="0DFAA1AA">
            <w:pPr>
              <w:autoSpaceDE w:val="0"/>
              <w:autoSpaceDN w:val="0"/>
              <w:spacing w:before="120" w:beforeLines="50" w:line="360" w:lineRule="auto"/>
              <w:ind w:firstLine="482" w:firstLineChars="200"/>
              <w:rPr>
                <w:rFonts w:hint="default" w:ascii="Times New Roman" w:hAnsi="Times New Roman" w:eastAsia="宋体" w:cs="Times New Roman"/>
                <w:b/>
                <w:bCs/>
                <w:color w:val="auto"/>
                <w:kern w:val="0"/>
                <w:sz w:val="24"/>
                <w:u w:val="none" w:color="auto"/>
              </w:rPr>
            </w:pPr>
            <w:r>
              <w:rPr>
                <w:rFonts w:hint="default" w:ascii="Times New Roman" w:hAnsi="Times New Roman" w:eastAsia="宋体" w:cs="Times New Roman"/>
                <w:b/>
                <w:bCs/>
                <w:color w:val="auto"/>
                <w:kern w:val="0"/>
                <w:sz w:val="24"/>
                <w:u w:val="none" w:color="auto"/>
              </w:rPr>
              <w:t>（2）固体废物环境管理要求</w:t>
            </w:r>
          </w:p>
          <w:p w14:paraId="7CEF94B9">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1）一般固废的收集和贮存 </w:t>
            </w:r>
          </w:p>
          <w:p w14:paraId="42DADC31">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一般固废的收集、储存、管理严格按照《一般工业固体废物贮存和填埋污染控制标准》(GB18599-2020）相关规定和要求执行，建立产生、收集、贮 存、运输、利用、处置全过程的污染环境防治责任制度，建立管理台账。由专人负责一般固废的收集和管理工作。 </w:t>
            </w:r>
          </w:p>
          <w:p w14:paraId="0E0EAEB2">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本项目炉渣、除尘灰和废布袋存储在灰渣库内，项目设置的一般固废暂存场所可满足贮存需求，满足《一般工业固体废物贮存和填埋污染控制标准》</w:t>
            </w:r>
          </w:p>
          <w:p w14:paraId="49C8607C">
            <w:pPr>
              <w:adjustRightInd w:val="0"/>
              <w:snapToGrid w:val="0"/>
              <w:spacing w:line="360" w:lineRule="auto"/>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(GB18599-2020）中“防渗漏、防雨淋、防扬尘等环境保护要求”。 </w:t>
            </w:r>
          </w:p>
          <w:p w14:paraId="7719EDA1">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2）一般固废的转移及运输 </w:t>
            </w:r>
          </w:p>
          <w:p w14:paraId="74EEAECD">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委托他人运输、安全处置固体废物，需对受托方的主体资格和技术能力进行核实，依法签订书面合同，在合同中约定污染防治要求。本项目炉渣、除尘器收集的炉灰可以外售做有机肥，生物质灰渣是由生物质燃烧产生的灰 烬，主要成分包括碳酸钙、钾、钙、镁等，具有丰富的营养成分和微量元素。 </w:t>
            </w:r>
          </w:p>
          <w:p w14:paraId="04FC0374">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 xml:space="preserve">由于其含有大量有机质和营养成份，生物质灰渣可以作为有机肥料使用，能够改善土壤结构，提高土壤通透性和保水性，增加土壤肥力，促进植物的生长发育。此外，生物质灰渣中含有的抗生素可以增强农作物的抗病能力，从而提高产量；废布袋交由有资格的单位处置，生活垃圾定期交由环卫部门处置。 </w:t>
            </w:r>
          </w:p>
          <w:p w14:paraId="032CF8D1">
            <w:pPr>
              <w:adjustRightInd w:val="0"/>
              <w:snapToGrid w:val="0"/>
              <w:spacing w:line="360" w:lineRule="auto"/>
              <w:ind w:firstLine="480" w:firstLineChars="200"/>
              <w:rPr>
                <w:rFonts w:hint="default" w:ascii="Times New Roman" w:hAnsi="Times New Roman" w:eastAsia="宋体" w:cs="Times New Roman"/>
                <w:color w:val="auto"/>
                <w:sz w:val="24"/>
                <w:u w:val="none" w:color="auto"/>
                <w:lang w:bidi="ar"/>
              </w:rPr>
            </w:pPr>
            <w:r>
              <w:rPr>
                <w:rFonts w:hint="default" w:ascii="Times New Roman" w:hAnsi="Times New Roman" w:eastAsia="宋体" w:cs="Times New Roman"/>
                <w:color w:val="auto"/>
                <w:sz w:val="24"/>
                <w:u w:val="none" w:color="auto"/>
                <w:lang w:val="en-US" w:eastAsia="zh-CN" w:bidi="ar"/>
              </w:rPr>
              <w:t>通过采取以上措施，项目产生的固废均能够得到妥善地处理和处置，达到零排放，不会对周围环境产生影响。</w:t>
            </w:r>
          </w:p>
          <w:p w14:paraId="4890A8A0">
            <w:pPr>
              <w:tabs>
                <w:tab w:val="left" w:pos="-423"/>
              </w:tabs>
              <w:spacing w:line="360" w:lineRule="auto"/>
              <w:rPr>
                <w:rFonts w:hint="default" w:ascii="Times New Roman" w:hAnsi="Times New Roman" w:eastAsia="宋体" w:cs="Times New Roman"/>
                <w:color w:val="auto"/>
                <w:sz w:val="24"/>
                <w:u w:val="none" w:color="auto"/>
              </w:rPr>
            </w:pPr>
            <w:r>
              <w:rPr>
                <w:rFonts w:hint="default" w:ascii="Times New Roman" w:hAnsi="Times New Roman" w:eastAsia="宋体" w:cs="Times New Roman"/>
                <w:b/>
                <w:color w:val="auto"/>
                <w:sz w:val="24"/>
                <w:u w:val="none" w:color="auto"/>
              </w:rPr>
              <w:t>5、地下水、土壤环境影响</w:t>
            </w:r>
          </w:p>
          <w:p w14:paraId="61CEF77A">
            <w:pPr>
              <w:pStyle w:val="34"/>
              <w:spacing w:line="360" w:lineRule="auto"/>
              <w:ind w:firstLine="480"/>
              <w:jc w:val="both"/>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 xml:space="preserve">本项目为热力生产和供应业，属于污染影响型项目。根据《环境影响评价技术导则土壤环境（试行）》(HJ964-2018）附录A表A.1土壤环境影响评价项目类别可知，本项目属于“电力热力燃气及水生产和供应业－其他”，项目类别为Ⅳ类，不需要开展土壤环境影响评价工作。 </w:t>
            </w:r>
          </w:p>
          <w:p w14:paraId="51478E23">
            <w:pPr>
              <w:pStyle w:val="34"/>
              <w:spacing w:line="360" w:lineRule="auto"/>
              <w:ind w:firstLine="480"/>
              <w:jc w:val="both"/>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 xml:space="preserve">根据《环境影响评价技术导则地下水环境》(HJ610-2016）附录A地下水环境影响评价行业分类表，本项目属于“U城镇基础设施及房地产-142、热力生产和供应工程－其他”，项目类别为Ⅳ类，不需要开展地下水环境影响评价工作。 </w:t>
            </w:r>
          </w:p>
          <w:p w14:paraId="15B87729">
            <w:pPr>
              <w:pStyle w:val="34"/>
              <w:spacing w:line="360" w:lineRule="auto"/>
              <w:ind w:firstLine="480"/>
              <w:jc w:val="both"/>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本项目锅炉房及灰渣库等可能对土壤及地下水产生影响的环节均按要求 进行防渗处理，项目锅炉运行产生的灰渣及时清运，在集中拉走之前做好防雨、防渗等工作。项目在采取以上防治措施并按照规范进行施工、运行、管理的前提下，不会对周围地下水及土壤造成污染。</w:t>
            </w:r>
          </w:p>
          <w:p w14:paraId="43A69EDC">
            <w:pPr>
              <w:tabs>
                <w:tab w:val="left" w:pos="-423"/>
              </w:tabs>
              <w:spacing w:line="360" w:lineRule="auto"/>
              <w:rPr>
                <w:rFonts w:hint="default" w:ascii="Times New Roman" w:hAnsi="Times New Roman" w:eastAsia="宋体" w:cs="Times New Roman"/>
                <w:color w:val="auto"/>
                <w:sz w:val="24"/>
                <w:u w:val="none" w:color="auto"/>
              </w:rPr>
            </w:pPr>
            <w:r>
              <w:rPr>
                <w:rFonts w:hint="default" w:ascii="Times New Roman" w:hAnsi="Times New Roman" w:eastAsia="宋体" w:cs="Times New Roman"/>
                <w:b/>
                <w:color w:val="auto"/>
                <w:sz w:val="24"/>
                <w:u w:val="none" w:color="auto"/>
              </w:rPr>
              <w:t>6、生态影响</w:t>
            </w:r>
          </w:p>
          <w:p w14:paraId="34F91C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szCs w:val="24"/>
                <w:u w:val="none" w:color="auto"/>
                <w:lang w:val="en-US" w:eastAsia="zh-CN"/>
              </w:rPr>
              <w:t>本项目位于</w:t>
            </w:r>
            <w:r>
              <w:rPr>
                <w:rFonts w:hint="default" w:ascii="Times New Roman" w:hAnsi="Times New Roman" w:eastAsia="宋体" w:cs="Times New Roman"/>
                <w:sz w:val="24"/>
                <w:szCs w:val="24"/>
                <w:u w:val="none" w:color="auto"/>
              </w:rPr>
              <w:t>华容高新技术产业开发区</w:t>
            </w:r>
            <w:r>
              <w:rPr>
                <w:rFonts w:hint="default" w:ascii="Times New Roman" w:hAnsi="Times New Roman" w:eastAsia="宋体" w:cs="Times New Roman"/>
                <w:b w:val="0"/>
                <w:bCs w:val="0"/>
                <w:color w:val="auto"/>
                <w:sz w:val="24"/>
                <w:szCs w:val="24"/>
                <w:u w:val="none" w:color="auto"/>
                <w:lang w:val="en-US" w:eastAsia="zh-CN"/>
              </w:rPr>
              <w:t>石伏片区内，项目周边人工活动频繁，动植物物种简单，无国家重点保护动植物，无古树名木，项目建设对周边的生态环境不会产生明显的影响。</w:t>
            </w:r>
          </w:p>
          <w:p w14:paraId="367BC639">
            <w:pPr>
              <w:spacing w:line="360" w:lineRule="auto"/>
              <w:rPr>
                <w:rFonts w:hint="default" w:ascii="Times New Roman" w:hAnsi="Times New Roman" w:eastAsia="宋体" w:cs="Times New Roman"/>
                <w:b/>
                <w:color w:val="auto"/>
                <w:spacing w:val="10"/>
                <w:sz w:val="24"/>
                <w:u w:val="none" w:color="auto"/>
              </w:rPr>
            </w:pPr>
            <w:r>
              <w:rPr>
                <w:rFonts w:hint="default" w:ascii="Times New Roman" w:hAnsi="Times New Roman" w:eastAsia="宋体" w:cs="Times New Roman"/>
                <w:b/>
                <w:color w:val="auto"/>
                <w:spacing w:val="10"/>
                <w:sz w:val="24"/>
                <w:u w:val="none" w:color="auto"/>
                <w:lang w:val="en-US" w:eastAsia="zh-CN"/>
              </w:rPr>
              <w:t>7</w:t>
            </w:r>
            <w:r>
              <w:rPr>
                <w:rFonts w:hint="default" w:ascii="Times New Roman" w:hAnsi="Times New Roman" w:eastAsia="宋体" w:cs="Times New Roman"/>
                <w:b/>
                <w:color w:val="auto"/>
                <w:spacing w:val="10"/>
                <w:sz w:val="24"/>
                <w:u w:val="none" w:color="auto"/>
              </w:rPr>
              <w:t>、风险分析</w:t>
            </w:r>
          </w:p>
          <w:p w14:paraId="03E79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根据《建设项目环境风险评价技术导则》(HJ169-2018)，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3117B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（1）重大危险源识别</w:t>
            </w:r>
          </w:p>
          <w:p w14:paraId="1CA95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根据《建设项目环境风险评价技术导则》(HJ169-2018）附录B，项目不涉及风险物质，项目环境风险潜势为 I 级，环境风险评价工作等级为简单分析。</w:t>
            </w:r>
          </w:p>
          <w:p w14:paraId="570D5C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（2）风险识别</w:t>
            </w:r>
          </w:p>
          <w:p w14:paraId="132911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根据本项目生产工艺特点及生产环节分析，项目营运期存在的环境风险主要包括：因生物质燃料遇明火发生火灾进而引起次生环境污染；废气处理措施故障，导致废气未经处理直接排放。</w:t>
            </w:r>
          </w:p>
          <w:p w14:paraId="5DE701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（3）风险防范措施</w:t>
            </w:r>
          </w:p>
          <w:p w14:paraId="78C46C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 xml:space="preserve">为使环境风险减小到最低限度，必须加强劳动安全管理，制定完备、有效的风险防范措施，尽可能降低项目环境风险事故发生的概率。为了切实避免事故的发生，建设单位应针对本项目采取如下措施： </w:t>
            </w:r>
          </w:p>
          <w:p w14:paraId="54D42B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 xml:space="preserve">⑴加强燃料存放区的管理，严禁明火、高温热源进入； </w:t>
            </w:r>
          </w:p>
          <w:p w14:paraId="499683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 xml:space="preserve">⑵配备一定量的消防器材，生物质燃料遇明火发生火灾时，立即汇报值班干部进行灭火，同时疏散周围人员，灭火时应佩戴防护面罩； </w:t>
            </w:r>
          </w:p>
          <w:p w14:paraId="7473E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⑶发生废气处理措施故障时，应立即停止生产，同时安排人员检修，待设施恢复后，方可继续使用。</w:t>
            </w:r>
          </w:p>
          <w:p w14:paraId="16A793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（6）环境风险分析结论</w:t>
            </w:r>
          </w:p>
          <w:p w14:paraId="7BDDD7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val="en-US" w:eastAsia="zh-CN"/>
              </w:rPr>
              <w:t>本项目运行过程中存在生物质燃料遇明火发生火灾、废气事故排放等风险，必须严格按照有关规范标准的要求进行监控和管理，在设计、施工、管理及运行中认真落实工程采取的安全措施及评价所提出的安全设施和对策，上述风险事故隐患可降至最低。项目采用的环境风险防范措施可行的。</w:t>
            </w:r>
          </w:p>
          <w:p w14:paraId="21992768">
            <w:pPr>
              <w:jc w:val="center"/>
              <w:rPr>
                <w:rFonts w:hint="default" w:ascii="Times New Roman" w:hAnsi="Times New Roman" w:eastAsia="宋体" w:cs="Times New Roman"/>
                <w:b/>
                <w:color w:val="auto"/>
                <w:u w:val="none" w:color="auto"/>
              </w:rPr>
            </w:pPr>
            <w:r>
              <w:rPr>
                <w:rFonts w:hint="default" w:ascii="Times New Roman" w:hAnsi="Times New Roman" w:eastAsia="宋体" w:cs="Times New Roman"/>
                <w:b/>
                <w:color w:val="auto"/>
                <w:u w:val="none" w:color="auto"/>
              </w:rPr>
              <w:t>表</w:t>
            </w:r>
            <w:r>
              <w:rPr>
                <w:rFonts w:hint="default" w:ascii="Times New Roman" w:hAnsi="Times New Roman" w:eastAsia="宋体" w:cs="Times New Roman"/>
                <w:b/>
                <w:color w:val="auto"/>
                <w:u w:val="none" w:color="auto"/>
                <w:lang w:val="en-US" w:eastAsia="zh-CN"/>
              </w:rPr>
              <w:t>4</w:t>
            </w:r>
            <w:r>
              <w:rPr>
                <w:rFonts w:hint="default" w:ascii="Times New Roman" w:hAnsi="Times New Roman" w:eastAsia="宋体" w:cs="Times New Roman"/>
                <w:b/>
                <w:color w:val="auto"/>
                <w:u w:val="none" w:color="auto"/>
              </w:rPr>
              <w:t>-</w:t>
            </w:r>
            <w:r>
              <w:rPr>
                <w:rFonts w:hint="eastAsia" w:ascii="Times New Roman" w:hAnsi="Times New Roman" w:eastAsia="宋体" w:cs="Times New Roman"/>
                <w:b/>
                <w:color w:val="auto"/>
                <w:u w:val="none" w:color="auto"/>
                <w:lang w:val="en-US" w:eastAsia="zh-CN"/>
              </w:rPr>
              <w:t>1</w:t>
            </w:r>
            <w:r>
              <w:rPr>
                <w:rFonts w:hint="eastAsia" w:cs="Times New Roman"/>
                <w:b/>
                <w:color w:val="auto"/>
                <w:u w:val="none" w:color="auto"/>
                <w:lang w:val="en-US" w:eastAsia="zh-CN"/>
              </w:rPr>
              <w:t>5</w:t>
            </w:r>
            <w:r>
              <w:rPr>
                <w:rFonts w:hint="default" w:ascii="Times New Roman" w:hAnsi="Times New Roman" w:eastAsia="宋体" w:cs="Times New Roman"/>
                <w:b/>
                <w:color w:val="auto"/>
                <w:u w:val="none" w:color="auto"/>
              </w:rPr>
              <w:t xml:space="preserve">  建设项目环境风险简单分析内容表</w:t>
            </w:r>
          </w:p>
          <w:tbl>
            <w:tblPr>
              <w:tblStyle w:val="26"/>
              <w:tblW w:w="7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6"/>
              <w:gridCol w:w="1218"/>
              <w:gridCol w:w="2089"/>
              <w:gridCol w:w="860"/>
              <w:gridCol w:w="2256"/>
            </w:tblGrid>
            <w:tr w14:paraId="1661F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1536" w:type="dxa"/>
                  <w:noWrap w:val="0"/>
                  <w:vAlign w:val="center"/>
                </w:tcPr>
                <w:p w14:paraId="7835088E">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建设项目名称</w:t>
                  </w:r>
                </w:p>
              </w:tc>
              <w:tc>
                <w:tcPr>
                  <w:tcW w:w="6423" w:type="dxa"/>
                  <w:gridSpan w:val="4"/>
                  <w:noWrap w:val="0"/>
                  <w:vAlign w:val="center"/>
                </w:tcPr>
                <w:p w14:paraId="734F62EA">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岳阳宝丽纺织品有限公司新增一台15th生物质锅炉建设项目</w:t>
                  </w:r>
                </w:p>
              </w:tc>
            </w:tr>
            <w:tr w14:paraId="290A1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trPr>
              <w:tc>
                <w:tcPr>
                  <w:tcW w:w="1536" w:type="dxa"/>
                  <w:noWrap w:val="0"/>
                  <w:vAlign w:val="center"/>
                </w:tcPr>
                <w:p w14:paraId="0C10819A">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建设地点</w:t>
                  </w:r>
                </w:p>
              </w:tc>
              <w:tc>
                <w:tcPr>
                  <w:tcW w:w="6423" w:type="dxa"/>
                  <w:gridSpan w:val="4"/>
                  <w:noWrap w:val="0"/>
                  <w:vAlign w:val="center"/>
                </w:tcPr>
                <w:p w14:paraId="13F742EC">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岳阳宝丽纺织品有限公司现有厂区内</w:t>
                  </w:r>
                </w:p>
              </w:tc>
            </w:tr>
            <w:tr w14:paraId="7E3CE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536" w:type="dxa"/>
                  <w:noWrap w:val="0"/>
                  <w:vAlign w:val="center"/>
                </w:tcPr>
                <w:p w14:paraId="5880D5FF">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地理坐标</w:t>
                  </w:r>
                </w:p>
              </w:tc>
              <w:tc>
                <w:tcPr>
                  <w:tcW w:w="1218" w:type="dxa"/>
                  <w:noWrap w:val="0"/>
                  <w:vAlign w:val="center"/>
                </w:tcPr>
                <w:p w14:paraId="29405FA8">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经度</w:t>
                  </w:r>
                </w:p>
              </w:tc>
              <w:tc>
                <w:tcPr>
                  <w:tcW w:w="2089" w:type="dxa"/>
                  <w:noWrap w:val="0"/>
                  <w:vAlign w:val="center"/>
                </w:tcPr>
                <w:p w14:paraId="378CDFC6">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东经112°37'08.3648"</w:t>
                  </w:r>
                </w:p>
              </w:tc>
              <w:tc>
                <w:tcPr>
                  <w:tcW w:w="860" w:type="dxa"/>
                  <w:noWrap w:val="0"/>
                  <w:vAlign w:val="center"/>
                </w:tcPr>
                <w:p w14:paraId="1D1A64DA">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纬度</w:t>
                  </w:r>
                </w:p>
              </w:tc>
              <w:tc>
                <w:tcPr>
                  <w:tcW w:w="2256" w:type="dxa"/>
                  <w:noWrap w:val="0"/>
                  <w:vAlign w:val="center"/>
                </w:tcPr>
                <w:p w14:paraId="48B9C7F6">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北纬29°32'08.8810"</w:t>
                  </w:r>
                </w:p>
              </w:tc>
            </w:tr>
            <w:tr w14:paraId="6FEA0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1536" w:type="dxa"/>
                  <w:noWrap w:val="0"/>
                  <w:vAlign w:val="center"/>
                </w:tcPr>
                <w:p w14:paraId="0257DB1D">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主要危险物质及分布</w:t>
                  </w:r>
                </w:p>
              </w:tc>
              <w:tc>
                <w:tcPr>
                  <w:tcW w:w="6423" w:type="dxa"/>
                  <w:gridSpan w:val="4"/>
                  <w:noWrap w:val="0"/>
                  <w:vAlign w:val="center"/>
                </w:tcPr>
                <w:p w14:paraId="1F321C7E">
                  <w:pPr>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5A7D1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7" w:hRule="atLeast"/>
              </w:trPr>
              <w:tc>
                <w:tcPr>
                  <w:tcW w:w="1536" w:type="dxa"/>
                  <w:noWrap w:val="0"/>
                  <w:vAlign w:val="center"/>
                </w:tcPr>
                <w:p w14:paraId="0300B8AE">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环境影响途径及危害后果（大气、地表水、地下水等）</w:t>
                  </w:r>
                </w:p>
              </w:tc>
              <w:tc>
                <w:tcPr>
                  <w:tcW w:w="6423" w:type="dxa"/>
                  <w:gridSpan w:val="4"/>
                  <w:noWrap w:val="0"/>
                  <w:vAlign w:val="center"/>
                </w:tcPr>
                <w:p w14:paraId="6E7489C2">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 xml:space="preserve">火灾产生的烟尘、CO 等废气，废气处理设施故障造成废气超标排放 </w:t>
                  </w:r>
                </w:p>
                <w:p w14:paraId="516349A1">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等对周边大气环境产生影响。</w:t>
                  </w:r>
                </w:p>
              </w:tc>
            </w:tr>
            <w:tr w14:paraId="1ED7A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5" w:hRule="atLeast"/>
              </w:trPr>
              <w:tc>
                <w:tcPr>
                  <w:tcW w:w="1536" w:type="dxa"/>
                  <w:noWrap w:val="0"/>
                  <w:vAlign w:val="center"/>
                </w:tcPr>
                <w:p w14:paraId="2D4377C6">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风险防范措施要求</w:t>
                  </w:r>
                </w:p>
              </w:tc>
              <w:tc>
                <w:tcPr>
                  <w:tcW w:w="6423" w:type="dxa"/>
                  <w:gridSpan w:val="4"/>
                  <w:noWrap w:val="0"/>
                  <w:vAlign w:val="center"/>
                </w:tcPr>
                <w:p w14:paraId="7FF87524">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 xml:space="preserve">⑴加强燃料存放区的管理，严禁明火、高温热源进入； </w:t>
                  </w:r>
                </w:p>
                <w:p w14:paraId="357CD5A7">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 xml:space="preserve">⑵配备一定量的消防器材，生物质燃料遇明火发生火灾时，立即汇 </w:t>
                  </w:r>
                </w:p>
                <w:p w14:paraId="7D36EEDC">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 xml:space="preserve">报值班干部进行灭火，同时疏散周围人员，灭火时应佩戴防护面罩； </w:t>
                  </w:r>
                </w:p>
                <w:p w14:paraId="6635D404">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 xml:space="preserve">⑶发生废气处理措施故障时，应立即停止生产，同时安排人员检修， </w:t>
                  </w:r>
                </w:p>
                <w:p w14:paraId="17639427">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lang w:val="en-US" w:eastAsia="zh-CN"/>
                    </w:rPr>
                    <w:t>待设施恢复后，方可继续使用。</w:t>
                  </w:r>
                </w:p>
              </w:tc>
            </w:tr>
            <w:tr w14:paraId="764F4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trPr>
              <w:tc>
                <w:tcPr>
                  <w:tcW w:w="7959" w:type="dxa"/>
                  <w:gridSpan w:val="5"/>
                  <w:noWrap w:val="0"/>
                  <w:vAlign w:val="center"/>
                </w:tcPr>
                <w:p w14:paraId="1248A8CA">
                  <w:pPr>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填表说明（列表项目相关信息及评价说明）：</w:t>
                  </w:r>
                  <w:r>
                    <w:rPr>
                      <w:rFonts w:hint="default" w:ascii="Times New Roman" w:hAnsi="Times New Roman" w:eastAsia="宋体" w:cs="Times New Roman"/>
                      <w:color w:val="auto"/>
                      <w:szCs w:val="21"/>
                      <w:u w:val="none" w:color="auto"/>
                      <w:lang w:val="en-US" w:eastAsia="zh-CN"/>
                    </w:rPr>
                    <w:t>根据《建设项目环境风险评价技术导则》(HJ169-2018）附录 B，项目不涉及风险物质， 项目环境风险潜势为 I 级，环境风险评价工作等级为简单分析。</w:t>
                  </w:r>
                </w:p>
              </w:tc>
            </w:tr>
          </w:tbl>
          <w:p w14:paraId="59D527B8">
            <w:pPr>
              <w:spacing w:line="360" w:lineRule="auto"/>
              <w:ind w:firstLine="480" w:firstLineChars="200"/>
              <w:rPr>
                <w:rFonts w:hint="default" w:ascii="Times New Roman" w:hAnsi="Times New Roman" w:eastAsia="宋体" w:cs="Times New Roman"/>
                <w:b/>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本项目在严格落实环评报告中提出的风险防范措施，杜绝事故发生的前提下，项目环境风险可防控。</w:t>
            </w:r>
          </w:p>
          <w:p w14:paraId="2940BE3A">
            <w:pPr>
              <w:spacing w:line="360" w:lineRule="auto"/>
              <w:rPr>
                <w:rFonts w:hint="default" w:ascii="Times New Roman" w:hAnsi="Times New Roman" w:eastAsia="宋体" w:cs="Times New Roman"/>
                <w:b/>
                <w:color w:val="auto"/>
                <w:sz w:val="24"/>
                <w:u w:val="none" w:color="auto"/>
              </w:rPr>
            </w:pPr>
            <w:r>
              <w:rPr>
                <w:rFonts w:hint="default" w:ascii="Times New Roman" w:hAnsi="Times New Roman" w:eastAsia="宋体" w:cs="Times New Roman"/>
                <w:b/>
                <w:color w:val="auto"/>
                <w:sz w:val="24"/>
                <w:u w:val="none" w:color="auto"/>
                <w:lang w:val="en-US" w:eastAsia="zh-CN"/>
              </w:rPr>
              <w:t>8、</w:t>
            </w:r>
            <w:r>
              <w:rPr>
                <w:rFonts w:hint="default" w:ascii="Times New Roman" w:hAnsi="Times New Roman" w:eastAsia="宋体" w:cs="Times New Roman"/>
                <w:b/>
                <w:color w:val="auto"/>
                <w:sz w:val="24"/>
                <w:u w:val="none" w:color="auto"/>
              </w:rPr>
              <w:t>环保投资</w:t>
            </w:r>
          </w:p>
          <w:p w14:paraId="54E53E9E">
            <w:pPr>
              <w:spacing w:line="360" w:lineRule="auto"/>
              <w:ind w:firstLine="480" w:firstLineChars="200"/>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本次新建项目</w:t>
            </w:r>
            <w:r>
              <w:rPr>
                <w:rFonts w:hint="default" w:ascii="Times New Roman" w:hAnsi="Times New Roman" w:eastAsia="宋体" w:cs="Times New Roman"/>
                <w:color w:val="auto"/>
                <w:sz w:val="24"/>
                <w:highlight w:val="none"/>
                <w:u w:val="none" w:color="auto"/>
              </w:rPr>
              <w:t>总投资</w:t>
            </w:r>
            <w:r>
              <w:rPr>
                <w:rFonts w:hint="default" w:ascii="Times New Roman" w:hAnsi="Times New Roman" w:eastAsia="宋体" w:cs="Times New Roman"/>
                <w:color w:val="auto"/>
                <w:sz w:val="24"/>
                <w:highlight w:val="none"/>
                <w:u w:val="none" w:color="auto"/>
                <w:lang w:val="en-US" w:eastAsia="zh-CN"/>
              </w:rPr>
              <w:t>500万</w:t>
            </w:r>
            <w:r>
              <w:rPr>
                <w:rFonts w:hint="default" w:ascii="Times New Roman" w:hAnsi="Times New Roman" w:eastAsia="宋体" w:cs="Times New Roman"/>
                <w:color w:val="auto"/>
                <w:sz w:val="24"/>
                <w:highlight w:val="none"/>
                <w:u w:val="none" w:color="auto"/>
              </w:rPr>
              <w:t>元</w:t>
            </w:r>
            <w:r>
              <w:rPr>
                <w:rFonts w:hint="default" w:ascii="Times New Roman" w:hAnsi="Times New Roman" w:eastAsia="宋体" w:cs="Times New Roman"/>
                <w:color w:val="auto"/>
                <w:sz w:val="24"/>
                <w:highlight w:val="none"/>
                <w:u w:val="none" w:color="auto"/>
                <w:lang w:eastAsia="zh-CN"/>
              </w:rPr>
              <w:t>，</w:t>
            </w:r>
            <w:r>
              <w:rPr>
                <w:rFonts w:hint="default" w:ascii="Times New Roman" w:hAnsi="Times New Roman" w:eastAsia="宋体" w:cs="Times New Roman"/>
                <w:color w:val="auto"/>
                <w:sz w:val="24"/>
                <w:highlight w:val="none"/>
                <w:u w:val="none" w:color="auto"/>
              </w:rPr>
              <w:t>环保总投资</w:t>
            </w:r>
            <w:r>
              <w:rPr>
                <w:rFonts w:hint="default" w:ascii="Times New Roman" w:hAnsi="Times New Roman" w:eastAsia="宋体" w:cs="Times New Roman"/>
                <w:color w:val="auto"/>
                <w:sz w:val="24"/>
                <w:highlight w:val="none"/>
                <w:u w:val="none" w:color="auto"/>
                <w:lang w:eastAsia="zh-CN"/>
              </w:rPr>
              <w:t>约为</w:t>
            </w:r>
            <w:r>
              <w:rPr>
                <w:rFonts w:hint="eastAsia" w:cs="Times New Roman"/>
                <w:color w:val="auto"/>
                <w:sz w:val="24"/>
                <w:highlight w:val="none"/>
                <w:u w:val="none" w:color="auto"/>
                <w:lang w:val="en-US" w:eastAsia="zh-CN"/>
              </w:rPr>
              <w:t>102</w:t>
            </w:r>
            <w:r>
              <w:rPr>
                <w:rFonts w:hint="default" w:ascii="Times New Roman" w:hAnsi="Times New Roman" w:eastAsia="宋体" w:cs="Times New Roman"/>
                <w:color w:val="auto"/>
                <w:sz w:val="24"/>
                <w:highlight w:val="none"/>
                <w:u w:val="none" w:color="auto"/>
              </w:rPr>
              <w:t>万元，所占比例为</w:t>
            </w:r>
            <w:r>
              <w:rPr>
                <w:rFonts w:hint="eastAsia" w:cs="Times New Roman"/>
                <w:color w:val="auto"/>
                <w:sz w:val="24"/>
                <w:highlight w:val="none"/>
                <w:u w:val="none" w:color="auto"/>
                <w:lang w:val="en-US" w:eastAsia="zh-CN"/>
              </w:rPr>
              <w:t>20.4</w:t>
            </w:r>
            <w:r>
              <w:rPr>
                <w:rFonts w:hint="default" w:ascii="Times New Roman" w:hAnsi="Times New Roman" w:eastAsia="宋体" w:cs="Times New Roman"/>
                <w:color w:val="auto"/>
                <w:sz w:val="24"/>
                <w:highlight w:val="none"/>
                <w:u w:val="none" w:color="auto"/>
                <w:lang w:eastAsia="zh-CN"/>
              </w:rPr>
              <w:t>%，具体详</w:t>
            </w:r>
            <w:r>
              <w:rPr>
                <w:rFonts w:hint="default" w:ascii="Times New Roman" w:hAnsi="Times New Roman" w:eastAsia="宋体" w:cs="Times New Roman"/>
                <w:color w:val="auto"/>
                <w:sz w:val="24"/>
                <w:highlight w:val="none"/>
                <w:u w:val="none" w:color="auto"/>
              </w:rPr>
              <w:t>见</w:t>
            </w:r>
            <w:r>
              <w:rPr>
                <w:rFonts w:hint="default" w:ascii="Times New Roman" w:hAnsi="Times New Roman" w:eastAsia="宋体" w:cs="Times New Roman"/>
                <w:color w:val="auto"/>
                <w:sz w:val="24"/>
                <w:highlight w:val="none"/>
                <w:u w:val="none" w:color="auto"/>
                <w:lang w:eastAsia="zh-CN"/>
              </w:rPr>
              <w:t>下</w:t>
            </w:r>
            <w:r>
              <w:rPr>
                <w:rFonts w:hint="default" w:ascii="Times New Roman" w:hAnsi="Times New Roman" w:eastAsia="宋体" w:cs="Times New Roman"/>
                <w:color w:val="auto"/>
                <w:sz w:val="24"/>
                <w:highlight w:val="none"/>
                <w:u w:val="none" w:color="auto"/>
              </w:rPr>
              <w:t>表</w:t>
            </w:r>
            <w:r>
              <w:rPr>
                <w:rFonts w:hint="default" w:ascii="Times New Roman" w:hAnsi="Times New Roman" w:eastAsia="宋体" w:cs="Times New Roman"/>
                <w:color w:val="auto"/>
                <w:sz w:val="24"/>
                <w:highlight w:val="none"/>
                <w:u w:val="none" w:color="auto"/>
                <w:lang w:eastAsia="zh-CN"/>
              </w:rPr>
              <w:t>：</w:t>
            </w:r>
          </w:p>
          <w:p w14:paraId="69503BCC">
            <w:pPr>
              <w:jc w:val="center"/>
              <w:rPr>
                <w:rFonts w:hint="default" w:ascii="Times New Roman" w:hAnsi="Times New Roman" w:eastAsia="宋体" w:cs="Times New Roman"/>
                <w:b/>
                <w:color w:val="auto"/>
                <w:sz w:val="21"/>
                <w:szCs w:val="21"/>
                <w:u w:val="none" w:color="auto"/>
              </w:rPr>
            </w:pPr>
            <w:r>
              <w:rPr>
                <w:rFonts w:hint="default" w:ascii="Times New Roman" w:hAnsi="Times New Roman" w:eastAsia="宋体" w:cs="Times New Roman"/>
                <w:b/>
                <w:color w:val="auto"/>
                <w:sz w:val="21"/>
                <w:szCs w:val="21"/>
                <w:u w:val="none" w:color="auto"/>
                <w:lang w:bidi="ar"/>
              </w:rPr>
              <w:t>表</w:t>
            </w:r>
            <w:r>
              <w:rPr>
                <w:rFonts w:hint="default" w:ascii="Times New Roman" w:hAnsi="Times New Roman" w:eastAsia="宋体" w:cs="Times New Roman"/>
                <w:b/>
                <w:color w:val="auto"/>
                <w:sz w:val="21"/>
                <w:szCs w:val="21"/>
                <w:u w:val="none" w:color="auto"/>
                <w:lang w:val="en-US" w:eastAsia="zh-CN" w:bidi="ar"/>
              </w:rPr>
              <w:t>4-</w:t>
            </w:r>
            <w:r>
              <w:rPr>
                <w:rFonts w:hint="eastAsia" w:ascii="Times New Roman" w:hAnsi="Times New Roman" w:eastAsia="宋体" w:cs="Times New Roman"/>
                <w:b/>
                <w:color w:val="auto"/>
                <w:sz w:val="21"/>
                <w:szCs w:val="21"/>
                <w:u w:val="none" w:color="auto"/>
                <w:lang w:val="en-US" w:eastAsia="zh-CN" w:bidi="ar"/>
              </w:rPr>
              <w:t>1</w:t>
            </w:r>
            <w:r>
              <w:rPr>
                <w:rFonts w:hint="eastAsia" w:cs="Times New Roman"/>
                <w:b/>
                <w:color w:val="auto"/>
                <w:sz w:val="21"/>
                <w:szCs w:val="21"/>
                <w:u w:val="none" w:color="auto"/>
                <w:lang w:val="en-US" w:eastAsia="zh-CN" w:bidi="ar"/>
              </w:rPr>
              <w:t>6</w:t>
            </w:r>
            <w:r>
              <w:rPr>
                <w:rFonts w:hint="default" w:ascii="Times New Roman" w:hAnsi="Times New Roman" w:eastAsia="宋体" w:cs="Times New Roman"/>
                <w:b/>
                <w:color w:val="auto"/>
                <w:sz w:val="21"/>
                <w:szCs w:val="21"/>
                <w:u w:val="none" w:color="auto"/>
                <w:lang w:bidi="ar"/>
              </w:rPr>
              <w:t xml:space="preserve">  </w:t>
            </w:r>
            <w:r>
              <w:rPr>
                <w:rFonts w:hint="default" w:ascii="Times New Roman" w:hAnsi="Times New Roman" w:eastAsia="宋体" w:cs="Times New Roman"/>
                <w:b/>
                <w:color w:val="auto"/>
                <w:sz w:val="21"/>
                <w:szCs w:val="21"/>
                <w:u w:val="none" w:color="auto"/>
                <w:lang w:eastAsia="zh-CN" w:bidi="ar"/>
              </w:rPr>
              <w:t>本次新建</w:t>
            </w:r>
            <w:r>
              <w:rPr>
                <w:rFonts w:hint="default" w:ascii="Times New Roman" w:hAnsi="Times New Roman" w:eastAsia="宋体" w:cs="Times New Roman"/>
                <w:b/>
                <w:color w:val="auto"/>
                <w:sz w:val="21"/>
                <w:szCs w:val="21"/>
                <w:u w:val="none" w:color="auto"/>
                <w:lang w:val="en-US" w:eastAsia="zh-CN" w:bidi="ar"/>
              </w:rPr>
              <w:t>项目环保投资估算表</w:t>
            </w:r>
            <w:r>
              <w:rPr>
                <w:rFonts w:hint="default" w:ascii="Times New Roman" w:hAnsi="Times New Roman" w:eastAsia="宋体" w:cs="Times New Roman"/>
                <w:b/>
                <w:color w:val="auto"/>
                <w:sz w:val="21"/>
                <w:szCs w:val="21"/>
                <w:u w:val="none" w:color="auto"/>
                <w:lang w:bidi="ar"/>
              </w:rPr>
              <w:t xml:space="preserve">   </w:t>
            </w:r>
          </w:p>
          <w:tbl>
            <w:tblPr>
              <w:tblStyle w:val="26"/>
              <w:tblW w:w="49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19"/>
              <w:gridCol w:w="2878"/>
              <w:gridCol w:w="990"/>
              <w:gridCol w:w="1993"/>
            </w:tblGrid>
            <w:tr w14:paraId="3968A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557F8793">
                  <w:pPr>
                    <w:jc w:val="center"/>
                    <w:rPr>
                      <w:rFonts w:hint="default" w:ascii="Times New Roman" w:hAnsi="Times New Roman" w:eastAsia="宋体" w:cs="Times New Roman"/>
                      <w:b/>
                      <w:color w:val="auto"/>
                      <w:sz w:val="21"/>
                      <w:szCs w:val="21"/>
                      <w:u w:val="none" w:color="auto"/>
                      <w:lang w:eastAsia="zh-CN"/>
                    </w:rPr>
                  </w:pPr>
                  <w:r>
                    <w:rPr>
                      <w:rFonts w:hint="default" w:ascii="Times New Roman" w:hAnsi="Times New Roman" w:eastAsia="宋体" w:cs="Times New Roman"/>
                      <w:b/>
                      <w:color w:val="auto"/>
                      <w:sz w:val="21"/>
                      <w:szCs w:val="21"/>
                      <w:u w:val="none" w:color="auto"/>
                      <w:lang w:eastAsia="zh-CN"/>
                    </w:rPr>
                    <w:t>类别</w:t>
                  </w:r>
                </w:p>
              </w:tc>
              <w:tc>
                <w:tcPr>
                  <w:tcW w:w="1419" w:type="dxa"/>
                  <w:tcBorders>
                    <w:tl2br w:val="nil"/>
                    <w:tr2bl w:val="nil"/>
                  </w:tcBorders>
                  <w:noWrap w:val="0"/>
                  <w:vAlign w:val="center"/>
                </w:tcPr>
                <w:p w14:paraId="356F7532">
                  <w:pPr>
                    <w:jc w:val="center"/>
                    <w:rPr>
                      <w:rFonts w:hint="default" w:ascii="Times New Roman" w:hAnsi="Times New Roman" w:eastAsia="宋体" w:cs="Times New Roman"/>
                      <w:b/>
                      <w:color w:val="auto"/>
                      <w:sz w:val="21"/>
                      <w:szCs w:val="21"/>
                      <w:u w:val="none" w:color="auto"/>
                      <w:lang w:val="en-US" w:eastAsia="zh-CN"/>
                    </w:rPr>
                  </w:pPr>
                  <w:r>
                    <w:rPr>
                      <w:rFonts w:hint="default" w:ascii="Times New Roman" w:hAnsi="Times New Roman" w:eastAsia="宋体" w:cs="Times New Roman"/>
                      <w:b/>
                      <w:color w:val="auto"/>
                      <w:sz w:val="21"/>
                      <w:szCs w:val="21"/>
                      <w:u w:val="none" w:color="auto"/>
                      <w:lang w:val="en-US" w:eastAsia="zh-CN"/>
                    </w:rPr>
                    <w:t>名称</w:t>
                  </w:r>
                </w:p>
              </w:tc>
              <w:tc>
                <w:tcPr>
                  <w:tcW w:w="2878" w:type="dxa"/>
                  <w:tcBorders>
                    <w:tl2br w:val="nil"/>
                    <w:tr2bl w:val="nil"/>
                  </w:tcBorders>
                  <w:noWrap w:val="0"/>
                  <w:vAlign w:val="center"/>
                </w:tcPr>
                <w:p w14:paraId="3EF5285B">
                  <w:pPr>
                    <w:jc w:val="center"/>
                    <w:rPr>
                      <w:rFonts w:hint="default" w:ascii="Times New Roman" w:hAnsi="Times New Roman" w:eastAsia="宋体" w:cs="Times New Roman"/>
                      <w:b/>
                      <w:bCs/>
                      <w:color w:val="auto"/>
                      <w:sz w:val="21"/>
                      <w:szCs w:val="21"/>
                      <w:u w:val="none" w:color="auto"/>
                      <w:lang w:eastAsia="zh-CN"/>
                    </w:rPr>
                  </w:pPr>
                  <w:r>
                    <w:rPr>
                      <w:rFonts w:hint="default" w:ascii="Times New Roman" w:hAnsi="Times New Roman" w:eastAsia="宋体" w:cs="Times New Roman"/>
                      <w:b/>
                      <w:bCs/>
                      <w:color w:val="auto"/>
                      <w:sz w:val="21"/>
                      <w:szCs w:val="24"/>
                      <w:u w:val="none" w:color="auto"/>
                      <w:lang w:eastAsia="zh-CN"/>
                    </w:rPr>
                    <w:t>环保措施</w:t>
                  </w:r>
                </w:p>
              </w:tc>
              <w:tc>
                <w:tcPr>
                  <w:tcW w:w="990" w:type="dxa"/>
                  <w:tcBorders>
                    <w:tl2br w:val="nil"/>
                    <w:tr2bl w:val="nil"/>
                  </w:tcBorders>
                  <w:noWrap w:val="0"/>
                  <w:vAlign w:val="center"/>
                </w:tcPr>
                <w:p w14:paraId="66DB6B42">
                  <w:pPr>
                    <w:jc w:val="center"/>
                    <w:rPr>
                      <w:rFonts w:hint="default" w:ascii="Times New Roman" w:hAnsi="Times New Roman" w:eastAsia="宋体" w:cs="Times New Roman"/>
                      <w:b/>
                      <w:bCs/>
                      <w:color w:val="auto"/>
                      <w:sz w:val="21"/>
                      <w:szCs w:val="21"/>
                      <w:u w:val="none" w:color="auto"/>
                      <w:lang w:eastAsia="zh-CN" w:bidi="ar"/>
                    </w:rPr>
                  </w:pPr>
                  <w:r>
                    <w:rPr>
                      <w:rFonts w:hint="default" w:ascii="Times New Roman" w:hAnsi="Times New Roman" w:eastAsia="宋体" w:cs="Times New Roman"/>
                      <w:b/>
                      <w:bCs/>
                      <w:color w:val="auto"/>
                      <w:sz w:val="21"/>
                      <w:szCs w:val="24"/>
                      <w:u w:val="none" w:color="auto"/>
                      <w:lang w:eastAsia="zh-CN"/>
                    </w:rPr>
                    <w:t>投资额</w:t>
                  </w:r>
                </w:p>
              </w:tc>
              <w:tc>
                <w:tcPr>
                  <w:tcW w:w="1993" w:type="dxa"/>
                  <w:tcBorders>
                    <w:tl2br w:val="nil"/>
                    <w:tr2bl w:val="nil"/>
                  </w:tcBorders>
                  <w:noWrap w:val="0"/>
                  <w:vAlign w:val="center"/>
                </w:tcPr>
                <w:p w14:paraId="57E48B23">
                  <w:pPr>
                    <w:jc w:val="center"/>
                    <w:rPr>
                      <w:rFonts w:hint="default" w:ascii="Times New Roman" w:hAnsi="Times New Roman" w:eastAsia="宋体" w:cs="Times New Roman"/>
                      <w:b/>
                      <w:bCs/>
                      <w:color w:val="auto"/>
                      <w:sz w:val="21"/>
                      <w:szCs w:val="21"/>
                      <w:u w:val="none" w:color="auto"/>
                      <w:lang w:val="en-US" w:eastAsia="zh-CN" w:bidi="ar"/>
                    </w:rPr>
                  </w:pPr>
                  <w:r>
                    <w:rPr>
                      <w:rFonts w:hint="default" w:ascii="Times New Roman" w:hAnsi="Times New Roman" w:eastAsia="宋体" w:cs="Times New Roman"/>
                      <w:b/>
                      <w:bCs/>
                      <w:color w:val="auto"/>
                      <w:sz w:val="21"/>
                      <w:szCs w:val="24"/>
                      <w:u w:val="none" w:color="auto"/>
                      <w:lang w:eastAsia="zh-CN"/>
                    </w:rPr>
                    <w:t>备注</w:t>
                  </w:r>
                </w:p>
              </w:tc>
            </w:tr>
            <w:tr w14:paraId="72A74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46F614AD">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废气</w:t>
                  </w:r>
                </w:p>
              </w:tc>
              <w:tc>
                <w:tcPr>
                  <w:tcW w:w="1419" w:type="dxa"/>
                  <w:tcBorders>
                    <w:tl2br w:val="nil"/>
                    <w:tr2bl w:val="nil"/>
                  </w:tcBorders>
                  <w:noWrap w:val="0"/>
                  <w:vAlign w:val="center"/>
                </w:tcPr>
                <w:p w14:paraId="47310CE7">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锅炉燃烧</w:t>
                  </w:r>
                </w:p>
              </w:tc>
              <w:tc>
                <w:tcPr>
                  <w:tcW w:w="2878" w:type="dxa"/>
                  <w:tcBorders>
                    <w:tl2br w:val="nil"/>
                    <w:tr2bl w:val="nil"/>
                  </w:tcBorders>
                  <w:noWrap w:val="0"/>
                  <w:vAlign w:val="center"/>
                </w:tcPr>
                <w:p w14:paraId="73DD2510">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SNCR+多管旋风除尘+布袋除尘+脱硫塔+43m高排气筒(</w:t>
                  </w:r>
                  <w:r>
                    <w:rPr>
                      <w:rFonts w:hint="eastAsia" w:ascii="Times New Roman" w:hAnsi="Times New Roman" w:eastAsia="宋体" w:cs="Times New Roman"/>
                      <w:b w:val="0"/>
                      <w:bCs w:val="0"/>
                      <w:color w:val="auto"/>
                      <w:sz w:val="21"/>
                      <w:szCs w:val="21"/>
                      <w:u w:val="none" w:color="auto"/>
                      <w:lang w:val="en-US" w:eastAsia="zh-CN" w:bidi="ar"/>
                    </w:rPr>
                    <w:t>DA00</w:t>
                  </w:r>
                  <w:r>
                    <w:rPr>
                      <w:rFonts w:hint="eastAsia" w:cs="Times New Roman"/>
                      <w:b w:val="0"/>
                      <w:bCs w:val="0"/>
                      <w:color w:val="auto"/>
                      <w:sz w:val="21"/>
                      <w:szCs w:val="21"/>
                      <w:u w:val="none" w:color="auto"/>
                      <w:lang w:val="en-US" w:eastAsia="zh-CN" w:bidi="ar"/>
                    </w:rPr>
                    <w:t>1</w:t>
                  </w:r>
                  <w:r>
                    <w:rPr>
                      <w:rFonts w:hint="default" w:ascii="Times New Roman" w:hAnsi="Times New Roman" w:eastAsia="宋体" w:cs="Times New Roman"/>
                      <w:b w:val="0"/>
                      <w:bCs w:val="0"/>
                      <w:color w:val="auto"/>
                      <w:sz w:val="21"/>
                      <w:szCs w:val="21"/>
                      <w:u w:val="none" w:color="auto"/>
                      <w:lang w:val="en-US" w:eastAsia="zh-CN" w:bidi="ar"/>
                    </w:rPr>
                    <w:t>)</w:t>
                  </w:r>
                </w:p>
              </w:tc>
              <w:tc>
                <w:tcPr>
                  <w:tcW w:w="990" w:type="dxa"/>
                  <w:tcBorders>
                    <w:tl2br w:val="nil"/>
                    <w:tr2bl w:val="nil"/>
                  </w:tcBorders>
                  <w:noWrap w:val="0"/>
                  <w:vAlign w:val="center"/>
                </w:tcPr>
                <w:p w14:paraId="7D225164">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50万元</w:t>
                  </w:r>
                </w:p>
              </w:tc>
              <w:tc>
                <w:tcPr>
                  <w:tcW w:w="1993" w:type="dxa"/>
                  <w:tcBorders>
                    <w:tl2br w:val="nil"/>
                    <w:tr2bl w:val="nil"/>
                  </w:tcBorders>
                  <w:noWrap w:val="0"/>
                  <w:vAlign w:val="center"/>
                </w:tcPr>
                <w:p w14:paraId="1FCE92EA">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新增</w:t>
                  </w:r>
                </w:p>
              </w:tc>
            </w:tr>
            <w:tr w14:paraId="0DED2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5752DD83">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废气</w:t>
                  </w:r>
                </w:p>
              </w:tc>
              <w:tc>
                <w:tcPr>
                  <w:tcW w:w="1419" w:type="dxa"/>
                  <w:tcBorders>
                    <w:tl2br w:val="nil"/>
                    <w:tr2bl w:val="nil"/>
                  </w:tcBorders>
                  <w:noWrap w:val="0"/>
                  <w:vAlign w:val="center"/>
                </w:tcPr>
                <w:p w14:paraId="1CFF640F">
                  <w:pPr>
                    <w:jc w:val="center"/>
                    <w:rPr>
                      <w:rFonts w:hint="default" w:ascii="Times New Roman" w:hAnsi="Times New Roman" w:eastAsia="宋体" w:cs="Times New Roman"/>
                      <w:b w:val="0"/>
                      <w:bCs w:val="0"/>
                      <w:color w:val="auto"/>
                      <w:sz w:val="21"/>
                      <w:szCs w:val="21"/>
                      <w:u w:val="none" w:color="auto"/>
                      <w:lang w:val="en-US" w:eastAsia="zh-CN"/>
                    </w:rPr>
                  </w:pPr>
                  <w:r>
                    <w:rPr>
                      <w:rFonts w:hint="eastAsia" w:cs="Times New Roman"/>
                      <w:b w:val="0"/>
                      <w:bCs w:val="0"/>
                      <w:color w:val="auto"/>
                      <w:sz w:val="21"/>
                      <w:szCs w:val="21"/>
                      <w:u w:val="none" w:color="auto"/>
                      <w:lang w:val="en-US" w:eastAsia="zh-CN"/>
                    </w:rPr>
                    <w:t>导热油炉</w:t>
                  </w:r>
                  <w:r>
                    <w:rPr>
                      <w:rFonts w:hint="default" w:ascii="Times New Roman" w:hAnsi="Times New Roman" w:eastAsia="宋体" w:cs="Times New Roman"/>
                      <w:b w:val="0"/>
                      <w:bCs w:val="0"/>
                      <w:color w:val="auto"/>
                      <w:sz w:val="21"/>
                      <w:szCs w:val="21"/>
                      <w:u w:val="none" w:color="auto"/>
                      <w:lang w:val="en-US" w:eastAsia="zh-CN"/>
                    </w:rPr>
                    <w:t>燃烧</w:t>
                  </w:r>
                </w:p>
              </w:tc>
              <w:tc>
                <w:tcPr>
                  <w:tcW w:w="2878" w:type="dxa"/>
                  <w:tcBorders>
                    <w:tl2br w:val="nil"/>
                    <w:tr2bl w:val="nil"/>
                  </w:tcBorders>
                  <w:noWrap w:val="0"/>
                  <w:vAlign w:val="center"/>
                </w:tcPr>
                <w:p w14:paraId="56BB6017">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多管旋风除尘+布袋除尘+脱硫塔+</w:t>
                  </w:r>
                  <w:r>
                    <w:rPr>
                      <w:rFonts w:hint="eastAsia" w:cs="Times New Roman"/>
                      <w:b w:val="0"/>
                      <w:bCs w:val="0"/>
                      <w:color w:val="auto"/>
                      <w:sz w:val="21"/>
                      <w:szCs w:val="21"/>
                      <w:u w:val="none" w:color="auto"/>
                      <w:lang w:val="en-US" w:eastAsia="zh-CN" w:bidi="ar"/>
                    </w:rPr>
                    <w:t>38m</w:t>
                  </w:r>
                  <w:r>
                    <w:rPr>
                      <w:rFonts w:hint="default" w:ascii="Times New Roman" w:hAnsi="Times New Roman" w:eastAsia="宋体" w:cs="Times New Roman"/>
                      <w:b w:val="0"/>
                      <w:bCs w:val="0"/>
                      <w:color w:val="auto"/>
                      <w:sz w:val="21"/>
                      <w:szCs w:val="21"/>
                      <w:u w:val="none" w:color="auto"/>
                      <w:lang w:val="en-US" w:eastAsia="zh-CN" w:bidi="ar"/>
                    </w:rPr>
                    <w:t>高排气筒(</w:t>
                  </w:r>
                  <w:r>
                    <w:rPr>
                      <w:rFonts w:hint="eastAsia" w:ascii="Times New Roman" w:hAnsi="Times New Roman" w:eastAsia="宋体" w:cs="Times New Roman"/>
                      <w:b w:val="0"/>
                      <w:bCs w:val="0"/>
                      <w:color w:val="auto"/>
                      <w:sz w:val="21"/>
                      <w:szCs w:val="21"/>
                      <w:u w:val="none" w:color="auto"/>
                      <w:lang w:val="en-US" w:eastAsia="zh-CN" w:bidi="ar"/>
                    </w:rPr>
                    <w:t>DA00</w:t>
                  </w:r>
                  <w:r>
                    <w:rPr>
                      <w:rFonts w:hint="eastAsia" w:cs="Times New Roman"/>
                      <w:b w:val="0"/>
                      <w:bCs w:val="0"/>
                      <w:color w:val="auto"/>
                      <w:sz w:val="21"/>
                      <w:szCs w:val="21"/>
                      <w:u w:val="none" w:color="auto"/>
                      <w:lang w:val="en-US" w:eastAsia="zh-CN" w:bidi="ar"/>
                    </w:rPr>
                    <w:t>2</w:t>
                  </w:r>
                  <w:r>
                    <w:rPr>
                      <w:rFonts w:hint="default" w:ascii="Times New Roman" w:hAnsi="Times New Roman" w:eastAsia="宋体" w:cs="Times New Roman"/>
                      <w:b w:val="0"/>
                      <w:bCs w:val="0"/>
                      <w:color w:val="auto"/>
                      <w:sz w:val="21"/>
                      <w:szCs w:val="21"/>
                      <w:u w:val="none" w:color="auto"/>
                      <w:lang w:val="en-US" w:eastAsia="zh-CN" w:bidi="ar"/>
                    </w:rPr>
                    <w:t>)</w:t>
                  </w:r>
                </w:p>
              </w:tc>
              <w:tc>
                <w:tcPr>
                  <w:tcW w:w="990" w:type="dxa"/>
                  <w:tcBorders>
                    <w:tl2br w:val="nil"/>
                    <w:tr2bl w:val="nil"/>
                  </w:tcBorders>
                  <w:noWrap w:val="0"/>
                  <w:vAlign w:val="center"/>
                </w:tcPr>
                <w:p w14:paraId="7809D120">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50万元</w:t>
                  </w:r>
                </w:p>
              </w:tc>
              <w:tc>
                <w:tcPr>
                  <w:tcW w:w="1993" w:type="dxa"/>
                  <w:tcBorders>
                    <w:tl2br w:val="nil"/>
                    <w:tr2bl w:val="nil"/>
                  </w:tcBorders>
                  <w:noWrap w:val="0"/>
                  <w:vAlign w:val="center"/>
                </w:tcPr>
                <w:p w14:paraId="31C05A65">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新增</w:t>
                  </w:r>
                </w:p>
              </w:tc>
            </w:tr>
            <w:tr w14:paraId="707C9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78AD5116">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废水</w:t>
                  </w:r>
                </w:p>
              </w:tc>
              <w:tc>
                <w:tcPr>
                  <w:tcW w:w="1419" w:type="dxa"/>
                  <w:tcBorders>
                    <w:tl2br w:val="nil"/>
                    <w:tr2bl w:val="nil"/>
                  </w:tcBorders>
                  <w:noWrap w:val="0"/>
                  <w:vAlign w:val="center"/>
                </w:tcPr>
                <w:p w14:paraId="3598B4B8">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锅炉排污水</w:t>
                  </w:r>
                </w:p>
              </w:tc>
              <w:tc>
                <w:tcPr>
                  <w:tcW w:w="2878" w:type="dxa"/>
                  <w:tcBorders>
                    <w:tl2br w:val="nil"/>
                    <w:tr2bl w:val="nil"/>
                  </w:tcBorders>
                  <w:noWrap w:val="0"/>
                  <w:vAlign w:val="center"/>
                </w:tcPr>
                <w:p w14:paraId="684D6A52">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沉淀池</w:t>
                  </w:r>
                </w:p>
              </w:tc>
              <w:tc>
                <w:tcPr>
                  <w:tcW w:w="990" w:type="dxa"/>
                  <w:tcBorders>
                    <w:tl2br w:val="nil"/>
                    <w:tr2bl w:val="nil"/>
                  </w:tcBorders>
                  <w:noWrap w:val="0"/>
                  <w:vAlign w:val="center"/>
                </w:tcPr>
                <w:p w14:paraId="54FF68A2">
                  <w:pPr>
                    <w:jc w:val="center"/>
                    <w:rPr>
                      <w:rFonts w:hint="default" w:ascii="Times New Roman" w:hAnsi="Times New Roman" w:eastAsia="宋体" w:cs="Times New Roman"/>
                      <w:color w:val="auto"/>
                      <w:kern w:val="2"/>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w:t>
                  </w:r>
                </w:p>
              </w:tc>
              <w:tc>
                <w:tcPr>
                  <w:tcW w:w="1993" w:type="dxa"/>
                  <w:tcBorders>
                    <w:tl2br w:val="nil"/>
                    <w:tr2bl w:val="nil"/>
                  </w:tcBorders>
                  <w:noWrap w:val="0"/>
                  <w:vAlign w:val="center"/>
                </w:tcPr>
                <w:p w14:paraId="5449D508">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依托</w:t>
                  </w:r>
                  <w:r>
                    <w:rPr>
                      <w:rFonts w:hint="default" w:ascii="Times New Roman" w:hAnsi="Times New Roman" w:eastAsia="宋体" w:cs="Times New Roman"/>
                      <w:color w:val="auto"/>
                      <w:sz w:val="21"/>
                      <w:szCs w:val="21"/>
                      <w:u w:val="none" w:color="auto"/>
                      <w:lang w:val="en-US" w:eastAsia="zh-CN"/>
                    </w:rPr>
                    <w:t>现有</w:t>
                  </w:r>
                </w:p>
              </w:tc>
            </w:tr>
            <w:tr w14:paraId="7BB8A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38B4ED45">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噪声</w:t>
                  </w:r>
                </w:p>
              </w:tc>
              <w:tc>
                <w:tcPr>
                  <w:tcW w:w="1419" w:type="dxa"/>
                  <w:tcBorders>
                    <w:tl2br w:val="nil"/>
                    <w:tr2bl w:val="nil"/>
                  </w:tcBorders>
                  <w:noWrap w:val="0"/>
                  <w:vAlign w:val="center"/>
                </w:tcPr>
                <w:p w14:paraId="1279D2DA">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生产设备</w:t>
                  </w:r>
                </w:p>
              </w:tc>
              <w:tc>
                <w:tcPr>
                  <w:tcW w:w="2878" w:type="dxa"/>
                  <w:tcBorders>
                    <w:tl2br w:val="nil"/>
                    <w:tr2bl w:val="nil"/>
                  </w:tcBorders>
                  <w:noWrap w:val="0"/>
                  <w:vAlign w:val="center"/>
                </w:tcPr>
                <w:p w14:paraId="3B36F15E">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设备减振、隔声、定期保养</w:t>
                  </w:r>
                </w:p>
              </w:tc>
              <w:tc>
                <w:tcPr>
                  <w:tcW w:w="990" w:type="dxa"/>
                  <w:tcBorders>
                    <w:tl2br w:val="nil"/>
                    <w:tr2bl w:val="nil"/>
                  </w:tcBorders>
                  <w:noWrap w:val="0"/>
                  <w:vAlign w:val="center"/>
                </w:tcPr>
                <w:p w14:paraId="02406DA2">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2万元</w:t>
                  </w:r>
                </w:p>
              </w:tc>
              <w:tc>
                <w:tcPr>
                  <w:tcW w:w="1993" w:type="dxa"/>
                  <w:tcBorders>
                    <w:tl2br w:val="nil"/>
                    <w:tr2bl w:val="nil"/>
                  </w:tcBorders>
                  <w:noWrap w:val="0"/>
                  <w:vAlign w:val="center"/>
                </w:tcPr>
                <w:p w14:paraId="256F57A3">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新增</w:t>
                  </w:r>
                </w:p>
              </w:tc>
            </w:tr>
            <w:tr w14:paraId="0595B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44" w:type="dxa"/>
                  <w:tcBorders>
                    <w:tl2br w:val="nil"/>
                    <w:tr2bl w:val="nil"/>
                  </w:tcBorders>
                  <w:noWrap w:val="0"/>
                  <w:vAlign w:val="center"/>
                </w:tcPr>
                <w:p w14:paraId="2A1E1577">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固废</w:t>
                  </w:r>
                </w:p>
              </w:tc>
              <w:tc>
                <w:tcPr>
                  <w:tcW w:w="1419" w:type="dxa"/>
                  <w:tcBorders>
                    <w:tl2br w:val="nil"/>
                    <w:tr2bl w:val="nil"/>
                  </w:tcBorders>
                  <w:noWrap w:val="0"/>
                  <w:vAlign w:val="center"/>
                </w:tcPr>
                <w:p w14:paraId="43F3F605">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一般工业固废</w:t>
                  </w:r>
                </w:p>
              </w:tc>
              <w:tc>
                <w:tcPr>
                  <w:tcW w:w="2878" w:type="dxa"/>
                  <w:tcBorders>
                    <w:tl2br w:val="nil"/>
                    <w:tr2bl w:val="nil"/>
                  </w:tcBorders>
                  <w:noWrap w:val="0"/>
                  <w:vAlign w:val="center"/>
                </w:tcPr>
                <w:p w14:paraId="288B9C42">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一般工业固废暂存间</w:t>
                  </w:r>
                </w:p>
              </w:tc>
              <w:tc>
                <w:tcPr>
                  <w:tcW w:w="990" w:type="dxa"/>
                  <w:tcBorders>
                    <w:tl2br w:val="nil"/>
                    <w:tr2bl w:val="nil"/>
                  </w:tcBorders>
                  <w:noWrap w:val="0"/>
                  <w:vAlign w:val="center"/>
                </w:tcPr>
                <w:p w14:paraId="4F170AEB">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w:t>
                  </w:r>
                </w:p>
              </w:tc>
              <w:tc>
                <w:tcPr>
                  <w:tcW w:w="1993" w:type="dxa"/>
                  <w:tcBorders>
                    <w:tl2br w:val="nil"/>
                    <w:tr2bl w:val="nil"/>
                  </w:tcBorders>
                  <w:noWrap w:val="0"/>
                  <w:vAlign w:val="center"/>
                </w:tcPr>
                <w:p w14:paraId="15A4CD45">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依托</w:t>
                  </w:r>
                  <w:r>
                    <w:rPr>
                      <w:rFonts w:hint="default" w:ascii="Times New Roman" w:hAnsi="Times New Roman" w:eastAsia="宋体" w:cs="Times New Roman"/>
                      <w:color w:val="auto"/>
                      <w:sz w:val="21"/>
                      <w:szCs w:val="21"/>
                      <w:u w:val="none" w:color="auto"/>
                      <w:lang w:val="en-US" w:eastAsia="zh-CN"/>
                    </w:rPr>
                    <w:t>现有</w:t>
                  </w:r>
                </w:p>
              </w:tc>
            </w:tr>
            <w:tr w14:paraId="25EC7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41" w:type="dxa"/>
                  <w:gridSpan w:val="3"/>
                  <w:tcBorders>
                    <w:tl2br w:val="nil"/>
                    <w:tr2bl w:val="nil"/>
                  </w:tcBorders>
                  <w:noWrap w:val="0"/>
                  <w:vAlign w:val="center"/>
                </w:tcPr>
                <w:p w14:paraId="06C51332">
                  <w:pPr>
                    <w:jc w:val="center"/>
                    <w:rPr>
                      <w:rFonts w:hint="default" w:ascii="Times New Roman" w:hAnsi="Times New Roman" w:eastAsia="宋体" w:cs="Times New Roman"/>
                      <w:b w:val="0"/>
                      <w:bCs w:val="0"/>
                      <w:color w:val="auto"/>
                      <w:sz w:val="21"/>
                      <w:szCs w:val="21"/>
                      <w:u w:val="none" w:color="auto"/>
                      <w:lang w:val="en-US" w:eastAsia="zh-CN" w:bidi="ar"/>
                    </w:rPr>
                  </w:pPr>
                  <w:r>
                    <w:rPr>
                      <w:rFonts w:hint="default" w:ascii="Times New Roman" w:hAnsi="Times New Roman" w:eastAsia="宋体" w:cs="Times New Roman"/>
                      <w:b w:val="0"/>
                      <w:bCs w:val="0"/>
                      <w:color w:val="auto"/>
                      <w:sz w:val="21"/>
                      <w:szCs w:val="21"/>
                      <w:u w:val="none" w:color="auto"/>
                      <w:lang w:val="en-US" w:eastAsia="zh-CN" w:bidi="ar"/>
                    </w:rPr>
                    <w:t>合计</w:t>
                  </w:r>
                </w:p>
              </w:tc>
              <w:tc>
                <w:tcPr>
                  <w:tcW w:w="990" w:type="dxa"/>
                  <w:tcBorders>
                    <w:tl2br w:val="nil"/>
                    <w:tr2bl w:val="nil"/>
                  </w:tcBorders>
                  <w:noWrap w:val="0"/>
                  <w:vAlign w:val="center"/>
                </w:tcPr>
                <w:p w14:paraId="67E88E1B">
                  <w:pPr>
                    <w:jc w:val="center"/>
                    <w:rPr>
                      <w:rFonts w:hint="default" w:ascii="Times New Roman" w:hAnsi="Times New Roman" w:eastAsia="宋体" w:cs="Times New Roman"/>
                      <w:color w:val="auto"/>
                      <w:sz w:val="21"/>
                      <w:szCs w:val="21"/>
                      <w:u w:val="none" w:color="auto"/>
                      <w:lang w:val="en-US" w:eastAsia="zh-CN" w:bidi="ar"/>
                    </w:rPr>
                  </w:pPr>
                  <w:r>
                    <w:rPr>
                      <w:rFonts w:hint="eastAsia" w:cs="Times New Roman"/>
                      <w:color w:val="auto"/>
                      <w:sz w:val="21"/>
                      <w:szCs w:val="21"/>
                      <w:u w:val="none" w:color="auto"/>
                      <w:lang w:val="en-US" w:eastAsia="zh-CN" w:bidi="ar"/>
                    </w:rPr>
                    <w:t>102</w:t>
                  </w:r>
                  <w:r>
                    <w:rPr>
                      <w:rFonts w:hint="default" w:ascii="Times New Roman" w:hAnsi="Times New Roman" w:eastAsia="宋体" w:cs="Times New Roman"/>
                      <w:color w:val="auto"/>
                      <w:sz w:val="21"/>
                      <w:szCs w:val="21"/>
                      <w:u w:val="none" w:color="auto"/>
                      <w:lang w:val="en-US" w:eastAsia="zh-CN" w:bidi="ar"/>
                    </w:rPr>
                    <w:t>万元</w:t>
                  </w:r>
                </w:p>
              </w:tc>
              <w:tc>
                <w:tcPr>
                  <w:tcW w:w="1993" w:type="dxa"/>
                  <w:tcBorders>
                    <w:tl2br w:val="nil"/>
                    <w:tr2bl w:val="nil"/>
                  </w:tcBorders>
                  <w:noWrap w:val="0"/>
                  <w:vAlign w:val="center"/>
                </w:tcPr>
                <w:p w14:paraId="186AD031">
                  <w:pPr>
                    <w:jc w:val="center"/>
                    <w:rPr>
                      <w:rFonts w:hint="default" w:ascii="Times New Roman" w:hAnsi="Times New Roman" w:eastAsia="宋体" w:cs="Times New Roman"/>
                      <w:color w:val="auto"/>
                      <w:sz w:val="21"/>
                      <w:szCs w:val="21"/>
                      <w:u w:val="none" w:color="auto"/>
                      <w:lang w:val="en-US" w:eastAsia="zh-CN" w:bidi="ar"/>
                    </w:rPr>
                  </w:pPr>
                  <w:r>
                    <w:rPr>
                      <w:rFonts w:hint="default" w:ascii="Times New Roman" w:hAnsi="Times New Roman" w:eastAsia="宋体" w:cs="Times New Roman"/>
                      <w:color w:val="auto"/>
                      <w:sz w:val="21"/>
                      <w:szCs w:val="21"/>
                      <w:u w:val="none" w:color="auto"/>
                      <w:lang w:val="en-US" w:eastAsia="zh-CN" w:bidi="ar"/>
                    </w:rPr>
                    <w:t>/</w:t>
                  </w:r>
                </w:p>
              </w:tc>
            </w:tr>
          </w:tbl>
          <w:p w14:paraId="3D3A5DEC">
            <w:pPr>
              <w:numPr>
                <w:ilvl w:val="0"/>
                <w:numId w:val="0"/>
              </w:numPr>
              <w:bidi w:val="0"/>
              <w:ind w:left="420" w:leftChars="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b/>
                <w:color w:val="auto"/>
                <w:sz w:val="24"/>
                <w:u w:val="none" w:color="auto"/>
                <w:lang w:val="en-US" w:eastAsia="zh-CN"/>
              </w:rPr>
              <w:t xml:space="preserve">9、自行监测 </w:t>
            </w:r>
            <w:r>
              <w:rPr>
                <w:rFonts w:hint="default" w:ascii="Times New Roman" w:hAnsi="Times New Roman" w:eastAsia="宋体" w:cs="Times New Roman"/>
                <w:color w:val="auto"/>
                <w:u w:val="none" w:color="auto"/>
                <w:lang w:val="en-US" w:eastAsia="zh-CN"/>
              </w:rPr>
              <w:t xml:space="preserve">             </w:t>
            </w:r>
          </w:p>
          <w:p w14:paraId="2CF51B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u w:val="none" w:color="auto"/>
                <w:lang w:val="en-US" w:eastAsia="zh-CN"/>
              </w:rPr>
            </w:pPr>
            <w:r>
              <w:rPr>
                <w:rFonts w:hint="default" w:ascii="Times New Roman" w:hAnsi="Times New Roman" w:eastAsia="宋体" w:cs="Times New Roman"/>
                <w:color w:val="auto"/>
                <w:sz w:val="24"/>
                <w:u w:val="none" w:color="auto"/>
                <w:lang w:val="en-US" w:eastAsia="zh-CN"/>
              </w:rPr>
              <w:t>根据《排污单位自行监测技术指南 火力发电及锅炉》(HJ820-2017) ，《排污许可证申请与核发技术规范-</w:t>
            </w:r>
            <w:r>
              <w:rPr>
                <w:rFonts w:hint="default" w:ascii="Times New Roman" w:hAnsi="Times New Roman" w:eastAsia="宋体" w:cs="Times New Roman"/>
                <w:color w:val="auto"/>
                <w:sz w:val="24"/>
                <w:szCs w:val="24"/>
                <w:u w:val="none" w:color="auto"/>
                <w:lang w:val="en-US" w:eastAsia="zh-CN"/>
              </w:rPr>
              <w:t>锅炉</w:t>
            </w:r>
            <w:r>
              <w:rPr>
                <w:rFonts w:hint="default" w:ascii="Times New Roman" w:hAnsi="Times New Roman" w:eastAsia="宋体" w:cs="Times New Roman"/>
                <w:color w:val="auto"/>
                <w:sz w:val="24"/>
                <w:u w:val="none" w:color="auto"/>
                <w:lang w:val="en-US" w:eastAsia="zh-CN"/>
              </w:rPr>
              <w:t>》(HJ953- 2018) ，项目监测要求详见下表。</w:t>
            </w:r>
          </w:p>
          <w:p w14:paraId="32401DD7">
            <w:pPr>
              <w:jc w:val="center"/>
              <w:rPr>
                <w:rFonts w:hint="default" w:ascii="Times New Roman" w:hAnsi="Times New Roman" w:eastAsia="宋体" w:cs="Times New Roman"/>
                <w:b/>
                <w:color w:val="auto"/>
                <w:sz w:val="21"/>
                <w:szCs w:val="21"/>
                <w:u w:val="none" w:color="auto"/>
                <w:lang w:val="en-US" w:eastAsia="zh-CN" w:bidi="ar"/>
              </w:rPr>
            </w:pPr>
            <w:r>
              <w:rPr>
                <w:rFonts w:hint="default" w:ascii="Times New Roman" w:hAnsi="Times New Roman" w:eastAsia="宋体" w:cs="Times New Roman"/>
                <w:b/>
                <w:color w:val="auto"/>
                <w:sz w:val="21"/>
                <w:szCs w:val="21"/>
                <w:u w:val="none" w:color="auto"/>
                <w:lang w:val="en-US" w:eastAsia="zh-CN" w:bidi="ar"/>
              </w:rPr>
              <w:t>表4-</w:t>
            </w:r>
            <w:r>
              <w:rPr>
                <w:rFonts w:hint="eastAsia" w:ascii="Times New Roman" w:hAnsi="Times New Roman" w:eastAsia="宋体" w:cs="Times New Roman"/>
                <w:b/>
                <w:color w:val="auto"/>
                <w:sz w:val="21"/>
                <w:szCs w:val="21"/>
                <w:u w:val="none" w:color="auto"/>
                <w:lang w:val="en-US" w:eastAsia="zh-CN" w:bidi="ar"/>
              </w:rPr>
              <w:t>1</w:t>
            </w:r>
            <w:r>
              <w:rPr>
                <w:rFonts w:hint="eastAsia" w:cs="Times New Roman"/>
                <w:b/>
                <w:color w:val="auto"/>
                <w:sz w:val="21"/>
                <w:szCs w:val="21"/>
                <w:u w:val="none" w:color="auto"/>
                <w:lang w:val="en-US" w:eastAsia="zh-CN" w:bidi="ar"/>
              </w:rPr>
              <w:t>7</w:t>
            </w:r>
            <w:r>
              <w:rPr>
                <w:rFonts w:hint="default" w:ascii="Times New Roman" w:hAnsi="Times New Roman" w:eastAsia="宋体" w:cs="Times New Roman"/>
                <w:b/>
                <w:color w:val="auto"/>
                <w:sz w:val="21"/>
                <w:szCs w:val="21"/>
                <w:u w:val="none" w:color="auto"/>
                <w:lang w:val="en-US" w:eastAsia="zh-CN" w:bidi="ar"/>
              </w:rPr>
              <w:t xml:space="preserve">    环境监测计划表</w:t>
            </w:r>
          </w:p>
          <w:tbl>
            <w:tblPr>
              <w:tblStyle w:val="27"/>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226"/>
              <w:gridCol w:w="1918"/>
              <w:gridCol w:w="1572"/>
              <w:gridCol w:w="1572"/>
            </w:tblGrid>
            <w:tr w14:paraId="47D8C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72" w:type="dxa"/>
                  <w:tcBorders>
                    <w:tl2br w:val="nil"/>
                    <w:tr2bl w:val="nil"/>
                  </w:tcBorders>
                  <w:noWrap w:val="0"/>
                  <w:vAlign w:val="center"/>
                </w:tcPr>
                <w:p w14:paraId="5E554B92">
                  <w:pPr>
                    <w:jc w:val="center"/>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类别</w:t>
                  </w:r>
                </w:p>
              </w:tc>
              <w:tc>
                <w:tcPr>
                  <w:tcW w:w="1226" w:type="dxa"/>
                  <w:tcBorders>
                    <w:tl2br w:val="nil"/>
                    <w:tr2bl w:val="nil"/>
                  </w:tcBorders>
                  <w:noWrap w:val="0"/>
                  <w:vAlign w:val="center"/>
                </w:tcPr>
                <w:p w14:paraId="0C780AA8">
                  <w:pPr>
                    <w:jc w:val="center"/>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监测点位</w:t>
                  </w:r>
                </w:p>
              </w:tc>
              <w:tc>
                <w:tcPr>
                  <w:tcW w:w="1918" w:type="dxa"/>
                  <w:tcBorders>
                    <w:tl2br w:val="nil"/>
                    <w:tr2bl w:val="nil"/>
                  </w:tcBorders>
                  <w:noWrap w:val="0"/>
                  <w:vAlign w:val="center"/>
                </w:tcPr>
                <w:p w14:paraId="3CD7AA00">
                  <w:pPr>
                    <w:jc w:val="center"/>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监测项目</w:t>
                  </w:r>
                </w:p>
              </w:tc>
              <w:tc>
                <w:tcPr>
                  <w:tcW w:w="1572" w:type="dxa"/>
                  <w:tcBorders>
                    <w:tl2br w:val="nil"/>
                    <w:tr2bl w:val="nil"/>
                  </w:tcBorders>
                  <w:noWrap w:val="0"/>
                  <w:vAlign w:val="center"/>
                </w:tcPr>
                <w:p w14:paraId="332B26D6">
                  <w:pPr>
                    <w:jc w:val="center"/>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监测频率</w:t>
                  </w:r>
                </w:p>
              </w:tc>
              <w:tc>
                <w:tcPr>
                  <w:tcW w:w="1572" w:type="dxa"/>
                  <w:tcBorders>
                    <w:tl2br w:val="nil"/>
                    <w:tr2bl w:val="nil"/>
                  </w:tcBorders>
                  <w:noWrap w:val="0"/>
                  <w:vAlign w:val="center"/>
                </w:tcPr>
                <w:p w14:paraId="0B576014">
                  <w:pPr>
                    <w:jc w:val="center"/>
                    <w:rPr>
                      <w:rFonts w:hint="default" w:ascii="Times New Roman" w:hAnsi="Times New Roman" w:eastAsia="宋体" w:cs="Times New Roman"/>
                      <w:b/>
                      <w:bCs/>
                      <w:color w:val="auto"/>
                      <w:sz w:val="21"/>
                      <w:szCs w:val="21"/>
                      <w:u w:val="none" w:color="auto"/>
                      <w:lang w:val="en-US" w:eastAsia="zh-CN"/>
                    </w:rPr>
                  </w:pPr>
                  <w:r>
                    <w:rPr>
                      <w:rFonts w:hint="default" w:ascii="Times New Roman" w:hAnsi="Times New Roman" w:eastAsia="宋体" w:cs="Times New Roman"/>
                      <w:b/>
                      <w:bCs/>
                      <w:color w:val="auto"/>
                      <w:sz w:val="21"/>
                      <w:szCs w:val="21"/>
                      <w:u w:val="none" w:color="auto"/>
                      <w:lang w:val="en-US" w:eastAsia="zh-CN"/>
                    </w:rPr>
                    <w:t>备注</w:t>
                  </w:r>
                </w:p>
              </w:tc>
            </w:tr>
            <w:tr w14:paraId="122BD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572" w:type="dxa"/>
                  <w:vMerge w:val="restart"/>
                  <w:tcBorders>
                    <w:tl2br w:val="nil"/>
                    <w:tr2bl w:val="nil"/>
                  </w:tcBorders>
                  <w:noWrap w:val="0"/>
                  <w:vAlign w:val="center"/>
                </w:tcPr>
                <w:p w14:paraId="0EB41287">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废气</w:t>
                  </w:r>
                </w:p>
              </w:tc>
              <w:tc>
                <w:tcPr>
                  <w:tcW w:w="1226" w:type="dxa"/>
                  <w:tcBorders>
                    <w:tl2br w:val="nil"/>
                    <w:tr2bl w:val="nil"/>
                  </w:tcBorders>
                  <w:noWrap w:val="0"/>
                  <w:vAlign w:val="center"/>
                </w:tcPr>
                <w:p w14:paraId="30B5251D">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厂界</w:t>
                  </w:r>
                </w:p>
              </w:tc>
              <w:tc>
                <w:tcPr>
                  <w:tcW w:w="1918" w:type="dxa"/>
                  <w:tcBorders>
                    <w:tl2br w:val="nil"/>
                    <w:tr2bl w:val="nil"/>
                  </w:tcBorders>
                  <w:noWrap w:val="0"/>
                  <w:vAlign w:val="center"/>
                </w:tcPr>
                <w:p w14:paraId="5E39C427">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颗粒物</w:t>
                  </w:r>
                </w:p>
              </w:tc>
              <w:tc>
                <w:tcPr>
                  <w:tcW w:w="1572" w:type="dxa"/>
                  <w:tcBorders>
                    <w:tl2br w:val="nil"/>
                    <w:tr2bl w:val="nil"/>
                  </w:tcBorders>
                  <w:noWrap w:val="0"/>
                  <w:vAlign w:val="center"/>
                </w:tcPr>
                <w:p w14:paraId="3B8C4156">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每季度一次</w:t>
                  </w:r>
                </w:p>
              </w:tc>
              <w:tc>
                <w:tcPr>
                  <w:tcW w:w="1572" w:type="dxa"/>
                  <w:vMerge w:val="restart"/>
                  <w:tcBorders>
                    <w:tl2br w:val="nil"/>
                    <w:tr2bl w:val="nil"/>
                  </w:tcBorders>
                  <w:noWrap w:val="0"/>
                  <w:vAlign w:val="center"/>
                </w:tcPr>
                <w:p w14:paraId="2D5A50D2">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委托有资质单位</w:t>
                  </w:r>
                </w:p>
              </w:tc>
            </w:tr>
            <w:tr w14:paraId="6D8E8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72" w:type="dxa"/>
                  <w:vMerge w:val="continue"/>
                  <w:tcBorders>
                    <w:tl2br w:val="nil"/>
                    <w:tr2bl w:val="nil"/>
                  </w:tcBorders>
                  <w:noWrap w:val="0"/>
                  <w:vAlign w:val="center"/>
                </w:tcPr>
                <w:p w14:paraId="5C5001E8">
                  <w:pPr>
                    <w:jc w:val="center"/>
                    <w:rPr>
                      <w:rFonts w:hint="default" w:ascii="Times New Roman" w:hAnsi="Times New Roman" w:eastAsia="宋体" w:cs="Times New Roman"/>
                      <w:b w:val="0"/>
                      <w:bCs w:val="0"/>
                      <w:color w:val="auto"/>
                      <w:sz w:val="21"/>
                      <w:szCs w:val="21"/>
                      <w:u w:val="none" w:color="auto"/>
                      <w:lang w:val="en-US" w:eastAsia="zh-CN"/>
                    </w:rPr>
                  </w:pPr>
                </w:p>
              </w:tc>
              <w:tc>
                <w:tcPr>
                  <w:tcW w:w="1226" w:type="dxa"/>
                  <w:tcBorders>
                    <w:tl2br w:val="nil"/>
                    <w:tr2bl w:val="nil"/>
                  </w:tcBorders>
                  <w:noWrap w:val="0"/>
                  <w:vAlign w:val="center"/>
                </w:tcPr>
                <w:p w14:paraId="3F85C890">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DA00</w:t>
                  </w:r>
                  <w:r>
                    <w:rPr>
                      <w:rFonts w:hint="eastAsia" w:cs="Times New Roman"/>
                      <w:b w:val="0"/>
                      <w:bCs w:val="0"/>
                      <w:color w:val="auto"/>
                      <w:sz w:val="21"/>
                      <w:szCs w:val="21"/>
                      <w:u w:val="none" w:color="auto"/>
                      <w:lang w:val="en-US" w:eastAsia="zh-CN"/>
                    </w:rPr>
                    <w:t>1</w:t>
                  </w:r>
                </w:p>
              </w:tc>
              <w:tc>
                <w:tcPr>
                  <w:tcW w:w="1918" w:type="dxa"/>
                  <w:tcBorders>
                    <w:tl2br w:val="nil"/>
                    <w:tr2bl w:val="nil"/>
                  </w:tcBorders>
                  <w:noWrap w:val="0"/>
                  <w:vAlign w:val="center"/>
                </w:tcPr>
                <w:p w14:paraId="3D89FF2F">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颗粒物、二氧化硫、氮氧化物、林格曼黑度</w:t>
                  </w:r>
                </w:p>
              </w:tc>
              <w:tc>
                <w:tcPr>
                  <w:tcW w:w="1572" w:type="dxa"/>
                  <w:tcBorders>
                    <w:tl2br w:val="nil"/>
                    <w:tr2bl w:val="nil"/>
                  </w:tcBorders>
                  <w:noWrap w:val="0"/>
                  <w:vAlign w:val="center"/>
                </w:tcPr>
                <w:p w14:paraId="54ADF089">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每月一次</w:t>
                  </w:r>
                </w:p>
              </w:tc>
              <w:tc>
                <w:tcPr>
                  <w:tcW w:w="1572" w:type="dxa"/>
                  <w:vMerge w:val="continue"/>
                  <w:tcBorders>
                    <w:tl2br w:val="nil"/>
                    <w:tr2bl w:val="nil"/>
                  </w:tcBorders>
                  <w:noWrap w:val="0"/>
                  <w:vAlign w:val="center"/>
                </w:tcPr>
                <w:p w14:paraId="5CACE595">
                  <w:pPr>
                    <w:jc w:val="center"/>
                    <w:rPr>
                      <w:rFonts w:hint="default" w:ascii="Times New Roman" w:hAnsi="Times New Roman" w:eastAsia="宋体" w:cs="Times New Roman"/>
                      <w:color w:val="auto"/>
                      <w:sz w:val="24"/>
                      <w:u w:val="none" w:color="auto"/>
                      <w:vertAlign w:val="baseline"/>
                      <w:lang w:val="en-US" w:eastAsia="zh-CN"/>
                    </w:rPr>
                  </w:pPr>
                </w:p>
              </w:tc>
            </w:tr>
            <w:tr w14:paraId="2CFA77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72" w:type="dxa"/>
                  <w:vMerge w:val="continue"/>
                  <w:tcBorders>
                    <w:tl2br w:val="nil"/>
                    <w:tr2bl w:val="nil"/>
                  </w:tcBorders>
                  <w:noWrap w:val="0"/>
                  <w:vAlign w:val="center"/>
                </w:tcPr>
                <w:p w14:paraId="579DBC93">
                  <w:pPr>
                    <w:jc w:val="center"/>
                    <w:rPr>
                      <w:rFonts w:hint="default" w:ascii="Times New Roman" w:hAnsi="Times New Roman" w:eastAsia="宋体" w:cs="Times New Roman"/>
                      <w:b w:val="0"/>
                      <w:bCs w:val="0"/>
                      <w:color w:val="auto"/>
                      <w:sz w:val="21"/>
                      <w:szCs w:val="21"/>
                      <w:u w:val="none" w:color="auto"/>
                      <w:lang w:val="en-US" w:eastAsia="zh-CN"/>
                    </w:rPr>
                  </w:pPr>
                </w:p>
              </w:tc>
              <w:tc>
                <w:tcPr>
                  <w:tcW w:w="1226" w:type="dxa"/>
                  <w:tcBorders>
                    <w:tl2br w:val="nil"/>
                    <w:tr2bl w:val="nil"/>
                  </w:tcBorders>
                  <w:noWrap w:val="0"/>
                  <w:vAlign w:val="center"/>
                </w:tcPr>
                <w:p w14:paraId="633C2C58">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DA00</w:t>
                  </w:r>
                  <w:r>
                    <w:rPr>
                      <w:rFonts w:hint="eastAsia" w:cs="Times New Roman"/>
                      <w:b w:val="0"/>
                      <w:bCs w:val="0"/>
                      <w:color w:val="auto"/>
                      <w:sz w:val="21"/>
                      <w:szCs w:val="21"/>
                      <w:u w:val="none" w:color="auto"/>
                      <w:lang w:val="en-US" w:eastAsia="zh-CN"/>
                    </w:rPr>
                    <w:t>2</w:t>
                  </w:r>
                </w:p>
              </w:tc>
              <w:tc>
                <w:tcPr>
                  <w:tcW w:w="1918" w:type="dxa"/>
                  <w:tcBorders>
                    <w:tl2br w:val="nil"/>
                    <w:tr2bl w:val="nil"/>
                  </w:tcBorders>
                  <w:noWrap w:val="0"/>
                  <w:vAlign w:val="center"/>
                </w:tcPr>
                <w:p w14:paraId="66B3AA73">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颗粒物、二氧化硫、氮氧化物、林格曼黑度</w:t>
                  </w:r>
                </w:p>
              </w:tc>
              <w:tc>
                <w:tcPr>
                  <w:tcW w:w="1572" w:type="dxa"/>
                  <w:tcBorders>
                    <w:tl2br w:val="nil"/>
                    <w:tr2bl w:val="nil"/>
                  </w:tcBorders>
                  <w:noWrap w:val="0"/>
                  <w:vAlign w:val="center"/>
                </w:tcPr>
                <w:p w14:paraId="2977AFC0">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每月一次</w:t>
                  </w:r>
                </w:p>
              </w:tc>
              <w:tc>
                <w:tcPr>
                  <w:tcW w:w="1572" w:type="dxa"/>
                  <w:vMerge w:val="continue"/>
                  <w:tcBorders>
                    <w:tl2br w:val="nil"/>
                    <w:tr2bl w:val="nil"/>
                  </w:tcBorders>
                  <w:noWrap w:val="0"/>
                  <w:vAlign w:val="center"/>
                </w:tcPr>
                <w:p w14:paraId="7B05A199">
                  <w:pPr>
                    <w:jc w:val="center"/>
                    <w:rPr>
                      <w:rFonts w:hint="default" w:ascii="Times New Roman" w:hAnsi="Times New Roman" w:eastAsia="宋体" w:cs="Times New Roman"/>
                      <w:color w:val="auto"/>
                      <w:sz w:val="24"/>
                      <w:u w:val="none" w:color="auto"/>
                      <w:vertAlign w:val="baseline"/>
                      <w:lang w:val="en-US" w:eastAsia="zh-CN"/>
                    </w:rPr>
                  </w:pPr>
                </w:p>
              </w:tc>
            </w:tr>
            <w:tr w14:paraId="1D406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72" w:type="dxa"/>
                  <w:tcBorders>
                    <w:tl2br w:val="nil"/>
                    <w:tr2bl w:val="nil"/>
                  </w:tcBorders>
                  <w:noWrap w:val="0"/>
                  <w:vAlign w:val="center"/>
                </w:tcPr>
                <w:p w14:paraId="5E717069">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噪声</w:t>
                  </w:r>
                </w:p>
              </w:tc>
              <w:tc>
                <w:tcPr>
                  <w:tcW w:w="1226" w:type="dxa"/>
                  <w:tcBorders>
                    <w:tl2br w:val="nil"/>
                    <w:tr2bl w:val="nil"/>
                  </w:tcBorders>
                  <w:noWrap w:val="0"/>
                  <w:vAlign w:val="center"/>
                </w:tcPr>
                <w:p w14:paraId="7A26DD4A">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厂界噪声</w:t>
                  </w:r>
                </w:p>
              </w:tc>
              <w:tc>
                <w:tcPr>
                  <w:tcW w:w="1918" w:type="dxa"/>
                  <w:tcBorders>
                    <w:tl2br w:val="nil"/>
                    <w:tr2bl w:val="nil"/>
                  </w:tcBorders>
                  <w:noWrap w:val="0"/>
                  <w:vAlign w:val="center"/>
                </w:tcPr>
                <w:p w14:paraId="5AB2EDEA">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等效连续A声级</w:t>
                  </w:r>
                </w:p>
              </w:tc>
              <w:tc>
                <w:tcPr>
                  <w:tcW w:w="1572" w:type="dxa"/>
                  <w:tcBorders>
                    <w:tl2br w:val="nil"/>
                    <w:tr2bl w:val="nil"/>
                  </w:tcBorders>
                  <w:noWrap w:val="0"/>
                  <w:vAlign w:val="center"/>
                </w:tcPr>
                <w:p w14:paraId="21326382">
                  <w:pPr>
                    <w:jc w:val="center"/>
                    <w:rPr>
                      <w:rFonts w:hint="default" w:ascii="Times New Roman" w:hAnsi="Times New Roman" w:eastAsia="宋体" w:cs="Times New Roman"/>
                      <w:b w:val="0"/>
                      <w:bCs w:val="0"/>
                      <w:color w:val="auto"/>
                      <w:sz w:val="21"/>
                      <w:szCs w:val="21"/>
                      <w:u w:val="none" w:color="auto"/>
                      <w:lang w:val="en-US" w:eastAsia="zh-CN"/>
                    </w:rPr>
                  </w:pPr>
                  <w:r>
                    <w:rPr>
                      <w:rFonts w:hint="default" w:ascii="Times New Roman" w:hAnsi="Times New Roman" w:eastAsia="宋体" w:cs="Times New Roman"/>
                      <w:b w:val="0"/>
                      <w:bCs w:val="0"/>
                      <w:color w:val="auto"/>
                      <w:sz w:val="21"/>
                      <w:szCs w:val="21"/>
                      <w:u w:val="none" w:color="auto"/>
                      <w:lang w:val="en-US" w:eastAsia="zh-CN"/>
                    </w:rPr>
                    <w:t>每季度一次</w:t>
                  </w:r>
                </w:p>
              </w:tc>
              <w:tc>
                <w:tcPr>
                  <w:tcW w:w="1572" w:type="dxa"/>
                  <w:vMerge w:val="continue"/>
                  <w:tcBorders>
                    <w:tl2br w:val="nil"/>
                    <w:tr2bl w:val="nil"/>
                  </w:tcBorders>
                  <w:noWrap w:val="0"/>
                  <w:vAlign w:val="center"/>
                </w:tcPr>
                <w:p w14:paraId="3DFAEA55">
                  <w:pPr>
                    <w:jc w:val="center"/>
                    <w:rPr>
                      <w:rFonts w:hint="default" w:ascii="Times New Roman" w:hAnsi="Times New Roman" w:eastAsia="宋体" w:cs="Times New Roman"/>
                      <w:color w:val="auto"/>
                      <w:sz w:val="24"/>
                      <w:u w:val="none" w:color="auto"/>
                      <w:vertAlign w:val="baseline"/>
                      <w:lang w:val="en-US" w:eastAsia="zh-CN"/>
                    </w:rPr>
                  </w:pPr>
                </w:p>
              </w:tc>
            </w:tr>
          </w:tbl>
          <w:p w14:paraId="79DDB1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 xml:space="preserve"> </w:t>
            </w:r>
            <w:r>
              <w:rPr>
                <w:rFonts w:hint="default" w:ascii="Times New Roman" w:hAnsi="Times New Roman" w:eastAsia="宋体" w:cs="Times New Roman"/>
                <w:color w:val="auto"/>
                <w:sz w:val="24"/>
                <w:u w:val="none" w:color="auto"/>
                <w:lang w:val="en-US" w:eastAsia="zh-CN"/>
              </w:rPr>
              <w:t xml:space="preserve">同时，对污染物非正常排放要加强官理、监督，如果友生异常情况，应及时监测并同时做好事故排放数据统计，上报环保主管部门，以便采取应急措施，减轻事故的环境影响。 </w:t>
            </w:r>
            <w:r>
              <w:rPr>
                <w:rFonts w:hint="default" w:ascii="Times New Roman" w:hAnsi="Times New Roman" w:eastAsia="宋体" w:cs="Times New Roman"/>
                <w:color w:val="auto"/>
                <w:u w:val="none" w:color="auto"/>
                <w:lang w:val="en-US" w:eastAsia="zh-CN"/>
              </w:rPr>
              <w:t xml:space="preserve">    </w:t>
            </w:r>
          </w:p>
        </w:tc>
      </w:tr>
    </w:tbl>
    <w:p w14:paraId="7A6BD5C8">
      <w:pPr>
        <w:pStyle w:val="17"/>
        <w:rPr>
          <w:rFonts w:hint="default" w:ascii="Times New Roman" w:hAnsi="Times New Roman" w:eastAsia="宋体" w:cs="Times New Roman"/>
          <w:color w:val="auto"/>
          <w:u w:val="none" w:color="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72C9E51">
      <w:pPr>
        <w:pStyle w:val="22"/>
        <w:jc w:val="center"/>
        <w:outlineLvl w:val="0"/>
        <w:rPr>
          <w:rFonts w:hint="default" w:ascii="Times New Roman" w:hAnsi="Times New Roman" w:eastAsia="宋体" w:cs="Times New Roman"/>
          <w:snapToGrid w:val="0"/>
          <w:color w:val="auto"/>
          <w:sz w:val="30"/>
          <w:szCs w:val="30"/>
          <w:u w:val="none" w:color="auto"/>
        </w:rPr>
      </w:pPr>
      <w:bookmarkStart w:id="9" w:name="_Toc7434"/>
      <w:r>
        <w:rPr>
          <w:rFonts w:hint="default" w:ascii="Times New Roman" w:hAnsi="Times New Roman" w:eastAsia="宋体" w:cs="Times New Roman"/>
          <w:snapToGrid w:val="0"/>
          <w:color w:val="auto"/>
          <w:sz w:val="30"/>
          <w:szCs w:val="30"/>
          <w:u w:val="none" w:color="auto"/>
        </w:rPr>
        <w:t>五、</w:t>
      </w:r>
      <w:bookmarkStart w:id="10" w:name="_Hlk54167917"/>
      <w:r>
        <w:rPr>
          <w:rFonts w:hint="default" w:ascii="Times New Roman" w:hAnsi="Times New Roman" w:eastAsia="宋体" w:cs="Times New Roman"/>
          <w:snapToGrid w:val="0"/>
          <w:color w:val="auto"/>
          <w:sz w:val="30"/>
          <w:szCs w:val="30"/>
          <w:u w:val="none" w:color="auto"/>
        </w:rPr>
        <w:t>环境保护措施监督检查清单</w:t>
      </w:r>
      <w:bookmarkEnd w:id="9"/>
      <w:bookmarkEnd w:id="10"/>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475"/>
        <w:gridCol w:w="1695"/>
        <w:gridCol w:w="2097"/>
      </w:tblGrid>
      <w:tr w14:paraId="5655A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48005833">
            <w:pPr>
              <w:adjustRightInd w:val="0"/>
              <w:snapToGrid w:val="0"/>
              <w:ind w:firstLine="840"/>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内容</w:t>
            </w:r>
          </w:p>
          <w:p w14:paraId="4CB703D2">
            <w:pPr>
              <w:adjustRightInd w:val="0"/>
              <w:snapToGrid w:val="0"/>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要素</w:t>
            </w:r>
          </w:p>
        </w:tc>
        <w:tc>
          <w:tcPr>
            <w:tcW w:w="1755" w:type="dxa"/>
            <w:noWrap w:val="0"/>
            <w:vAlign w:val="center"/>
          </w:tcPr>
          <w:p w14:paraId="272884CA">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排放口（编号、</w:t>
            </w:r>
          </w:p>
          <w:p w14:paraId="7219FE13">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名称）/污染源</w:t>
            </w:r>
          </w:p>
        </w:tc>
        <w:tc>
          <w:tcPr>
            <w:tcW w:w="1475" w:type="dxa"/>
            <w:noWrap w:val="0"/>
            <w:vAlign w:val="center"/>
          </w:tcPr>
          <w:p w14:paraId="1520DEF6">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污染物项目</w:t>
            </w:r>
          </w:p>
        </w:tc>
        <w:tc>
          <w:tcPr>
            <w:tcW w:w="1695" w:type="dxa"/>
            <w:noWrap w:val="0"/>
            <w:vAlign w:val="center"/>
          </w:tcPr>
          <w:p w14:paraId="057C9DA5">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环境保护措施</w:t>
            </w:r>
          </w:p>
        </w:tc>
        <w:tc>
          <w:tcPr>
            <w:tcW w:w="2097" w:type="dxa"/>
            <w:noWrap w:val="0"/>
            <w:vAlign w:val="center"/>
          </w:tcPr>
          <w:p w14:paraId="05B260BE">
            <w:pPr>
              <w:adjustRightInd w:val="0"/>
              <w:snapToGrid w:val="0"/>
              <w:jc w:val="center"/>
              <w:rPr>
                <w:rFonts w:hint="default" w:ascii="Times New Roman" w:hAnsi="Times New Roman" w:eastAsia="宋体" w:cs="Times New Roman"/>
                <w:b/>
                <w:bCs/>
                <w:color w:val="auto"/>
                <w:szCs w:val="21"/>
                <w:u w:val="none" w:color="auto"/>
              </w:rPr>
            </w:pPr>
            <w:r>
              <w:rPr>
                <w:rFonts w:hint="default" w:ascii="Times New Roman" w:hAnsi="Times New Roman" w:eastAsia="宋体" w:cs="Times New Roman"/>
                <w:b/>
                <w:bCs/>
                <w:color w:val="auto"/>
                <w:szCs w:val="21"/>
                <w:u w:val="none" w:color="auto"/>
              </w:rPr>
              <w:t>执行标准</w:t>
            </w:r>
          </w:p>
        </w:tc>
      </w:tr>
      <w:tr w14:paraId="259825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778" w:type="dxa"/>
            <w:vMerge w:val="restart"/>
            <w:noWrap w:val="0"/>
            <w:vAlign w:val="center"/>
          </w:tcPr>
          <w:p w14:paraId="514ABB50">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大气环境</w:t>
            </w:r>
          </w:p>
        </w:tc>
        <w:tc>
          <w:tcPr>
            <w:tcW w:w="1755" w:type="dxa"/>
            <w:noWrap w:val="0"/>
            <w:vAlign w:val="center"/>
          </w:tcPr>
          <w:p w14:paraId="529EDF77">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DA00</w:t>
            </w:r>
            <w:r>
              <w:rPr>
                <w:rFonts w:hint="eastAsia" w:cs="Times New Roman"/>
                <w:color w:val="auto"/>
                <w:szCs w:val="21"/>
                <w:u w:val="none" w:color="auto"/>
                <w:lang w:val="en-US" w:eastAsia="zh-CN"/>
              </w:rPr>
              <w:t>1</w:t>
            </w:r>
          </w:p>
        </w:tc>
        <w:tc>
          <w:tcPr>
            <w:tcW w:w="1475" w:type="dxa"/>
            <w:noWrap w:val="0"/>
            <w:vAlign w:val="center"/>
          </w:tcPr>
          <w:p w14:paraId="4F2B81C1">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颗粒物、二氧化硫、氮氧化物、林格曼黑度</w:t>
            </w:r>
          </w:p>
        </w:tc>
        <w:tc>
          <w:tcPr>
            <w:tcW w:w="1695" w:type="dxa"/>
            <w:noWrap w:val="0"/>
            <w:vAlign w:val="center"/>
          </w:tcPr>
          <w:p w14:paraId="2197A4E2">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SNCR+多管旋风除尘+布袋除尘+脱硫塔+43m高排气筒(</w:t>
            </w:r>
            <w:r>
              <w:rPr>
                <w:rFonts w:hint="eastAsia" w:ascii="Times New Roman" w:hAnsi="Times New Roman" w:eastAsia="宋体" w:cs="Times New Roman"/>
                <w:b w:val="0"/>
                <w:bCs/>
                <w:color w:val="auto"/>
                <w:kern w:val="0"/>
                <w:sz w:val="21"/>
                <w:szCs w:val="21"/>
                <w:u w:val="none" w:color="auto"/>
                <w:lang w:val="en-US" w:eastAsia="zh-CN" w:bidi="ar-SA"/>
              </w:rPr>
              <w:t>DA00</w:t>
            </w:r>
            <w:r>
              <w:rPr>
                <w:rFonts w:hint="eastAsia" w:cs="Times New Roman"/>
                <w:b w:val="0"/>
                <w:bCs/>
                <w:color w:val="auto"/>
                <w:kern w:val="0"/>
                <w:sz w:val="21"/>
                <w:szCs w:val="21"/>
                <w:u w:val="none" w:color="auto"/>
                <w:lang w:val="en-US" w:eastAsia="zh-CN" w:bidi="ar-SA"/>
              </w:rPr>
              <w:t>1</w:t>
            </w:r>
            <w:r>
              <w:rPr>
                <w:rFonts w:hint="default" w:ascii="Times New Roman" w:hAnsi="Times New Roman" w:eastAsia="宋体" w:cs="Times New Roman"/>
                <w:b w:val="0"/>
                <w:bCs/>
                <w:color w:val="auto"/>
                <w:kern w:val="0"/>
                <w:sz w:val="21"/>
                <w:szCs w:val="21"/>
                <w:u w:val="none" w:color="auto"/>
                <w:lang w:val="en-US" w:eastAsia="zh-CN" w:bidi="ar-SA"/>
              </w:rPr>
              <w:t>)</w:t>
            </w:r>
          </w:p>
        </w:tc>
        <w:tc>
          <w:tcPr>
            <w:tcW w:w="2097" w:type="dxa"/>
            <w:noWrap w:val="0"/>
            <w:vAlign w:val="center"/>
          </w:tcPr>
          <w:p w14:paraId="7C2B3BD5">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《锅炉大气污染物排放标准》（GB13271-2014）中表3中大气污染物特别排放限值燃煤锅炉限值</w:t>
            </w:r>
          </w:p>
        </w:tc>
      </w:tr>
      <w:tr w14:paraId="09766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778" w:type="dxa"/>
            <w:vMerge w:val="continue"/>
            <w:noWrap w:val="0"/>
            <w:vAlign w:val="center"/>
          </w:tcPr>
          <w:p w14:paraId="20C16420">
            <w:pPr>
              <w:adjustRightInd w:val="0"/>
              <w:snapToGrid w:val="0"/>
              <w:jc w:val="center"/>
              <w:rPr>
                <w:rFonts w:hint="default" w:ascii="Times New Roman" w:hAnsi="Times New Roman" w:eastAsia="宋体" w:cs="Times New Roman"/>
                <w:color w:val="auto"/>
                <w:szCs w:val="21"/>
                <w:u w:val="none" w:color="auto"/>
              </w:rPr>
            </w:pPr>
          </w:p>
        </w:tc>
        <w:tc>
          <w:tcPr>
            <w:tcW w:w="1755" w:type="dxa"/>
            <w:noWrap w:val="0"/>
            <w:vAlign w:val="center"/>
          </w:tcPr>
          <w:p w14:paraId="4D515383">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DA00</w:t>
            </w:r>
            <w:r>
              <w:rPr>
                <w:rFonts w:hint="eastAsia" w:cs="Times New Roman"/>
                <w:color w:val="auto"/>
                <w:szCs w:val="21"/>
                <w:u w:val="none" w:color="auto"/>
                <w:lang w:val="en-US" w:eastAsia="zh-CN"/>
              </w:rPr>
              <w:t>2</w:t>
            </w:r>
          </w:p>
        </w:tc>
        <w:tc>
          <w:tcPr>
            <w:tcW w:w="1475" w:type="dxa"/>
            <w:noWrap w:val="0"/>
            <w:vAlign w:val="center"/>
          </w:tcPr>
          <w:p w14:paraId="0E620527">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颗粒物、二氧化硫、氮氧化物、林格曼黑度</w:t>
            </w:r>
          </w:p>
        </w:tc>
        <w:tc>
          <w:tcPr>
            <w:tcW w:w="1695" w:type="dxa"/>
            <w:noWrap w:val="0"/>
            <w:vAlign w:val="center"/>
          </w:tcPr>
          <w:p w14:paraId="2B674B50">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多管旋风除尘+布袋除尘+脱硫塔+</w:t>
            </w:r>
            <w:r>
              <w:rPr>
                <w:rFonts w:hint="eastAsia" w:cs="Times New Roman"/>
                <w:b w:val="0"/>
                <w:bCs/>
                <w:color w:val="auto"/>
                <w:kern w:val="0"/>
                <w:sz w:val="21"/>
                <w:szCs w:val="21"/>
                <w:u w:val="none" w:color="auto"/>
                <w:lang w:val="en-US" w:eastAsia="zh-CN" w:bidi="ar-SA"/>
              </w:rPr>
              <w:t>38m</w:t>
            </w:r>
            <w:r>
              <w:rPr>
                <w:rFonts w:hint="default" w:ascii="Times New Roman" w:hAnsi="Times New Roman" w:eastAsia="宋体" w:cs="Times New Roman"/>
                <w:b w:val="0"/>
                <w:bCs/>
                <w:color w:val="auto"/>
                <w:kern w:val="0"/>
                <w:sz w:val="21"/>
                <w:szCs w:val="21"/>
                <w:u w:val="none" w:color="auto"/>
                <w:lang w:val="en-US" w:eastAsia="zh-CN" w:bidi="ar-SA"/>
              </w:rPr>
              <w:t>高排气筒(</w:t>
            </w:r>
            <w:r>
              <w:rPr>
                <w:rFonts w:hint="eastAsia" w:ascii="Times New Roman" w:hAnsi="Times New Roman" w:eastAsia="宋体" w:cs="Times New Roman"/>
                <w:b w:val="0"/>
                <w:bCs/>
                <w:color w:val="auto"/>
                <w:kern w:val="0"/>
                <w:sz w:val="21"/>
                <w:szCs w:val="21"/>
                <w:u w:val="none" w:color="auto"/>
                <w:lang w:val="en-US" w:eastAsia="zh-CN" w:bidi="ar-SA"/>
              </w:rPr>
              <w:t>DA002</w:t>
            </w:r>
            <w:r>
              <w:rPr>
                <w:rFonts w:hint="default" w:ascii="Times New Roman" w:hAnsi="Times New Roman" w:eastAsia="宋体" w:cs="Times New Roman"/>
                <w:b w:val="0"/>
                <w:bCs/>
                <w:color w:val="auto"/>
                <w:kern w:val="0"/>
                <w:sz w:val="21"/>
                <w:szCs w:val="21"/>
                <w:u w:val="none" w:color="auto"/>
                <w:lang w:val="en-US" w:eastAsia="zh-CN" w:bidi="ar-SA"/>
              </w:rPr>
              <w:t>)</w:t>
            </w:r>
          </w:p>
        </w:tc>
        <w:tc>
          <w:tcPr>
            <w:tcW w:w="2097" w:type="dxa"/>
            <w:noWrap w:val="0"/>
            <w:vAlign w:val="center"/>
          </w:tcPr>
          <w:p w14:paraId="5ED6B91B">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《锅炉大气污染物排放标准》（GB13271-2014）中表3中大气污染物特别排放限值燃煤锅炉限值</w:t>
            </w:r>
          </w:p>
        </w:tc>
      </w:tr>
      <w:tr w14:paraId="549C3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778" w:type="dxa"/>
            <w:vMerge w:val="continue"/>
            <w:noWrap w:val="0"/>
            <w:vAlign w:val="center"/>
          </w:tcPr>
          <w:p w14:paraId="3B912F7A">
            <w:pPr>
              <w:adjustRightInd w:val="0"/>
              <w:snapToGrid w:val="0"/>
              <w:jc w:val="center"/>
              <w:rPr>
                <w:rFonts w:hint="default" w:ascii="Times New Roman" w:hAnsi="Times New Roman" w:eastAsia="宋体" w:cs="Times New Roman"/>
                <w:color w:val="auto"/>
                <w:szCs w:val="21"/>
                <w:u w:val="none" w:color="auto"/>
              </w:rPr>
            </w:pPr>
          </w:p>
        </w:tc>
        <w:tc>
          <w:tcPr>
            <w:tcW w:w="1755" w:type="dxa"/>
            <w:noWrap w:val="0"/>
            <w:vAlign w:val="center"/>
          </w:tcPr>
          <w:p w14:paraId="3F46C376">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厂界</w:t>
            </w:r>
          </w:p>
        </w:tc>
        <w:tc>
          <w:tcPr>
            <w:tcW w:w="1475" w:type="dxa"/>
            <w:noWrap w:val="0"/>
            <w:vAlign w:val="center"/>
          </w:tcPr>
          <w:p w14:paraId="3789AB5A">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颗粒物</w:t>
            </w:r>
          </w:p>
        </w:tc>
        <w:tc>
          <w:tcPr>
            <w:tcW w:w="1695" w:type="dxa"/>
            <w:noWrap w:val="0"/>
            <w:vAlign w:val="center"/>
          </w:tcPr>
          <w:p w14:paraId="6663C25E">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加强管理，湿法降尘措施抑制无组织逸散，采取袋装收集封袋贮存的方式，避免无组织排放</w:t>
            </w:r>
          </w:p>
        </w:tc>
        <w:tc>
          <w:tcPr>
            <w:tcW w:w="2097" w:type="dxa"/>
            <w:noWrap w:val="0"/>
            <w:vAlign w:val="center"/>
          </w:tcPr>
          <w:p w14:paraId="1C3EE96B">
            <w:pPr>
              <w:adjustRightInd w:val="0"/>
              <w:snapToGrid w:val="0"/>
              <w:jc w:val="center"/>
              <w:rPr>
                <w:rFonts w:hint="default" w:ascii="Times New Roman" w:hAnsi="Times New Roman" w:eastAsia="宋体" w:cs="Times New Roman"/>
                <w:b w:val="0"/>
                <w:bCs/>
                <w:color w:val="auto"/>
                <w:kern w:val="0"/>
                <w:sz w:val="21"/>
                <w:szCs w:val="21"/>
                <w:u w:val="none" w:color="auto"/>
                <w:lang w:val="en-US" w:eastAsia="zh-CN" w:bidi="ar-SA"/>
              </w:rPr>
            </w:pPr>
            <w:r>
              <w:rPr>
                <w:rFonts w:hint="default" w:ascii="Times New Roman" w:hAnsi="Times New Roman" w:eastAsia="宋体" w:cs="Times New Roman"/>
                <w:b w:val="0"/>
                <w:bCs/>
                <w:color w:val="auto"/>
                <w:kern w:val="0"/>
                <w:sz w:val="21"/>
                <w:szCs w:val="21"/>
                <w:u w:val="none" w:color="auto"/>
                <w:lang w:val="en-US" w:eastAsia="zh-CN" w:bidi="ar-SA"/>
              </w:rPr>
              <w:t>《大气污染物综合排放标准》（GB 16297-1996）表2无组织排放监控浓度限值</w:t>
            </w:r>
          </w:p>
        </w:tc>
      </w:tr>
      <w:tr w14:paraId="39E17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778" w:type="dxa"/>
            <w:noWrap w:val="0"/>
            <w:vAlign w:val="center"/>
          </w:tcPr>
          <w:p w14:paraId="2BD0ECEA">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地表水环境</w:t>
            </w:r>
          </w:p>
        </w:tc>
        <w:tc>
          <w:tcPr>
            <w:tcW w:w="1755" w:type="dxa"/>
            <w:noWrap w:val="0"/>
            <w:vAlign w:val="center"/>
          </w:tcPr>
          <w:p w14:paraId="0C1985F3">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1475" w:type="dxa"/>
            <w:noWrap w:val="0"/>
            <w:vAlign w:val="center"/>
          </w:tcPr>
          <w:p w14:paraId="48BF162F">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1695" w:type="dxa"/>
            <w:noWrap w:val="0"/>
            <w:vAlign w:val="center"/>
          </w:tcPr>
          <w:p w14:paraId="7A4371A3">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2097" w:type="dxa"/>
            <w:noWrap w:val="0"/>
            <w:vAlign w:val="center"/>
          </w:tcPr>
          <w:p w14:paraId="6726BAEA">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r>
      <w:tr w14:paraId="6F0CD2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8" w:type="dxa"/>
            <w:noWrap w:val="0"/>
            <w:vAlign w:val="center"/>
          </w:tcPr>
          <w:p w14:paraId="3800A8D8">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声环境</w:t>
            </w:r>
          </w:p>
        </w:tc>
        <w:tc>
          <w:tcPr>
            <w:tcW w:w="1755" w:type="dxa"/>
            <w:noWrap w:val="0"/>
            <w:vAlign w:val="center"/>
          </w:tcPr>
          <w:p w14:paraId="6DA1B0EC">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运营期生产噪声</w:t>
            </w:r>
          </w:p>
        </w:tc>
        <w:tc>
          <w:tcPr>
            <w:tcW w:w="1475" w:type="dxa"/>
            <w:noWrap w:val="0"/>
            <w:vAlign w:val="center"/>
          </w:tcPr>
          <w:p w14:paraId="64DE8E2C">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连续等效A声级</w:t>
            </w:r>
          </w:p>
        </w:tc>
        <w:tc>
          <w:tcPr>
            <w:tcW w:w="1695" w:type="dxa"/>
            <w:noWrap w:val="0"/>
            <w:vAlign w:val="center"/>
          </w:tcPr>
          <w:p w14:paraId="203E5FA3">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kern w:val="0"/>
                <w:szCs w:val="21"/>
                <w:u w:val="none" w:color="auto"/>
              </w:rPr>
              <w:t>厂房</w:t>
            </w:r>
            <w:r>
              <w:rPr>
                <w:rFonts w:hint="default" w:ascii="Times New Roman" w:hAnsi="Times New Roman" w:eastAsia="宋体" w:cs="Times New Roman"/>
                <w:color w:val="auto"/>
                <w:szCs w:val="21"/>
                <w:u w:val="none" w:color="auto"/>
              </w:rPr>
              <w:t>建筑隔声、在设备安装基础减振、</w:t>
            </w:r>
            <w:r>
              <w:rPr>
                <w:rFonts w:hint="default" w:ascii="Times New Roman" w:hAnsi="Times New Roman" w:eastAsia="宋体" w:cs="Times New Roman"/>
                <w:color w:val="auto"/>
                <w:kern w:val="0"/>
                <w:szCs w:val="21"/>
                <w:u w:val="none" w:color="auto"/>
              </w:rPr>
              <w:t>设备选型</w:t>
            </w:r>
            <w:r>
              <w:rPr>
                <w:rFonts w:hint="default" w:ascii="Times New Roman" w:hAnsi="Times New Roman" w:eastAsia="宋体" w:cs="Times New Roman"/>
                <w:color w:val="auto"/>
                <w:szCs w:val="21"/>
                <w:u w:val="none" w:color="auto"/>
              </w:rPr>
              <w:t>等</w:t>
            </w:r>
          </w:p>
        </w:tc>
        <w:tc>
          <w:tcPr>
            <w:tcW w:w="2097" w:type="dxa"/>
            <w:noWrap w:val="0"/>
            <w:vAlign w:val="center"/>
          </w:tcPr>
          <w:p w14:paraId="61E6C3C9">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达到《工业企业厂界环境噪声排放标准》（</w:t>
            </w:r>
            <w:r>
              <w:rPr>
                <w:rFonts w:hint="default" w:ascii="Times New Roman" w:hAnsi="Times New Roman" w:eastAsia="宋体" w:cs="Times New Roman"/>
                <w:color w:val="auto"/>
                <w:kern w:val="0"/>
                <w:szCs w:val="21"/>
                <w:u w:val="none" w:color="auto"/>
                <w:lang w:val="en-US" w:eastAsia="zh-CN"/>
              </w:rPr>
              <w:t>GB12348-2008）</w:t>
            </w:r>
            <w:r>
              <w:rPr>
                <w:rFonts w:hint="default" w:ascii="Times New Roman" w:hAnsi="Times New Roman" w:eastAsia="宋体" w:cs="Times New Roman"/>
                <w:color w:val="auto"/>
                <w:szCs w:val="21"/>
                <w:u w:val="none" w:color="auto"/>
              </w:rPr>
              <w:t>中的</w:t>
            </w:r>
            <w:r>
              <w:rPr>
                <w:rFonts w:hint="default" w:ascii="Times New Roman" w:hAnsi="Times New Roman" w:eastAsia="宋体" w:cs="Times New Roman"/>
                <w:color w:val="auto"/>
                <w:kern w:val="0"/>
                <w:szCs w:val="21"/>
                <w:u w:val="none" w:color="auto"/>
                <w:lang w:val="en-US" w:eastAsia="zh-CN"/>
              </w:rPr>
              <w:t>3</w:t>
            </w:r>
            <w:r>
              <w:rPr>
                <w:rFonts w:hint="default" w:ascii="Times New Roman" w:hAnsi="Times New Roman" w:eastAsia="宋体" w:cs="Times New Roman"/>
                <w:color w:val="auto"/>
                <w:szCs w:val="21"/>
                <w:u w:val="none" w:color="auto"/>
              </w:rPr>
              <w:t>类标准</w:t>
            </w:r>
          </w:p>
        </w:tc>
      </w:tr>
      <w:tr w14:paraId="77CE6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778" w:type="dxa"/>
            <w:noWrap w:val="0"/>
            <w:vAlign w:val="center"/>
          </w:tcPr>
          <w:p w14:paraId="1258B541">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电磁辐射</w:t>
            </w:r>
          </w:p>
        </w:tc>
        <w:tc>
          <w:tcPr>
            <w:tcW w:w="1755" w:type="dxa"/>
            <w:noWrap w:val="0"/>
            <w:vAlign w:val="center"/>
          </w:tcPr>
          <w:p w14:paraId="5A072F15">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1475" w:type="dxa"/>
            <w:noWrap w:val="0"/>
            <w:vAlign w:val="center"/>
          </w:tcPr>
          <w:p w14:paraId="430807A4">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1695" w:type="dxa"/>
            <w:noWrap w:val="0"/>
            <w:vAlign w:val="center"/>
          </w:tcPr>
          <w:p w14:paraId="126A3855">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c>
          <w:tcPr>
            <w:tcW w:w="2097" w:type="dxa"/>
            <w:noWrap w:val="0"/>
            <w:vAlign w:val="center"/>
          </w:tcPr>
          <w:p w14:paraId="5BC744C0">
            <w:pPr>
              <w:adjustRightInd w:val="0"/>
              <w:snapToGrid w:val="0"/>
              <w:jc w:val="center"/>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w:t>
            </w:r>
          </w:p>
        </w:tc>
      </w:tr>
      <w:tr w14:paraId="10EEF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78" w:type="dxa"/>
            <w:noWrap w:val="0"/>
            <w:vAlign w:val="center"/>
          </w:tcPr>
          <w:p w14:paraId="6EE8F29A">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固体废物</w:t>
            </w:r>
          </w:p>
        </w:tc>
        <w:tc>
          <w:tcPr>
            <w:tcW w:w="7022" w:type="dxa"/>
            <w:gridSpan w:val="4"/>
            <w:noWrap w:val="0"/>
            <w:vAlign w:val="center"/>
          </w:tcPr>
          <w:p w14:paraId="6F7DBDF6">
            <w:pPr>
              <w:adjustRightInd w:val="0"/>
              <w:snapToGrid w:val="0"/>
              <w:ind w:firstLine="420" w:firstLineChars="200"/>
              <w:jc w:val="left"/>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本项目炉渣、除尘器收集的炉灰袋装收集暂存灰渣库内，可以外售做有机肥；</w:t>
            </w:r>
          </w:p>
        </w:tc>
      </w:tr>
      <w:tr w14:paraId="508F0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778" w:type="dxa"/>
            <w:noWrap w:val="0"/>
            <w:vAlign w:val="center"/>
          </w:tcPr>
          <w:p w14:paraId="0119EBF1">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土壤及地下水</w:t>
            </w:r>
          </w:p>
          <w:p w14:paraId="39786D3B">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污染防治措施</w:t>
            </w:r>
          </w:p>
        </w:tc>
        <w:tc>
          <w:tcPr>
            <w:tcW w:w="7022" w:type="dxa"/>
            <w:gridSpan w:val="4"/>
            <w:noWrap w:val="0"/>
            <w:vAlign w:val="center"/>
          </w:tcPr>
          <w:p w14:paraId="4300AC42">
            <w:pPr>
              <w:adjustRightInd w:val="0"/>
              <w:snapToGrid w:val="0"/>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针对可能对土壤及地下水产生影响的锅炉房及原料库等按要求进行防渗处理，锅炉运行产生的灰渣及时清运，在集中拉走之前做好防雨、防渗等工作。</w:t>
            </w:r>
          </w:p>
        </w:tc>
      </w:tr>
      <w:tr w14:paraId="2C89D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778" w:type="dxa"/>
            <w:noWrap w:val="0"/>
            <w:vAlign w:val="center"/>
          </w:tcPr>
          <w:p w14:paraId="104F3171">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生态保护措施</w:t>
            </w:r>
          </w:p>
        </w:tc>
        <w:tc>
          <w:tcPr>
            <w:tcW w:w="7022" w:type="dxa"/>
            <w:gridSpan w:val="4"/>
            <w:noWrap w:val="0"/>
            <w:vAlign w:val="center"/>
          </w:tcPr>
          <w:p w14:paraId="7409D76B">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w:t>
            </w:r>
          </w:p>
        </w:tc>
      </w:tr>
      <w:tr w14:paraId="051B1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10147480">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环境风险</w:t>
            </w:r>
          </w:p>
          <w:p w14:paraId="76BC128B">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防范措施</w:t>
            </w:r>
          </w:p>
        </w:tc>
        <w:tc>
          <w:tcPr>
            <w:tcW w:w="7022" w:type="dxa"/>
            <w:gridSpan w:val="4"/>
            <w:noWrap w:val="0"/>
            <w:vAlign w:val="center"/>
          </w:tcPr>
          <w:p w14:paraId="42E7FB04">
            <w:pPr>
              <w:adjustRightInd w:val="0"/>
              <w:snapToGrid w:val="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⑴加强燃料存放区的管理，严禁明火、高温热源进入； </w:t>
            </w:r>
          </w:p>
          <w:p w14:paraId="4C5224BA">
            <w:pPr>
              <w:adjustRightInd w:val="0"/>
              <w:snapToGrid w:val="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⑵配备一定量的消防器材，生物质燃料遇明火发生火灾时，立即汇报值班干部进行灭火，同时疏散周围人员，灭火时应佩戴防护面罩； </w:t>
            </w:r>
          </w:p>
          <w:p w14:paraId="4F4E0292">
            <w:pPr>
              <w:adjustRightInd w:val="0"/>
              <w:snapToGrid w:val="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⑶发生废气处理措施故障时，应立即停止生产，同时安排人员检修，待设施恢复后，方可继续使用。</w:t>
            </w:r>
          </w:p>
        </w:tc>
      </w:tr>
      <w:tr w14:paraId="63F0A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14:paraId="61295ACD">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其他环境</w:t>
            </w:r>
          </w:p>
          <w:p w14:paraId="0AF98DE5">
            <w:pPr>
              <w:adjustRightInd w:val="0"/>
              <w:snapToGrid w:val="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管理要求</w:t>
            </w:r>
          </w:p>
        </w:tc>
        <w:tc>
          <w:tcPr>
            <w:tcW w:w="7022" w:type="dxa"/>
            <w:gridSpan w:val="4"/>
            <w:noWrap w:val="0"/>
            <w:vAlign w:val="center"/>
          </w:tcPr>
          <w:p w14:paraId="7E0F90B9">
            <w:pPr>
              <w:adjustRightInd w:val="0"/>
              <w:snapToGrid w:val="0"/>
              <w:spacing w:line="360" w:lineRule="auto"/>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（1）排污许可</w:t>
            </w:r>
          </w:p>
          <w:p w14:paraId="1569EBC7">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根据《关于做好环境影响评价制度与排污许可制衔接相关工作的通知》（环办环评〔2017〕84 号）、《排污许可管理条例》（国务院令第 736 号）等文件，环境影响评价制度是建设项目的环境准入门槛，排污许可制是企事业单位生产运营期排污的法律依据，必须做好充分衔接，实现从污染预防到污染治理和排放控制的全过程监管。 </w:t>
            </w:r>
          </w:p>
          <w:p w14:paraId="1BBA61EC">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根据《固定污染源排污许可分类管理名录（2019 年版）》，本项目属于“五十一、通用工序－锅炉－除纳入重点排污单位名录的，单台且合计出力 20 吨/小时（14 兆瓦）以下的锅炉”，应实施登记管理。根据《排污许可证申请与核发技术规范总则》(HJ942-2018）等文件，本项目应当在启动生产设施或者发生实际排污之前申请取得排污许可证。</w:t>
            </w:r>
          </w:p>
          <w:p w14:paraId="31CE8249">
            <w:pPr>
              <w:adjustRightInd w:val="0"/>
              <w:snapToGrid w:val="0"/>
              <w:spacing w:line="360" w:lineRule="auto"/>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（2）排放口信息化、规范化</w:t>
            </w:r>
          </w:p>
          <w:p w14:paraId="43267D1D">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根据国家标准《环境保护图形标志-排放口（源）》以及《固定污染源废气监测点位设置技术规范》(DB37/T 3535-2019）等的技术要求，一切新建、改扩建、改建的排污单位以及限期治理的排污单位必须在建设污染治理设施的同时，建设规范化排放口。因此，建设项目产生的各类污染物排放口必须规范化，而且规范化工作的完成必须与污染治理设施同步。 </w:t>
            </w:r>
          </w:p>
          <w:p w14:paraId="04AEB43A">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企业应结合本次环评提出的环境监测与管理要求，对全院废气、废水排放口、噪声排放源及固体废物储存场所进行规范化管理，根据相关规定在靠近采样点的醒目处设置环境保护部统一制作的环境保护图形标志牌，并设置便于采样、监测的采样口或采样平台，便于日常现场监督检查，有利于公众监督、分清责任和工程实施。项目建成后，应将所有污染排放口名称、位置、数量，以及排放污染物名称、数量等内容进行统计，并登记上报当地生态环境部门，以便进行验收和排放口的规范化管理。 </w:t>
            </w:r>
          </w:p>
          <w:p w14:paraId="3EC39DBA">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⑴监测平台设置要求： </w:t>
            </w:r>
          </w:p>
          <w:p w14:paraId="1EF54171">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①监测平台应设置在监测孔的正下方1.2m～1.3m 处，应永久、安全、便于监测及采样。 </w:t>
            </w:r>
          </w:p>
          <w:p w14:paraId="7EE1F18B">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②监测平台可操作面积应≥2m²，单边长度应≥1.2m，且不小于监测断面直径（或当量直径）的1/3。 </w:t>
            </w:r>
          </w:p>
          <w:p w14:paraId="01786E81">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若监测断面有多个监测孔且水平排列，则监测平台区域应涵盖所有监测孔；若监测断面有多个监测孔且竖直排列，则应设置多层监测平台。通往监测平台的通道宽度应≥0.9m。 </w:t>
            </w:r>
          </w:p>
          <w:p w14:paraId="647E2D87">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③距离坠落高度基准面0.5m 以上的监测平台及通道的所有敞开边缘应设置防护栏杆，防护栏杆的高度应≥1.2m。 </w:t>
            </w:r>
          </w:p>
          <w:p w14:paraId="5037B777">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⑵采样孔设置要求： </w:t>
            </w:r>
          </w:p>
          <w:p w14:paraId="6DBB94E8">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 xml:space="preserve">①对于颗粒态污染物，监测断面优先设置在垂直管段，应避开烟道弯头和断面急剧变化的部位，设置在距弯头、阀门、变径管下游方向不小于4 倍直径（或当量直径）和距上述部件上游方向不小于2 倍直径（或当量直径）处。对矩形烟道，其当量直径D=2AB/(A+B)，式中A、B为边长。 </w:t>
            </w:r>
          </w:p>
          <w:p w14:paraId="097B31EF">
            <w:pPr>
              <w:adjustRightInd w:val="0"/>
              <w:snapToGrid w:val="0"/>
              <w:spacing w:line="360" w:lineRule="auto"/>
              <w:ind w:firstLine="420" w:firstLineChars="200"/>
              <w:jc w:val="left"/>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②对于气态污染物，监测断面的设置可不受上述规定限制。如果同时测定排气流量，监测断面应按①的要求设置。</w:t>
            </w:r>
          </w:p>
        </w:tc>
      </w:tr>
    </w:tbl>
    <w:p w14:paraId="7BD5E425">
      <w:pPr>
        <w:pStyle w:val="22"/>
        <w:jc w:val="center"/>
        <w:outlineLvl w:val="0"/>
        <w:rPr>
          <w:rFonts w:hint="default" w:ascii="Times New Roman" w:hAnsi="Times New Roman" w:eastAsia="宋体" w:cs="Times New Roman"/>
          <w:snapToGrid w:val="0"/>
          <w:color w:val="auto"/>
          <w:sz w:val="30"/>
          <w:szCs w:val="30"/>
          <w:u w:val="none" w:color="auto"/>
        </w:rPr>
      </w:pPr>
      <w:r>
        <w:rPr>
          <w:rFonts w:hint="default" w:ascii="Times New Roman" w:hAnsi="Times New Roman" w:eastAsia="宋体" w:cs="Times New Roman"/>
          <w:snapToGrid w:val="0"/>
          <w:color w:val="auto"/>
          <w:u w:val="none" w:color="auto"/>
        </w:rPr>
        <w:br w:type="page"/>
      </w:r>
      <w:bookmarkStart w:id="11" w:name="_Toc10150"/>
      <w:r>
        <w:rPr>
          <w:rFonts w:hint="default" w:ascii="Times New Roman" w:hAnsi="Times New Roman" w:eastAsia="宋体" w:cs="Times New Roman"/>
          <w:snapToGrid w:val="0"/>
          <w:color w:val="auto"/>
          <w:sz w:val="30"/>
          <w:szCs w:val="30"/>
          <w:u w:val="none" w:color="auto"/>
        </w:rPr>
        <w:t>六、结论</w:t>
      </w:r>
      <w:bookmarkEnd w:id="11"/>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0788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78DABBC3">
            <w:pPr>
              <w:pStyle w:val="8"/>
              <w:keepNext w:val="0"/>
              <w:keepLines w:val="0"/>
              <w:pageBreakBefore w:val="0"/>
              <w:widowControl w:val="0"/>
              <w:kinsoku/>
              <w:wordWrap/>
              <w:overflowPunct/>
              <w:topLinePunct w:val="0"/>
              <w:bidi w:val="0"/>
              <w:adjustRightInd w:val="0"/>
              <w:snapToGrid w:val="0"/>
              <w:spacing w:line="360" w:lineRule="auto"/>
              <w:ind w:firstLine="480"/>
              <w:textAlignment w:val="auto"/>
              <w:rPr>
                <w:rFonts w:hint="default" w:ascii="Times New Roman" w:hAnsi="Times New Roman" w:eastAsia="宋体" w:cs="Times New Roman"/>
                <w:color w:val="auto"/>
                <w:kern w:val="2"/>
                <w:sz w:val="24"/>
                <w:szCs w:val="24"/>
                <w:u w:val="none" w:color="auto"/>
                <w:lang w:val="en-US" w:eastAsia="zh-CN" w:bidi="ar-SA"/>
              </w:rPr>
            </w:pPr>
            <w:r>
              <w:rPr>
                <w:rFonts w:hint="default" w:ascii="Times New Roman" w:hAnsi="Times New Roman" w:eastAsia="宋体" w:cs="Times New Roman"/>
                <w:bCs/>
                <w:sz w:val="24"/>
                <w:u w:val="none" w:color="auto"/>
                <w:lang w:val="en-US" w:eastAsia="zh-CN"/>
              </w:rPr>
              <w:t>岳阳宝丽纺织品有限公司新增一台15t/h生物质锅炉和1台4t/h导热油炉建设项目，符合国家产业政策要求；位于</w:t>
            </w:r>
            <w:r>
              <w:rPr>
                <w:rFonts w:hint="default" w:ascii="Times New Roman" w:hAnsi="Times New Roman" w:eastAsia="宋体" w:cs="Times New Roman"/>
                <w:bCs/>
                <w:sz w:val="24"/>
                <w:u w:val="none" w:color="auto"/>
              </w:rPr>
              <w:t>岳阳宝丽纺织品有限公司现有厂区内</w:t>
            </w:r>
            <w:r>
              <w:rPr>
                <w:rFonts w:hint="default" w:ascii="Times New Roman" w:hAnsi="Times New Roman" w:eastAsia="宋体" w:cs="Times New Roman"/>
                <w:bCs/>
                <w:sz w:val="24"/>
                <w:u w:val="none" w:color="auto"/>
                <w:lang w:val="en-US" w:eastAsia="zh-CN"/>
              </w:rPr>
              <w:t>，不涉及生态红线保护区，选址合</w:t>
            </w:r>
            <w:r>
              <w:rPr>
                <w:rFonts w:hint="default" w:ascii="Times New Roman" w:hAnsi="Times New Roman" w:eastAsia="宋体" w:cs="Times New Roman"/>
                <w:color w:val="auto"/>
                <w:kern w:val="2"/>
                <w:sz w:val="24"/>
                <w:szCs w:val="24"/>
                <w:u w:val="none" w:color="auto"/>
                <w:lang w:val="en-US" w:eastAsia="zh-CN" w:bidi="ar-SA"/>
              </w:rPr>
              <w:t>理；项目拟采取的各项污染防治措施技术和经济可行，可确保项目的各类污染物均做到稳定达标排放，不会降低区域功能类别，并能满足总量控制要求，对外环境影响较小；项目采取风险防范及应急措施后，风险水平在可接受范围以内。在实施原料控制、污染物排放总量控制、落实报告表提出的各项环保措施、做好风险防范措施和应急预案的基础上，本项目建设不会对周围环境产生明显影响。因此，从环保的角度看，本项目的建设是可行的。</w:t>
            </w:r>
          </w:p>
          <w:p w14:paraId="025AAAB4">
            <w:pPr>
              <w:pStyle w:val="36"/>
              <w:rPr>
                <w:rFonts w:hint="default" w:ascii="Times New Roman" w:hAnsi="Times New Roman" w:eastAsia="宋体" w:cs="Times New Roman"/>
                <w:color w:val="auto"/>
                <w:szCs w:val="21"/>
                <w:u w:val="none" w:color="auto"/>
              </w:rPr>
            </w:pPr>
          </w:p>
          <w:p w14:paraId="6DF1F663">
            <w:pPr>
              <w:pStyle w:val="36"/>
              <w:rPr>
                <w:rFonts w:hint="default" w:ascii="Times New Roman" w:hAnsi="Times New Roman" w:eastAsia="宋体" w:cs="Times New Roman"/>
                <w:color w:val="auto"/>
                <w:szCs w:val="21"/>
                <w:u w:val="none" w:color="auto"/>
              </w:rPr>
            </w:pPr>
          </w:p>
          <w:p w14:paraId="2B97D481">
            <w:pPr>
              <w:pStyle w:val="36"/>
              <w:rPr>
                <w:rFonts w:hint="default" w:ascii="Times New Roman" w:hAnsi="Times New Roman" w:eastAsia="宋体" w:cs="Times New Roman"/>
                <w:color w:val="auto"/>
                <w:szCs w:val="21"/>
                <w:u w:val="none" w:color="auto"/>
              </w:rPr>
            </w:pPr>
          </w:p>
          <w:p w14:paraId="230A3123">
            <w:pPr>
              <w:pStyle w:val="36"/>
              <w:rPr>
                <w:rFonts w:hint="default" w:ascii="Times New Roman" w:hAnsi="Times New Roman" w:eastAsia="宋体" w:cs="Times New Roman"/>
                <w:color w:val="auto"/>
                <w:szCs w:val="21"/>
                <w:u w:val="none" w:color="auto"/>
              </w:rPr>
            </w:pPr>
          </w:p>
          <w:p w14:paraId="6F23FDB5">
            <w:pPr>
              <w:pStyle w:val="36"/>
              <w:rPr>
                <w:rFonts w:hint="default" w:ascii="Times New Roman" w:hAnsi="Times New Roman" w:eastAsia="宋体" w:cs="Times New Roman"/>
                <w:color w:val="auto"/>
                <w:szCs w:val="21"/>
                <w:u w:val="none" w:color="auto"/>
              </w:rPr>
            </w:pPr>
          </w:p>
          <w:p w14:paraId="36154FA5">
            <w:pPr>
              <w:pStyle w:val="36"/>
              <w:rPr>
                <w:rFonts w:hint="default" w:ascii="Times New Roman" w:hAnsi="Times New Roman" w:eastAsia="宋体" w:cs="Times New Roman"/>
                <w:color w:val="auto"/>
                <w:szCs w:val="21"/>
                <w:u w:val="none" w:color="auto"/>
              </w:rPr>
            </w:pPr>
          </w:p>
          <w:p w14:paraId="4C4E93A1">
            <w:pPr>
              <w:pStyle w:val="36"/>
              <w:rPr>
                <w:rFonts w:hint="default" w:ascii="Times New Roman" w:hAnsi="Times New Roman" w:eastAsia="宋体" w:cs="Times New Roman"/>
                <w:color w:val="auto"/>
                <w:szCs w:val="21"/>
                <w:u w:val="none" w:color="auto"/>
              </w:rPr>
            </w:pPr>
          </w:p>
          <w:p w14:paraId="2F0597FF">
            <w:pPr>
              <w:pStyle w:val="36"/>
              <w:rPr>
                <w:rFonts w:hint="default" w:ascii="Times New Roman" w:hAnsi="Times New Roman" w:eastAsia="宋体" w:cs="Times New Roman"/>
                <w:color w:val="auto"/>
                <w:szCs w:val="21"/>
                <w:u w:val="none" w:color="auto"/>
              </w:rPr>
            </w:pPr>
          </w:p>
          <w:p w14:paraId="77816F8A">
            <w:pPr>
              <w:pStyle w:val="36"/>
              <w:rPr>
                <w:rFonts w:hint="default" w:ascii="Times New Roman" w:hAnsi="Times New Roman" w:eastAsia="宋体" w:cs="Times New Roman"/>
                <w:color w:val="auto"/>
                <w:szCs w:val="21"/>
                <w:u w:val="none" w:color="auto"/>
              </w:rPr>
            </w:pPr>
          </w:p>
          <w:p w14:paraId="75B812BA">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71C7A8F6">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6E57BFEE">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5DF0B8F4">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3223A162">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7E6A3369">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7012F155">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464B235E">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4A2CDE26">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330546C4">
            <w:pPr>
              <w:autoSpaceDE w:val="0"/>
              <w:autoSpaceDN w:val="0"/>
              <w:adjustRightInd w:val="0"/>
              <w:snapToGrid w:val="0"/>
              <w:ind w:firstLine="420" w:firstLineChars="200"/>
              <w:rPr>
                <w:rFonts w:hint="default" w:ascii="Times New Roman" w:hAnsi="Times New Roman" w:eastAsia="宋体" w:cs="Times New Roman"/>
                <w:color w:val="auto"/>
                <w:kern w:val="0"/>
                <w:szCs w:val="21"/>
                <w:u w:val="none" w:color="auto"/>
              </w:rPr>
            </w:pPr>
          </w:p>
          <w:p w14:paraId="1EEB3C7D">
            <w:pPr>
              <w:pStyle w:val="36"/>
              <w:jc w:val="both"/>
              <w:rPr>
                <w:rFonts w:hint="default" w:ascii="Times New Roman" w:hAnsi="Times New Roman" w:eastAsia="宋体" w:cs="Times New Roman"/>
                <w:color w:val="auto"/>
                <w:szCs w:val="21"/>
                <w:u w:val="none" w:color="auto"/>
              </w:rPr>
            </w:pPr>
          </w:p>
        </w:tc>
      </w:tr>
    </w:tbl>
    <w:p w14:paraId="0295F7E8">
      <w:pPr>
        <w:rPr>
          <w:rFonts w:hint="default" w:ascii="Times New Roman" w:hAnsi="Times New Roman" w:eastAsia="宋体" w:cs="Times New Roman"/>
          <w:color w:val="auto"/>
          <w:u w:val="none" w:color="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3D85AB8">
      <w:pPr>
        <w:pStyle w:val="22"/>
        <w:adjustRightInd w:val="0"/>
        <w:snapToGrid w:val="0"/>
        <w:spacing w:before="0" w:beforeAutospacing="0" w:after="0" w:afterAutospacing="0"/>
        <w:outlineLvl w:val="0"/>
        <w:rPr>
          <w:rFonts w:hint="default" w:ascii="Times New Roman" w:hAnsi="Times New Roman" w:eastAsia="宋体" w:cs="Times New Roman"/>
          <w:snapToGrid w:val="0"/>
          <w:color w:val="auto"/>
          <w:sz w:val="32"/>
          <w:szCs w:val="32"/>
          <w:u w:val="none" w:color="auto"/>
        </w:rPr>
      </w:pPr>
      <w:bookmarkStart w:id="12" w:name="_Toc26598"/>
      <w:r>
        <w:rPr>
          <w:rFonts w:hint="default" w:ascii="Times New Roman" w:hAnsi="Times New Roman" w:eastAsia="宋体" w:cs="Times New Roman"/>
          <w:snapToGrid w:val="0"/>
          <w:color w:val="auto"/>
          <w:sz w:val="32"/>
          <w:szCs w:val="32"/>
          <w:u w:val="none" w:color="auto"/>
        </w:rPr>
        <w:t>附表</w:t>
      </w:r>
      <w:bookmarkEnd w:id="12"/>
    </w:p>
    <w:p w14:paraId="5A621006">
      <w:pPr>
        <w:pStyle w:val="22"/>
        <w:adjustRightInd w:val="0"/>
        <w:snapToGrid w:val="0"/>
        <w:spacing w:before="0" w:beforeAutospacing="0" w:after="0" w:afterAutospacing="0"/>
        <w:jc w:val="center"/>
        <w:outlineLvl w:val="0"/>
        <w:rPr>
          <w:rFonts w:hint="default" w:ascii="Times New Roman" w:hAnsi="Times New Roman" w:eastAsia="宋体" w:cs="Times New Roman"/>
          <w:snapToGrid w:val="0"/>
          <w:color w:val="auto"/>
          <w:sz w:val="38"/>
          <w:szCs w:val="38"/>
          <w:u w:val="none" w:color="auto"/>
        </w:rPr>
      </w:pPr>
      <w:bookmarkStart w:id="13" w:name="_Toc159"/>
      <w:r>
        <w:rPr>
          <w:rFonts w:hint="default" w:ascii="Times New Roman" w:hAnsi="Times New Roman" w:eastAsia="宋体" w:cs="Times New Roman"/>
          <w:snapToGrid w:val="0"/>
          <w:color w:val="auto"/>
          <w:sz w:val="38"/>
          <w:szCs w:val="38"/>
          <w:u w:val="none" w:color="auto"/>
        </w:rPr>
        <w:t>建设项目污染物排放量汇总表</w:t>
      </w:r>
      <w:bookmarkEnd w:id="13"/>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936"/>
        <w:gridCol w:w="1701"/>
        <w:gridCol w:w="1276"/>
        <w:gridCol w:w="1701"/>
        <w:gridCol w:w="1559"/>
        <w:gridCol w:w="1761"/>
        <w:gridCol w:w="1505"/>
        <w:gridCol w:w="1280"/>
      </w:tblGrid>
      <w:tr w14:paraId="76157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69" w:type="dxa"/>
            <w:tcBorders>
              <w:tl2br w:val="single" w:color="auto" w:sz="4" w:space="0"/>
            </w:tcBorders>
            <w:noWrap w:val="0"/>
            <w:tcMar>
              <w:left w:w="28" w:type="dxa"/>
              <w:right w:w="28" w:type="dxa"/>
            </w:tcMar>
            <w:vAlign w:val="center"/>
          </w:tcPr>
          <w:p w14:paraId="26BE87CD">
            <w:pPr>
              <w:pStyle w:val="52"/>
              <w:spacing w:beforeLines="0" w:afterLines="0" w:line="240" w:lineRule="auto"/>
              <w:jc w:val="right"/>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项目</w:t>
            </w:r>
          </w:p>
          <w:p w14:paraId="315EFD38">
            <w:pPr>
              <w:pStyle w:val="52"/>
              <w:spacing w:beforeLines="0" w:afterLines="0" w:line="240" w:lineRule="auto"/>
              <w:jc w:val="left"/>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分类</w:t>
            </w:r>
          </w:p>
        </w:tc>
        <w:tc>
          <w:tcPr>
            <w:tcW w:w="1936" w:type="dxa"/>
            <w:noWrap w:val="0"/>
            <w:tcMar>
              <w:left w:w="28" w:type="dxa"/>
              <w:right w:w="28" w:type="dxa"/>
            </w:tcMar>
            <w:vAlign w:val="center"/>
          </w:tcPr>
          <w:p w14:paraId="67BADA82">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污染物名称</w:t>
            </w:r>
          </w:p>
        </w:tc>
        <w:tc>
          <w:tcPr>
            <w:tcW w:w="1701" w:type="dxa"/>
            <w:noWrap w:val="0"/>
            <w:tcMar>
              <w:left w:w="28" w:type="dxa"/>
              <w:right w:w="28" w:type="dxa"/>
            </w:tcMar>
            <w:vAlign w:val="center"/>
          </w:tcPr>
          <w:p w14:paraId="31EEBDC5">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现有工程</w:t>
            </w:r>
          </w:p>
          <w:p w14:paraId="2F4B5C89">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排放量（固体废物产生量）</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1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kern w:val="2"/>
                <w:szCs w:val="21"/>
                <w:u w:val="none" w:color="auto"/>
              </w:rPr>
              <w:t>①</w:t>
            </w:r>
            <w:r>
              <w:rPr>
                <w:rFonts w:hint="default" w:ascii="Times New Roman" w:hAnsi="Times New Roman" w:eastAsia="宋体" w:cs="Times New Roman"/>
                <w:snapToGrid w:val="0"/>
                <w:color w:val="auto"/>
                <w:spacing w:val="-6"/>
                <w:kern w:val="21"/>
                <w:szCs w:val="21"/>
                <w:u w:val="none" w:color="auto"/>
              </w:rPr>
              <w:fldChar w:fldCharType="end"/>
            </w:r>
          </w:p>
        </w:tc>
        <w:tc>
          <w:tcPr>
            <w:tcW w:w="1276" w:type="dxa"/>
            <w:noWrap w:val="0"/>
            <w:tcMar>
              <w:left w:w="28" w:type="dxa"/>
              <w:right w:w="28" w:type="dxa"/>
            </w:tcMar>
            <w:vAlign w:val="center"/>
          </w:tcPr>
          <w:p w14:paraId="250EBE86">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现有工程</w:t>
            </w:r>
          </w:p>
          <w:p w14:paraId="4490DB01">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许可排放量</w:t>
            </w:r>
          </w:p>
          <w:p w14:paraId="107D59DB">
            <w:pPr>
              <w:pStyle w:val="52"/>
              <w:spacing w:beforeLines="0" w:afterLines="0"/>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2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snapToGrid w:val="0"/>
                <w:color w:val="auto"/>
                <w:spacing w:val="-6"/>
                <w:kern w:val="21"/>
                <w:szCs w:val="21"/>
                <w:u w:val="none" w:color="auto"/>
              </w:rPr>
              <w:t>②</w:t>
            </w:r>
            <w:r>
              <w:rPr>
                <w:rFonts w:hint="default" w:ascii="Times New Roman" w:hAnsi="Times New Roman" w:eastAsia="宋体" w:cs="Times New Roman"/>
                <w:snapToGrid w:val="0"/>
                <w:color w:val="auto"/>
                <w:spacing w:val="-6"/>
                <w:kern w:val="21"/>
                <w:szCs w:val="21"/>
                <w:u w:val="none" w:color="auto"/>
              </w:rPr>
              <w:fldChar w:fldCharType="end"/>
            </w:r>
          </w:p>
        </w:tc>
        <w:tc>
          <w:tcPr>
            <w:tcW w:w="1701" w:type="dxa"/>
            <w:noWrap w:val="0"/>
            <w:tcMar>
              <w:left w:w="28" w:type="dxa"/>
              <w:right w:w="28" w:type="dxa"/>
            </w:tcMar>
            <w:vAlign w:val="center"/>
          </w:tcPr>
          <w:p w14:paraId="5EEAD3D9">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在建工程</w:t>
            </w:r>
          </w:p>
          <w:p w14:paraId="6C41BB88">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排放量（固体废物产生量）</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3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kern w:val="2"/>
                <w:szCs w:val="21"/>
                <w:u w:val="none" w:color="auto"/>
              </w:rPr>
              <w:t>③</w:t>
            </w:r>
            <w:r>
              <w:rPr>
                <w:rFonts w:hint="default" w:ascii="Times New Roman" w:hAnsi="Times New Roman" w:eastAsia="宋体" w:cs="Times New Roman"/>
                <w:snapToGrid w:val="0"/>
                <w:color w:val="auto"/>
                <w:spacing w:val="-6"/>
                <w:kern w:val="21"/>
                <w:szCs w:val="21"/>
                <w:u w:val="none" w:color="auto"/>
              </w:rPr>
              <w:fldChar w:fldCharType="end"/>
            </w:r>
          </w:p>
        </w:tc>
        <w:tc>
          <w:tcPr>
            <w:tcW w:w="1559" w:type="dxa"/>
            <w:noWrap w:val="0"/>
            <w:tcMar>
              <w:left w:w="28" w:type="dxa"/>
              <w:right w:w="28" w:type="dxa"/>
            </w:tcMar>
            <w:vAlign w:val="center"/>
          </w:tcPr>
          <w:p w14:paraId="5F0B18FA">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本项目</w:t>
            </w:r>
          </w:p>
          <w:p w14:paraId="15FB11DB">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排放量（固体废物产生量）</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4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kern w:val="2"/>
                <w:szCs w:val="21"/>
                <w:u w:val="none" w:color="auto"/>
              </w:rPr>
              <w:t>④</w:t>
            </w:r>
            <w:r>
              <w:rPr>
                <w:rFonts w:hint="default" w:ascii="Times New Roman" w:hAnsi="Times New Roman" w:eastAsia="宋体" w:cs="Times New Roman"/>
                <w:snapToGrid w:val="0"/>
                <w:color w:val="auto"/>
                <w:spacing w:val="-6"/>
                <w:kern w:val="21"/>
                <w:szCs w:val="21"/>
                <w:u w:val="none" w:color="auto"/>
              </w:rPr>
              <w:fldChar w:fldCharType="end"/>
            </w:r>
          </w:p>
        </w:tc>
        <w:tc>
          <w:tcPr>
            <w:tcW w:w="1761" w:type="dxa"/>
            <w:noWrap w:val="0"/>
            <w:tcMar>
              <w:left w:w="28" w:type="dxa"/>
              <w:right w:w="28" w:type="dxa"/>
            </w:tcMar>
            <w:vAlign w:val="center"/>
          </w:tcPr>
          <w:p w14:paraId="31D5B841">
            <w:pPr>
              <w:pStyle w:val="52"/>
              <w:spacing w:beforeLines="0" w:afterLines="0" w:line="240" w:lineRule="auto"/>
              <w:rPr>
                <w:rFonts w:hint="default" w:ascii="Times New Roman" w:hAnsi="Times New Roman" w:eastAsia="宋体" w:cs="Times New Roman"/>
                <w:snapToGrid w:val="0"/>
                <w:color w:val="auto"/>
                <w:spacing w:val="-16"/>
                <w:kern w:val="21"/>
                <w:szCs w:val="21"/>
                <w:u w:val="none" w:color="auto"/>
              </w:rPr>
            </w:pPr>
            <w:r>
              <w:rPr>
                <w:rFonts w:hint="default" w:ascii="Times New Roman" w:hAnsi="Times New Roman" w:eastAsia="宋体" w:cs="Times New Roman"/>
                <w:snapToGrid w:val="0"/>
                <w:color w:val="auto"/>
                <w:spacing w:val="-16"/>
                <w:kern w:val="21"/>
                <w:szCs w:val="21"/>
                <w:u w:val="none" w:color="auto"/>
              </w:rPr>
              <w:t>以新带老削减量</w:t>
            </w:r>
          </w:p>
          <w:p w14:paraId="2B9C342E">
            <w:pPr>
              <w:pStyle w:val="52"/>
              <w:spacing w:beforeLines="0" w:afterLines="0" w:line="240" w:lineRule="auto"/>
              <w:rPr>
                <w:rFonts w:hint="default" w:ascii="Times New Roman" w:hAnsi="Times New Roman" w:eastAsia="宋体" w:cs="Times New Roman"/>
                <w:snapToGrid w:val="0"/>
                <w:color w:val="auto"/>
                <w:spacing w:val="-16"/>
                <w:kern w:val="21"/>
                <w:szCs w:val="21"/>
                <w:u w:val="none" w:color="auto"/>
              </w:rPr>
            </w:pPr>
            <w:r>
              <w:rPr>
                <w:rFonts w:hint="default" w:ascii="Times New Roman" w:hAnsi="Times New Roman" w:eastAsia="宋体" w:cs="Times New Roman"/>
                <w:snapToGrid w:val="0"/>
                <w:color w:val="auto"/>
                <w:spacing w:val="-16"/>
                <w:kern w:val="21"/>
                <w:szCs w:val="21"/>
                <w:u w:val="none" w:color="auto"/>
              </w:rPr>
              <w:t>（新建项目不填）</w:t>
            </w:r>
            <w:r>
              <w:rPr>
                <w:rFonts w:hint="default" w:ascii="Times New Roman" w:hAnsi="Times New Roman" w:eastAsia="宋体" w:cs="Times New Roman"/>
                <w:snapToGrid w:val="0"/>
                <w:color w:val="auto"/>
                <w:spacing w:val="-16"/>
                <w:kern w:val="21"/>
                <w:szCs w:val="21"/>
                <w:u w:val="none" w:color="auto"/>
              </w:rPr>
              <w:fldChar w:fldCharType="begin"/>
            </w:r>
            <w:r>
              <w:rPr>
                <w:rFonts w:hint="default" w:ascii="Times New Roman" w:hAnsi="Times New Roman" w:eastAsia="宋体" w:cs="Times New Roman"/>
                <w:snapToGrid w:val="0"/>
                <w:color w:val="auto"/>
                <w:spacing w:val="-16"/>
                <w:kern w:val="21"/>
                <w:szCs w:val="21"/>
                <w:u w:val="none" w:color="auto"/>
              </w:rPr>
              <w:instrText xml:space="preserve"> = 5 \* GB3 \* MERGEFORMAT </w:instrText>
            </w:r>
            <w:r>
              <w:rPr>
                <w:rFonts w:hint="default" w:ascii="Times New Roman" w:hAnsi="Times New Roman" w:eastAsia="宋体" w:cs="Times New Roman"/>
                <w:snapToGrid w:val="0"/>
                <w:color w:val="auto"/>
                <w:spacing w:val="-16"/>
                <w:kern w:val="21"/>
                <w:szCs w:val="21"/>
                <w:u w:val="none" w:color="auto"/>
              </w:rPr>
              <w:fldChar w:fldCharType="separate"/>
            </w:r>
            <w:r>
              <w:rPr>
                <w:rFonts w:hint="default" w:ascii="Times New Roman" w:hAnsi="Times New Roman" w:eastAsia="宋体" w:cs="Times New Roman"/>
                <w:color w:val="auto"/>
                <w:kern w:val="2"/>
                <w:szCs w:val="21"/>
                <w:u w:val="none" w:color="auto"/>
              </w:rPr>
              <w:t>⑤</w:t>
            </w:r>
            <w:r>
              <w:rPr>
                <w:rFonts w:hint="default" w:ascii="Times New Roman" w:hAnsi="Times New Roman" w:eastAsia="宋体" w:cs="Times New Roman"/>
                <w:snapToGrid w:val="0"/>
                <w:color w:val="auto"/>
                <w:spacing w:val="-16"/>
                <w:kern w:val="21"/>
                <w:szCs w:val="21"/>
                <w:u w:val="none" w:color="auto"/>
              </w:rPr>
              <w:fldChar w:fldCharType="end"/>
            </w:r>
          </w:p>
        </w:tc>
        <w:tc>
          <w:tcPr>
            <w:tcW w:w="1505" w:type="dxa"/>
            <w:noWrap w:val="0"/>
            <w:tcMar>
              <w:left w:w="28" w:type="dxa"/>
              <w:right w:w="28" w:type="dxa"/>
            </w:tcMar>
            <w:vAlign w:val="center"/>
          </w:tcPr>
          <w:p w14:paraId="457F6D34">
            <w:pPr>
              <w:pStyle w:val="52"/>
              <w:spacing w:beforeLines="0" w:afterLines="0" w:line="240" w:lineRule="auto"/>
              <w:rPr>
                <w:rFonts w:hint="default" w:ascii="Times New Roman" w:hAnsi="Times New Roman" w:eastAsia="宋体" w:cs="Times New Roman"/>
                <w:snapToGrid w:val="0"/>
                <w:color w:val="auto"/>
                <w:spacing w:val="-16"/>
                <w:kern w:val="21"/>
                <w:szCs w:val="21"/>
                <w:u w:val="none" w:color="auto"/>
              </w:rPr>
            </w:pPr>
            <w:r>
              <w:rPr>
                <w:rFonts w:hint="default" w:ascii="Times New Roman" w:hAnsi="Times New Roman" w:eastAsia="宋体" w:cs="Times New Roman"/>
                <w:snapToGrid w:val="0"/>
                <w:color w:val="auto"/>
                <w:spacing w:val="-16"/>
                <w:kern w:val="21"/>
                <w:szCs w:val="21"/>
                <w:u w:val="none" w:color="auto"/>
              </w:rPr>
              <w:t>本项目建成后</w:t>
            </w:r>
          </w:p>
          <w:p w14:paraId="24DFF1A2">
            <w:pPr>
              <w:pStyle w:val="52"/>
              <w:spacing w:beforeLines="0" w:afterLines="0" w:line="240" w:lineRule="auto"/>
              <w:rPr>
                <w:rFonts w:hint="default" w:ascii="Times New Roman" w:hAnsi="Times New Roman" w:eastAsia="宋体" w:cs="Times New Roman"/>
                <w:snapToGrid w:val="0"/>
                <w:color w:val="auto"/>
                <w:spacing w:val="-16"/>
                <w:kern w:val="21"/>
                <w:szCs w:val="21"/>
                <w:u w:val="none" w:color="auto"/>
              </w:rPr>
            </w:pPr>
            <w:r>
              <w:rPr>
                <w:rFonts w:hint="default" w:ascii="Times New Roman" w:hAnsi="Times New Roman" w:eastAsia="宋体" w:cs="Times New Roman"/>
                <w:snapToGrid w:val="0"/>
                <w:color w:val="auto"/>
                <w:spacing w:val="-16"/>
                <w:kern w:val="21"/>
                <w:szCs w:val="21"/>
                <w:u w:val="none" w:color="auto"/>
              </w:rPr>
              <w:t>全厂排放量（固体废物产生量）</w:t>
            </w:r>
            <w:r>
              <w:rPr>
                <w:rFonts w:hint="default" w:ascii="Times New Roman" w:hAnsi="Times New Roman" w:eastAsia="宋体" w:cs="Times New Roman"/>
                <w:snapToGrid w:val="0"/>
                <w:color w:val="auto"/>
                <w:spacing w:val="-16"/>
                <w:kern w:val="21"/>
                <w:szCs w:val="21"/>
                <w:u w:val="none" w:color="auto"/>
              </w:rPr>
              <w:fldChar w:fldCharType="begin"/>
            </w:r>
            <w:r>
              <w:rPr>
                <w:rFonts w:hint="default" w:ascii="Times New Roman" w:hAnsi="Times New Roman" w:eastAsia="宋体" w:cs="Times New Roman"/>
                <w:snapToGrid w:val="0"/>
                <w:color w:val="auto"/>
                <w:spacing w:val="-16"/>
                <w:kern w:val="21"/>
                <w:szCs w:val="21"/>
                <w:u w:val="none" w:color="auto"/>
              </w:rPr>
              <w:instrText xml:space="preserve"> = 6 \* GB3 \* MERGEFORMAT </w:instrText>
            </w:r>
            <w:r>
              <w:rPr>
                <w:rFonts w:hint="default" w:ascii="Times New Roman" w:hAnsi="Times New Roman" w:eastAsia="宋体" w:cs="Times New Roman"/>
                <w:snapToGrid w:val="0"/>
                <w:color w:val="auto"/>
                <w:spacing w:val="-16"/>
                <w:kern w:val="21"/>
                <w:szCs w:val="21"/>
                <w:u w:val="none" w:color="auto"/>
              </w:rPr>
              <w:fldChar w:fldCharType="separate"/>
            </w:r>
            <w:r>
              <w:rPr>
                <w:rFonts w:hint="default" w:ascii="Times New Roman" w:hAnsi="Times New Roman" w:eastAsia="宋体" w:cs="Times New Roman"/>
                <w:color w:val="auto"/>
                <w:kern w:val="2"/>
                <w:szCs w:val="21"/>
                <w:u w:val="none" w:color="auto"/>
              </w:rPr>
              <w:t>⑥</w:t>
            </w:r>
            <w:r>
              <w:rPr>
                <w:rFonts w:hint="default" w:ascii="Times New Roman" w:hAnsi="Times New Roman" w:eastAsia="宋体" w:cs="Times New Roman"/>
                <w:snapToGrid w:val="0"/>
                <w:color w:val="auto"/>
                <w:spacing w:val="-16"/>
                <w:kern w:val="21"/>
                <w:szCs w:val="21"/>
                <w:u w:val="none" w:color="auto"/>
              </w:rPr>
              <w:fldChar w:fldCharType="end"/>
            </w:r>
          </w:p>
        </w:tc>
        <w:tc>
          <w:tcPr>
            <w:tcW w:w="1280" w:type="dxa"/>
            <w:noWrap w:val="0"/>
            <w:tcMar>
              <w:left w:w="28" w:type="dxa"/>
              <w:right w:w="28" w:type="dxa"/>
            </w:tcMar>
            <w:vAlign w:val="center"/>
          </w:tcPr>
          <w:p w14:paraId="3191C5B7">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t>变化量</w:t>
            </w:r>
          </w:p>
          <w:p w14:paraId="74251DBE">
            <w:pPr>
              <w:pStyle w:val="52"/>
              <w:spacing w:beforeLines="0" w:afterLines="0" w:line="240" w:lineRule="auto"/>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7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kern w:val="2"/>
                <w:szCs w:val="21"/>
                <w:u w:val="none" w:color="auto"/>
              </w:rPr>
              <w:t>⑦</w:t>
            </w:r>
            <w:r>
              <w:rPr>
                <w:rFonts w:hint="default" w:ascii="Times New Roman" w:hAnsi="Times New Roman" w:eastAsia="宋体" w:cs="Times New Roman"/>
                <w:snapToGrid w:val="0"/>
                <w:color w:val="auto"/>
                <w:spacing w:val="-6"/>
                <w:kern w:val="21"/>
                <w:szCs w:val="21"/>
                <w:u w:val="none" w:color="auto"/>
              </w:rPr>
              <w:fldChar w:fldCharType="end"/>
            </w:r>
          </w:p>
        </w:tc>
      </w:tr>
      <w:tr w14:paraId="65994D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69" w:type="dxa"/>
            <w:vMerge w:val="restart"/>
            <w:noWrap w:val="0"/>
            <w:vAlign w:val="center"/>
          </w:tcPr>
          <w:p w14:paraId="709ABE26">
            <w:pPr>
              <w:pStyle w:val="52"/>
              <w:spacing w:beforeLines="0" w:afterLines="0" w:line="240" w:lineRule="auto"/>
              <w:rPr>
                <w:rFonts w:hint="default" w:ascii="Times New Roman" w:hAnsi="Times New Roman" w:eastAsia="宋体" w:cs="Times New Roman"/>
                <w:snapToGrid w:val="0"/>
                <w:color w:val="auto"/>
                <w:kern w:val="21"/>
                <w:szCs w:val="21"/>
                <w:u w:val="none" w:color="auto"/>
              </w:rPr>
            </w:pPr>
            <w:r>
              <w:rPr>
                <w:rFonts w:hint="default" w:ascii="Times New Roman" w:hAnsi="Times New Roman" w:eastAsia="宋体" w:cs="Times New Roman"/>
                <w:snapToGrid w:val="0"/>
                <w:color w:val="auto"/>
                <w:kern w:val="21"/>
                <w:szCs w:val="21"/>
                <w:u w:val="none" w:color="auto"/>
              </w:rPr>
              <w:t>废气</w:t>
            </w:r>
          </w:p>
        </w:tc>
        <w:tc>
          <w:tcPr>
            <w:tcW w:w="1936" w:type="dxa"/>
            <w:noWrap w:val="0"/>
            <w:vAlign w:val="center"/>
          </w:tcPr>
          <w:p w14:paraId="4BFD26E3">
            <w:pPr>
              <w:adjustRightInd w:val="0"/>
              <w:snapToGrid w:val="0"/>
              <w:spacing w:before="48" w:beforeLines="20" w:after="48" w:afterLines="20"/>
              <w:jc w:val="center"/>
              <w:rPr>
                <w:rFonts w:hint="default" w:ascii="Times New Roman" w:hAnsi="Times New Roman" w:eastAsia="宋体" w:cs="Times New Roman"/>
                <w:snapToGrid w:val="0"/>
                <w:color w:val="auto"/>
                <w:kern w:val="21"/>
                <w:szCs w:val="21"/>
                <w:u w:val="none" w:color="auto"/>
              </w:rPr>
            </w:pPr>
            <w:r>
              <w:rPr>
                <w:rFonts w:hint="default" w:ascii="Times New Roman" w:hAnsi="Times New Roman" w:eastAsia="宋体" w:cs="Times New Roman"/>
                <w:color w:val="auto"/>
                <w:szCs w:val="21"/>
                <w:u w:val="none" w:color="auto"/>
              </w:rPr>
              <w:t>颗粒物</w:t>
            </w:r>
          </w:p>
        </w:tc>
        <w:tc>
          <w:tcPr>
            <w:tcW w:w="1701" w:type="dxa"/>
            <w:noWrap w:val="0"/>
            <w:vAlign w:val="center"/>
          </w:tcPr>
          <w:p w14:paraId="77F31DF9">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1.29t/a</w:t>
            </w:r>
          </w:p>
        </w:tc>
        <w:tc>
          <w:tcPr>
            <w:tcW w:w="1276" w:type="dxa"/>
            <w:noWrap w:val="0"/>
            <w:vAlign w:val="center"/>
          </w:tcPr>
          <w:p w14:paraId="531D74E6">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0.451t/a</w:t>
            </w:r>
          </w:p>
        </w:tc>
        <w:tc>
          <w:tcPr>
            <w:tcW w:w="1701" w:type="dxa"/>
            <w:noWrap w:val="0"/>
            <w:vAlign w:val="center"/>
          </w:tcPr>
          <w:p w14:paraId="394ADD6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559" w:type="dxa"/>
            <w:noWrap w:val="0"/>
            <w:vAlign w:val="center"/>
          </w:tcPr>
          <w:p w14:paraId="052CE894">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2.06</w:t>
            </w:r>
            <w:r>
              <w:rPr>
                <w:rFonts w:hint="default" w:ascii="Times New Roman" w:hAnsi="Times New Roman" w:eastAsia="宋体" w:cs="Times New Roman"/>
                <w:snapToGrid w:val="0"/>
                <w:color w:val="auto"/>
                <w:kern w:val="21"/>
                <w:szCs w:val="21"/>
                <w:u w:val="none" w:color="auto"/>
                <w:lang w:val="en-US" w:eastAsia="zh-CN"/>
              </w:rPr>
              <w:t>t/a</w:t>
            </w:r>
          </w:p>
        </w:tc>
        <w:tc>
          <w:tcPr>
            <w:tcW w:w="1761" w:type="dxa"/>
            <w:noWrap w:val="0"/>
            <w:vAlign w:val="center"/>
          </w:tcPr>
          <w:p w14:paraId="1118FE3B">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1.29t/a</w:t>
            </w:r>
          </w:p>
        </w:tc>
        <w:tc>
          <w:tcPr>
            <w:tcW w:w="1505" w:type="dxa"/>
            <w:noWrap w:val="0"/>
            <w:vAlign w:val="center"/>
          </w:tcPr>
          <w:p w14:paraId="7570A007">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2.06</w:t>
            </w:r>
            <w:r>
              <w:rPr>
                <w:rFonts w:hint="default" w:ascii="Times New Roman" w:hAnsi="Times New Roman" w:eastAsia="宋体" w:cs="Times New Roman"/>
                <w:snapToGrid w:val="0"/>
                <w:color w:val="auto"/>
                <w:kern w:val="21"/>
                <w:szCs w:val="21"/>
                <w:u w:val="none" w:color="auto"/>
                <w:lang w:val="en-US" w:eastAsia="zh-CN"/>
              </w:rPr>
              <w:t>t/a</w:t>
            </w:r>
          </w:p>
        </w:tc>
        <w:tc>
          <w:tcPr>
            <w:tcW w:w="1280" w:type="dxa"/>
            <w:noWrap w:val="0"/>
            <w:vAlign w:val="center"/>
          </w:tcPr>
          <w:p w14:paraId="49262720">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r>
              <w:rPr>
                <w:rFonts w:hint="eastAsia" w:ascii="Times New Roman" w:cs="Times New Roman"/>
                <w:snapToGrid w:val="0"/>
                <w:color w:val="auto"/>
                <w:kern w:val="21"/>
                <w:szCs w:val="21"/>
                <w:u w:val="none" w:color="auto"/>
                <w:lang w:val="en-US" w:eastAsia="zh-CN"/>
              </w:rPr>
              <w:t>0.77</w:t>
            </w:r>
            <w:r>
              <w:rPr>
                <w:rFonts w:hint="default" w:ascii="Times New Roman" w:hAnsi="Times New Roman" w:eastAsia="宋体" w:cs="Times New Roman"/>
                <w:snapToGrid w:val="0"/>
                <w:color w:val="auto"/>
                <w:kern w:val="21"/>
                <w:szCs w:val="21"/>
                <w:u w:val="none" w:color="auto"/>
                <w:lang w:val="en-US" w:eastAsia="zh-CN"/>
              </w:rPr>
              <w:t>t/a</w:t>
            </w:r>
          </w:p>
        </w:tc>
      </w:tr>
      <w:tr w14:paraId="49623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69" w:type="dxa"/>
            <w:vMerge w:val="continue"/>
            <w:noWrap w:val="0"/>
            <w:vAlign w:val="center"/>
          </w:tcPr>
          <w:p w14:paraId="5F020AA8">
            <w:pPr>
              <w:pStyle w:val="52"/>
              <w:spacing w:beforeLines="0" w:afterLines="0" w:line="240" w:lineRule="auto"/>
              <w:rPr>
                <w:rFonts w:hint="default" w:ascii="Times New Roman" w:hAnsi="Times New Roman" w:eastAsia="宋体" w:cs="Times New Roman"/>
                <w:snapToGrid w:val="0"/>
                <w:color w:val="auto"/>
                <w:kern w:val="21"/>
                <w:szCs w:val="21"/>
                <w:u w:val="none" w:color="auto"/>
              </w:rPr>
            </w:pPr>
          </w:p>
        </w:tc>
        <w:tc>
          <w:tcPr>
            <w:tcW w:w="1936" w:type="dxa"/>
            <w:noWrap w:val="0"/>
            <w:vAlign w:val="center"/>
          </w:tcPr>
          <w:p w14:paraId="498A745B">
            <w:pPr>
              <w:adjustRightInd w:val="0"/>
              <w:snapToGrid w:val="0"/>
              <w:spacing w:before="48" w:beforeLines="20" w:after="48" w:afterLines="20"/>
              <w:jc w:val="center"/>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NOx</w:t>
            </w:r>
          </w:p>
        </w:tc>
        <w:tc>
          <w:tcPr>
            <w:tcW w:w="1701" w:type="dxa"/>
            <w:noWrap w:val="0"/>
            <w:vAlign w:val="center"/>
          </w:tcPr>
          <w:p w14:paraId="5870BCE2">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8.6t/a</w:t>
            </w:r>
          </w:p>
        </w:tc>
        <w:tc>
          <w:tcPr>
            <w:tcW w:w="1276" w:type="dxa"/>
            <w:noWrap w:val="0"/>
            <w:vAlign w:val="center"/>
          </w:tcPr>
          <w:p w14:paraId="40F6295E">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6.12t/a</w:t>
            </w:r>
          </w:p>
        </w:tc>
        <w:tc>
          <w:tcPr>
            <w:tcW w:w="1701" w:type="dxa"/>
            <w:noWrap w:val="0"/>
            <w:vAlign w:val="center"/>
          </w:tcPr>
          <w:p w14:paraId="774A8AC6">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559" w:type="dxa"/>
            <w:noWrap w:val="0"/>
            <w:vAlign w:val="center"/>
          </w:tcPr>
          <w:p w14:paraId="5AD18D0D">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11.93</w:t>
            </w:r>
            <w:r>
              <w:rPr>
                <w:rFonts w:hint="default" w:ascii="Times New Roman" w:hAnsi="Times New Roman" w:eastAsia="宋体" w:cs="Times New Roman"/>
                <w:snapToGrid w:val="0"/>
                <w:color w:val="auto"/>
                <w:kern w:val="21"/>
                <w:szCs w:val="21"/>
                <w:u w:val="none" w:color="auto"/>
                <w:lang w:val="en-US" w:eastAsia="zh-CN"/>
              </w:rPr>
              <w:t>/a</w:t>
            </w:r>
          </w:p>
        </w:tc>
        <w:tc>
          <w:tcPr>
            <w:tcW w:w="1761" w:type="dxa"/>
            <w:noWrap w:val="0"/>
            <w:vAlign w:val="center"/>
          </w:tcPr>
          <w:p w14:paraId="2A7BFAD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8.6t/a</w:t>
            </w:r>
          </w:p>
        </w:tc>
        <w:tc>
          <w:tcPr>
            <w:tcW w:w="1505" w:type="dxa"/>
            <w:noWrap w:val="0"/>
            <w:vAlign w:val="center"/>
          </w:tcPr>
          <w:p w14:paraId="7CCC2C3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11.93</w:t>
            </w:r>
            <w:r>
              <w:rPr>
                <w:rFonts w:hint="default" w:ascii="Times New Roman" w:hAnsi="Times New Roman" w:eastAsia="宋体" w:cs="Times New Roman"/>
                <w:snapToGrid w:val="0"/>
                <w:color w:val="auto"/>
                <w:kern w:val="21"/>
                <w:szCs w:val="21"/>
                <w:u w:val="none" w:color="auto"/>
                <w:lang w:val="en-US" w:eastAsia="zh-CN"/>
              </w:rPr>
              <w:t>/a</w:t>
            </w:r>
          </w:p>
        </w:tc>
        <w:tc>
          <w:tcPr>
            <w:tcW w:w="1280" w:type="dxa"/>
            <w:noWrap w:val="0"/>
            <w:vAlign w:val="center"/>
          </w:tcPr>
          <w:p w14:paraId="554F1F9C">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r>
              <w:rPr>
                <w:rFonts w:hint="eastAsia" w:ascii="Times New Roman" w:cs="Times New Roman"/>
                <w:snapToGrid w:val="0"/>
                <w:color w:val="auto"/>
                <w:kern w:val="21"/>
                <w:szCs w:val="21"/>
                <w:u w:val="none" w:color="auto"/>
                <w:lang w:val="en-US" w:eastAsia="zh-CN"/>
              </w:rPr>
              <w:t>3.33</w:t>
            </w:r>
            <w:r>
              <w:rPr>
                <w:rFonts w:hint="default" w:ascii="Times New Roman" w:hAnsi="Times New Roman" w:eastAsia="宋体" w:cs="Times New Roman"/>
                <w:snapToGrid w:val="0"/>
                <w:color w:val="auto"/>
                <w:kern w:val="21"/>
                <w:szCs w:val="21"/>
                <w:u w:val="none" w:color="auto"/>
                <w:lang w:val="en-US" w:eastAsia="zh-CN"/>
              </w:rPr>
              <w:t>t/a</w:t>
            </w:r>
          </w:p>
        </w:tc>
      </w:tr>
      <w:tr w14:paraId="09138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69" w:type="dxa"/>
            <w:vMerge w:val="continue"/>
            <w:noWrap w:val="0"/>
            <w:vAlign w:val="center"/>
          </w:tcPr>
          <w:p w14:paraId="1A5DF652">
            <w:pPr>
              <w:pStyle w:val="52"/>
              <w:spacing w:beforeLines="0" w:afterLines="0" w:line="240" w:lineRule="auto"/>
              <w:rPr>
                <w:rFonts w:hint="default" w:ascii="Times New Roman" w:hAnsi="Times New Roman" w:eastAsia="宋体" w:cs="Times New Roman"/>
                <w:snapToGrid w:val="0"/>
                <w:color w:val="auto"/>
                <w:kern w:val="21"/>
                <w:szCs w:val="21"/>
                <w:u w:val="none" w:color="auto"/>
              </w:rPr>
            </w:pPr>
          </w:p>
        </w:tc>
        <w:tc>
          <w:tcPr>
            <w:tcW w:w="1936" w:type="dxa"/>
            <w:noWrap w:val="0"/>
            <w:vAlign w:val="center"/>
          </w:tcPr>
          <w:p w14:paraId="4E733E34">
            <w:pPr>
              <w:adjustRightInd w:val="0"/>
              <w:snapToGrid w:val="0"/>
              <w:spacing w:before="48" w:beforeLines="20" w:after="48" w:afterLines="20"/>
              <w:jc w:val="center"/>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SO</w:t>
            </w:r>
            <w:r>
              <w:rPr>
                <w:rFonts w:hint="default" w:ascii="Times New Roman" w:hAnsi="Times New Roman" w:eastAsia="宋体" w:cs="Times New Roman"/>
                <w:color w:val="auto"/>
                <w:szCs w:val="21"/>
                <w:u w:val="none" w:color="auto"/>
                <w:vertAlign w:val="subscript"/>
                <w:lang w:val="en-US" w:eastAsia="zh-CN"/>
              </w:rPr>
              <w:t>2</w:t>
            </w:r>
          </w:p>
        </w:tc>
        <w:tc>
          <w:tcPr>
            <w:tcW w:w="1701" w:type="dxa"/>
            <w:noWrap w:val="0"/>
            <w:vAlign w:val="center"/>
          </w:tcPr>
          <w:p w14:paraId="00561CCD">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1.14t/a</w:t>
            </w:r>
          </w:p>
        </w:tc>
        <w:tc>
          <w:tcPr>
            <w:tcW w:w="1276" w:type="dxa"/>
            <w:noWrap w:val="0"/>
            <w:vAlign w:val="center"/>
          </w:tcPr>
          <w:p w14:paraId="0CBA676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4.08t/a</w:t>
            </w:r>
          </w:p>
        </w:tc>
        <w:tc>
          <w:tcPr>
            <w:tcW w:w="1701" w:type="dxa"/>
            <w:noWrap w:val="0"/>
            <w:vAlign w:val="center"/>
          </w:tcPr>
          <w:p w14:paraId="3C54324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559" w:type="dxa"/>
            <w:noWrap w:val="0"/>
            <w:vAlign w:val="center"/>
          </w:tcPr>
          <w:p w14:paraId="181C1D93">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2.361</w:t>
            </w:r>
            <w:r>
              <w:rPr>
                <w:rFonts w:hint="default" w:ascii="Times New Roman" w:hAnsi="Times New Roman" w:eastAsia="宋体" w:cs="Times New Roman"/>
                <w:snapToGrid w:val="0"/>
                <w:color w:val="auto"/>
                <w:kern w:val="21"/>
                <w:szCs w:val="21"/>
                <w:u w:val="none" w:color="auto"/>
                <w:lang w:val="en-US" w:eastAsia="zh-CN"/>
              </w:rPr>
              <w:t>t/a</w:t>
            </w:r>
          </w:p>
        </w:tc>
        <w:tc>
          <w:tcPr>
            <w:tcW w:w="1761" w:type="dxa"/>
            <w:noWrap w:val="0"/>
            <w:vAlign w:val="center"/>
          </w:tcPr>
          <w:p w14:paraId="67CF8D65">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1.14t/a</w:t>
            </w:r>
          </w:p>
        </w:tc>
        <w:tc>
          <w:tcPr>
            <w:tcW w:w="1505" w:type="dxa"/>
            <w:noWrap w:val="0"/>
            <w:vAlign w:val="center"/>
          </w:tcPr>
          <w:p w14:paraId="600D9C0E">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eastAsia" w:ascii="Times New Roman" w:cs="Times New Roman"/>
                <w:snapToGrid w:val="0"/>
                <w:color w:val="auto"/>
                <w:kern w:val="21"/>
                <w:szCs w:val="21"/>
                <w:u w:val="none" w:color="auto"/>
                <w:lang w:val="en-US" w:eastAsia="zh-CN"/>
              </w:rPr>
              <w:t>2.361</w:t>
            </w:r>
            <w:r>
              <w:rPr>
                <w:rFonts w:hint="default" w:ascii="Times New Roman" w:hAnsi="Times New Roman" w:eastAsia="宋体" w:cs="Times New Roman"/>
                <w:snapToGrid w:val="0"/>
                <w:color w:val="auto"/>
                <w:kern w:val="21"/>
                <w:szCs w:val="21"/>
                <w:u w:val="none" w:color="auto"/>
                <w:lang w:val="en-US" w:eastAsia="zh-CN"/>
              </w:rPr>
              <w:t>t/a</w:t>
            </w:r>
          </w:p>
        </w:tc>
        <w:tc>
          <w:tcPr>
            <w:tcW w:w="1280" w:type="dxa"/>
            <w:noWrap w:val="0"/>
            <w:vAlign w:val="center"/>
          </w:tcPr>
          <w:p w14:paraId="6189B585">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w:t>
            </w:r>
            <w:r>
              <w:rPr>
                <w:rFonts w:hint="eastAsia" w:ascii="Times New Roman" w:cs="Times New Roman"/>
                <w:snapToGrid w:val="0"/>
                <w:color w:val="auto"/>
                <w:kern w:val="21"/>
                <w:szCs w:val="21"/>
                <w:u w:val="none" w:color="auto"/>
                <w:lang w:val="en-US" w:eastAsia="zh-CN"/>
              </w:rPr>
              <w:t>221</w:t>
            </w:r>
            <w:r>
              <w:rPr>
                <w:rFonts w:hint="default" w:ascii="Times New Roman" w:hAnsi="Times New Roman" w:eastAsia="宋体" w:cs="Times New Roman"/>
                <w:snapToGrid w:val="0"/>
                <w:color w:val="auto"/>
                <w:kern w:val="21"/>
                <w:szCs w:val="21"/>
                <w:u w:val="none" w:color="auto"/>
                <w:lang w:val="en-US" w:eastAsia="zh-CN"/>
              </w:rPr>
              <w:t>t/a</w:t>
            </w:r>
          </w:p>
        </w:tc>
      </w:tr>
      <w:tr w14:paraId="7A5D5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69" w:type="dxa"/>
            <w:noWrap w:val="0"/>
            <w:vAlign w:val="center"/>
          </w:tcPr>
          <w:p w14:paraId="3131BF0F">
            <w:pPr>
              <w:pStyle w:val="52"/>
              <w:spacing w:beforeLines="0" w:afterLines="0" w:line="240" w:lineRule="auto"/>
              <w:rPr>
                <w:rFonts w:hint="default" w:ascii="Times New Roman" w:hAnsi="Times New Roman" w:eastAsia="宋体" w:cs="Times New Roman"/>
                <w:snapToGrid w:val="0"/>
                <w:color w:val="auto"/>
                <w:kern w:val="21"/>
                <w:szCs w:val="21"/>
                <w:u w:val="none" w:color="auto"/>
              </w:rPr>
            </w:pPr>
            <w:r>
              <w:rPr>
                <w:rFonts w:hint="default" w:ascii="Times New Roman" w:hAnsi="Times New Roman" w:eastAsia="宋体" w:cs="Times New Roman"/>
                <w:snapToGrid w:val="0"/>
                <w:color w:val="auto"/>
                <w:kern w:val="21"/>
                <w:szCs w:val="21"/>
                <w:u w:val="none" w:color="auto"/>
              </w:rPr>
              <w:t>废水</w:t>
            </w:r>
          </w:p>
        </w:tc>
        <w:tc>
          <w:tcPr>
            <w:tcW w:w="1936" w:type="dxa"/>
            <w:noWrap w:val="0"/>
            <w:vAlign w:val="center"/>
          </w:tcPr>
          <w:p w14:paraId="5C1CE6E2">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701" w:type="dxa"/>
            <w:noWrap w:val="0"/>
            <w:vAlign w:val="center"/>
          </w:tcPr>
          <w:p w14:paraId="204F53BE">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276" w:type="dxa"/>
            <w:noWrap w:val="0"/>
            <w:vAlign w:val="center"/>
          </w:tcPr>
          <w:p w14:paraId="3085EC4C">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701" w:type="dxa"/>
            <w:noWrap w:val="0"/>
            <w:vAlign w:val="center"/>
          </w:tcPr>
          <w:p w14:paraId="33752910">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559" w:type="dxa"/>
            <w:noWrap w:val="0"/>
            <w:vAlign w:val="center"/>
          </w:tcPr>
          <w:p w14:paraId="31E4BC62">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761" w:type="dxa"/>
            <w:noWrap w:val="0"/>
            <w:vAlign w:val="center"/>
          </w:tcPr>
          <w:p w14:paraId="00F76DD3">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505" w:type="dxa"/>
            <w:noWrap w:val="0"/>
            <w:vAlign w:val="center"/>
          </w:tcPr>
          <w:p w14:paraId="3B014BB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c>
          <w:tcPr>
            <w:tcW w:w="1280" w:type="dxa"/>
            <w:noWrap w:val="0"/>
            <w:vAlign w:val="center"/>
          </w:tcPr>
          <w:p w14:paraId="1B9A4F83">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p>
        </w:tc>
      </w:tr>
      <w:tr w14:paraId="10BB6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69" w:type="dxa"/>
            <w:vMerge w:val="restart"/>
            <w:noWrap w:val="0"/>
            <w:vAlign w:val="center"/>
          </w:tcPr>
          <w:p w14:paraId="5DB85F47">
            <w:pPr>
              <w:pStyle w:val="52"/>
              <w:spacing w:beforeLines="0" w:afterLines="0" w:line="240" w:lineRule="auto"/>
              <w:rPr>
                <w:rFonts w:hint="default" w:ascii="Times New Roman" w:hAnsi="Times New Roman" w:eastAsia="宋体" w:cs="Times New Roman"/>
                <w:snapToGrid w:val="0"/>
                <w:color w:val="auto"/>
                <w:kern w:val="21"/>
                <w:szCs w:val="21"/>
                <w:u w:val="none" w:color="auto"/>
              </w:rPr>
            </w:pPr>
            <w:r>
              <w:rPr>
                <w:rFonts w:hint="default" w:ascii="Times New Roman" w:hAnsi="Times New Roman" w:eastAsia="宋体" w:cs="Times New Roman"/>
                <w:snapToGrid w:val="0"/>
                <w:color w:val="auto"/>
                <w:kern w:val="21"/>
                <w:szCs w:val="21"/>
                <w:u w:val="none" w:color="auto"/>
              </w:rPr>
              <w:t>一般工业</w:t>
            </w:r>
          </w:p>
          <w:p w14:paraId="1216078D">
            <w:pPr>
              <w:pStyle w:val="52"/>
              <w:spacing w:beforeLines="0" w:afterLines="0" w:line="240" w:lineRule="auto"/>
              <w:rPr>
                <w:rFonts w:hint="default" w:ascii="Times New Roman" w:hAnsi="Times New Roman" w:eastAsia="宋体" w:cs="Times New Roman"/>
                <w:snapToGrid w:val="0"/>
                <w:color w:val="auto"/>
                <w:kern w:val="21"/>
                <w:szCs w:val="21"/>
                <w:u w:val="none" w:color="auto"/>
              </w:rPr>
            </w:pPr>
            <w:r>
              <w:rPr>
                <w:rFonts w:hint="default" w:ascii="Times New Roman" w:hAnsi="Times New Roman" w:eastAsia="宋体" w:cs="Times New Roman"/>
                <w:snapToGrid w:val="0"/>
                <w:color w:val="auto"/>
                <w:kern w:val="21"/>
                <w:szCs w:val="21"/>
                <w:u w:val="none" w:color="auto"/>
              </w:rPr>
              <w:t>固体废物</w:t>
            </w:r>
          </w:p>
        </w:tc>
        <w:tc>
          <w:tcPr>
            <w:tcW w:w="1936" w:type="dxa"/>
            <w:noWrap w:val="0"/>
            <w:vAlign w:val="center"/>
          </w:tcPr>
          <w:p w14:paraId="75BC75BA">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布袋除尘器和旋风除尘器收集的锅炉烟尘</w:t>
            </w:r>
          </w:p>
        </w:tc>
        <w:tc>
          <w:tcPr>
            <w:tcW w:w="1701" w:type="dxa"/>
            <w:noWrap w:val="0"/>
            <w:vAlign w:val="center"/>
          </w:tcPr>
          <w:p w14:paraId="4E4CC820">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150.1t/a</w:t>
            </w:r>
          </w:p>
        </w:tc>
        <w:tc>
          <w:tcPr>
            <w:tcW w:w="1276" w:type="dxa"/>
            <w:noWrap w:val="0"/>
            <w:vAlign w:val="center"/>
          </w:tcPr>
          <w:p w14:paraId="22650E9E">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0</w:t>
            </w:r>
          </w:p>
        </w:tc>
        <w:tc>
          <w:tcPr>
            <w:tcW w:w="1701" w:type="dxa"/>
            <w:noWrap w:val="0"/>
            <w:vAlign w:val="center"/>
          </w:tcPr>
          <w:p w14:paraId="58D015E9">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0</w:t>
            </w:r>
          </w:p>
        </w:tc>
        <w:tc>
          <w:tcPr>
            <w:tcW w:w="1559" w:type="dxa"/>
            <w:noWrap w:val="0"/>
            <w:vAlign w:val="center"/>
          </w:tcPr>
          <w:p w14:paraId="57A8B19D">
            <w:pPr>
              <w:jc w:val="center"/>
              <w:rPr>
                <w:rFonts w:hint="default" w:ascii="Times New Roman" w:hAnsi="Times New Roman" w:eastAsia="宋体" w:cs="Times New Roman"/>
                <w:snapToGrid w:val="0"/>
                <w:color w:val="auto"/>
                <w:kern w:val="21"/>
                <w:szCs w:val="21"/>
                <w:u w:val="none" w:color="auto"/>
                <w:lang w:val="en-US" w:eastAsia="zh-CN"/>
              </w:rPr>
            </w:pPr>
            <w:r>
              <w:rPr>
                <w:rFonts w:hint="eastAsia" w:cs="Times New Roman"/>
                <w:color w:val="auto"/>
                <w:kern w:val="2"/>
                <w:sz w:val="21"/>
                <w:szCs w:val="21"/>
                <w:u w:val="none" w:color="auto"/>
                <w:lang w:val="en-US" w:eastAsia="zh-CN" w:bidi="ar-SA"/>
              </w:rPr>
              <w:t>1027.54</w:t>
            </w:r>
            <w:r>
              <w:rPr>
                <w:rFonts w:hint="default" w:ascii="Times New Roman" w:hAnsi="Times New Roman" w:eastAsia="宋体" w:cs="Times New Roman"/>
                <w:color w:val="auto"/>
                <w:kern w:val="2"/>
                <w:sz w:val="21"/>
                <w:szCs w:val="21"/>
                <w:u w:val="none" w:color="auto"/>
                <w:lang w:val="en-US" w:eastAsia="zh-CN" w:bidi="ar-SA"/>
              </w:rPr>
              <w:t>t/a</w:t>
            </w:r>
          </w:p>
        </w:tc>
        <w:tc>
          <w:tcPr>
            <w:tcW w:w="1761" w:type="dxa"/>
            <w:noWrap w:val="0"/>
            <w:vAlign w:val="center"/>
          </w:tcPr>
          <w:p w14:paraId="6E294C97">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150.1t/a</w:t>
            </w:r>
          </w:p>
        </w:tc>
        <w:tc>
          <w:tcPr>
            <w:tcW w:w="1505" w:type="dxa"/>
            <w:noWrap w:val="0"/>
            <w:vAlign w:val="center"/>
          </w:tcPr>
          <w:p w14:paraId="73D5016B">
            <w:pPr>
              <w:jc w:val="center"/>
              <w:rPr>
                <w:rFonts w:hint="default" w:ascii="Times New Roman" w:hAnsi="Times New Roman" w:eastAsia="宋体" w:cs="Times New Roman"/>
                <w:snapToGrid w:val="0"/>
                <w:color w:val="auto"/>
                <w:kern w:val="21"/>
                <w:szCs w:val="21"/>
                <w:u w:val="none" w:color="auto"/>
                <w:lang w:val="en-US" w:eastAsia="zh-CN"/>
              </w:rPr>
            </w:pPr>
            <w:r>
              <w:rPr>
                <w:rFonts w:hint="eastAsia" w:cs="Times New Roman"/>
                <w:color w:val="auto"/>
                <w:kern w:val="2"/>
                <w:sz w:val="21"/>
                <w:szCs w:val="21"/>
                <w:u w:val="none" w:color="auto"/>
                <w:lang w:val="en-US" w:eastAsia="zh-CN" w:bidi="ar-SA"/>
              </w:rPr>
              <w:t>1027.54</w:t>
            </w:r>
            <w:r>
              <w:rPr>
                <w:rFonts w:hint="default" w:ascii="Times New Roman" w:hAnsi="Times New Roman" w:eastAsia="宋体" w:cs="Times New Roman"/>
                <w:color w:val="auto"/>
                <w:kern w:val="2"/>
                <w:sz w:val="21"/>
                <w:szCs w:val="21"/>
                <w:u w:val="none" w:color="auto"/>
                <w:lang w:val="en-US" w:eastAsia="zh-CN" w:bidi="ar-SA"/>
              </w:rPr>
              <w:t>t/a</w:t>
            </w:r>
          </w:p>
        </w:tc>
        <w:tc>
          <w:tcPr>
            <w:tcW w:w="1280" w:type="dxa"/>
            <w:noWrap w:val="0"/>
            <w:vAlign w:val="center"/>
          </w:tcPr>
          <w:p w14:paraId="66E4A49A">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r>
              <w:rPr>
                <w:rFonts w:hint="eastAsia" w:ascii="Times New Roman" w:cs="Times New Roman"/>
                <w:snapToGrid w:val="0"/>
                <w:color w:val="auto"/>
                <w:kern w:val="21"/>
                <w:szCs w:val="21"/>
                <w:u w:val="none" w:color="auto"/>
                <w:lang w:val="en-US" w:eastAsia="zh-CN"/>
              </w:rPr>
              <w:t>877.44</w:t>
            </w:r>
            <w:r>
              <w:rPr>
                <w:rFonts w:hint="default" w:ascii="Times New Roman" w:hAnsi="Times New Roman" w:eastAsia="宋体" w:cs="Times New Roman"/>
                <w:snapToGrid w:val="0"/>
                <w:color w:val="auto"/>
                <w:kern w:val="21"/>
                <w:szCs w:val="21"/>
                <w:u w:val="none" w:color="auto"/>
                <w:lang w:val="en-US" w:eastAsia="zh-CN"/>
              </w:rPr>
              <w:t>t/a</w:t>
            </w:r>
          </w:p>
        </w:tc>
      </w:tr>
      <w:tr w14:paraId="47567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69" w:type="dxa"/>
            <w:vMerge w:val="continue"/>
            <w:noWrap w:val="0"/>
            <w:vAlign w:val="center"/>
          </w:tcPr>
          <w:p w14:paraId="5153B559">
            <w:pPr>
              <w:pStyle w:val="52"/>
              <w:spacing w:beforeLines="0" w:afterLines="0" w:line="240" w:lineRule="auto"/>
              <w:rPr>
                <w:rFonts w:hint="default" w:ascii="Times New Roman" w:hAnsi="Times New Roman" w:eastAsia="宋体" w:cs="Times New Roman"/>
                <w:snapToGrid w:val="0"/>
                <w:color w:val="auto"/>
                <w:kern w:val="21"/>
                <w:szCs w:val="21"/>
                <w:u w:val="none" w:color="auto"/>
              </w:rPr>
            </w:pPr>
          </w:p>
        </w:tc>
        <w:tc>
          <w:tcPr>
            <w:tcW w:w="1936" w:type="dxa"/>
            <w:noWrap w:val="0"/>
            <w:vAlign w:val="center"/>
          </w:tcPr>
          <w:p w14:paraId="4091F922">
            <w:pPr>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kern w:val="2"/>
                <w:sz w:val="21"/>
                <w:szCs w:val="21"/>
                <w:u w:val="none" w:color="auto"/>
                <w:lang w:val="en-US" w:eastAsia="zh-CN" w:bidi="ar-SA"/>
              </w:rPr>
              <w:t>锅炉炉渣</w:t>
            </w:r>
          </w:p>
        </w:tc>
        <w:tc>
          <w:tcPr>
            <w:tcW w:w="1701" w:type="dxa"/>
            <w:noWrap w:val="0"/>
            <w:vAlign w:val="center"/>
          </w:tcPr>
          <w:p w14:paraId="24BBC4AD">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20t/a</w:t>
            </w:r>
          </w:p>
        </w:tc>
        <w:tc>
          <w:tcPr>
            <w:tcW w:w="1276" w:type="dxa"/>
            <w:noWrap w:val="0"/>
            <w:vAlign w:val="center"/>
          </w:tcPr>
          <w:p w14:paraId="30B53448">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0</w:t>
            </w:r>
          </w:p>
        </w:tc>
        <w:tc>
          <w:tcPr>
            <w:tcW w:w="1701" w:type="dxa"/>
            <w:noWrap w:val="0"/>
            <w:vAlign w:val="center"/>
          </w:tcPr>
          <w:p w14:paraId="3C37317F">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0</w:t>
            </w:r>
          </w:p>
        </w:tc>
        <w:tc>
          <w:tcPr>
            <w:tcW w:w="1559" w:type="dxa"/>
            <w:noWrap w:val="0"/>
            <w:vAlign w:val="center"/>
          </w:tcPr>
          <w:p w14:paraId="419AA88E">
            <w:pPr>
              <w:jc w:val="center"/>
              <w:rPr>
                <w:rFonts w:hint="default" w:ascii="Times New Roman" w:hAnsi="Times New Roman" w:eastAsia="宋体" w:cs="Times New Roman"/>
                <w:snapToGrid w:val="0"/>
                <w:color w:val="auto"/>
                <w:kern w:val="21"/>
                <w:szCs w:val="21"/>
                <w:u w:val="none" w:color="auto"/>
                <w:lang w:val="en-US" w:eastAsia="zh-CN"/>
              </w:rPr>
            </w:pPr>
            <w:r>
              <w:rPr>
                <w:rFonts w:hint="eastAsia" w:cs="Times New Roman"/>
                <w:color w:val="auto"/>
                <w:kern w:val="2"/>
                <w:sz w:val="21"/>
                <w:szCs w:val="21"/>
                <w:u w:val="none" w:color="auto"/>
                <w:lang w:val="en-US" w:eastAsia="zh-CN" w:bidi="ar-SA"/>
              </w:rPr>
              <w:t>1173.94</w:t>
            </w:r>
            <w:r>
              <w:rPr>
                <w:rFonts w:hint="default" w:ascii="Times New Roman" w:hAnsi="Times New Roman" w:eastAsia="宋体" w:cs="Times New Roman"/>
                <w:color w:val="auto"/>
                <w:kern w:val="2"/>
                <w:sz w:val="21"/>
                <w:szCs w:val="21"/>
                <w:u w:val="none" w:color="auto"/>
                <w:lang w:val="en-US" w:eastAsia="zh-CN" w:bidi="ar-SA"/>
              </w:rPr>
              <w:t>t/a</w:t>
            </w:r>
          </w:p>
        </w:tc>
        <w:tc>
          <w:tcPr>
            <w:tcW w:w="1761" w:type="dxa"/>
            <w:noWrap w:val="0"/>
            <w:vAlign w:val="center"/>
          </w:tcPr>
          <w:p w14:paraId="75AF3EA5">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20t/a</w:t>
            </w:r>
          </w:p>
        </w:tc>
        <w:tc>
          <w:tcPr>
            <w:tcW w:w="1505" w:type="dxa"/>
            <w:noWrap w:val="0"/>
            <w:vAlign w:val="center"/>
          </w:tcPr>
          <w:p w14:paraId="136E2488">
            <w:pPr>
              <w:jc w:val="center"/>
              <w:rPr>
                <w:rFonts w:hint="default" w:ascii="Times New Roman" w:hAnsi="Times New Roman" w:eastAsia="宋体" w:cs="Times New Roman"/>
                <w:snapToGrid w:val="0"/>
                <w:color w:val="auto"/>
                <w:kern w:val="21"/>
                <w:szCs w:val="21"/>
                <w:u w:val="none" w:color="auto"/>
                <w:lang w:val="en-US" w:eastAsia="zh-CN"/>
              </w:rPr>
            </w:pPr>
            <w:r>
              <w:rPr>
                <w:rFonts w:hint="eastAsia" w:cs="Times New Roman"/>
                <w:color w:val="auto"/>
                <w:kern w:val="2"/>
                <w:sz w:val="21"/>
                <w:szCs w:val="21"/>
                <w:u w:val="none" w:color="auto"/>
                <w:lang w:val="en-US" w:eastAsia="zh-CN" w:bidi="ar-SA"/>
              </w:rPr>
              <w:t>1173.94</w:t>
            </w:r>
            <w:r>
              <w:rPr>
                <w:rFonts w:hint="default" w:ascii="Times New Roman" w:hAnsi="Times New Roman" w:eastAsia="宋体" w:cs="Times New Roman"/>
                <w:color w:val="auto"/>
                <w:kern w:val="2"/>
                <w:sz w:val="21"/>
                <w:szCs w:val="21"/>
                <w:u w:val="none" w:color="auto"/>
                <w:lang w:val="en-US" w:eastAsia="zh-CN" w:bidi="ar-SA"/>
              </w:rPr>
              <w:t>t/a</w:t>
            </w:r>
          </w:p>
        </w:tc>
        <w:tc>
          <w:tcPr>
            <w:tcW w:w="1280" w:type="dxa"/>
            <w:noWrap w:val="0"/>
            <w:vAlign w:val="center"/>
          </w:tcPr>
          <w:p w14:paraId="08A9DEDA">
            <w:pPr>
              <w:pStyle w:val="52"/>
              <w:spacing w:beforeLines="0" w:afterLines="0" w:line="240" w:lineRule="auto"/>
              <w:rPr>
                <w:rFonts w:hint="default" w:ascii="Times New Roman" w:hAnsi="Times New Roman" w:eastAsia="宋体" w:cs="Times New Roman"/>
                <w:snapToGrid w:val="0"/>
                <w:color w:val="auto"/>
                <w:kern w:val="21"/>
                <w:szCs w:val="21"/>
                <w:u w:val="none" w:color="auto"/>
                <w:lang w:val="en-US" w:eastAsia="zh-CN"/>
              </w:rPr>
            </w:pPr>
            <w:r>
              <w:rPr>
                <w:rFonts w:hint="default" w:ascii="Times New Roman" w:hAnsi="Times New Roman" w:eastAsia="宋体" w:cs="Times New Roman"/>
                <w:snapToGrid w:val="0"/>
                <w:color w:val="auto"/>
                <w:kern w:val="21"/>
                <w:szCs w:val="21"/>
                <w:u w:val="none" w:color="auto"/>
                <w:lang w:val="en-US" w:eastAsia="zh-CN"/>
              </w:rPr>
              <w:t>+</w:t>
            </w:r>
            <w:r>
              <w:rPr>
                <w:rFonts w:hint="eastAsia" w:ascii="Times New Roman" w:cs="Times New Roman"/>
                <w:snapToGrid w:val="0"/>
                <w:color w:val="auto"/>
                <w:kern w:val="21"/>
                <w:szCs w:val="21"/>
                <w:u w:val="none" w:color="auto"/>
                <w:lang w:val="en-US" w:eastAsia="zh-CN"/>
              </w:rPr>
              <w:t>1153.94</w:t>
            </w:r>
            <w:r>
              <w:rPr>
                <w:rFonts w:hint="default" w:ascii="Times New Roman" w:hAnsi="Times New Roman" w:eastAsia="宋体" w:cs="Times New Roman"/>
                <w:snapToGrid w:val="0"/>
                <w:color w:val="auto"/>
                <w:kern w:val="21"/>
                <w:szCs w:val="21"/>
                <w:u w:val="none" w:color="auto"/>
                <w:lang w:val="en-US" w:eastAsia="zh-CN"/>
              </w:rPr>
              <w:t>t/a</w:t>
            </w:r>
          </w:p>
        </w:tc>
      </w:tr>
    </w:tbl>
    <w:p w14:paraId="5603095A">
      <w:pPr>
        <w:pStyle w:val="52"/>
        <w:spacing w:before="192" w:beforeLines="80" w:after="24"/>
        <w:jc w:val="left"/>
        <w:rPr>
          <w:rFonts w:hint="default" w:ascii="Times New Roman" w:hAnsi="Times New Roman" w:eastAsia="宋体" w:cs="Times New Roman"/>
          <w:snapToGrid w:val="0"/>
          <w:color w:val="auto"/>
          <w:spacing w:val="-6"/>
          <w:kern w:val="21"/>
          <w:szCs w:val="21"/>
          <w:u w:val="none" w:color="auto"/>
        </w:rPr>
      </w:pPr>
      <w:r>
        <w:rPr>
          <w:rFonts w:hint="default" w:ascii="Times New Roman" w:hAnsi="Times New Roman" w:eastAsia="宋体" w:cs="Times New Roman"/>
          <w:snapToGrid w:val="0"/>
          <w:color w:val="auto"/>
          <w:kern w:val="21"/>
          <w:szCs w:val="21"/>
          <w:u w:val="none" w:color="auto"/>
        </w:rPr>
        <w:t>注：</w:t>
      </w:r>
      <w:r>
        <w:rPr>
          <w:rFonts w:hint="default" w:ascii="Times New Roman" w:hAnsi="Times New Roman" w:eastAsia="宋体" w:cs="Times New Roman"/>
          <w:snapToGrid w:val="0"/>
          <w:color w:val="auto"/>
          <w:spacing w:val="-16"/>
          <w:kern w:val="21"/>
          <w:szCs w:val="21"/>
          <w:u w:val="none" w:color="auto"/>
        </w:rPr>
        <w:fldChar w:fldCharType="begin"/>
      </w:r>
      <w:r>
        <w:rPr>
          <w:rFonts w:hint="default" w:ascii="Times New Roman" w:hAnsi="Times New Roman" w:eastAsia="宋体" w:cs="Times New Roman"/>
          <w:snapToGrid w:val="0"/>
          <w:color w:val="auto"/>
          <w:spacing w:val="-16"/>
          <w:kern w:val="21"/>
          <w:szCs w:val="21"/>
          <w:u w:val="none" w:color="auto"/>
        </w:rPr>
        <w:instrText xml:space="preserve"> = 6 \* GB3 \* MERGEFORMAT </w:instrText>
      </w:r>
      <w:r>
        <w:rPr>
          <w:rFonts w:hint="default" w:ascii="Times New Roman" w:hAnsi="Times New Roman" w:eastAsia="宋体" w:cs="Times New Roman"/>
          <w:snapToGrid w:val="0"/>
          <w:color w:val="auto"/>
          <w:spacing w:val="-16"/>
          <w:kern w:val="21"/>
          <w:szCs w:val="21"/>
          <w:u w:val="none" w:color="auto"/>
        </w:rPr>
        <w:fldChar w:fldCharType="separate"/>
      </w:r>
      <w:r>
        <w:rPr>
          <w:rFonts w:hint="default" w:ascii="Times New Roman" w:hAnsi="Times New Roman" w:eastAsia="宋体" w:cs="Times New Roman"/>
          <w:color w:val="auto"/>
          <w:szCs w:val="21"/>
          <w:u w:val="none" w:color="auto"/>
        </w:rPr>
        <w:t>⑥</w:t>
      </w:r>
      <w:r>
        <w:rPr>
          <w:rFonts w:hint="default" w:ascii="Times New Roman" w:hAnsi="Times New Roman" w:eastAsia="宋体" w:cs="Times New Roman"/>
          <w:snapToGrid w:val="0"/>
          <w:color w:val="auto"/>
          <w:spacing w:val="-16"/>
          <w:kern w:val="21"/>
          <w:szCs w:val="21"/>
          <w:u w:val="none" w:color="auto"/>
        </w:rPr>
        <w:fldChar w:fldCharType="end"/>
      </w:r>
      <w:r>
        <w:rPr>
          <w:rFonts w:hint="default" w:ascii="Times New Roman" w:hAnsi="Times New Roman" w:eastAsia="宋体" w:cs="Times New Roman"/>
          <w:snapToGrid w:val="0"/>
          <w:color w:val="auto"/>
          <w:spacing w:val="-16"/>
          <w:kern w:val="21"/>
          <w:szCs w:val="21"/>
          <w:u w:val="none" w:color="auto"/>
        </w:rPr>
        <w:t>=</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1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szCs w:val="21"/>
          <w:u w:val="none" w:color="auto"/>
        </w:rPr>
        <w:t>①</w:t>
      </w:r>
      <w:r>
        <w:rPr>
          <w:rFonts w:hint="default" w:ascii="Times New Roman" w:hAnsi="Times New Roman" w:eastAsia="宋体" w:cs="Times New Roman"/>
          <w:snapToGrid w:val="0"/>
          <w:color w:val="auto"/>
          <w:spacing w:val="-6"/>
          <w:kern w:val="21"/>
          <w:szCs w:val="21"/>
          <w:u w:val="none" w:color="auto"/>
        </w:rPr>
        <w:fldChar w:fldCharType="end"/>
      </w:r>
      <w:r>
        <w:rPr>
          <w:rFonts w:hint="default" w:ascii="Times New Roman" w:hAnsi="Times New Roman" w:eastAsia="宋体" w:cs="Times New Roman"/>
          <w:snapToGrid w:val="0"/>
          <w:color w:val="auto"/>
          <w:spacing w:val="-6"/>
          <w:kern w:val="21"/>
          <w:szCs w:val="21"/>
          <w:u w:val="none" w:color="auto"/>
        </w:rPr>
        <w:t>+</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3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szCs w:val="21"/>
          <w:u w:val="none" w:color="auto"/>
        </w:rPr>
        <w:t>③</w:t>
      </w:r>
      <w:r>
        <w:rPr>
          <w:rFonts w:hint="default" w:ascii="Times New Roman" w:hAnsi="Times New Roman" w:eastAsia="宋体" w:cs="Times New Roman"/>
          <w:snapToGrid w:val="0"/>
          <w:color w:val="auto"/>
          <w:spacing w:val="-6"/>
          <w:kern w:val="21"/>
          <w:szCs w:val="21"/>
          <w:u w:val="none" w:color="auto"/>
        </w:rPr>
        <w:fldChar w:fldCharType="end"/>
      </w:r>
      <w:r>
        <w:rPr>
          <w:rFonts w:hint="default" w:ascii="Times New Roman" w:hAnsi="Times New Roman" w:eastAsia="宋体" w:cs="Times New Roman"/>
          <w:snapToGrid w:val="0"/>
          <w:color w:val="auto"/>
          <w:spacing w:val="-6"/>
          <w:kern w:val="21"/>
          <w:szCs w:val="21"/>
          <w:u w:val="none" w:color="auto"/>
        </w:rPr>
        <w:t>+</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4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szCs w:val="21"/>
          <w:u w:val="none" w:color="auto"/>
        </w:rPr>
        <w:t>④</w:t>
      </w:r>
      <w:r>
        <w:rPr>
          <w:rFonts w:hint="default" w:ascii="Times New Roman" w:hAnsi="Times New Roman" w:eastAsia="宋体" w:cs="Times New Roman"/>
          <w:snapToGrid w:val="0"/>
          <w:color w:val="auto"/>
          <w:spacing w:val="-6"/>
          <w:kern w:val="21"/>
          <w:szCs w:val="21"/>
          <w:u w:val="none" w:color="auto"/>
        </w:rPr>
        <w:fldChar w:fldCharType="end"/>
      </w:r>
      <w:r>
        <w:rPr>
          <w:rFonts w:hint="default" w:ascii="Times New Roman" w:hAnsi="Times New Roman" w:eastAsia="宋体" w:cs="Times New Roman"/>
          <w:snapToGrid w:val="0"/>
          <w:color w:val="auto"/>
          <w:spacing w:val="-6"/>
          <w:kern w:val="21"/>
          <w:szCs w:val="21"/>
          <w:u w:val="none" w:color="auto"/>
        </w:rPr>
        <w:t>-</w:t>
      </w:r>
      <w:r>
        <w:rPr>
          <w:rFonts w:hint="default" w:ascii="Times New Roman" w:hAnsi="Times New Roman" w:eastAsia="宋体" w:cs="Times New Roman"/>
          <w:snapToGrid w:val="0"/>
          <w:color w:val="auto"/>
          <w:spacing w:val="-16"/>
          <w:kern w:val="21"/>
          <w:szCs w:val="21"/>
          <w:u w:val="none" w:color="auto"/>
        </w:rPr>
        <w:fldChar w:fldCharType="begin"/>
      </w:r>
      <w:r>
        <w:rPr>
          <w:rFonts w:hint="default" w:ascii="Times New Roman" w:hAnsi="Times New Roman" w:eastAsia="宋体" w:cs="Times New Roman"/>
          <w:snapToGrid w:val="0"/>
          <w:color w:val="auto"/>
          <w:spacing w:val="-16"/>
          <w:kern w:val="21"/>
          <w:szCs w:val="21"/>
          <w:u w:val="none" w:color="auto"/>
        </w:rPr>
        <w:instrText xml:space="preserve"> = 5 \* GB3 \* MERGEFORMAT </w:instrText>
      </w:r>
      <w:r>
        <w:rPr>
          <w:rFonts w:hint="default" w:ascii="Times New Roman" w:hAnsi="Times New Roman" w:eastAsia="宋体" w:cs="Times New Roman"/>
          <w:snapToGrid w:val="0"/>
          <w:color w:val="auto"/>
          <w:spacing w:val="-16"/>
          <w:kern w:val="21"/>
          <w:szCs w:val="21"/>
          <w:u w:val="none" w:color="auto"/>
        </w:rPr>
        <w:fldChar w:fldCharType="separate"/>
      </w:r>
      <w:r>
        <w:rPr>
          <w:rFonts w:hint="default" w:ascii="Times New Roman" w:hAnsi="Times New Roman" w:eastAsia="宋体" w:cs="Times New Roman"/>
          <w:color w:val="auto"/>
          <w:szCs w:val="21"/>
          <w:u w:val="none" w:color="auto"/>
        </w:rPr>
        <w:t>⑤</w:t>
      </w:r>
      <w:r>
        <w:rPr>
          <w:rFonts w:hint="default" w:ascii="Times New Roman" w:hAnsi="Times New Roman" w:eastAsia="宋体" w:cs="Times New Roman"/>
          <w:snapToGrid w:val="0"/>
          <w:color w:val="auto"/>
          <w:spacing w:val="-16"/>
          <w:kern w:val="21"/>
          <w:szCs w:val="21"/>
          <w:u w:val="none" w:color="auto"/>
        </w:rPr>
        <w:fldChar w:fldCharType="end"/>
      </w:r>
      <w:r>
        <w:rPr>
          <w:rFonts w:hint="default" w:ascii="Times New Roman" w:hAnsi="Times New Roman" w:eastAsia="宋体" w:cs="Times New Roman"/>
          <w:snapToGrid w:val="0"/>
          <w:color w:val="auto"/>
          <w:spacing w:val="-16"/>
          <w:kern w:val="21"/>
          <w:szCs w:val="21"/>
          <w:u w:val="none" w:color="auto"/>
        </w:rPr>
        <w:t>；</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7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szCs w:val="21"/>
          <w:u w:val="none" w:color="auto"/>
        </w:rPr>
        <w:t>⑦</w:t>
      </w:r>
      <w:r>
        <w:rPr>
          <w:rFonts w:hint="default" w:ascii="Times New Roman" w:hAnsi="Times New Roman" w:eastAsia="宋体" w:cs="Times New Roman"/>
          <w:snapToGrid w:val="0"/>
          <w:color w:val="auto"/>
          <w:spacing w:val="-6"/>
          <w:kern w:val="21"/>
          <w:szCs w:val="21"/>
          <w:u w:val="none" w:color="auto"/>
        </w:rPr>
        <w:fldChar w:fldCharType="end"/>
      </w:r>
      <w:r>
        <w:rPr>
          <w:rFonts w:hint="default" w:ascii="Times New Roman" w:hAnsi="Times New Roman" w:eastAsia="宋体" w:cs="Times New Roman"/>
          <w:snapToGrid w:val="0"/>
          <w:color w:val="auto"/>
          <w:spacing w:val="-6"/>
          <w:kern w:val="21"/>
          <w:szCs w:val="21"/>
          <w:u w:val="none" w:color="auto"/>
        </w:rPr>
        <w:t>=</w:t>
      </w:r>
      <w:r>
        <w:rPr>
          <w:rFonts w:hint="default" w:ascii="Times New Roman" w:hAnsi="Times New Roman" w:eastAsia="宋体" w:cs="Times New Roman"/>
          <w:snapToGrid w:val="0"/>
          <w:color w:val="auto"/>
          <w:spacing w:val="-16"/>
          <w:kern w:val="21"/>
          <w:szCs w:val="21"/>
          <w:u w:val="none" w:color="auto"/>
        </w:rPr>
        <w:fldChar w:fldCharType="begin"/>
      </w:r>
      <w:r>
        <w:rPr>
          <w:rFonts w:hint="default" w:ascii="Times New Roman" w:hAnsi="Times New Roman" w:eastAsia="宋体" w:cs="Times New Roman"/>
          <w:snapToGrid w:val="0"/>
          <w:color w:val="auto"/>
          <w:spacing w:val="-16"/>
          <w:kern w:val="21"/>
          <w:szCs w:val="21"/>
          <w:u w:val="none" w:color="auto"/>
        </w:rPr>
        <w:instrText xml:space="preserve"> = 6 \* GB3 \* MERGEFORMAT </w:instrText>
      </w:r>
      <w:r>
        <w:rPr>
          <w:rFonts w:hint="default" w:ascii="Times New Roman" w:hAnsi="Times New Roman" w:eastAsia="宋体" w:cs="Times New Roman"/>
          <w:snapToGrid w:val="0"/>
          <w:color w:val="auto"/>
          <w:spacing w:val="-16"/>
          <w:kern w:val="21"/>
          <w:szCs w:val="21"/>
          <w:u w:val="none" w:color="auto"/>
        </w:rPr>
        <w:fldChar w:fldCharType="separate"/>
      </w:r>
      <w:r>
        <w:rPr>
          <w:rFonts w:hint="default" w:ascii="Times New Roman" w:hAnsi="Times New Roman" w:eastAsia="宋体" w:cs="Times New Roman"/>
          <w:color w:val="auto"/>
          <w:szCs w:val="21"/>
          <w:u w:val="none" w:color="auto"/>
        </w:rPr>
        <w:t>⑥</w:t>
      </w:r>
      <w:r>
        <w:rPr>
          <w:rFonts w:hint="default" w:ascii="Times New Roman" w:hAnsi="Times New Roman" w:eastAsia="宋体" w:cs="Times New Roman"/>
          <w:snapToGrid w:val="0"/>
          <w:color w:val="auto"/>
          <w:spacing w:val="-16"/>
          <w:kern w:val="21"/>
          <w:szCs w:val="21"/>
          <w:u w:val="none" w:color="auto"/>
        </w:rPr>
        <w:fldChar w:fldCharType="end"/>
      </w:r>
      <w:r>
        <w:rPr>
          <w:rFonts w:hint="default" w:ascii="Times New Roman" w:hAnsi="Times New Roman" w:eastAsia="宋体" w:cs="Times New Roman"/>
          <w:snapToGrid w:val="0"/>
          <w:color w:val="auto"/>
          <w:spacing w:val="-16"/>
          <w:kern w:val="21"/>
          <w:szCs w:val="21"/>
          <w:u w:val="none" w:color="auto"/>
        </w:rPr>
        <w:t>-</w:t>
      </w:r>
      <w:r>
        <w:rPr>
          <w:rFonts w:hint="default" w:ascii="Times New Roman" w:hAnsi="Times New Roman" w:eastAsia="宋体" w:cs="Times New Roman"/>
          <w:snapToGrid w:val="0"/>
          <w:color w:val="auto"/>
          <w:spacing w:val="-6"/>
          <w:kern w:val="21"/>
          <w:szCs w:val="21"/>
          <w:u w:val="none" w:color="auto"/>
        </w:rPr>
        <w:fldChar w:fldCharType="begin"/>
      </w:r>
      <w:r>
        <w:rPr>
          <w:rFonts w:hint="default" w:ascii="Times New Roman" w:hAnsi="Times New Roman" w:eastAsia="宋体" w:cs="Times New Roman"/>
          <w:snapToGrid w:val="0"/>
          <w:color w:val="auto"/>
          <w:spacing w:val="-6"/>
          <w:kern w:val="21"/>
          <w:szCs w:val="21"/>
          <w:u w:val="none" w:color="auto"/>
        </w:rPr>
        <w:instrText xml:space="preserve"> = 1 \* GB3 \* MERGEFORMAT </w:instrText>
      </w:r>
      <w:r>
        <w:rPr>
          <w:rFonts w:hint="default" w:ascii="Times New Roman" w:hAnsi="Times New Roman" w:eastAsia="宋体" w:cs="Times New Roman"/>
          <w:snapToGrid w:val="0"/>
          <w:color w:val="auto"/>
          <w:spacing w:val="-6"/>
          <w:kern w:val="21"/>
          <w:szCs w:val="21"/>
          <w:u w:val="none" w:color="auto"/>
        </w:rPr>
        <w:fldChar w:fldCharType="separate"/>
      </w:r>
      <w:r>
        <w:rPr>
          <w:rFonts w:hint="default" w:ascii="Times New Roman" w:hAnsi="Times New Roman" w:eastAsia="宋体" w:cs="Times New Roman"/>
          <w:color w:val="auto"/>
          <w:szCs w:val="21"/>
          <w:u w:val="none" w:color="auto"/>
        </w:rPr>
        <w:t>①</w:t>
      </w:r>
      <w:r>
        <w:rPr>
          <w:rFonts w:hint="default" w:ascii="Times New Roman" w:hAnsi="Times New Roman" w:eastAsia="宋体" w:cs="Times New Roman"/>
          <w:snapToGrid w:val="0"/>
          <w:color w:val="auto"/>
          <w:spacing w:val="-6"/>
          <w:kern w:val="21"/>
          <w:szCs w:val="21"/>
          <w:u w:val="none" w:color="auto"/>
        </w:rPr>
        <w:fldChar w:fldCharType="end"/>
      </w:r>
    </w:p>
    <w:p w14:paraId="1692000B">
      <w:pPr>
        <w:rPr>
          <w:rFonts w:hint="default" w:ascii="Times New Roman" w:hAnsi="Times New Roman" w:eastAsia="宋体" w:cs="Times New Roman"/>
          <w:color w:val="auto"/>
          <w:u w:val="none" w:color="auto"/>
        </w:rPr>
        <w:sectPr>
          <w:footerReference r:id="rId7"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182C8B80">
      <w:pPr>
        <w:pStyle w:val="34"/>
        <w:ind w:left="0" w:leftChars="0" w:firstLine="0" w:firstLineChars="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附件1：环评委托书</w:t>
      </w:r>
    </w:p>
    <w:p w14:paraId="620E5B6F">
      <w:pPr>
        <w:jc w:val="right"/>
        <w:rPr>
          <w:rFonts w:hint="default" w:ascii="Times New Roman" w:hAnsi="Times New Roman" w:eastAsia="宋体" w:cs="Times New Roman"/>
          <w:color w:val="auto"/>
          <w:u w:val="none" w:color="auto"/>
        </w:rPr>
      </w:pPr>
    </w:p>
    <w:p w14:paraId="74639C65">
      <w:pPr>
        <w:pStyle w:val="97"/>
        <w:ind w:firstLine="480"/>
        <w:rPr>
          <w:rFonts w:hint="eastAsia" w:ascii="Times New Roman" w:hAnsi="Times New Roman" w:eastAsia="宋体" w:cs="Times New Roman"/>
          <w:color w:val="000000"/>
          <w:u w:val="none" w:color="auto"/>
          <w:lang w:eastAsia="zh-CN"/>
        </w:rPr>
      </w:pPr>
      <w:r>
        <w:rPr>
          <w:sz w:val="24"/>
        </w:rPr>
        <mc:AlternateContent>
          <mc:Choice Requires="wps">
            <w:drawing>
              <wp:anchor distT="0" distB="0" distL="114300" distR="114300" simplePos="0" relativeHeight="251763712" behindDoc="0" locked="0" layoutInCell="1" allowOverlap="1">
                <wp:simplePos x="0" y="0"/>
                <wp:positionH relativeFrom="column">
                  <wp:posOffset>3824605</wp:posOffset>
                </wp:positionH>
                <wp:positionV relativeFrom="paragraph">
                  <wp:posOffset>3803650</wp:posOffset>
                </wp:positionV>
                <wp:extent cx="917575" cy="252095"/>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917575" cy="2520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99F72">
                            <w:pPr>
                              <w:rPr>
                                <w:rFonts w:hint="default" w:eastAsia="宋体"/>
                                <w:lang w:val="en-US" w:eastAsia="zh-CN"/>
                              </w:rPr>
                            </w:pPr>
                            <w:r>
                              <w:rPr>
                                <w:rFonts w:hint="eastAsia"/>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15pt;margin-top:299.5pt;height:19.85pt;width:72.25pt;z-index:251763712;mso-width-relative:page;mso-height-relative:page;" filled="f" stroked="f" coordsize="21600,21600" o:gfxdata="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QFS59wAAAALAQAADwAAAAAAAAABACAAAAAiAAAA&#10;ZHJzL2Rvd25yZXYueG1sUEsBAhQAFAAAAAgAh07iQKqmHXY8AgAAaQQAAA4AAAAAAAAAAQAgAAAA&#10;KwEAAGRycy9lMm9Eb2MueG1sUEsFBgAAAAAGAAYAWQEAANkFAAAAAA==&#10;">
                <v:fill on="f" focussize="0,0"/>
                <v:stroke on="f" weight="0.5pt"/>
                <v:imagedata o:title=""/>
                <o:lock v:ext="edit" aspectratio="f"/>
                <v:textbox>
                  <w:txbxContent>
                    <w:p w14:paraId="6DE99F72">
                      <w:pPr>
                        <w:rPr>
                          <w:rFonts w:hint="default" w:eastAsia="宋体"/>
                          <w:lang w:val="en-US" w:eastAsia="zh-CN"/>
                        </w:rPr>
                      </w:pPr>
                      <w:r>
                        <w:rPr>
                          <w:rFonts w:hint="eastAsia"/>
                          <w:lang w:val="en-US" w:eastAsia="zh-CN"/>
                        </w:rPr>
                        <w:t>7</w:t>
                      </w:r>
                    </w:p>
                  </w:txbxContent>
                </v:textbox>
              </v:shape>
            </w:pict>
          </mc:Fallback>
        </mc:AlternateContent>
      </w:r>
      <w:r>
        <w:rPr>
          <w:sz w:val="24"/>
        </w:rPr>
        <mc:AlternateContent>
          <mc:Choice Requires="wps">
            <w:drawing>
              <wp:anchor distT="0" distB="0" distL="114300" distR="114300" simplePos="0" relativeHeight="251762688" behindDoc="0" locked="0" layoutInCell="1" allowOverlap="1">
                <wp:simplePos x="0" y="0"/>
                <wp:positionH relativeFrom="column">
                  <wp:posOffset>3377565</wp:posOffset>
                </wp:positionH>
                <wp:positionV relativeFrom="paragraph">
                  <wp:posOffset>3807460</wp:posOffset>
                </wp:positionV>
                <wp:extent cx="917575" cy="252095"/>
                <wp:effectExtent l="0" t="0" r="0" b="0"/>
                <wp:wrapNone/>
                <wp:docPr id="23" name="文本框 23"/>
                <wp:cNvGraphicFramePr/>
                <a:graphic xmlns:a="http://schemas.openxmlformats.org/drawingml/2006/main">
                  <a:graphicData uri="http://schemas.microsoft.com/office/word/2010/wordprocessingShape">
                    <wps:wsp>
                      <wps:cNvSpPr txBox="1"/>
                      <wps:spPr>
                        <a:xfrm>
                          <a:off x="4658995" y="5329555"/>
                          <a:ext cx="917575" cy="2520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2D28D">
                            <w:pPr>
                              <w:rPr>
                                <w:rFonts w:hint="default" w:eastAsia="宋体"/>
                                <w:lang w:val="en-US" w:eastAsia="zh-CN"/>
                              </w:rPr>
                            </w:pPr>
                            <w:r>
                              <w:rPr>
                                <w:rFonts w:hint="eastAsia"/>
                                <w:lang w:val="en-US" w:eastAsia="zh-CN"/>
                              </w:rPr>
                              <w:t>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95pt;margin-top:299.8pt;height:19.85pt;width:72.25pt;z-index:251762688;mso-width-relative:page;mso-height-relative:page;" filled="f" stroked="f" coordsize="21600,21600" o:gfxdata="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MgXJ7cAAAACwEAAA8AAAAA&#10;AAAAAQAgAAAAIgAAAGRycy9kb3ducmV2LnhtbFBLAQIUABQAAAAIAIdO4kDfl+bhSQIAAHMEAAAO&#10;AAAAAAAAAAEAIAAAACsBAABkcnMvZTJvRG9jLnhtbFBLBQYAAAAABgAGAFkBAADmBQAAAAA=&#10;">
                <v:fill on="f" focussize="0,0"/>
                <v:stroke on="f" weight="0.5pt"/>
                <v:imagedata o:title=""/>
                <o:lock v:ext="edit" aspectratio="f"/>
                <v:textbox>
                  <w:txbxContent>
                    <w:p w14:paraId="5C62D28D">
                      <w:pPr>
                        <w:rPr>
                          <w:rFonts w:hint="default" w:eastAsia="宋体"/>
                          <w:lang w:val="en-US" w:eastAsia="zh-CN"/>
                        </w:rPr>
                      </w:pPr>
                      <w:r>
                        <w:rPr>
                          <w:rFonts w:hint="eastAsia"/>
                          <w:lang w:val="en-US" w:eastAsia="zh-CN"/>
                        </w:rPr>
                        <w:t>2025</w:t>
                      </w:r>
                    </w:p>
                  </w:txbxContent>
                </v:textbox>
              </v:shape>
            </w:pict>
          </mc:Fallback>
        </mc:AlternateContent>
      </w:r>
      <w:r>
        <w:rPr>
          <w:rFonts w:hint="eastAsia" w:ascii="Times New Roman" w:hAnsi="Times New Roman" w:eastAsia="宋体" w:cs="Times New Roman"/>
          <w:color w:val="000000"/>
          <w:u w:val="none" w:color="auto"/>
          <w:lang w:eastAsia="zh-CN"/>
        </w:rPr>
        <w:drawing>
          <wp:inline distT="0" distB="0" distL="114300" distR="114300">
            <wp:extent cx="5269865" cy="7247255"/>
            <wp:effectExtent l="0" t="0" r="6985" b="10795"/>
            <wp:docPr id="224" name="图片 224" descr="2513529ce19289bf81bfae9824fea8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2513529ce19289bf81bfae9824fea89a"/>
                    <pic:cNvPicPr>
                      <a:picLocks noChangeAspect="1"/>
                    </pic:cNvPicPr>
                  </pic:nvPicPr>
                  <pic:blipFill>
                    <a:blip r:embed="rId93"/>
                    <a:stretch>
                      <a:fillRect/>
                    </a:stretch>
                  </pic:blipFill>
                  <pic:spPr>
                    <a:xfrm>
                      <a:off x="0" y="0"/>
                      <a:ext cx="5269865" cy="7247255"/>
                    </a:xfrm>
                    <a:prstGeom prst="rect">
                      <a:avLst/>
                    </a:prstGeom>
                  </pic:spPr>
                </pic:pic>
              </a:graphicData>
            </a:graphic>
          </wp:inline>
        </w:drawing>
      </w:r>
    </w:p>
    <w:p w14:paraId="277285BD">
      <w:pPr>
        <w:pStyle w:val="99"/>
        <w:rPr>
          <w:rFonts w:hint="default" w:ascii="Times New Roman" w:hAnsi="Times New Roman" w:eastAsia="宋体" w:cs="Times New Roman"/>
          <w:color w:val="000000"/>
          <w:u w:val="none" w:color="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37A7401">
      <w:pPr>
        <w:pStyle w:val="34"/>
        <w:ind w:left="0" w:leftChars="0" w:firstLine="0" w:firstLineChars="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t>附件2：营业执照</w:t>
      </w:r>
    </w:p>
    <w:p w14:paraId="0E36ACBA">
      <w:pPr>
        <w:pStyle w:val="6"/>
        <w:ind w:left="0" w:leftChars="0" w:firstLine="0" w:firstLineChars="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color w:val="auto"/>
          <w:u w:val="none" w:color="auto"/>
          <w:lang w:val="en-US" w:eastAsia="zh-CN"/>
        </w:rPr>
        <w:drawing>
          <wp:inline distT="0" distB="0" distL="114300" distR="114300">
            <wp:extent cx="8009255" cy="5823585"/>
            <wp:effectExtent l="0" t="0" r="5715" b="10795"/>
            <wp:docPr id="12" name="图片 12" descr="7383e09b13e090db193dd8bcc2dfa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383e09b13e090db193dd8bcc2dfa9d"/>
                    <pic:cNvPicPr>
                      <a:picLocks noChangeAspect="1"/>
                    </pic:cNvPicPr>
                  </pic:nvPicPr>
                  <pic:blipFill>
                    <a:blip r:embed="rId94"/>
                    <a:stretch>
                      <a:fillRect/>
                    </a:stretch>
                  </pic:blipFill>
                  <pic:spPr>
                    <a:xfrm rot="16200000">
                      <a:off x="0" y="0"/>
                      <a:ext cx="8009255" cy="5823585"/>
                    </a:xfrm>
                    <a:prstGeom prst="rect">
                      <a:avLst/>
                    </a:prstGeom>
                  </pic:spPr>
                </pic:pic>
              </a:graphicData>
            </a:graphic>
          </wp:inline>
        </w:drawing>
      </w:r>
    </w:p>
    <w:p w14:paraId="27B2A5C5">
      <w:pPr>
        <w:pStyle w:val="7"/>
        <w:rPr>
          <w:rFonts w:hint="default" w:ascii="Times New Roman" w:hAnsi="Times New Roman" w:eastAsia="宋体" w:cs="Times New Roman"/>
          <w:color w:val="auto"/>
          <w:u w:val="none" w:color="auto"/>
          <w:lang w:val="en-US" w:eastAsia="zh-CN"/>
        </w:rPr>
      </w:pPr>
    </w:p>
    <w:p w14:paraId="4CE4EE1F">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附件3：</w:t>
      </w:r>
      <w:r>
        <w:rPr>
          <w:rFonts w:hint="default" w:ascii="Times New Roman" w:hAnsi="Times New Roman" w:eastAsia="宋体" w:cs="Times New Roman"/>
          <w:color w:val="auto"/>
          <w:spacing w:val="6"/>
          <w:szCs w:val="21"/>
          <w:u w:val="none" w:color="auto"/>
          <w:lang w:val="en-US" w:eastAsia="zh-CN"/>
        </w:rPr>
        <w:t>土地证</w:t>
      </w:r>
    </w:p>
    <w:p w14:paraId="13A5105F">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u w:val="none" w:color="auto"/>
        </w:rPr>
        <w:drawing>
          <wp:inline distT="0" distB="0" distL="114300" distR="114300">
            <wp:extent cx="5608955" cy="7992110"/>
            <wp:effectExtent l="0" t="0" r="10795" b="8890"/>
            <wp:docPr id="7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6"/>
                    <pic:cNvPicPr>
                      <a:picLocks noChangeAspect="1"/>
                    </pic:cNvPicPr>
                  </pic:nvPicPr>
                  <pic:blipFill>
                    <a:blip r:embed="rId95"/>
                    <a:stretch>
                      <a:fillRect/>
                    </a:stretch>
                  </pic:blipFill>
                  <pic:spPr>
                    <a:xfrm>
                      <a:off x="0" y="0"/>
                      <a:ext cx="5608955" cy="799211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8000365"/>
            <wp:effectExtent l="0" t="0" r="10160" b="635"/>
            <wp:docPr id="1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7"/>
                    <pic:cNvPicPr>
                      <a:picLocks noChangeAspect="1"/>
                    </pic:cNvPicPr>
                  </pic:nvPicPr>
                  <pic:blipFill>
                    <a:blip r:embed="rId96"/>
                    <a:stretch>
                      <a:fillRect/>
                    </a:stretch>
                  </pic:blipFill>
                  <pic:spPr>
                    <a:xfrm>
                      <a:off x="0" y="0"/>
                      <a:ext cx="5609590" cy="800036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7912100"/>
            <wp:effectExtent l="0" t="0" r="10160" b="12700"/>
            <wp:docPr id="10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9"/>
                    <pic:cNvPicPr>
                      <a:picLocks noChangeAspect="1"/>
                    </pic:cNvPicPr>
                  </pic:nvPicPr>
                  <pic:blipFill>
                    <a:blip r:embed="rId97"/>
                    <a:stretch>
                      <a:fillRect/>
                    </a:stretch>
                  </pic:blipFill>
                  <pic:spPr>
                    <a:xfrm>
                      <a:off x="0" y="0"/>
                      <a:ext cx="5609590" cy="7912100"/>
                    </a:xfrm>
                    <a:prstGeom prst="rect">
                      <a:avLst/>
                    </a:prstGeom>
                    <a:noFill/>
                    <a:ln>
                      <a:noFill/>
                    </a:ln>
                  </pic:spPr>
                </pic:pic>
              </a:graphicData>
            </a:graphic>
          </wp:inline>
        </w:drawing>
      </w:r>
    </w:p>
    <w:p w14:paraId="1BD25F13">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15AB7645">
      <w:pPr>
        <w:pStyle w:val="7"/>
        <w:ind w:left="0" w:leftChars="0" w:firstLine="0" w:firstLineChars="0"/>
        <w:rPr>
          <w:rFonts w:hint="default" w:ascii="Times New Roman" w:hAnsi="Times New Roman" w:eastAsia="宋体" w:cs="Times New Roman"/>
          <w:color w:val="auto"/>
          <w:u w:val="none" w:color="auto"/>
          <w:lang w:val="en-US" w:eastAsia="zh-CN"/>
        </w:rPr>
      </w:pPr>
    </w:p>
    <w:p w14:paraId="035192C6">
      <w:pPr>
        <w:pStyle w:val="7"/>
        <w:ind w:left="0" w:leftChars="0" w:firstLine="0" w:firstLineChars="0"/>
        <w:rPr>
          <w:rFonts w:hint="default" w:ascii="Times New Roman" w:hAnsi="Times New Roman" w:eastAsia="宋体" w:cs="Times New Roman"/>
          <w:color w:val="auto"/>
          <w:u w:val="none" w:color="auto"/>
          <w:lang w:val="en-US" w:eastAsia="zh-CN"/>
        </w:rPr>
      </w:pPr>
    </w:p>
    <w:p w14:paraId="62EA3ACA">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附件4：</w:t>
      </w:r>
      <w:r>
        <w:rPr>
          <w:rFonts w:hint="default" w:ascii="Times New Roman" w:hAnsi="Times New Roman" w:eastAsia="宋体" w:cs="Times New Roman"/>
          <w:color w:val="auto"/>
          <w:spacing w:val="6"/>
          <w:szCs w:val="21"/>
          <w:u w:val="none" w:color="auto"/>
          <w:lang w:val="en-US" w:eastAsia="zh-CN"/>
        </w:rPr>
        <w:t>现有工程环评批复</w:t>
      </w:r>
    </w:p>
    <w:p w14:paraId="3A0E9674">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u w:val="none" w:color="auto"/>
        </w:rPr>
        <w:drawing>
          <wp:inline distT="0" distB="0" distL="114300" distR="114300">
            <wp:extent cx="5266690" cy="7022465"/>
            <wp:effectExtent l="0" t="0" r="10160" b="6985"/>
            <wp:docPr id="107" name="图片 40" descr="C:\Users\Administrator\Desktop\QQ图片2018030215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0" descr="C:\Users\Administrator\Desktop\QQ图片20180302153520.jpg"/>
                    <pic:cNvPicPr>
                      <a:picLocks noChangeAspect="1"/>
                    </pic:cNvPicPr>
                  </pic:nvPicPr>
                  <pic:blipFill>
                    <a:blip r:embed="rId98"/>
                    <a:stretch>
                      <a:fillRect/>
                    </a:stretch>
                  </pic:blipFill>
                  <pic:spPr>
                    <a:xfrm>
                      <a:off x="0" y="0"/>
                      <a:ext cx="5266690" cy="702246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271135" cy="7025640"/>
            <wp:effectExtent l="0" t="0" r="5715" b="3810"/>
            <wp:docPr id="108" name="图片 41" descr="C:\Users\Administrator\Desktop\QQ图片2018030215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1" descr="C:\Users\Administrator\Desktop\QQ图片20180302153530.jpg"/>
                    <pic:cNvPicPr>
                      <a:picLocks noChangeAspect="1"/>
                    </pic:cNvPicPr>
                  </pic:nvPicPr>
                  <pic:blipFill>
                    <a:blip r:embed="rId99"/>
                    <a:stretch>
                      <a:fillRect/>
                    </a:stretch>
                  </pic:blipFill>
                  <pic:spPr>
                    <a:xfrm>
                      <a:off x="0" y="0"/>
                      <a:ext cx="5271135" cy="7025640"/>
                    </a:xfrm>
                    <a:prstGeom prst="rect">
                      <a:avLst/>
                    </a:prstGeom>
                    <a:noFill/>
                    <a:ln>
                      <a:noFill/>
                    </a:ln>
                  </pic:spPr>
                </pic:pic>
              </a:graphicData>
            </a:graphic>
          </wp:inline>
        </w:drawing>
      </w:r>
      <w:r>
        <w:rPr>
          <w:rFonts w:hint="default" w:ascii="Times New Roman" w:hAnsi="Times New Roman" w:eastAsia="宋体" w:cs="Times New Roman"/>
          <w:u w:val="none" w:color="auto"/>
          <w:lang w:eastAsia="zh-CN"/>
        </w:rPr>
        <w:drawing>
          <wp:inline distT="0" distB="0" distL="114300" distR="114300">
            <wp:extent cx="5269865" cy="7247255"/>
            <wp:effectExtent l="0" t="0" r="6985" b="10795"/>
            <wp:docPr id="109" name="图片 109" descr="宝丽锅炉批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宝丽锅炉批复"/>
                    <pic:cNvPicPr>
                      <a:picLocks noChangeAspect="1"/>
                    </pic:cNvPicPr>
                  </pic:nvPicPr>
                  <pic:blipFill>
                    <a:blip r:embed="rId100"/>
                    <a:stretch>
                      <a:fillRect/>
                    </a:stretch>
                  </pic:blipFill>
                  <pic:spPr>
                    <a:xfrm>
                      <a:off x="0" y="0"/>
                      <a:ext cx="5269865" cy="7247255"/>
                    </a:xfrm>
                    <a:prstGeom prst="rect">
                      <a:avLst/>
                    </a:prstGeom>
                  </pic:spPr>
                </pic:pic>
              </a:graphicData>
            </a:graphic>
          </wp:inline>
        </w:drawing>
      </w:r>
      <w:r>
        <w:rPr>
          <w:rFonts w:hint="default" w:ascii="Times New Roman" w:hAnsi="Times New Roman" w:eastAsia="宋体" w:cs="Times New Roman"/>
          <w:u w:val="none" w:color="auto"/>
          <w:lang w:eastAsia="zh-CN"/>
        </w:rPr>
        <w:drawing>
          <wp:inline distT="0" distB="0" distL="114300" distR="114300">
            <wp:extent cx="5269865" cy="7247255"/>
            <wp:effectExtent l="0" t="0" r="6985" b="10795"/>
            <wp:docPr id="110" name="图片 110" descr="宝丽锅炉批复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宝丽锅炉批复 001"/>
                    <pic:cNvPicPr>
                      <a:picLocks noChangeAspect="1"/>
                    </pic:cNvPicPr>
                  </pic:nvPicPr>
                  <pic:blipFill>
                    <a:blip r:embed="rId101"/>
                    <a:stretch>
                      <a:fillRect/>
                    </a:stretch>
                  </pic:blipFill>
                  <pic:spPr>
                    <a:xfrm>
                      <a:off x="0" y="0"/>
                      <a:ext cx="5269865" cy="7247255"/>
                    </a:xfrm>
                    <a:prstGeom prst="rect">
                      <a:avLst/>
                    </a:prstGeom>
                  </pic:spPr>
                </pic:pic>
              </a:graphicData>
            </a:graphic>
          </wp:inline>
        </w:drawing>
      </w:r>
      <w:r>
        <w:rPr>
          <w:rFonts w:hint="default" w:ascii="Times New Roman" w:hAnsi="Times New Roman" w:eastAsia="宋体" w:cs="Times New Roman"/>
          <w:u w:val="none" w:color="auto"/>
          <w:lang w:eastAsia="zh-CN"/>
        </w:rPr>
        <w:drawing>
          <wp:inline distT="0" distB="0" distL="114300" distR="114300">
            <wp:extent cx="5269865" cy="7247255"/>
            <wp:effectExtent l="0" t="0" r="6985" b="10795"/>
            <wp:docPr id="111" name="图片 111" descr="宝丽锅炉批复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宝丽锅炉批复 002"/>
                    <pic:cNvPicPr>
                      <a:picLocks noChangeAspect="1"/>
                    </pic:cNvPicPr>
                  </pic:nvPicPr>
                  <pic:blipFill>
                    <a:blip r:embed="rId102"/>
                    <a:stretch>
                      <a:fillRect/>
                    </a:stretch>
                  </pic:blipFill>
                  <pic:spPr>
                    <a:xfrm>
                      <a:off x="0" y="0"/>
                      <a:ext cx="5269865" cy="7247255"/>
                    </a:xfrm>
                    <a:prstGeom prst="rect">
                      <a:avLst/>
                    </a:prstGeom>
                  </pic:spPr>
                </pic:pic>
              </a:graphicData>
            </a:graphic>
          </wp:inline>
        </w:drawing>
      </w:r>
    </w:p>
    <w:p w14:paraId="43DA7C6A">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2111BDB6">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45C2AFB9">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1B6665C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5F931387">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555A0BC7">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56E07756">
      <w:pPr>
        <w:pStyle w:val="7"/>
        <w:ind w:left="0" w:leftChars="0" w:firstLine="0" w:firstLineChars="0"/>
        <w:rPr>
          <w:rFonts w:hint="default" w:ascii="Times New Roman" w:hAnsi="Times New Roman" w:eastAsia="宋体" w:cs="Times New Roman"/>
          <w:color w:val="auto"/>
          <w:u w:val="none" w:color="auto"/>
          <w:lang w:val="en-US" w:eastAsia="zh-CN"/>
        </w:rPr>
      </w:pPr>
    </w:p>
    <w:p w14:paraId="67B33964">
      <w:pPr>
        <w:pStyle w:val="7"/>
        <w:ind w:left="0" w:leftChars="0" w:firstLine="0" w:firstLineChars="0"/>
        <w:rPr>
          <w:rFonts w:hint="default" w:ascii="Times New Roman" w:hAnsi="Times New Roman" w:eastAsia="宋体" w:cs="Times New Roman"/>
          <w:color w:val="auto"/>
          <w:u w:val="none" w:color="auto"/>
          <w:lang w:val="en-US" w:eastAsia="zh-CN"/>
        </w:rPr>
      </w:pPr>
    </w:p>
    <w:p w14:paraId="43F131A5">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附件5：</w:t>
      </w:r>
      <w:r>
        <w:rPr>
          <w:rFonts w:hint="default" w:ascii="Times New Roman" w:hAnsi="Times New Roman" w:eastAsia="宋体" w:cs="Times New Roman"/>
          <w:color w:val="auto"/>
          <w:spacing w:val="6"/>
          <w:szCs w:val="21"/>
          <w:u w:val="none" w:color="auto"/>
          <w:lang w:val="en-US" w:eastAsia="zh-CN"/>
        </w:rPr>
        <w:t>现有工程验收批复</w:t>
      </w:r>
    </w:p>
    <w:p w14:paraId="0FDBC249">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079869CB">
      <w:pPr>
        <w:pStyle w:val="7"/>
        <w:ind w:left="0" w:leftChars="0" w:firstLine="0" w:firstLineChars="0"/>
        <w:rPr>
          <w:rFonts w:hint="default" w:ascii="Times New Roman" w:hAnsi="Times New Roman" w:eastAsia="宋体" w:cs="Times New Roman"/>
          <w:color w:val="auto"/>
          <w:u w:val="none" w:color="auto"/>
          <w:lang w:val="en-US" w:eastAsia="zh-CN"/>
        </w:rPr>
      </w:pPr>
      <w:r>
        <w:rPr>
          <w:rFonts w:hint="default" w:ascii="Times New Roman" w:hAnsi="Times New Roman" w:eastAsia="宋体" w:cs="Times New Roman"/>
          <w:u w:val="none" w:color="auto"/>
        </w:rPr>
        <w:drawing>
          <wp:inline distT="0" distB="0" distL="114300" distR="114300">
            <wp:extent cx="5262880" cy="7047230"/>
            <wp:effectExtent l="0" t="0" r="13970" b="1270"/>
            <wp:docPr id="112" name="图片 42" descr="C:\Users\Administrator\Desktop\QQ图片2018030215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2" descr="C:\Users\Administrator\Desktop\QQ图片20180302153537.jpg"/>
                    <pic:cNvPicPr>
                      <a:picLocks noChangeAspect="1"/>
                    </pic:cNvPicPr>
                  </pic:nvPicPr>
                  <pic:blipFill>
                    <a:blip r:embed="rId103"/>
                    <a:stretch>
                      <a:fillRect/>
                    </a:stretch>
                  </pic:blipFill>
                  <pic:spPr>
                    <a:xfrm>
                      <a:off x="0" y="0"/>
                      <a:ext cx="5262880" cy="704723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266690" cy="7110095"/>
            <wp:effectExtent l="0" t="0" r="10160" b="14605"/>
            <wp:docPr id="113" name="图片 43" descr="C:\Users\Administrator\Desktop\QQ图片2018030215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3" descr="C:\Users\Administrator\Desktop\QQ图片20180302153543.jpg"/>
                    <pic:cNvPicPr>
                      <a:picLocks noChangeAspect="1"/>
                    </pic:cNvPicPr>
                  </pic:nvPicPr>
                  <pic:blipFill>
                    <a:blip r:embed="rId104"/>
                    <a:stretch>
                      <a:fillRect/>
                    </a:stretch>
                  </pic:blipFill>
                  <pic:spPr>
                    <a:xfrm>
                      <a:off x="0" y="0"/>
                      <a:ext cx="5266690" cy="7110095"/>
                    </a:xfrm>
                    <a:prstGeom prst="rect">
                      <a:avLst/>
                    </a:prstGeom>
                    <a:noFill/>
                    <a:ln>
                      <a:noFill/>
                    </a:ln>
                  </pic:spPr>
                </pic:pic>
              </a:graphicData>
            </a:graphic>
          </wp:inline>
        </w:drawing>
      </w:r>
    </w:p>
    <w:p w14:paraId="3941A285">
      <w:pPr>
        <w:pStyle w:val="7"/>
        <w:ind w:left="0" w:leftChars="0" w:firstLine="0" w:firstLineChars="0"/>
        <w:rPr>
          <w:rFonts w:hint="default" w:ascii="Times New Roman" w:hAnsi="Times New Roman" w:eastAsia="宋体" w:cs="Times New Roman"/>
          <w:color w:val="auto"/>
          <w:u w:val="none" w:color="auto"/>
          <w:lang w:val="en-US" w:eastAsia="zh-CN"/>
        </w:rPr>
      </w:pPr>
    </w:p>
    <w:p w14:paraId="4505080F">
      <w:pPr>
        <w:pStyle w:val="7"/>
        <w:ind w:left="0" w:leftChars="0" w:firstLine="0" w:firstLineChars="0"/>
        <w:rPr>
          <w:rFonts w:hint="default" w:ascii="Times New Roman" w:hAnsi="Times New Roman" w:eastAsia="宋体" w:cs="Times New Roman"/>
          <w:color w:val="auto"/>
          <w:u w:val="none" w:color="auto"/>
          <w:lang w:val="en-US" w:eastAsia="zh-CN"/>
        </w:rPr>
      </w:pPr>
    </w:p>
    <w:p w14:paraId="29187BC5">
      <w:pPr>
        <w:pStyle w:val="7"/>
        <w:ind w:left="0" w:leftChars="0" w:firstLine="0" w:firstLineChars="0"/>
        <w:rPr>
          <w:rFonts w:hint="default" w:ascii="Times New Roman" w:hAnsi="Times New Roman" w:eastAsia="宋体" w:cs="Times New Roman"/>
          <w:color w:val="auto"/>
          <w:u w:val="none" w:color="auto"/>
          <w:lang w:val="en-US" w:eastAsia="zh-CN"/>
        </w:rPr>
      </w:pPr>
    </w:p>
    <w:p w14:paraId="3541A137">
      <w:pPr>
        <w:pStyle w:val="7"/>
        <w:ind w:left="0" w:leftChars="0" w:firstLine="0" w:firstLineChars="0"/>
        <w:rPr>
          <w:rFonts w:hint="default" w:ascii="Times New Roman" w:hAnsi="Times New Roman" w:eastAsia="宋体" w:cs="Times New Roman"/>
          <w:color w:val="auto"/>
          <w:u w:val="none" w:color="auto"/>
          <w:lang w:val="en-US" w:eastAsia="zh-CN"/>
        </w:rPr>
      </w:pPr>
    </w:p>
    <w:p w14:paraId="4DB5CCB1">
      <w:pPr>
        <w:pStyle w:val="7"/>
        <w:ind w:left="0" w:leftChars="0" w:firstLine="0" w:firstLineChars="0"/>
        <w:rPr>
          <w:rFonts w:hint="default" w:ascii="Times New Roman" w:hAnsi="Times New Roman" w:eastAsia="宋体" w:cs="Times New Roman"/>
          <w:color w:val="auto"/>
          <w:u w:val="none" w:color="auto"/>
          <w:lang w:val="en-US" w:eastAsia="zh-CN"/>
        </w:rPr>
      </w:pPr>
    </w:p>
    <w:p w14:paraId="62EDE8AA">
      <w:pPr>
        <w:pStyle w:val="7"/>
        <w:ind w:left="0" w:leftChars="0" w:firstLine="0" w:firstLineChars="0"/>
        <w:rPr>
          <w:rFonts w:hint="default" w:ascii="Times New Roman" w:hAnsi="Times New Roman" w:eastAsia="宋体" w:cs="Times New Roman"/>
          <w:color w:val="auto"/>
          <w:u w:val="none" w:color="auto"/>
          <w:lang w:val="en-US" w:eastAsia="zh-CN"/>
        </w:rPr>
      </w:pPr>
    </w:p>
    <w:p w14:paraId="7D25864B">
      <w:pPr>
        <w:pStyle w:val="7"/>
        <w:ind w:left="0" w:leftChars="0" w:firstLine="0" w:firstLineChars="0"/>
        <w:rPr>
          <w:rFonts w:hint="default" w:ascii="Times New Roman" w:hAnsi="Times New Roman" w:eastAsia="宋体" w:cs="Times New Roman"/>
          <w:color w:val="auto"/>
          <w:u w:val="none" w:color="auto"/>
          <w:lang w:val="en-US" w:eastAsia="zh-CN"/>
        </w:rPr>
      </w:pPr>
    </w:p>
    <w:p w14:paraId="7D2D19F1">
      <w:pPr>
        <w:pStyle w:val="7"/>
        <w:ind w:left="0" w:leftChars="0" w:firstLine="0" w:firstLineChars="0"/>
        <w:rPr>
          <w:rFonts w:hint="default" w:ascii="Times New Roman" w:hAnsi="Times New Roman" w:eastAsia="宋体" w:cs="Times New Roman"/>
          <w:color w:val="auto"/>
          <w:u w:val="none" w:color="auto"/>
          <w:lang w:val="en-US" w:eastAsia="zh-CN"/>
        </w:rPr>
      </w:pPr>
    </w:p>
    <w:p w14:paraId="077D2B88">
      <w:pPr>
        <w:pStyle w:val="7"/>
        <w:ind w:left="0" w:leftChars="0" w:firstLine="0" w:firstLineChars="0"/>
        <w:rPr>
          <w:rFonts w:hint="default" w:ascii="Times New Roman" w:hAnsi="Times New Roman" w:eastAsia="宋体" w:cs="Times New Roman"/>
          <w:color w:val="auto"/>
          <w:u w:val="none" w:color="auto"/>
          <w:lang w:val="en-US" w:eastAsia="zh-CN"/>
        </w:rPr>
      </w:pPr>
    </w:p>
    <w:p w14:paraId="029B9AD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附件6：</w:t>
      </w:r>
      <w:r>
        <w:rPr>
          <w:rFonts w:hint="default" w:ascii="Times New Roman" w:hAnsi="Times New Roman" w:eastAsia="宋体" w:cs="Times New Roman"/>
          <w:color w:val="auto"/>
          <w:spacing w:val="6"/>
          <w:szCs w:val="21"/>
          <w:u w:val="none" w:color="auto"/>
          <w:lang w:val="en-US" w:eastAsia="zh-CN"/>
        </w:rPr>
        <w:t>排污许可证</w:t>
      </w:r>
    </w:p>
    <w:p w14:paraId="29E09AF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u w:val="none" w:color="auto"/>
        </w:rPr>
        <w:drawing>
          <wp:inline distT="0" distB="0" distL="114300" distR="114300">
            <wp:extent cx="7851140" cy="5356860"/>
            <wp:effectExtent l="0" t="0" r="15240" b="16510"/>
            <wp:docPr id="5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4"/>
                    <pic:cNvPicPr>
                      <a:picLocks noChangeAspect="1"/>
                    </pic:cNvPicPr>
                  </pic:nvPicPr>
                  <pic:blipFill>
                    <a:blip r:embed="rId105"/>
                    <a:stretch>
                      <a:fillRect/>
                    </a:stretch>
                  </pic:blipFill>
                  <pic:spPr>
                    <a:xfrm rot="16200000">
                      <a:off x="0" y="0"/>
                      <a:ext cx="7851140" cy="5356860"/>
                    </a:xfrm>
                    <a:prstGeom prst="rect">
                      <a:avLst/>
                    </a:prstGeom>
                    <a:noFill/>
                    <a:ln>
                      <a:noFill/>
                    </a:ln>
                  </pic:spPr>
                </pic:pic>
              </a:graphicData>
            </a:graphic>
          </wp:inline>
        </w:drawing>
      </w:r>
    </w:p>
    <w:p w14:paraId="25267B18">
      <w:pPr>
        <w:pStyle w:val="7"/>
        <w:ind w:left="0" w:leftChars="0" w:firstLine="0" w:firstLineChars="0"/>
        <w:rPr>
          <w:rFonts w:hint="default" w:ascii="Times New Roman" w:hAnsi="Times New Roman" w:eastAsia="宋体" w:cs="Times New Roman"/>
          <w:color w:val="auto"/>
          <w:u w:val="none" w:color="auto"/>
          <w:lang w:val="en-US" w:eastAsia="zh-CN"/>
        </w:rPr>
      </w:pPr>
    </w:p>
    <w:p w14:paraId="12BC0822">
      <w:pPr>
        <w:pStyle w:val="7"/>
        <w:ind w:left="0" w:leftChars="0" w:firstLine="0" w:firstLineChars="0"/>
        <w:rPr>
          <w:rFonts w:hint="default" w:ascii="Times New Roman" w:hAnsi="Times New Roman" w:eastAsia="宋体" w:cs="Times New Roman"/>
          <w:color w:val="auto"/>
          <w:u w:val="none" w:color="auto"/>
          <w:lang w:val="en-US" w:eastAsia="zh-CN"/>
        </w:rPr>
      </w:pPr>
    </w:p>
    <w:p w14:paraId="63C35336">
      <w:pPr>
        <w:pStyle w:val="7"/>
        <w:ind w:left="0" w:leftChars="0" w:firstLine="0" w:firstLineChars="0"/>
        <w:rPr>
          <w:rFonts w:hint="default" w:ascii="Times New Roman" w:hAnsi="Times New Roman" w:eastAsia="宋体" w:cs="Times New Roman"/>
          <w:color w:val="auto"/>
          <w:u w:val="none" w:color="auto"/>
          <w:lang w:val="en-US" w:eastAsia="zh-CN"/>
        </w:rPr>
      </w:pPr>
    </w:p>
    <w:p w14:paraId="5733DCDC">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附件7：</w:t>
      </w:r>
      <w:r>
        <w:rPr>
          <w:rFonts w:hint="default" w:ascii="Times New Roman" w:hAnsi="Times New Roman" w:eastAsia="宋体" w:cs="Times New Roman"/>
          <w:color w:val="auto"/>
          <w:spacing w:val="6"/>
          <w:szCs w:val="21"/>
          <w:u w:val="none" w:color="auto"/>
          <w:lang w:val="en-US" w:eastAsia="zh-CN"/>
        </w:rPr>
        <w:t>突发环境事件应急预案备案表</w:t>
      </w:r>
    </w:p>
    <w:p w14:paraId="5A97641B">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spacing w:val="6"/>
          <w:szCs w:val="21"/>
          <w:u w:val="none" w:color="auto"/>
          <w:lang w:val="en-US" w:eastAsia="zh-CN"/>
        </w:rPr>
        <w:drawing>
          <wp:inline distT="0" distB="0" distL="114300" distR="114300">
            <wp:extent cx="5602605" cy="7705090"/>
            <wp:effectExtent l="0" t="0" r="17145" b="10160"/>
            <wp:docPr id="53" name="图片 53" descr="2024-11-01_14_09_24589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024-11-01_14_09_2458990a"/>
                    <pic:cNvPicPr>
                      <a:picLocks noChangeAspect="1"/>
                    </pic:cNvPicPr>
                  </pic:nvPicPr>
                  <pic:blipFill>
                    <a:blip r:embed="rId106"/>
                    <a:stretch>
                      <a:fillRect/>
                    </a:stretch>
                  </pic:blipFill>
                  <pic:spPr>
                    <a:xfrm>
                      <a:off x="0" y="0"/>
                      <a:ext cx="5602605" cy="7705090"/>
                    </a:xfrm>
                    <a:prstGeom prst="rect">
                      <a:avLst/>
                    </a:prstGeom>
                  </pic:spPr>
                </pic:pic>
              </a:graphicData>
            </a:graphic>
          </wp:inline>
        </w:drawing>
      </w:r>
    </w:p>
    <w:p w14:paraId="01102E62">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54C655E3">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3E3D3846">
      <w:pPr>
        <w:pStyle w:val="7"/>
        <w:ind w:left="0" w:leftChars="0" w:firstLine="0" w:firstLineChars="0"/>
        <w:rPr>
          <w:rFonts w:hint="default" w:ascii="Times New Roman" w:hAnsi="Times New Roman" w:eastAsia="宋体" w:cs="Times New Roman"/>
          <w:color w:val="auto"/>
          <w:u w:val="none" w:color="auto"/>
          <w:lang w:val="en-US" w:eastAsia="zh-CN"/>
        </w:rPr>
      </w:pPr>
    </w:p>
    <w:p w14:paraId="645FF722">
      <w:pPr>
        <w:pStyle w:val="7"/>
        <w:ind w:left="0" w:leftChars="0" w:firstLine="0" w:firstLineChars="0"/>
        <w:rPr>
          <w:rFonts w:hint="default" w:ascii="Times New Roman" w:hAnsi="Times New Roman" w:eastAsia="宋体" w:cs="Times New Roman"/>
          <w:color w:val="auto"/>
          <w:u w:val="none" w:color="auto"/>
          <w:lang w:val="en-US" w:eastAsia="zh-CN"/>
        </w:rPr>
      </w:pPr>
    </w:p>
    <w:p w14:paraId="6E8F1813">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附件8：</w:t>
      </w:r>
      <w:r>
        <w:rPr>
          <w:rFonts w:hint="default" w:ascii="Times New Roman" w:hAnsi="Times New Roman" w:eastAsia="宋体" w:cs="Times New Roman"/>
          <w:color w:val="auto"/>
          <w:spacing w:val="6"/>
          <w:szCs w:val="21"/>
          <w:u w:val="none" w:color="auto"/>
          <w:lang w:val="en-US" w:eastAsia="zh-CN"/>
        </w:rPr>
        <w:t>自行监测报告</w:t>
      </w:r>
    </w:p>
    <w:p w14:paraId="6D96F40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5F1C779B">
      <w:pPr>
        <w:pStyle w:val="7"/>
        <w:ind w:left="0" w:leftChars="0" w:firstLine="0" w:firstLineChars="0"/>
        <w:rPr>
          <w:rFonts w:hint="default" w:ascii="Times New Roman" w:hAnsi="Times New Roman" w:eastAsia="宋体" w:cs="Times New Roman"/>
          <w:u w:val="none" w:color="auto"/>
        </w:rPr>
      </w:pPr>
      <w:r>
        <w:rPr>
          <w:rFonts w:hint="default" w:ascii="Times New Roman" w:hAnsi="Times New Roman" w:eastAsia="宋体" w:cs="Times New Roman"/>
          <w:u w:val="none" w:color="auto"/>
        </w:rPr>
        <w:drawing>
          <wp:inline distT="0" distB="0" distL="114300" distR="114300">
            <wp:extent cx="5609590" cy="8133715"/>
            <wp:effectExtent l="0" t="0" r="10160" b="635"/>
            <wp:docPr id="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7"/>
                    <pic:cNvPicPr>
                      <a:picLocks noChangeAspect="1"/>
                    </pic:cNvPicPr>
                  </pic:nvPicPr>
                  <pic:blipFill>
                    <a:blip r:embed="rId107"/>
                    <a:stretch>
                      <a:fillRect/>
                    </a:stretch>
                  </pic:blipFill>
                  <pic:spPr>
                    <a:xfrm>
                      <a:off x="0" y="0"/>
                      <a:ext cx="5609590" cy="813371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5940" cy="7936230"/>
            <wp:effectExtent l="0" t="0" r="3810" b="7620"/>
            <wp:docPr id="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8"/>
                    <pic:cNvPicPr>
                      <a:picLocks noChangeAspect="1"/>
                    </pic:cNvPicPr>
                  </pic:nvPicPr>
                  <pic:blipFill>
                    <a:blip r:embed="rId108"/>
                    <a:stretch>
                      <a:fillRect/>
                    </a:stretch>
                  </pic:blipFill>
                  <pic:spPr>
                    <a:xfrm>
                      <a:off x="0" y="0"/>
                      <a:ext cx="5615940" cy="793623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8216265"/>
            <wp:effectExtent l="0" t="0" r="10160" b="13335"/>
            <wp:docPr id="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9"/>
                    <pic:cNvPicPr>
                      <a:picLocks noChangeAspect="1"/>
                    </pic:cNvPicPr>
                  </pic:nvPicPr>
                  <pic:blipFill>
                    <a:blip r:embed="rId109"/>
                    <a:stretch>
                      <a:fillRect/>
                    </a:stretch>
                  </pic:blipFill>
                  <pic:spPr>
                    <a:xfrm>
                      <a:off x="0" y="0"/>
                      <a:ext cx="5609590" cy="821626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282940"/>
            <wp:effectExtent l="0" t="0" r="9525" b="3810"/>
            <wp:docPr id="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0"/>
                    <pic:cNvPicPr>
                      <a:picLocks noChangeAspect="1"/>
                    </pic:cNvPicPr>
                  </pic:nvPicPr>
                  <pic:blipFill>
                    <a:blip r:embed="rId110"/>
                    <a:stretch>
                      <a:fillRect/>
                    </a:stretch>
                  </pic:blipFill>
                  <pic:spPr>
                    <a:xfrm>
                      <a:off x="0" y="0"/>
                      <a:ext cx="5610225" cy="828294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075295"/>
            <wp:effectExtent l="0" t="0" r="9525" b="1905"/>
            <wp:docPr id="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
                    <pic:cNvPicPr>
                      <a:picLocks noChangeAspect="1"/>
                    </pic:cNvPicPr>
                  </pic:nvPicPr>
                  <pic:blipFill>
                    <a:blip r:embed="rId111"/>
                    <a:stretch>
                      <a:fillRect/>
                    </a:stretch>
                  </pic:blipFill>
                  <pic:spPr>
                    <a:xfrm>
                      <a:off x="0" y="0"/>
                      <a:ext cx="5610225" cy="807529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393430"/>
            <wp:effectExtent l="0" t="0" r="9525" b="7620"/>
            <wp:docPr id="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2"/>
                    <pic:cNvPicPr>
                      <a:picLocks noChangeAspect="1"/>
                    </pic:cNvPicPr>
                  </pic:nvPicPr>
                  <pic:blipFill>
                    <a:blip r:embed="rId112"/>
                    <a:stretch>
                      <a:fillRect/>
                    </a:stretch>
                  </pic:blipFill>
                  <pic:spPr>
                    <a:xfrm>
                      <a:off x="0" y="0"/>
                      <a:ext cx="5610225" cy="839343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61020"/>
            <wp:effectExtent l="0" t="0" r="8890" b="11430"/>
            <wp:docPr id="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3"/>
                    <pic:cNvPicPr>
                      <a:picLocks noChangeAspect="1"/>
                    </pic:cNvPicPr>
                  </pic:nvPicPr>
                  <pic:blipFill>
                    <a:blip r:embed="rId113"/>
                    <a:stretch>
                      <a:fillRect/>
                    </a:stretch>
                  </pic:blipFill>
                  <pic:spPr>
                    <a:xfrm>
                      <a:off x="0" y="0"/>
                      <a:ext cx="5610860" cy="816102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8136890"/>
            <wp:effectExtent l="0" t="0" r="10160" b="16510"/>
            <wp:docPr id="5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4"/>
                    <pic:cNvPicPr>
                      <a:picLocks noChangeAspect="1"/>
                    </pic:cNvPicPr>
                  </pic:nvPicPr>
                  <pic:blipFill>
                    <a:blip r:embed="rId114"/>
                    <a:stretch>
                      <a:fillRect/>
                    </a:stretch>
                  </pic:blipFill>
                  <pic:spPr>
                    <a:xfrm>
                      <a:off x="0" y="0"/>
                      <a:ext cx="5609590" cy="813689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312150"/>
            <wp:effectExtent l="0" t="0" r="9525" b="12700"/>
            <wp:docPr id="5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5"/>
                    <pic:cNvPicPr>
                      <a:picLocks noChangeAspect="1"/>
                    </pic:cNvPicPr>
                  </pic:nvPicPr>
                  <pic:blipFill>
                    <a:blip r:embed="rId115"/>
                    <a:stretch>
                      <a:fillRect/>
                    </a:stretch>
                  </pic:blipFill>
                  <pic:spPr>
                    <a:xfrm>
                      <a:off x="0" y="0"/>
                      <a:ext cx="5610225" cy="831215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235950"/>
            <wp:effectExtent l="0" t="0" r="8890" b="12700"/>
            <wp:docPr id="5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6"/>
                    <pic:cNvPicPr>
                      <a:picLocks noChangeAspect="1"/>
                    </pic:cNvPicPr>
                  </pic:nvPicPr>
                  <pic:blipFill>
                    <a:blip r:embed="rId116"/>
                    <a:stretch>
                      <a:fillRect/>
                    </a:stretch>
                  </pic:blipFill>
                  <pic:spPr>
                    <a:xfrm>
                      <a:off x="0" y="0"/>
                      <a:ext cx="5610860" cy="823595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207375"/>
            <wp:effectExtent l="0" t="0" r="8890" b="3175"/>
            <wp:docPr id="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7"/>
                    <pic:cNvPicPr>
                      <a:picLocks noChangeAspect="1"/>
                    </pic:cNvPicPr>
                  </pic:nvPicPr>
                  <pic:blipFill>
                    <a:blip r:embed="rId117"/>
                    <a:stretch>
                      <a:fillRect/>
                    </a:stretch>
                  </pic:blipFill>
                  <pic:spPr>
                    <a:xfrm>
                      <a:off x="0" y="0"/>
                      <a:ext cx="5610860" cy="820737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57845"/>
            <wp:effectExtent l="0" t="0" r="8890" b="14605"/>
            <wp:docPr id="5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8"/>
                    <pic:cNvPicPr>
                      <a:picLocks noChangeAspect="1"/>
                    </pic:cNvPicPr>
                  </pic:nvPicPr>
                  <pic:blipFill>
                    <a:blip r:embed="rId118"/>
                    <a:stretch>
                      <a:fillRect/>
                    </a:stretch>
                  </pic:blipFill>
                  <pic:spPr>
                    <a:xfrm>
                      <a:off x="0" y="0"/>
                      <a:ext cx="5610860" cy="815784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215630"/>
            <wp:effectExtent l="0" t="0" r="8890" b="13970"/>
            <wp:docPr id="6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9"/>
                    <pic:cNvPicPr>
                      <a:picLocks noChangeAspect="1"/>
                    </pic:cNvPicPr>
                  </pic:nvPicPr>
                  <pic:blipFill>
                    <a:blip r:embed="rId119"/>
                    <a:stretch>
                      <a:fillRect/>
                    </a:stretch>
                  </pic:blipFill>
                  <pic:spPr>
                    <a:xfrm>
                      <a:off x="0" y="0"/>
                      <a:ext cx="5610860" cy="821563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140065"/>
            <wp:effectExtent l="0" t="0" r="9525" b="13335"/>
            <wp:docPr id="6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0"/>
                    <pic:cNvPicPr>
                      <a:picLocks noChangeAspect="1"/>
                    </pic:cNvPicPr>
                  </pic:nvPicPr>
                  <pic:blipFill>
                    <a:blip r:embed="rId120"/>
                    <a:stretch>
                      <a:fillRect/>
                    </a:stretch>
                  </pic:blipFill>
                  <pic:spPr>
                    <a:xfrm>
                      <a:off x="0" y="0"/>
                      <a:ext cx="5610225" cy="814006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82610"/>
            <wp:effectExtent l="0" t="0" r="8890" b="8890"/>
            <wp:docPr id="6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1"/>
                    <pic:cNvPicPr>
                      <a:picLocks noChangeAspect="1"/>
                    </pic:cNvPicPr>
                  </pic:nvPicPr>
                  <pic:blipFill>
                    <a:blip r:embed="rId121"/>
                    <a:stretch>
                      <a:fillRect/>
                    </a:stretch>
                  </pic:blipFill>
                  <pic:spPr>
                    <a:xfrm>
                      <a:off x="0" y="0"/>
                      <a:ext cx="5610860" cy="818261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79435"/>
            <wp:effectExtent l="0" t="0" r="8890" b="12065"/>
            <wp:docPr id="6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2"/>
                    <pic:cNvPicPr>
                      <a:picLocks noChangeAspect="1"/>
                    </pic:cNvPicPr>
                  </pic:nvPicPr>
                  <pic:blipFill>
                    <a:blip r:embed="rId122"/>
                    <a:stretch>
                      <a:fillRect/>
                    </a:stretch>
                  </pic:blipFill>
                  <pic:spPr>
                    <a:xfrm>
                      <a:off x="0" y="0"/>
                      <a:ext cx="5610860" cy="817943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225" cy="8118475"/>
            <wp:effectExtent l="0" t="0" r="9525" b="15875"/>
            <wp:docPr id="6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3"/>
                    <pic:cNvPicPr>
                      <a:picLocks noChangeAspect="1"/>
                    </pic:cNvPicPr>
                  </pic:nvPicPr>
                  <pic:blipFill>
                    <a:blip r:embed="rId123"/>
                    <a:stretch>
                      <a:fillRect/>
                    </a:stretch>
                  </pic:blipFill>
                  <pic:spPr>
                    <a:xfrm>
                      <a:off x="0" y="0"/>
                      <a:ext cx="5610225" cy="811847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61020"/>
            <wp:effectExtent l="0" t="0" r="8890" b="11430"/>
            <wp:docPr id="6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4"/>
                    <pic:cNvPicPr>
                      <a:picLocks noChangeAspect="1"/>
                    </pic:cNvPicPr>
                  </pic:nvPicPr>
                  <pic:blipFill>
                    <a:blip r:embed="rId124"/>
                    <a:stretch>
                      <a:fillRect/>
                    </a:stretch>
                  </pic:blipFill>
                  <pic:spPr>
                    <a:xfrm>
                      <a:off x="0" y="0"/>
                      <a:ext cx="5610860" cy="816102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0860" cy="8162925"/>
            <wp:effectExtent l="0" t="0" r="8890" b="9525"/>
            <wp:docPr id="6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5"/>
                    <pic:cNvPicPr>
                      <a:picLocks noChangeAspect="1"/>
                    </pic:cNvPicPr>
                  </pic:nvPicPr>
                  <pic:blipFill>
                    <a:blip r:embed="rId125"/>
                    <a:stretch>
                      <a:fillRect/>
                    </a:stretch>
                  </pic:blipFill>
                  <pic:spPr>
                    <a:xfrm>
                      <a:off x="0" y="0"/>
                      <a:ext cx="5610860" cy="8162925"/>
                    </a:xfrm>
                    <a:prstGeom prst="rect">
                      <a:avLst/>
                    </a:prstGeom>
                    <a:noFill/>
                    <a:ln>
                      <a:noFill/>
                    </a:ln>
                  </pic:spPr>
                </pic:pic>
              </a:graphicData>
            </a:graphic>
          </wp:inline>
        </w:drawing>
      </w:r>
    </w:p>
    <w:p w14:paraId="12E3E060">
      <w:pPr>
        <w:pStyle w:val="7"/>
        <w:ind w:left="0" w:leftChars="0" w:firstLine="0" w:firstLineChars="0"/>
        <w:rPr>
          <w:rFonts w:hint="default" w:ascii="Times New Roman" w:hAnsi="Times New Roman" w:eastAsia="宋体" w:cs="Times New Roman"/>
          <w:u w:val="none" w:color="auto"/>
        </w:rPr>
      </w:pPr>
    </w:p>
    <w:p w14:paraId="7DFA5636">
      <w:pPr>
        <w:pStyle w:val="7"/>
        <w:ind w:left="0" w:leftChars="0" w:firstLine="0" w:firstLineChars="0"/>
        <w:rPr>
          <w:rFonts w:hint="default" w:ascii="Times New Roman" w:hAnsi="Times New Roman" w:eastAsia="宋体" w:cs="Times New Roman"/>
          <w:u w:val="none" w:color="auto"/>
        </w:rPr>
      </w:pPr>
    </w:p>
    <w:p w14:paraId="15812B35">
      <w:pPr>
        <w:pStyle w:val="7"/>
        <w:ind w:left="0" w:leftChars="0" w:firstLine="0" w:firstLineChars="0"/>
        <w:rPr>
          <w:rFonts w:hint="default" w:ascii="Times New Roman" w:hAnsi="Times New Roman" w:eastAsia="宋体" w:cs="Times New Roman"/>
          <w:color w:val="auto"/>
          <w:spacing w:val="6"/>
          <w:szCs w:val="21"/>
          <w:highlight w:val="none"/>
          <w:u w:val="none" w:color="auto"/>
          <w:lang w:val="en-US" w:eastAsia="zh-CN"/>
        </w:rPr>
      </w:pPr>
      <w:r>
        <w:rPr>
          <w:rFonts w:hint="default" w:ascii="Times New Roman" w:hAnsi="Times New Roman" w:eastAsia="宋体" w:cs="Times New Roman"/>
          <w:color w:val="auto"/>
          <w:spacing w:val="6"/>
          <w:szCs w:val="21"/>
          <w:highlight w:val="none"/>
          <w:u w:val="none" w:color="auto"/>
          <w:lang w:val="en-US" w:eastAsia="zh-CN"/>
        </w:rPr>
        <w:t>附件</w:t>
      </w:r>
      <w:r>
        <w:rPr>
          <w:rFonts w:hint="eastAsia" w:cs="Times New Roman"/>
          <w:color w:val="auto"/>
          <w:spacing w:val="6"/>
          <w:szCs w:val="21"/>
          <w:highlight w:val="none"/>
          <w:u w:val="none" w:color="auto"/>
          <w:lang w:val="en-US" w:eastAsia="zh-CN"/>
        </w:rPr>
        <w:t>9</w:t>
      </w:r>
      <w:r>
        <w:rPr>
          <w:rFonts w:hint="default" w:ascii="Times New Roman" w:hAnsi="Times New Roman" w:eastAsia="宋体" w:cs="Times New Roman"/>
          <w:color w:val="auto"/>
          <w:spacing w:val="6"/>
          <w:szCs w:val="21"/>
          <w:highlight w:val="none"/>
          <w:u w:val="none" w:color="auto"/>
          <w:lang w:val="en-US" w:eastAsia="zh-CN"/>
        </w:rPr>
        <w:t xml:space="preserve"> 危废协议</w:t>
      </w:r>
    </w:p>
    <w:p w14:paraId="56C8CE62">
      <w:pPr>
        <w:pStyle w:val="7"/>
        <w:ind w:left="0" w:leftChars="0" w:firstLine="0" w:firstLineChars="0"/>
        <w:rPr>
          <w:rFonts w:hint="default" w:ascii="Times New Roman" w:hAnsi="Times New Roman" w:eastAsia="宋体" w:cs="Times New Roman"/>
          <w:color w:val="auto"/>
          <w:spacing w:val="6"/>
          <w:szCs w:val="21"/>
          <w:highlight w:val="none"/>
          <w:u w:val="none" w:color="auto"/>
          <w:lang w:val="en-US" w:eastAsia="zh-CN"/>
        </w:rPr>
      </w:pPr>
    </w:p>
    <w:p w14:paraId="6DEA605E">
      <w:pPr>
        <w:pStyle w:val="7"/>
        <w:ind w:left="0" w:leftChars="0" w:firstLine="0" w:firstLineChars="0"/>
        <w:rPr>
          <w:rFonts w:hint="default" w:ascii="Times New Roman" w:hAnsi="Times New Roman" w:eastAsia="宋体" w:cs="Times New Roman"/>
          <w:u w:val="none" w:color="auto"/>
        </w:rPr>
      </w:pPr>
      <w:r>
        <w:rPr>
          <w:rFonts w:hint="default" w:ascii="Times New Roman" w:hAnsi="Times New Roman" w:eastAsia="宋体" w:cs="Times New Roman"/>
          <w:u w:val="none" w:color="auto"/>
        </w:rPr>
        <w:drawing>
          <wp:inline distT="0" distB="0" distL="114300" distR="114300">
            <wp:extent cx="5614035" cy="7883525"/>
            <wp:effectExtent l="0" t="0" r="5715" b="3175"/>
            <wp:docPr id="9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1"/>
                    <pic:cNvPicPr>
                      <a:picLocks noChangeAspect="1"/>
                    </pic:cNvPicPr>
                  </pic:nvPicPr>
                  <pic:blipFill>
                    <a:blip r:embed="rId126"/>
                    <a:stretch>
                      <a:fillRect/>
                    </a:stretch>
                  </pic:blipFill>
                  <pic:spPr>
                    <a:xfrm>
                      <a:off x="0" y="0"/>
                      <a:ext cx="5614035" cy="788352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7974965"/>
            <wp:effectExtent l="0" t="0" r="10160" b="6985"/>
            <wp:docPr id="9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2"/>
                    <pic:cNvPicPr>
                      <a:picLocks noChangeAspect="1"/>
                    </pic:cNvPicPr>
                  </pic:nvPicPr>
                  <pic:blipFill>
                    <a:blip r:embed="rId127"/>
                    <a:stretch>
                      <a:fillRect/>
                    </a:stretch>
                  </pic:blipFill>
                  <pic:spPr>
                    <a:xfrm>
                      <a:off x="0" y="0"/>
                      <a:ext cx="5609590" cy="797496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2765" cy="7781290"/>
            <wp:effectExtent l="0" t="0" r="6985" b="10160"/>
            <wp:docPr id="9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3"/>
                    <pic:cNvPicPr>
                      <a:picLocks noChangeAspect="1"/>
                    </pic:cNvPicPr>
                  </pic:nvPicPr>
                  <pic:blipFill>
                    <a:blip r:embed="rId128"/>
                    <a:stretch>
                      <a:fillRect/>
                    </a:stretch>
                  </pic:blipFill>
                  <pic:spPr>
                    <a:xfrm>
                      <a:off x="0" y="0"/>
                      <a:ext cx="5612765" cy="7781290"/>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2765" cy="7770495"/>
            <wp:effectExtent l="0" t="0" r="6985" b="1905"/>
            <wp:docPr id="9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4"/>
                    <pic:cNvPicPr>
                      <a:picLocks noChangeAspect="1"/>
                    </pic:cNvPicPr>
                  </pic:nvPicPr>
                  <pic:blipFill>
                    <a:blip r:embed="rId129"/>
                    <a:stretch>
                      <a:fillRect/>
                    </a:stretch>
                  </pic:blipFill>
                  <pic:spPr>
                    <a:xfrm>
                      <a:off x="0" y="0"/>
                      <a:ext cx="5612765" cy="777049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4670" cy="7790815"/>
            <wp:effectExtent l="0" t="0" r="5080" b="635"/>
            <wp:docPr id="9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5"/>
                    <pic:cNvPicPr>
                      <a:picLocks noChangeAspect="1"/>
                    </pic:cNvPicPr>
                  </pic:nvPicPr>
                  <pic:blipFill>
                    <a:blip r:embed="rId130"/>
                    <a:stretch>
                      <a:fillRect/>
                    </a:stretch>
                  </pic:blipFill>
                  <pic:spPr>
                    <a:xfrm>
                      <a:off x="0" y="0"/>
                      <a:ext cx="5614670" cy="779081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09590" cy="8028305"/>
            <wp:effectExtent l="0" t="0" r="10160" b="10795"/>
            <wp:docPr id="10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6"/>
                    <pic:cNvPicPr>
                      <a:picLocks noChangeAspect="1"/>
                    </pic:cNvPicPr>
                  </pic:nvPicPr>
                  <pic:blipFill>
                    <a:blip r:embed="rId131"/>
                    <a:stretch>
                      <a:fillRect/>
                    </a:stretch>
                  </pic:blipFill>
                  <pic:spPr>
                    <a:xfrm>
                      <a:off x="0" y="0"/>
                      <a:ext cx="5609590" cy="8028305"/>
                    </a:xfrm>
                    <a:prstGeom prst="rect">
                      <a:avLst/>
                    </a:prstGeom>
                    <a:noFill/>
                    <a:ln>
                      <a:noFill/>
                    </a:ln>
                  </pic:spPr>
                </pic:pic>
              </a:graphicData>
            </a:graphic>
          </wp:inline>
        </w:drawing>
      </w:r>
      <w:r>
        <w:rPr>
          <w:rFonts w:hint="default" w:ascii="Times New Roman" w:hAnsi="Times New Roman" w:eastAsia="宋体" w:cs="Times New Roman"/>
          <w:u w:val="none" w:color="auto"/>
        </w:rPr>
        <w:drawing>
          <wp:inline distT="0" distB="0" distL="114300" distR="114300">
            <wp:extent cx="5613400" cy="7837805"/>
            <wp:effectExtent l="0" t="0" r="6350" b="10795"/>
            <wp:docPr id="10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7"/>
                    <pic:cNvPicPr>
                      <a:picLocks noChangeAspect="1"/>
                    </pic:cNvPicPr>
                  </pic:nvPicPr>
                  <pic:blipFill>
                    <a:blip r:embed="rId132"/>
                    <a:stretch>
                      <a:fillRect/>
                    </a:stretch>
                  </pic:blipFill>
                  <pic:spPr>
                    <a:xfrm>
                      <a:off x="0" y="0"/>
                      <a:ext cx="5613400" cy="7837805"/>
                    </a:xfrm>
                    <a:prstGeom prst="rect">
                      <a:avLst/>
                    </a:prstGeom>
                    <a:noFill/>
                    <a:ln>
                      <a:noFill/>
                    </a:ln>
                  </pic:spPr>
                </pic:pic>
              </a:graphicData>
            </a:graphic>
          </wp:inline>
        </w:drawing>
      </w:r>
    </w:p>
    <w:p w14:paraId="6EB368AE">
      <w:pPr>
        <w:pStyle w:val="7"/>
        <w:ind w:left="0" w:leftChars="0" w:firstLine="0" w:firstLineChars="0"/>
        <w:rPr>
          <w:rFonts w:hint="default" w:ascii="Times New Roman" w:hAnsi="Times New Roman" w:eastAsia="宋体" w:cs="Times New Roman"/>
          <w:u w:val="none" w:color="auto"/>
        </w:rPr>
      </w:pPr>
    </w:p>
    <w:p w14:paraId="4BEFED30">
      <w:pPr>
        <w:pStyle w:val="7"/>
        <w:ind w:left="0" w:leftChars="0" w:firstLine="0" w:firstLineChars="0"/>
        <w:rPr>
          <w:rFonts w:hint="default" w:ascii="Times New Roman" w:hAnsi="Times New Roman" w:eastAsia="宋体" w:cs="Times New Roman"/>
          <w:u w:val="none" w:color="auto"/>
        </w:rPr>
      </w:pPr>
    </w:p>
    <w:p w14:paraId="50C4CE24">
      <w:pPr>
        <w:pStyle w:val="7"/>
        <w:ind w:left="0" w:leftChars="0" w:firstLine="0" w:firstLineChars="0"/>
        <w:rPr>
          <w:rFonts w:hint="default" w:ascii="Times New Roman" w:hAnsi="Times New Roman" w:eastAsia="宋体" w:cs="Times New Roman"/>
          <w:u w:val="none" w:color="auto"/>
        </w:rPr>
      </w:pPr>
    </w:p>
    <w:p w14:paraId="65E0372F">
      <w:pPr>
        <w:pStyle w:val="7"/>
        <w:ind w:left="0" w:leftChars="0" w:firstLine="0" w:firstLineChars="0"/>
        <w:rPr>
          <w:rFonts w:hint="default" w:ascii="Times New Roman" w:hAnsi="Times New Roman" w:eastAsia="宋体" w:cs="Times New Roman"/>
          <w:u w:val="none" w:color="auto"/>
        </w:rPr>
      </w:pPr>
    </w:p>
    <w:p w14:paraId="4C97348A">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u w:val="none" w:color="auto"/>
          <w:lang w:val="en-US" w:eastAsia="zh-CN"/>
        </w:rPr>
        <w:t>附件</w:t>
      </w:r>
      <w:r>
        <w:rPr>
          <w:rFonts w:hint="eastAsia" w:cs="Times New Roman"/>
          <w:color w:val="auto"/>
          <w:u w:val="none" w:color="auto"/>
          <w:lang w:val="en-US" w:eastAsia="zh-CN"/>
        </w:rPr>
        <w:t>10</w:t>
      </w:r>
      <w:r>
        <w:rPr>
          <w:rFonts w:hint="default" w:ascii="Times New Roman" w:hAnsi="Times New Roman" w:eastAsia="宋体" w:cs="Times New Roman"/>
          <w:color w:val="auto"/>
          <w:u w:val="none" w:color="auto"/>
          <w:lang w:val="en-US" w:eastAsia="zh-CN"/>
        </w:rPr>
        <w:t>：</w:t>
      </w:r>
      <w:r>
        <w:rPr>
          <w:rFonts w:hint="eastAsia" w:cs="Times New Roman"/>
          <w:color w:val="auto"/>
          <w:spacing w:val="6"/>
          <w:szCs w:val="21"/>
          <w:u w:val="none" w:color="auto"/>
          <w:lang w:val="en-US" w:eastAsia="zh-CN"/>
        </w:rPr>
        <w:t>本次环评环境质量监测报告</w:t>
      </w:r>
    </w:p>
    <w:p w14:paraId="564EF4B2">
      <w:pPr>
        <w:pStyle w:val="7"/>
        <w:ind w:left="0" w:leftChars="0" w:firstLine="0" w:firstLineChars="0"/>
        <w:rPr>
          <w:rFonts w:hint="default" w:ascii="Times New Roman" w:hAnsi="Times New Roman" w:eastAsia="宋体" w:cs="Times New Roman"/>
          <w:u w:val="none" w:color="auto"/>
          <w:lang w:val="en-US" w:eastAsia="zh-CN"/>
        </w:rPr>
      </w:pPr>
    </w:p>
    <w:p w14:paraId="3C5B03AB">
      <w:pPr>
        <w:pStyle w:val="7"/>
        <w:ind w:left="0" w:leftChars="0" w:firstLine="0" w:firstLineChars="0"/>
        <w:rPr>
          <w:rFonts w:hint="default" w:ascii="Times New Roman" w:hAnsi="Times New Roman" w:eastAsia="宋体" w:cs="Times New Roman"/>
          <w:u w:val="none" w:color="auto"/>
          <w:lang w:val="en-US" w:eastAsia="zh-CN"/>
        </w:rPr>
        <w:sectPr>
          <w:pgSz w:w="11906" w:h="16838"/>
          <w:pgMar w:top="1701" w:right="1531" w:bottom="1701" w:left="1531" w:header="851" w:footer="850" w:gutter="0"/>
          <w:pgBorders>
            <w:top w:val="none" w:sz="0" w:space="0"/>
            <w:left w:val="none" w:sz="0" w:space="0"/>
            <w:bottom w:val="none" w:sz="0" w:space="0"/>
            <w:right w:val="none" w:sz="0" w:space="0"/>
          </w:pgBorders>
          <w:pgNumType w:fmt="decimal"/>
          <w:cols w:space="0" w:num="1"/>
          <w:rtlGutter w:val="0"/>
          <w:docGrid w:linePitch="312" w:charSpace="0"/>
        </w:sectPr>
      </w:pPr>
      <w:r>
        <w:drawing>
          <wp:inline distT="0" distB="0" distL="114300" distR="114300">
            <wp:extent cx="5615305" cy="7893685"/>
            <wp:effectExtent l="0" t="0" r="4445" b="12065"/>
            <wp:docPr id="2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36"/>
                    <pic:cNvPicPr>
                      <a:picLocks noChangeAspect="1"/>
                    </pic:cNvPicPr>
                  </pic:nvPicPr>
                  <pic:blipFill>
                    <a:blip r:embed="rId133"/>
                    <a:stretch>
                      <a:fillRect/>
                    </a:stretch>
                  </pic:blipFill>
                  <pic:spPr>
                    <a:xfrm>
                      <a:off x="0" y="0"/>
                      <a:ext cx="5615305" cy="7893685"/>
                    </a:xfrm>
                    <a:prstGeom prst="rect">
                      <a:avLst/>
                    </a:prstGeom>
                    <a:noFill/>
                    <a:ln>
                      <a:noFill/>
                    </a:ln>
                  </pic:spPr>
                </pic:pic>
              </a:graphicData>
            </a:graphic>
          </wp:inline>
        </w:drawing>
      </w:r>
      <w:r>
        <w:drawing>
          <wp:inline distT="0" distB="0" distL="114300" distR="114300">
            <wp:extent cx="5612765" cy="8021955"/>
            <wp:effectExtent l="0" t="0" r="6985" b="17145"/>
            <wp:docPr id="2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37"/>
                    <pic:cNvPicPr>
                      <a:picLocks noChangeAspect="1"/>
                    </pic:cNvPicPr>
                  </pic:nvPicPr>
                  <pic:blipFill>
                    <a:blip r:embed="rId134"/>
                    <a:stretch>
                      <a:fillRect/>
                    </a:stretch>
                  </pic:blipFill>
                  <pic:spPr>
                    <a:xfrm>
                      <a:off x="0" y="0"/>
                      <a:ext cx="5612765" cy="8021955"/>
                    </a:xfrm>
                    <a:prstGeom prst="rect">
                      <a:avLst/>
                    </a:prstGeom>
                    <a:noFill/>
                    <a:ln>
                      <a:noFill/>
                    </a:ln>
                  </pic:spPr>
                </pic:pic>
              </a:graphicData>
            </a:graphic>
          </wp:inline>
        </w:drawing>
      </w:r>
      <w:r>
        <w:drawing>
          <wp:inline distT="0" distB="0" distL="114300" distR="114300">
            <wp:extent cx="5609590" cy="8086725"/>
            <wp:effectExtent l="0" t="0" r="10160" b="9525"/>
            <wp:docPr id="2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8"/>
                    <pic:cNvPicPr>
                      <a:picLocks noChangeAspect="1"/>
                    </pic:cNvPicPr>
                  </pic:nvPicPr>
                  <pic:blipFill>
                    <a:blip r:embed="rId135"/>
                    <a:stretch>
                      <a:fillRect/>
                    </a:stretch>
                  </pic:blipFill>
                  <pic:spPr>
                    <a:xfrm>
                      <a:off x="0" y="0"/>
                      <a:ext cx="5609590" cy="8086725"/>
                    </a:xfrm>
                    <a:prstGeom prst="rect">
                      <a:avLst/>
                    </a:prstGeom>
                    <a:noFill/>
                    <a:ln>
                      <a:noFill/>
                    </a:ln>
                  </pic:spPr>
                </pic:pic>
              </a:graphicData>
            </a:graphic>
          </wp:inline>
        </w:drawing>
      </w:r>
      <w:r>
        <w:drawing>
          <wp:inline distT="0" distB="0" distL="114300" distR="114300">
            <wp:extent cx="5609590" cy="8068310"/>
            <wp:effectExtent l="0" t="0" r="10160" b="8890"/>
            <wp:docPr id="23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39"/>
                    <pic:cNvPicPr>
                      <a:picLocks noChangeAspect="1"/>
                    </pic:cNvPicPr>
                  </pic:nvPicPr>
                  <pic:blipFill>
                    <a:blip r:embed="rId136"/>
                    <a:stretch>
                      <a:fillRect/>
                    </a:stretch>
                  </pic:blipFill>
                  <pic:spPr>
                    <a:xfrm>
                      <a:off x="0" y="0"/>
                      <a:ext cx="5609590" cy="8068310"/>
                    </a:xfrm>
                    <a:prstGeom prst="rect">
                      <a:avLst/>
                    </a:prstGeom>
                    <a:noFill/>
                    <a:ln>
                      <a:noFill/>
                    </a:ln>
                  </pic:spPr>
                </pic:pic>
              </a:graphicData>
            </a:graphic>
          </wp:inline>
        </w:drawing>
      </w:r>
      <w:r>
        <w:drawing>
          <wp:inline distT="0" distB="0" distL="114300" distR="114300">
            <wp:extent cx="5615940" cy="7979410"/>
            <wp:effectExtent l="0" t="0" r="3810" b="2540"/>
            <wp:docPr id="23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40"/>
                    <pic:cNvPicPr>
                      <a:picLocks noChangeAspect="1"/>
                    </pic:cNvPicPr>
                  </pic:nvPicPr>
                  <pic:blipFill>
                    <a:blip r:embed="rId137"/>
                    <a:stretch>
                      <a:fillRect/>
                    </a:stretch>
                  </pic:blipFill>
                  <pic:spPr>
                    <a:xfrm>
                      <a:off x="0" y="0"/>
                      <a:ext cx="5615940" cy="7979410"/>
                    </a:xfrm>
                    <a:prstGeom prst="rect">
                      <a:avLst/>
                    </a:prstGeom>
                    <a:noFill/>
                    <a:ln>
                      <a:noFill/>
                    </a:ln>
                  </pic:spPr>
                </pic:pic>
              </a:graphicData>
            </a:graphic>
          </wp:inline>
        </w:drawing>
      </w:r>
      <w:r>
        <w:drawing>
          <wp:inline distT="0" distB="0" distL="114300" distR="114300">
            <wp:extent cx="5613400" cy="8050530"/>
            <wp:effectExtent l="0" t="0" r="6350" b="7620"/>
            <wp:docPr id="24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41"/>
                    <pic:cNvPicPr>
                      <a:picLocks noChangeAspect="1"/>
                    </pic:cNvPicPr>
                  </pic:nvPicPr>
                  <pic:blipFill>
                    <a:blip r:embed="rId138"/>
                    <a:stretch>
                      <a:fillRect/>
                    </a:stretch>
                  </pic:blipFill>
                  <pic:spPr>
                    <a:xfrm>
                      <a:off x="0" y="0"/>
                      <a:ext cx="5613400" cy="8050530"/>
                    </a:xfrm>
                    <a:prstGeom prst="rect">
                      <a:avLst/>
                    </a:prstGeom>
                    <a:noFill/>
                    <a:ln>
                      <a:noFill/>
                    </a:ln>
                  </pic:spPr>
                </pic:pic>
              </a:graphicData>
            </a:graphic>
          </wp:inline>
        </w:drawing>
      </w:r>
      <w:r>
        <w:drawing>
          <wp:inline distT="0" distB="0" distL="114300" distR="114300">
            <wp:extent cx="5610225" cy="8187055"/>
            <wp:effectExtent l="0" t="0" r="9525" b="4445"/>
            <wp:docPr id="2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42"/>
                    <pic:cNvPicPr>
                      <a:picLocks noChangeAspect="1"/>
                    </pic:cNvPicPr>
                  </pic:nvPicPr>
                  <pic:blipFill>
                    <a:blip r:embed="rId139"/>
                    <a:stretch>
                      <a:fillRect/>
                    </a:stretch>
                  </pic:blipFill>
                  <pic:spPr>
                    <a:xfrm>
                      <a:off x="0" y="0"/>
                      <a:ext cx="5610225" cy="8187055"/>
                    </a:xfrm>
                    <a:prstGeom prst="rect">
                      <a:avLst/>
                    </a:prstGeom>
                    <a:noFill/>
                    <a:ln>
                      <a:noFill/>
                    </a:ln>
                  </pic:spPr>
                </pic:pic>
              </a:graphicData>
            </a:graphic>
          </wp:inline>
        </w:drawing>
      </w:r>
    </w:p>
    <w:p w14:paraId="7F0B5ABD">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u w:val="none" w:color="auto"/>
        </w:rPr>
        <w:drawing>
          <wp:anchor distT="0" distB="0" distL="114300" distR="114300" simplePos="0" relativeHeight="251685888" behindDoc="0" locked="0" layoutInCell="1" allowOverlap="1">
            <wp:simplePos x="0" y="0"/>
            <wp:positionH relativeFrom="column">
              <wp:posOffset>8026400</wp:posOffset>
            </wp:positionH>
            <wp:positionV relativeFrom="paragraph">
              <wp:posOffset>8255</wp:posOffset>
            </wp:positionV>
            <wp:extent cx="771525" cy="1217930"/>
            <wp:effectExtent l="0" t="0" r="9525" b="1270"/>
            <wp:wrapNone/>
            <wp:docPr id="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
                    <pic:cNvPicPr>
                      <a:picLocks noChangeAspect="1"/>
                    </pic:cNvPicPr>
                  </pic:nvPicPr>
                  <pic:blipFill>
                    <a:blip r:embed="rId140"/>
                    <a:stretch>
                      <a:fillRect/>
                    </a:stretch>
                  </pic:blipFill>
                  <pic:spPr>
                    <a:xfrm>
                      <a:off x="0" y="0"/>
                      <a:ext cx="771525" cy="1217930"/>
                    </a:xfrm>
                    <a:prstGeom prst="rect">
                      <a:avLst/>
                    </a:prstGeom>
                    <a:noFill/>
                    <a:ln>
                      <a:noFill/>
                    </a:ln>
                  </pic:spPr>
                </pic:pic>
              </a:graphicData>
            </a:graphic>
          </wp:anchor>
        </w:drawing>
      </w:r>
      <w:r>
        <w:rPr>
          <w:rFonts w:hint="default" w:ascii="Times New Roman" w:hAnsi="Times New Roman" w:eastAsia="宋体" w:cs="Times New Roman"/>
          <w:color w:val="auto"/>
          <w:sz w:val="21"/>
          <w:u w:val="none" w:color="auto"/>
        </w:rPr>
        <mc:AlternateContent>
          <mc:Choice Requires="wps">
            <w:drawing>
              <wp:anchor distT="0" distB="0" distL="114300" distR="114300" simplePos="0" relativeHeight="251663360" behindDoc="0" locked="0" layoutInCell="1" allowOverlap="1">
                <wp:simplePos x="0" y="0"/>
                <wp:positionH relativeFrom="column">
                  <wp:posOffset>4413250</wp:posOffset>
                </wp:positionH>
                <wp:positionV relativeFrom="paragraph">
                  <wp:posOffset>1774190</wp:posOffset>
                </wp:positionV>
                <wp:extent cx="1032510" cy="511175"/>
                <wp:effectExtent l="249555" t="12700" r="13335" b="238125"/>
                <wp:wrapNone/>
                <wp:docPr id="10" name="圆角矩形标注 10"/>
                <wp:cNvGraphicFramePr/>
                <a:graphic xmlns:a="http://schemas.openxmlformats.org/drawingml/2006/main">
                  <a:graphicData uri="http://schemas.microsoft.com/office/word/2010/wordprocessingShape">
                    <wps:wsp>
                      <wps:cNvSpPr/>
                      <wps:spPr>
                        <a:xfrm>
                          <a:off x="0" y="0"/>
                          <a:ext cx="1032510" cy="511175"/>
                        </a:xfrm>
                        <a:prstGeom prst="wedgeRoundRectCallout">
                          <a:avLst>
                            <a:gd name="adj1" fmla="val -72929"/>
                            <a:gd name="adj2" fmla="val 93282"/>
                            <a:gd name="adj3" fmla="val 16667"/>
                          </a:avLst>
                        </a:prstGeom>
                      </wps:spPr>
                      <wps:style>
                        <a:lnRef idx="2">
                          <a:schemeClr val="accent1"/>
                        </a:lnRef>
                        <a:fillRef idx="0">
                          <a:srgbClr val="FFFFFF"/>
                        </a:fillRef>
                        <a:effectRef idx="0">
                          <a:srgbClr val="FFFFFF"/>
                        </a:effectRef>
                        <a:fontRef idx="minor">
                          <a:schemeClr val="dk1"/>
                        </a:fontRef>
                      </wps:style>
                      <wps:txbx>
                        <w:txbxContent>
                          <w:p w14:paraId="7DA9261A">
                            <w:pPr>
                              <w:jc w:val="center"/>
                              <w:rPr>
                                <w:rFonts w:hint="eastAsia" w:eastAsiaTheme="minorEastAsia"/>
                                <w:lang w:eastAsia="zh-CN"/>
                              </w:rPr>
                            </w:pPr>
                            <w:r>
                              <w:rPr>
                                <w:rFonts w:hint="eastAsia"/>
                                <w:lang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47.5pt;margin-top:139.7pt;height:40.25pt;width:81.3pt;z-index:251663360;v-text-anchor:middle;mso-width-relative:page;mso-height-relative:page;" filled="f" stroked="t" coordsize="21600,21600" o:gfxdata="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H7FRiNsAAAALAQAADwAAAAAAAAABACAA&#10;AAAiAAAAZHJzL2Rvd25yZXYueG1sUEsBAhQAFAAAAAgAh07iQEHJ5P+1AgAAVAUAAA4AAAAAAAAA&#10;AQAgAAAAKgEAAGRycy9lMm9Eb2MueG1sUEsFBgAAAAAGAAYAWQEAAFEGAAAAAA==&#10;" adj="-4953,30949,14400">
                <v:fill on="f" focussize="0,0"/>
                <v:stroke weight="2pt" color="#4F81BD [3204]" joinstyle="round"/>
                <v:imagedata o:title=""/>
                <o:lock v:ext="edit" aspectratio="f"/>
                <v:textbox>
                  <w:txbxContent>
                    <w:p w14:paraId="7DA9261A">
                      <w:pPr>
                        <w:jc w:val="center"/>
                        <w:rPr>
                          <w:rFonts w:hint="eastAsia" w:eastAsiaTheme="minorEastAsia"/>
                          <w:lang w:eastAsia="zh-CN"/>
                        </w:rPr>
                      </w:pPr>
                      <w:r>
                        <w:rPr>
                          <w:rFonts w:hint="eastAsia"/>
                          <w:lang w:eastAsia="zh-CN"/>
                        </w:rPr>
                        <w:t>项目所在地</w:t>
                      </w:r>
                    </w:p>
                  </w:txbxContent>
                </v:textbox>
              </v:shape>
            </w:pict>
          </mc:Fallback>
        </mc:AlternateContent>
      </w:r>
      <w:r>
        <w:rPr>
          <w:rFonts w:hint="default" w:ascii="Times New Roman" w:hAnsi="Times New Roman" w:eastAsia="宋体" w:cs="Times New Roman"/>
          <w:u w:val="none" w:color="auto"/>
        </w:rPr>
        <w:drawing>
          <wp:inline distT="0" distB="0" distL="114300" distR="114300">
            <wp:extent cx="8771255" cy="5006975"/>
            <wp:effectExtent l="0" t="0" r="10795" b="3175"/>
            <wp:docPr id="11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4"/>
                    <pic:cNvPicPr>
                      <a:picLocks noChangeAspect="1"/>
                    </pic:cNvPicPr>
                  </pic:nvPicPr>
                  <pic:blipFill>
                    <a:blip r:embed="rId141"/>
                    <a:stretch>
                      <a:fillRect/>
                    </a:stretch>
                  </pic:blipFill>
                  <pic:spPr>
                    <a:xfrm>
                      <a:off x="0" y="0"/>
                      <a:ext cx="8771255" cy="5006975"/>
                    </a:xfrm>
                    <a:prstGeom prst="rect">
                      <a:avLst/>
                    </a:prstGeom>
                    <a:noFill/>
                    <a:ln>
                      <a:noFill/>
                    </a:ln>
                  </pic:spPr>
                </pic:pic>
              </a:graphicData>
            </a:graphic>
          </wp:inline>
        </w:drawing>
      </w:r>
    </w:p>
    <w:p w14:paraId="5A172314">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sz w:val="28"/>
          <w:u w:val="none" w:color="auto"/>
        </w:rPr>
        <mc:AlternateContent>
          <mc:Choice Requires="wps">
            <w:drawing>
              <wp:anchor distT="0" distB="0" distL="114300" distR="114300" simplePos="0" relativeHeight="251662336" behindDoc="0" locked="0" layoutInCell="1" allowOverlap="1">
                <wp:simplePos x="0" y="0"/>
                <wp:positionH relativeFrom="column">
                  <wp:posOffset>3223895</wp:posOffset>
                </wp:positionH>
                <wp:positionV relativeFrom="paragraph">
                  <wp:posOffset>90170</wp:posOffset>
                </wp:positionV>
                <wp:extent cx="2600960" cy="41783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600960"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13150A">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附图1 项目地理位置图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85pt;margin-top:7.1pt;height:32.9pt;width:204.8pt;z-index:251662336;mso-width-relative:page;mso-height-relative:page;" filled="f" stroked="f" coordsize="21600,21600" o:gfxdata="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&#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v6W8C2gAAAAkBAAAPAAAAAAAAAAEAIAAAACIAAABk&#10;cnMvZG93bnJldi54bWxQSwECFAAUAAAACACHTuJAZyJGVz0CAABmBAAADgAAAAAAAAABACAAAAAp&#10;AQAAZHJzL2Uyb0RvYy54bWxQSwUGAAAAAAYABgBZAQAA2AUAAAAA&#10;">
                <v:fill on="f" focussize="0,0"/>
                <v:stroke on="f" weight="0.5pt"/>
                <v:imagedata o:title=""/>
                <o:lock v:ext="edit" aspectratio="f"/>
                <v:textbox>
                  <w:txbxContent>
                    <w:p w14:paraId="6013150A">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附图1 项目地理位置图</w:t>
                      </w:r>
                    </w:p>
                  </w:txbxContent>
                </v:textbox>
              </v:shape>
            </w:pict>
          </mc:Fallback>
        </mc:AlternateContent>
      </w:r>
    </w:p>
    <w:p w14:paraId="49D3156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0A9749F1">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p>
    <w:p w14:paraId="2BC10A6F">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sz w:val="28"/>
          <w:u w:val="none" w:color="auto"/>
        </w:rPr>
        <mc:AlternateContent>
          <mc:Choice Requires="wps">
            <w:drawing>
              <wp:anchor distT="0" distB="0" distL="114300" distR="114300" simplePos="0" relativeHeight="251761664" behindDoc="0" locked="0" layoutInCell="1" allowOverlap="1">
                <wp:simplePos x="0" y="0"/>
                <wp:positionH relativeFrom="column">
                  <wp:posOffset>3111500</wp:posOffset>
                </wp:positionH>
                <wp:positionV relativeFrom="paragraph">
                  <wp:posOffset>5195570</wp:posOffset>
                </wp:positionV>
                <wp:extent cx="2600960" cy="41783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2600960"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96D90">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w:t>
                            </w:r>
                            <w:r>
                              <w:rPr>
                                <w:rFonts w:hint="eastAsia" w:cs="Times New Roman"/>
                                <w:b/>
                                <w:bCs/>
                                <w:spacing w:val="6"/>
                                <w:sz w:val="28"/>
                                <w:szCs w:val="28"/>
                                <w:lang w:val="en-US" w:eastAsia="zh-CN"/>
                              </w:rPr>
                              <w:t>2</w:t>
                            </w:r>
                            <w:r>
                              <w:rPr>
                                <w:rFonts w:hint="eastAsia" w:ascii="Times New Roman" w:hAnsi="Times New Roman" w:eastAsia="宋体" w:cs="Times New Roman"/>
                                <w:b/>
                                <w:bCs/>
                                <w:spacing w:val="6"/>
                                <w:sz w:val="28"/>
                                <w:szCs w:val="28"/>
                                <w:lang w:val="en-US" w:eastAsia="zh-CN"/>
                              </w:rPr>
                              <w:t xml:space="preserve"> 项目</w:t>
                            </w:r>
                            <w:r>
                              <w:rPr>
                                <w:rFonts w:hint="eastAsia" w:cs="Times New Roman"/>
                                <w:b/>
                                <w:bCs/>
                                <w:spacing w:val="6"/>
                                <w:sz w:val="28"/>
                                <w:szCs w:val="28"/>
                                <w:lang w:val="en-US" w:eastAsia="zh-CN"/>
                              </w:rPr>
                              <w:t>平面布置图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pt;margin-top:409.1pt;height:32.9pt;width:204.8pt;z-index:251761664;mso-width-relative:page;mso-height-relative:page;" filled="f" stroked="f" coordsize="21600,21600" o:gfxdata="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3viwtwAAAALAQAADwAAAAAAAAABACAAAAAi&#10;AAAAZHJzL2Rvd25yZXYueG1sUEsBAhQAFAAAAAgAh07iQF9ItEM/AgAAagQAAA4AAAAAAAAAAQAg&#10;AAAAKwEAAGRycy9lMm9Eb2MueG1sUEsFBgAAAAAGAAYAWQEAANwFAAAAAA==&#10;">
                <v:fill on="f" focussize="0,0"/>
                <v:stroke on="f" weight="0.5pt"/>
                <v:imagedata o:title=""/>
                <o:lock v:ext="edit" aspectratio="f"/>
                <v:textbox>
                  <w:txbxContent>
                    <w:p w14:paraId="20496D90">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w:t>
                      </w:r>
                      <w:r>
                        <w:rPr>
                          <w:rFonts w:hint="eastAsia" w:cs="Times New Roman"/>
                          <w:b/>
                          <w:bCs/>
                          <w:spacing w:val="6"/>
                          <w:sz w:val="28"/>
                          <w:szCs w:val="28"/>
                          <w:lang w:val="en-US" w:eastAsia="zh-CN"/>
                        </w:rPr>
                        <w:t>2</w:t>
                      </w:r>
                      <w:r>
                        <w:rPr>
                          <w:rFonts w:hint="eastAsia" w:ascii="Times New Roman" w:hAnsi="Times New Roman" w:eastAsia="宋体" w:cs="Times New Roman"/>
                          <w:b/>
                          <w:bCs/>
                          <w:spacing w:val="6"/>
                          <w:sz w:val="28"/>
                          <w:szCs w:val="28"/>
                          <w:lang w:val="en-US" w:eastAsia="zh-CN"/>
                        </w:rPr>
                        <w:t xml:space="preserve"> 项目</w:t>
                      </w:r>
                      <w:r>
                        <w:rPr>
                          <w:rFonts w:hint="eastAsia" w:cs="Times New Roman"/>
                          <w:b/>
                          <w:bCs/>
                          <w:spacing w:val="6"/>
                          <w:sz w:val="28"/>
                          <w:szCs w:val="28"/>
                          <w:lang w:val="en-US" w:eastAsia="zh-CN"/>
                        </w:rPr>
                        <w:t>平面布置图</w:t>
                      </w:r>
                    </w:p>
                  </w:txbxContent>
                </v:textbox>
              </v:shape>
            </w:pict>
          </mc:Fallback>
        </mc:AlternateContent>
      </w:r>
      <w:r>
        <w:rPr>
          <w:rFonts w:hint="default" w:ascii="Times New Roman" w:hAnsi="Times New Roman" w:eastAsia="宋体" w:cs="Times New Roman"/>
          <w:sz w:val="21"/>
          <w:u w:val="none" w:color="auto"/>
        </w:rPr>
        <w:drawing>
          <wp:inline distT="0" distB="0" distL="114300" distR="114300">
            <wp:extent cx="8522335" cy="5516245"/>
            <wp:effectExtent l="0" t="0" r="12065" b="8255"/>
            <wp:docPr id="233" name="图片 233" descr="8dfb65efd5c6127874e6d84196496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8dfb65efd5c6127874e6d84196496e75"/>
                    <pic:cNvPicPr>
                      <a:picLocks noChangeAspect="1"/>
                    </pic:cNvPicPr>
                  </pic:nvPicPr>
                  <pic:blipFill>
                    <a:blip r:embed="rId142"/>
                    <a:stretch>
                      <a:fillRect/>
                    </a:stretch>
                  </pic:blipFill>
                  <pic:spPr>
                    <a:xfrm>
                      <a:off x="0" y="0"/>
                      <a:ext cx="8522335" cy="5516245"/>
                    </a:xfrm>
                    <a:prstGeom prst="rect">
                      <a:avLst/>
                    </a:prstGeom>
                  </pic:spPr>
                </pic:pic>
              </a:graphicData>
            </a:graphic>
          </wp:inline>
        </w:drawing>
      </w:r>
      <w:r>
        <w:rPr>
          <w:rFonts w:hint="default" w:ascii="Times New Roman" w:hAnsi="Times New Roman" w:eastAsia="宋体" w:cs="Times New Roman"/>
          <w:sz w:val="21"/>
          <w:u w:val="none" w:color="auto"/>
        </w:rPr>
        <mc:AlternateContent>
          <mc:Choice Requires="wps">
            <w:drawing>
              <wp:anchor distT="0" distB="0" distL="114300" distR="114300" simplePos="0" relativeHeight="251717632" behindDoc="0" locked="0" layoutInCell="1" allowOverlap="1">
                <wp:simplePos x="0" y="0"/>
                <wp:positionH relativeFrom="column">
                  <wp:posOffset>3961130</wp:posOffset>
                </wp:positionH>
                <wp:positionV relativeFrom="paragraph">
                  <wp:posOffset>3735705</wp:posOffset>
                </wp:positionV>
                <wp:extent cx="1257300" cy="581025"/>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B255E">
                            <w:pPr>
                              <w:rPr>
                                <w:rFonts w:hint="eastAsia"/>
                                <w:b/>
                                <w:bCs/>
                                <w:lang w:val="en-US" w:eastAsia="zh-CN"/>
                              </w:rPr>
                            </w:pPr>
                            <w:r>
                              <w:rPr>
                                <w:rFonts w:hint="eastAsia" w:ascii="Times New Roman" w:hAnsi="Times New Roman" w:eastAsia="宋体" w:cs="Times New Roman"/>
                                <w:b/>
                                <w:bCs/>
                                <w:color w:val="auto"/>
                                <w:sz w:val="18"/>
                                <w:szCs w:val="18"/>
                                <w:u w:val="none" w:color="auto"/>
                                <w:lang w:val="en-US" w:eastAsia="zh-CN"/>
                              </w:rPr>
                              <w:t>东洞庭湖中国圆田螺国家级水产种质资源保护区的实验区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9pt;margin-top:294.15pt;height:45.75pt;width:99pt;z-index:251717632;mso-width-relative:page;mso-height-relative:page;" filled="f" stroked="f" coordsize="21600,21600" o:gfxdata="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QcbTbAAAACwEAAA8AAAAAAAAAAQAgAAAAIgAA&#10;AGRycy9kb3ducmV2LnhtbFBLAQIUABQAAAAIAIdO4kCzOX2IPgIAAGoEAAAOAAAAAAAAAAEAIAAA&#10;ACoBAABkcnMvZTJvRG9jLnhtbFBLBQYAAAAABgAGAFkBAADaBQAAAAA=&#10;">
                <v:fill on="f" focussize="0,0"/>
                <v:stroke on="f" weight="0.5pt"/>
                <v:imagedata o:title=""/>
                <o:lock v:ext="edit" aspectratio="f"/>
                <v:textbox>
                  <w:txbxContent>
                    <w:p w14:paraId="444B255E">
                      <w:pPr>
                        <w:rPr>
                          <w:rFonts w:hint="eastAsia"/>
                          <w:b/>
                          <w:bCs/>
                          <w:lang w:val="en-US" w:eastAsia="zh-CN"/>
                        </w:rPr>
                      </w:pPr>
                      <w:r>
                        <w:rPr>
                          <w:rFonts w:hint="eastAsia" w:ascii="Times New Roman" w:hAnsi="Times New Roman" w:eastAsia="宋体" w:cs="Times New Roman"/>
                          <w:b/>
                          <w:bCs/>
                          <w:color w:val="auto"/>
                          <w:sz w:val="18"/>
                          <w:szCs w:val="18"/>
                          <w:u w:val="none" w:color="auto"/>
                          <w:lang w:val="en-US" w:eastAsia="zh-CN"/>
                        </w:rPr>
                        <w:t>东洞庭湖中国圆田螺国家级水产种质资源保护区的实验区</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18656" behindDoc="0" locked="0" layoutInCell="1" allowOverlap="1">
                <wp:simplePos x="0" y="0"/>
                <wp:positionH relativeFrom="column">
                  <wp:posOffset>2684780</wp:posOffset>
                </wp:positionH>
                <wp:positionV relativeFrom="paragraph">
                  <wp:posOffset>4231005</wp:posOffset>
                </wp:positionV>
                <wp:extent cx="1257300" cy="581025"/>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0B341">
                            <w:pPr>
                              <w:rPr>
                                <w:rFonts w:hint="eastAsia" w:eastAsia="宋体"/>
                                <w:b/>
                                <w:bCs/>
                                <w:lang w:val="en-US" w:eastAsia="zh-CN"/>
                              </w:rPr>
                            </w:pPr>
                            <w:r>
                              <w:rPr>
                                <w:rFonts w:hint="eastAsia"/>
                                <w:b/>
                                <w:bCs/>
                                <w:szCs w:val="21"/>
                                <w:lang w:val="en-US" w:eastAsia="zh-CN"/>
                              </w:rPr>
                              <w:t>华容河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4pt;margin-top:333.15pt;height:45.75pt;width:99pt;z-index:251718656;mso-width-relative:page;mso-height-relative:page;" filled="f" stroked="f" coordsize="21600,21600" o:gfxdata="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X4iSj3AAAAAsBAAAPAAAAAAAAAAEAIAAAACIA&#10;AABkcnMvZG93bnJldi54bWxQSwECFAAUAAAACACHTuJAId5CGz4CAABqBAAADgAAAAAAAAABACAA&#10;AAArAQAAZHJzL2Uyb0RvYy54bWxQSwUGAAAAAAYABgBZAQAA2wUAAAAA&#10;">
                <v:fill on="f" focussize="0,0"/>
                <v:stroke on="f" weight="0.5pt"/>
                <v:imagedata o:title=""/>
                <o:lock v:ext="edit" aspectratio="f"/>
                <v:textbox>
                  <w:txbxContent>
                    <w:p w14:paraId="1020B341">
                      <w:pPr>
                        <w:rPr>
                          <w:rFonts w:hint="eastAsia" w:eastAsia="宋体"/>
                          <w:b/>
                          <w:bCs/>
                          <w:lang w:val="en-US" w:eastAsia="zh-CN"/>
                        </w:rPr>
                      </w:pPr>
                      <w:r>
                        <w:rPr>
                          <w:rFonts w:hint="eastAsia"/>
                          <w:b/>
                          <w:bCs/>
                          <w:szCs w:val="21"/>
                          <w:lang w:val="en-US" w:eastAsia="zh-CN"/>
                        </w:rPr>
                        <w:t>华容河</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5344" behindDoc="0" locked="0" layoutInCell="1" allowOverlap="1">
                <wp:simplePos x="0" y="0"/>
                <wp:positionH relativeFrom="column">
                  <wp:posOffset>4618355</wp:posOffset>
                </wp:positionH>
                <wp:positionV relativeFrom="paragraph">
                  <wp:posOffset>382905</wp:posOffset>
                </wp:positionV>
                <wp:extent cx="1257300" cy="581025"/>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FE3F4">
                            <w:pPr>
                              <w:rPr>
                                <w:rFonts w:hint="default"/>
                                <w:b/>
                                <w:bCs/>
                                <w:lang w:val="en-US" w:eastAsia="zh-CN"/>
                              </w:rPr>
                            </w:pPr>
                            <w:r>
                              <w:rPr>
                                <w:rFonts w:hint="eastAsia"/>
                                <w:b/>
                                <w:bCs/>
                                <w:szCs w:val="21"/>
                              </w:rPr>
                              <w:t>蔡家港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65pt;margin-top:30.15pt;height:45.75pt;width:99pt;z-index:251705344;mso-width-relative:page;mso-height-relative:page;" filled="f" stroked="f" coordsize="21600,21600" o:gfxdata="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2543doAAAAKAQAADwAAAAAAAAABACAAAAAiAAAA&#10;ZHJzL2Rvd25yZXYueG1sUEsBAhQAFAAAAAgAh07iQNbwc3U+AgAAagQAAA4AAAAAAAAAAQAgAAAA&#10;KQEAAGRycy9lMm9Eb2MueG1sUEsFBgAAAAAGAAYAWQEAANkFAAAAAA==&#10;">
                <v:fill on="f" focussize="0,0"/>
                <v:stroke on="f" weight="0.5pt"/>
                <v:imagedata o:title=""/>
                <o:lock v:ext="edit" aspectratio="f"/>
                <v:textbox>
                  <w:txbxContent>
                    <w:p w14:paraId="21FFE3F4">
                      <w:pPr>
                        <w:rPr>
                          <w:rFonts w:hint="default"/>
                          <w:b/>
                          <w:bCs/>
                          <w:lang w:val="en-US" w:eastAsia="zh-CN"/>
                        </w:rPr>
                      </w:pPr>
                      <w:r>
                        <w:rPr>
                          <w:rFonts w:hint="eastAsia"/>
                          <w:b/>
                          <w:bCs/>
                          <w:szCs w:val="21"/>
                        </w:rPr>
                        <w:t>蔡家港</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7392" behindDoc="0" locked="0" layoutInCell="1" allowOverlap="1">
                <wp:simplePos x="0" y="0"/>
                <wp:positionH relativeFrom="column">
                  <wp:posOffset>6961505</wp:posOffset>
                </wp:positionH>
                <wp:positionV relativeFrom="paragraph">
                  <wp:posOffset>5105400</wp:posOffset>
                </wp:positionV>
                <wp:extent cx="171450" cy="123825"/>
                <wp:effectExtent l="12700" t="12700" r="25400" b="15875"/>
                <wp:wrapNone/>
                <wp:docPr id="200" name="椭圆 200"/>
                <wp:cNvGraphicFramePr/>
                <a:graphic xmlns:a="http://schemas.openxmlformats.org/drawingml/2006/main">
                  <a:graphicData uri="http://schemas.microsoft.com/office/word/2010/wordprocessingShape">
                    <wps:wsp>
                      <wps:cNvSpPr/>
                      <wps:spPr>
                        <a:xfrm>
                          <a:off x="8003540" y="3677285"/>
                          <a:ext cx="171450" cy="1238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48.15pt;margin-top:402pt;height:9.75pt;width:13.5pt;z-index:251707392;v-text-anchor:middle;mso-width-relative:page;mso-height-relative:page;" filled="f" stroked="t" coordsize="21600,21600" o:gfxdata="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c/iPTWAAAADQEAAA8AAAAAAAAAAQAgAAAAIgAAAGRycy9kb3ducmV2Lnht&#10;bFBLAQIUABQAAAAIAIdO4kC+O5OZbQIAAMYEAAAOAAAAAAAAAAEAIAAAACUBAABkcnMvZTJvRG9j&#10;LnhtbFBLBQYAAAAABgAGAFkBAAAEBgAAAAA=&#10;">
                <v:fill on="f" focussize="0,0"/>
                <v:stroke weight="2pt" color="#FF0000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2272" behindDoc="0" locked="0" layoutInCell="1" allowOverlap="1">
                <wp:simplePos x="0" y="0"/>
                <wp:positionH relativeFrom="column">
                  <wp:posOffset>6913880</wp:posOffset>
                </wp:positionH>
                <wp:positionV relativeFrom="paragraph">
                  <wp:posOffset>4714875</wp:posOffset>
                </wp:positionV>
                <wp:extent cx="219075" cy="133350"/>
                <wp:effectExtent l="12700" t="12700" r="15875" b="25400"/>
                <wp:wrapNone/>
                <wp:docPr id="198" name="矩形 198"/>
                <wp:cNvGraphicFramePr/>
                <a:graphic xmlns:a="http://schemas.openxmlformats.org/drawingml/2006/main">
                  <a:graphicData uri="http://schemas.microsoft.com/office/word/2010/wordprocessingShape">
                    <wps:wsp>
                      <wps:cNvSpPr/>
                      <wps:spPr>
                        <a:xfrm>
                          <a:off x="2383790" y="2315210"/>
                          <a:ext cx="219075" cy="13335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4.4pt;margin-top:371.25pt;height:10.5pt;width:17.25pt;z-index:251702272;v-text-anchor:middle;mso-width-relative:page;mso-height-relative:page;" filled="f" stroked="t" coordsize="21600,21600" o:gfxdata="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7/5cNsAAAANAQAADwAAAAAAAAABACAAAAAiAAAAZHJzL2Rvd25yZXYu&#10;eG1sUEsBAhQAFAAAAAgAh07iQIifln5qAgAAwwQAAA4AAAAAAAAAAQAgAAAAKgEAAGRycy9lMm9E&#10;b2MueG1sUEsFBgAAAAAGAAYAWQEAAAYGAAAAAA==&#10;">
                <v:fill on="f" focussize="0,0"/>
                <v:stroke weight="2pt" color="#FF0000 [2404]" joinstyle="round"/>
                <v:imagedata o:title=""/>
                <o:lock v:ext="edit" aspectratio="f"/>
              </v:rect>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6368" behindDoc="0" locked="0" layoutInCell="1" allowOverlap="1">
                <wp:simplePos x="0" y="0"/>
                <wp:positionH relativeFrom="column">
                  <wp:posOffset>6913880</wp:posOffset>
                </wp:positionH>
                <wp:positionV relativeFrom="paragraph">
                  <wp:posOffset>4914900</wp:posOffset>
                </wp:positionV>
                <wp:extent cx="219075" cy="133350"/>
                <wp:effectExtent l="12700" t="12700" r="15875" b="25400"/>
                <wp:wrapNone/>
                <wp:docPr id="199" name="矩形 199"/>
                <wp:cNvGraphicFramePr/>
                <a:graphic xmlns:a="http://schemas.openxmlformats.org/drawingml/2006/main">
                  <a:graphicData uri="http://schemas.microsoft.com/office/word/2010/wordprocessingShape">
                    <wps:wsp>
                      <wps:cNvSpPr/>
                      <wps:spPr>
                        <a:xfrm>
                          <a:off x="0" y="0"/>
                          <a:ext cx="219075" cy="133350"/>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4.4pt;margin-top:387pt;height:10.5pt;width:17.25pt;z-index:251706368;v-text-anchor:middle;mso-width-relative:page;mso-height-relative:page;" filled="f" stroked="t" coordsize="21600,21600" o:gfxdata="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oAGA2gAAAA0BAAAPAAAAAAAAAAEAIAAAACIAAABkcnMvZG93bnJldi54bWxQSwECFAAUAAAA&#10;CACHTuJAskMts14CAAC3BAAADgAAAAAAAAABACAAAAApAQAAZHJzL2Uyb0RvYy54bWxQSwUGAAAA&#10;AAYABgBZAQAA+QUAAAAA&#10;">
                <v:fill on="f" focussize="0,0"/>
                <v:stroke weight="2pt" color="#FFFF00 [2404]" joinstyle="round"/>
                <v:imagedata o:title=""/>
                <o:lock v:ext="edit" aspectratio="f"/>
              </v:rect>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1248" behindDoc="0" locked="0" layoutInCell="1" allowOverlap="1">
                <wp:simplePos x="0" y="0"/>
                <wp:positionH relativeFrom="column">
                  <wp:posOffset>6866255</wp:posOffset>
                </wp:positionH>
                <wp:positionV relativeFrom="paragraph">
                  <wp:posOffset>4504690</wp:posOffset>
                </wp:positionV>
                <wp:extent cx="1638300" cy="886460"/>
                <wp:effectExtent l="4445" t="4445" r="14605" b="23495"/>
                <wp:wrapNone/>
                <wp:docPr id="197" name="文本框 197"/>
                <wp:cNvGraphicFramePr/>
                <a:graphic xmlns:a="http://schemas.openxmlformats.org/drawingml/2006/main">
                  <a:graphicData uri="http://schemas.microsoft.com/office/word/2010/wordprocessingShape">
                    <wps:wsp>
                      <wps:cNvSpPr txBox="1"/>
                      <wps:spPr>
                        <a:xfrm>
                          <a:off x="8346440" y="5153660"/>
                          <a:ext cx="1638300" cy="886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37B6F6">
                            <w:pPr>
                              <w:jc w:val="center"/>
                              <w:rPr>
                                <w:rFonts w:hint="eastAsia"/>
                                <w:lang w:val="en-US" w:eastAsia="zh-CN"/>
                              </w:rPr>
                            </w:pPr>
                            <w:r>
                              <w:rPr>
                                <w:rFonts w:hint="eastAsia"/>
                                <w:lang w:val="en-US" w:eastAsia="zh-CN"/>
                              </w:rPr>
                              <w:t>图例</w:t>
                            </w:r>
                          </w:p>
                          <w:p w14:paraId="04124244">
                            <w:pPr>
                              <w:jc w:val="left"/>
                              <w:rPr>
                                <w:rFonts w:hint="eastAsia"/>
                                <w:lang w:val="en-US" w:eastAsia="zh-CN"/>
                              </w:rPr>
                            </w:pPr>
                            <w:r>
                              <w:rPr>
                                <w:rFonts w:hint="eastAsia"/>
                                <w:lang w:val="en-US" w:eastAsia="zh-CN"/>
                              </w:rPr>
                              <w:t>　　本项目所在地</w:t>
                            </w:r>
                          </w:p>
                          <w:p w14:paraId="6CA1FF2E">
                            <w:pPr>
                              <w:jc w:val="left"/>
                              <w:rPr>
                                <w:rFonts w:hint="eastAsia"/>
                                <w:lang w:val="en-US" w:eastAsia="zh-CN"/>
                              </w:rPr>
                            </w:pPr>
                            <w:r>
                              <w:rPr>
                                <w:rFonts w:hint="eastAsia"/>
                                <w:lang w:val="en-US" w:eastAsia="zh-CN"/>
                              </w:rPr>
                              <w:t>　　敏感点</w:t>
                            </w:r>
                          </w:p>
                          <w:p w14:paraId="24426227">
                            <w:pPr>
                              <w:jc w:val="left"/>
                              <w:rPr>
                                <w:rFonts w:hint="default"/>
                                <w:lang w:val="en-US" w:eastAsia="zh-CN"/>
                              </w:rPr>
                            </w:pPr>
                            <w:r>
                              <w:rPr>
                                <w:rFonts w:hint="eastAsia"/>
                                <w:lang w:val="en-US" w:eastAsia="zh-CN"/>
                              </w:rPr>
                              <w:t>　　大气环境评价范围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65pt;margin-top:354.7pt;height:69.8pt;width:129pt;z-index:251701248;mso-width-relative:page;mso-height-relative:page;" fillcolor="#FFFFFF [3201]" filled="t" stroked="t" coordsize="21600,21600" o:gfxdata="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xFmKnYAAAADQEAAA8AAAAAAAAAAQAgAAAAIgAAAGRycy9kb3ducmV2LnhtbFBLAQIU&#10;ABQAAAAIAIdO4kDMQAFzZQIAAMcEAAAOAAAAAAAAAAEAIAAAACcBAABkcnMvZTJvRG9jLnhtbFBL&#10;BQYAAAAABgAGAFkBAAD+BQAAAAA=&#10;">
                <v:fill on="t" focussize="0,0"/>
                <v:stroke weight="0.5pt" color="#000000 [3204]" joinstyle="round"/>
                <v:imagedata o:title=""/>
                <o:lock v:ext="edit" aspectratio="f"/>
                <v:textbox>
                  <w:txbxContent>
                    <w:p w14:paraId="3937B6F6">
                      <w:pPr>
                        <w:jc w:val="center"/>
                        <w:rPr>
                          <w:rFonts w:hint="eastAsia"/>
                          <w:lang w:val="en-US" w:eastAsia="zh-CN"/>
                        </w:rPr>
                      </w:pPr>
                      <w:r>
                        <w:rPr>
                          <w:rFonts w:hint="eastAsia"/>
                          <w:lang w:val="en-US" w:eastAsia="zh-CN"/>
                        </w:rPr>
                        <w:t>图例</w:t>
                      </w:r>
                    </w:p>
                    <w:p w14:paraId="04124244">
                      <w:pPr>
                        <w:jc w:val="left"/>
                        <w:rPr>
                          <w:rFonts w:hint="eastAsia"/>
                          <w:lang w:val="en-US" w:eastAsia="zh-CN"/>
                        </w:rPr>
                      </w:pPr>
                      <w:r>
                        <w:rPr>
                          <w:rFonts w:hint="eastAsia"/>
                          <w:lang w:val="en-US" w:eastAsia="zh-CN"/>
                        </w:rPr>
                        <w:t>　　本项目所在地</w:t>
                      </w:r>
                    </w:p>
                    <w:p w14:paraId="6CA1FF2E">
                      <w:pPr>
                        <w:jc w:val="left"/>
                        <w:rPr>
                          <w:rFonts w:hint="eastAsia"/>
                          <w:lang w:val="en-US" w:eastAsia="zh-CN"/>
                        </w:rPr>
                      </w:pPr>
                      <w:r>
                        <w:rPr>
                          <w:rFonts w:hint="eastAsia"/>
                          <w:lang w:val="en-US" w:eastAsia="zh-CN"/>
                        </w:rPr>
                        <w:t>　　敏感点</w:t>
                      </w:r>
                    </w:p>
                    <w:p w14:paraId="24426227">
                      <w:pPr>
                        <w:jc w:val="left"/>
                        <w:rPr>
                          <w:rFonts w:hint="default"/>
                          <w:lang w:val="en-US" w:eastAsia="zh-CN"/>
                        </w:rPr>
                      </w:pPr>
                      <w:r>
                        <w:rPr>
                          <w:rFonts w:hint="eastAsia"/>
                          <w:lang w:val="en-US" w:eastAsia="zh-CN"/>
                        </w:rPr>
                        <w:t>　　大气环境评价范围</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0224" behindDoc="0" locked="0" layoutInCell="1" allowOverlap="1">
                <wp:simplePos x="0" y="0"/>
                <wp:positionH relativeFrom="column">
                  <wp:posOffset>2751455</wp:posOffset>
                </wp:positionH>
                <wp:positionV relativeFrom="paragraph">
                  <wp:posOffset>890270</wp:posOffset>
                </wp:positionV>
                <wp:extent cx="3429000" cy="3246120"/>
                <wp:effectExtent l="6350" t="6350" r="12700" b="24130"/>
                <wp:wrapNone/>
                <wp:docPr id="196" name="椭圆 196"/>
                <wp:cNvGraphicFramePr/>
                <a:graphic xmlns:a="http://schemas.openxmlformats.org/drawingml/2006/main">
                  <a:graphicData uri="http://schemas.microsoft.com/office/word/2010/wordprocessingShape">
                    <wps:wsp>
                      <wps:cNvSpPr/>
                      <wps:spPr>
                        <a:xfrm>
                          <a:off x="1431290" y="2165985"/>
                          <a:ext cx="3429000" cy="3246120"/>
                        </a:xfrm>
                        <a:prstGeom prst="ellipse">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65pt;margin-top:70.1pt;height:255.6pt;width:270pt;z-index:251700224;v-text-anchor:middle;mso-width-relative:page;mso-height-relative:page;" filled="f" stroked="t" coordsize="21600,21600" o:gfxdata="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mMinS2AAAAAsBAAAPAAAAAAAAAAEAIAAAACIAAABkcnMvZG93bnJl&#10;di54bWxQSwECFAAUAAAACACHTuJA6026kG8CAADIBAAADgAAAAAAAAABACAAAAAnAQAAZHJzL2Uy&#10;b0RvYy54bWxQSwUGAAAAAAYABgBZAQAACAYAAAAA&#10;">
                <v:fill on="f" focussize="0,0"/>
                <v:stroke weight="1pt" color="#FF0000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9200" behindDoc="0" locked="0" layoutInCell="1" allowOverlap="1">
                <wp:simplePos x="0" y="0"/>
                <wp:positionH relativeFrom="column">
                  <wp:posOffset>4151630</wp:posOffset>
                </wp:positionH>
                <wp:positionV relativeFrom="paragraph">
                  <wp:posOffset>2402205</wp:posOffset>
                </wp:positionV>
                <wp:extent cx="1257300" cy="581025"/>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34904">
                            <w:pPr>
                              <w:rPr>
                                <w:rFonts w:hint="default" w:eastAsia="宋体"/>
                                <w:color w:val="FF0000"/>
                                <w:lang w:val="en-US" w:eastAsia="zh-CN"/>
                              </w:rPr>
                            </w:pPr>
                            <w:r>
                              <w:rPr>
                                <w:rFonts w:hint="eastAsia"/>
                                <w:color w:val="FF0000"/>
                                <w:lang w:val="en-US" w:eastAsia="zh-CN"/>
                              </w:rPr>
                              <w:t>本项目所在地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9pt;margin-top:189.15pt;height:45.75pt;width:99pt;z-index:251699200;mso-width-relative:page;mso-height-relative:page;" filled="f" stroked="f" coordsize="21600,21600" o:gfxdata="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eN6B+3AAAAAsBAAAPAAAAAAAAAAEAIAAAACIA&#10;AABkcnMvZG93bnJldi54bWxQSwECFAAUAAAACACHTuJAKojOBj4CAABqBAAADgAAAAAAAAABACAA&#10;AAArAQAAZHJzL2Uyb0RvYy54bWxQSwUGAAAAAAYABgBZAQAA2wUAAAAA&#10;">
                <v:fill on="f" focussize="0,0"/>
                <v:stroke on="f" weight="0.5pt"/>
                <v:imagedata o:title=""/>
                <o:lock v:ext="edit" aspectratio="f"/>
                <v:textbox>
                  <w:txbxContent>
                    <w:p w14:paraId="39434904">
                      <w:pPr>
                        <w:rPr>
                          <w:rFonts w:hint="default" w:eastAsia="宋体"/>
                          <w:color w:val="FF0000"/>
                          <w:lang w:val="en-US" w:eastAsia="zh-CN"/>
                        </w:rPr>
                      </w:pPr>
                      <w:r>
                        <w:rPr>
                          <w:rFonts w:hint="eastAsia"/>
                          <w:color w:val="FF0000"/>
                          <w:lang w:val="en-US" w:eastAsia="zh-CN"/>
                        </w:rPr>
                        <w:t>本项目所在地</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86912" behindDoc="0" locked="0" layoutInCell="1" allowOverlap="1">
                <wp:simplePos x="0" y="0"/>
                <wp:positionH relativeFrom="column">
                  <wp:posOffset>4265930</wp:posOffset>
                </wp:positionH>
                <wp:positionV relativeFrom="paragraph">
                  <wp:posOffset>3192780</wp:posOffset>
                </wp:positionV>
                <wp:extent cx="1257300" cy="581025"/>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A6EB4">
                            <w:pPr>
                              <w:rPr>
                                <w:rFonts w:hint="eastAsia"/>
                                <w:color w:val="FFFF00"/>
                                <w:lang w:val="en-US" w:eastAsia="zh-CN"/>
                              </w:rPr>
                            </w:pPr>
                            <w:r>
                              <w:rPr>
                                <w:rFonts w:hint="eastAsia"/>
                                <w:color w:val="FFFF00"/>
                                <w:lang w:val="en-US" w:eastAsia="zh-CN"/>
                              </w:rPr>
                              <w:t>散户居民</w:t>
                            </w:r>
                          </w:p>
                          <w:p w14:paraId="273D0A3A">
                            <w:pPr>
                              <w:rPr>
                                <w:rFonts w:hint="default" w:eastAsia="宋体"/>
                                <w:color w:val="FFFF00"/>
                                <w:lang w:val="en-US" w:eastAsia="zh-CN"/>
                              </w:rPr>
                            </w:pPr>
                            <w:r>
                              <w:rPr>
                                <w:rFonts w:hint="eastAsia"/>
                                <w:color w:val="FFFF00"/>
                                <w:lang w:val="en-US" w:eastAsia="zh-CN"/>
                              </w:rPr>
                              <w:t>约8户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251.4pt;height:45.75pt;width:99pt;z-index:251686912;mso-width-relative:page;mso-height-relative:page;" filled="f" stroked="f" coordsize="21600,21600" o:gfxdata="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qupuzcAAAACwEAAA8AAAAAAAAAAQAgAAAAIgAA&#10;AGRycy9kb3ducmV2LnhtbFBLAQIUABQAAAAIAIdO4kC4b/GVPQIAAGoEAAAOAAAAAAAAAAEAIAAA&#10;ACsBAABkcnMvZTJvRG9jLnhtbFBLBQYAAAAABgAGAFkBAADaBQAAAAA=&#10;">
                <v:fill on="f" focussize="0,0"/>
                <v:stroke on="f" weight="0.5pt"/>
                <v:imagedata o:title=""/>
                <o:lock v:ext="edit" aspectratio="f"/>
                <v:textbox>
                  <w:txbxContent>
                    <w:p w14:paraId="76FA6EB4">
                      <w:pPr>
                        <w:rPr>
                          <w:rFonts w:hint="eastAsia"/>
                          <w:color w:val="FFFF00"/>
                          <w:lang w:val="en-US" w:eastAsia="zh-CN"/>
                        </w:rPr>
                      </w:pPr>
                      <w:r>
                        <w:rPr>
                          <w:rFonts w:hint="eastAsia"/>
                          <w:color w:val="FFFF00"/>
                          <w:lang w:val="en-US" w:eastAsia="zh-CN"/>
                        </w:rPr>
                        <w:t>散户居民</w:t>
                      </w:r>
                    </w:p>
                    <w:p w14:paraId="273D0A3A">
                      <w:pPr>
                        <w:rPr>
                          <w:rFonts w:hint="default" w:eastAsia="宋体"/>
                          <w:color w:val="FFFF00"/>
                          <w:lang w:val="en-US" w:eastAsia="zh-CN"/>
                        </w:rPr>
                      </w:pPr>
                      <w:r>
                        <w:rPr>
                          <w:rFonts w:hint="eastAsia"/>
                          <w:color w:val="FFFF00"/>
                          <w:lang w:val="en-US" w:eastAsia="zh-CN"/>
                        </w:rPr>
                        <w:t>约8户</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86912" behindDoc="0" locked="0" layoutInCell="1" allowOverlap="1">
                <wp:simplePos x="0" y="0"/>
                <wp:positionH relativeFrom="column">
                  <wp:posOffset>3980180</wp:posOffset>
                </wp:positionH>
                <wp:positionV relativeFrom="paragraph">
                  <wp:posOffset>1964055</wp:posOffset>
                </wp:positionV>
                <wp:extent cx="1257300" cy="581025"/>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CC760">
                            <w:pPr>
                              <w:rPr>
                                <w:rFonts w:hint="default"/>
                                <w:color w:val="FFFF00"/>
                                <w:lang w:val="en-US" w:eastAsia="zh-CN"/>
                              </w:rPr>
                            </w:pPr>
                            <w:r>
                              <w:rPr>
                                <w:rFonts w:hint="eastAsia" w:cs="Times New Roman"/>
                                <w:color w:val="FFFF00"/>
                                <w:kern w:val="0"/>
                                <w:sz w:val="18"/>
                                <w:szCs w:val="18"/>
                                <w:u w:val="none" w:color="auto"/>
                                <w:lang w:val="en-US" w:eastAsia="zh-CN"/>
                              </w:rPr>
                              <w:t>春苗幼儿园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4pt;margin-top:154.65pt;height:45.75pt;width:99pt;z-index:251686912;mso-width-relative:page;mso-height-relative:page;" filled="f" stroked="f" coordsize="21600,21600" o:gfxdata="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mi1encAAAACwEAAA8AAAAAAAAAAQAgAAAAIgAA&#10;AGRycy9kb3ducmV2LnhtbFBLAQIUABQAAAAIAIdO4kDE1azaPQIAAGoEAAAOAAAAAAAAAAEAIAAA&#10;ACsBAABkcnMvZTJvRG9jLnhtbFBLBQYAAAAABgAGAFkBAADaBQAAAAA=&#10;">
                <v:fill on="f" focussize="0,0"/>
                <v:stroke on="f" weight="0.5pt"/>
                <v:imagedata o:title=""/>
                <o:lock v:ext="edit" aspectratio="f"/>
                <v:textbox>
                  <w:txbxContent>
                    <w:p w14:paraId="3AFCC760">
                      <w:pPr>
                        <w:rPr>
                          <w:rFonts w:hint="default"/>
                          <w:color w:val="FFFF00"/>
                          <w:lang w:val="en-US" w:eastAsia="zh-CN"/>
                        </w:rPr>
                      </w:pPr>
                      <w:r>
                        <w:rPr>
                          <w:rFonts w:hint="eastAsia" w:cs="Times New Roman"/>
                          <w:color w:val="FFFF00"/>
                          <w:kern w:val="0"/>
                          <w:sz w:val="18"/>
                          <w:szCs w:val="18"/>
                          <w:u w:val="none" w:color="auto"/>
                          <w:lang w:val="en-US" w:eastAsia="zh-CN"/>
                        </w:rPr>
                        <w:t>春苗幼儿园</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87936" behindDoc="0" locked="0" layoutInCell="1" allowOverlap="1">
                <wp:simplePos x="0" y="0"/>
                <wp:positionH relativeFrom="column">
                  <wp:posOffset>3084830</wp:posOffset>
                </wp:positionH>
                <wp:positionV relativeFrom="paragraph">
                  <wp:posOffset>2106930</wp:posOffset>
                </wp:positionV>
                <wp:extent cx="1257300" cy="581025"/>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BD38A">
                            <w:pPr>
                              <w:rPr>
                                <w:rFonts w:hint="eastAsia"/>
                                <w:color w:val="FFFF00"/>
                                <w:lang w:val="en-US" w:eastAsia="zh-CN"/>
                              </w:rPr>
                            </w:pPr>
                            <w:r>
                              <w:rPr>
                                <w:rFonts w:hint="eastAsia"/>
                                <w:color w:val="FFFF00"/>
                                <w:lang w:val="en-US" w:eastAsia="zh-CN"/>
                              </w:rPr>
                              <w:t>散户居民</w:t>
                            </w:r>
                          </w:p>
                          <w:p w14:paraId="0C8DCF0F">
                            <w:pPr>
                              <w:rPr>
                                <w:rFonts w:hint="default" w:eastAsia="宋体"/>
                                <w:color w:val="FFFF00"/>
                                <w:lang w:val="en-US" w:eastAsia="zh-CN"/>
                              </w:rPr>
                            </w:pPr>
                            <w:r>
                              <w:rPr>
                                <w:rFonts w:hint="eastAsia"/>
                                <w:color w:val="FFFF00"/>
                                <w:lang w:val="en-US" w:eastAsia="zh-CN"/>
                              </w:rPr>
                              <w:t>约30户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9pt;margin-top:165.9pt;height:45.75pt;width:99pt;z-index:251687936;mso-width-relative:page;mso-height-relative:page;" filled="f" stroked="f" coordsize="21600,21600" o:gfxdata="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&#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GBs62gAAAAsBAAAPAAAAAAAAAAEAIAAAACIAAABk&#10;cnMvZG93bnJldi54bWxQSwECFAAUAAAACACHTuJAVjKTST0CAABqBAAADgAAAAAAAAABACAAAAAp&#10;AQAAZHJzL2Uyb0RvYy54bWxQSwUGAAAAAAYABgBZAQAA2AUAAAAA&#10;">
                <v:fill on="f" focussize="0,0"/>
                <v:stroke on="f" weight="0.5pt"/>
                <v:imagedata o:title=""/>
                <o:lock v:ext="edit" aspectratio="f"/>
                <v:textbox>
                  <w:txbxContent>
                    <w:p w14:paraId="5DFBD38A">
                      <w:pPr>
                        <w:rPr>
                          <w:rFonts w:hint="eastAsia"/>
                          <w:color w:val="FFFF00"/>
                          <w:lang w:val="en-US" w:eastAsia="zh-CN"/>
                        </w:rPr>
                      </w:pPr>
                      <w:r>
                        <w:rPr>
                          <w:rFonts w:hint="eastAsia"/>
                          <w:color w:val="FFFF00"/>
                          <w:lang w:val="en-US" w:eastAsia="zh-CN"/>
                        </w:rPr>
                        <w:t>散户居民</w:t>
                      </w:r>
                    </w:p>
                    <w:p w14:paraId="0C8DCF0F">
                      <w:pPr>
                        <w:rPr>
                          <w:rFonts w:hint="default" w:eastAsia="宋体"/>
                          <w:color w:val="FFFF00"/>
                          <w:lang w:val="en-US" w:eastAsia="zh-CN"/>
                        </w:rPr>
                      </w:pPr>
                      <w:r>
                        <w:rPr>
                          <w:rFonts w:hint="eastAsia"/>
                          <w:color w:val="FFFF00"/>
                          <w:lang w:val="en-US" w:eastAsia="zh-CN"/>
                        </w:rPr>
                        <w:t>约30户</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7152" behindDoc="0" locked="0" layoutInCell="1" allowOverlap="1">
                <wp:simplePos x="0" y="0"/>
                <wp:positionH relativeFrom="column">
                  <wp:posOffset>3418205</wp:posOffset>
                </wp:positionH>
                <wp:positionV relativeFrom="paragraph">
                  <wp:posOffset>1297305</wp:posOffset>
                </wp:positionV>
                <wp:extent cx="1257300" cy="581025"/>
                <wp:effectExtent l="0" t="0" r="0" b="0"/>
                <wp:wrapNone/>
                <wp:docPr id="191" name="文本框 191"/>
                <wp:cNvGraphicFramePr/>
                <a:graphic xmlns:a="http://schemas.openxmlformats.org/drawingml/2006/main">
                  <a:graphicData uri="http://schemas.microsoft.com/office/word/2010/wordprocessingShape">
                    <wps:wsp>
                      <wps:cNvSpPr txBox="1"/>
                      <wps:spPr>
                        <a:xfrm>
                          <a:off x="2440940" y="1536065"/>
                          <a:ext cx="125730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7839A">
                            <w:pPr>
                              <w:rPr>
                                <w:rFonts w:hint="default" w:eastAsia="宋体"/>
                                <w:color w:val="FFFF00"/>
                                <w:lang w:val="en-US" w:eastAsia="zh-CN"/>
                              </w:rPr>
                            </w:pPr>
                            <w:r>
                              <w:rPr>
                                <w:rFonts w:hint="eastAsia"/>
                                <w:color w:val="FFFF00"/>
                                <w:lang w:val="en-US" w:eastAsia="zh-CN"/>
                              </w:rPr>
                              <w:t>散户居民约70户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15pt;margin-top:102.15pt;height:45.75pt;width:99pt;z-index:251697152;mso-width-relative:page;mso-height-relative:page;" filled="f" stroked="f" coordsize="21600,21600" o:gfxdata="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0JZyA3AAAAAsBAAAPAAAAAAAA&#10;AAEAIAAAACIAAABkcnMvZG93bnJldi54bWxQSwECFAAUAAAACACHTuJAR9jNvUcCAAB2BAAADgAA&#10;AAAAAAABACAAAAArAQAAZHJzL2Uyb0RvYy54bWxQSwUGAAAAAAYABgBZAQAA5AUAAAAA&#10;">
                <v:fill on="f" focussize="0,0"/>
                <v:stroke on="f" weight="0.5pt"/>
                <v:imagedata o:title=""/>
                <o:lock v:ext="edit" aspectratio="f"/>
                <v:textbox>
                  <w:txbxContent>
                    <w:p w14:paraId="67B7839A">
                      <w:pPr>
                        <w:rPr>
                          <w:rFonts w:hint="default" w:eastAsia="宋体"/>
                          <w:color w:val="FFFF00"/>
                          <w:lang w:val="en-US" w:eastAsia="zh-CN"/>
                        </w:rPr>
                      </w:pPr>
                      <w:r>
                        <w:rPr>
                          <w:rFonts w:hint="eastAsia"/>
                          <w:color w:val="FFFF00"/>
                          <w:lang w:val="en-US" w:eastAsia="zh-CN"/>
                        </w:rPr>
                        <w:t>散户居民约70户</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6128" behindDoc="0" locked="0" layoutInCell="1" allowOverlap="1">
                <wp:simplePos x="0" y="0"/>
                <wp:positionH relativeFrom="column">
                  <wp:posOffset>694055</wp:posOffset>
                </wp:positionH>
                <wp:positionV relativeFrom="paragraph">
                  <wp:posOffset>3469005</wp:posOffset>
                </wp:positionV>
                <wp:extent cx="5724525" cy="1924050"/>
                <wp:effectExtent l="635" t="12700" r="27940" b="25400"/>
                <wp:wrapNone/>
                <wp:docPr id="190" name="任意多边形 190"/>
                <wp:cNvGraphicFramePr/>
                <a:graphic xmlns:a="http://schemas.openxmlformats.org/drawingml/2006/main">
                  <a:graphicData uri="http://schemas.microsoft.com/office/word/2010/wordprocessingShape">
                    <wps:wsp>
                      <wps:cNvSpPr/>
                      <wps:spPr>
                        <a:xfrm>
                          <a:off x="1774190" y="4441190"/>
                          <a:ext cx="5724525" cy="1924050"/>
                        </a:xfrm>
                        <a:custGeom>
                          <a:avLst/>
                          <a:gdLst>
                            <a:gd name="connisteX0" fmla="*/ 38100 w 5724525"/>
                            <a:gd name="connsiteY0" fmla="*/ 1885950 h 1924050"/>
                            <a:gd name="connisteX1" fmla="*/ 419100 w 5724525"/>
                            <a:gd name="connsiteY1" fmla="*/ 1847850 h 1924050"/>
                            <a:gd name="connisteX2" fmla="*/ 723900 w 5724525"/>
                            <a:gd name="connsiteY2" fmla="*/ 1695450 h 1924050"/>
                            <a:gd name="connisteX3" fmla="*/ 1362075 w 5724525"/>
                            <a:gd name="connsiteY3" fmla="*/ 1666875 h 1924050"/>
                            <a:gd name="connisteX4" fmla="*/ 1590675 w 5724525"/>
                            <a:gd name="connsiteY4" fmla="*/ 1571625 h 1924050"/>
                            <a:gd name="connisteX5" fmla="*/ 1962150 w 5724525"/>
                            <a:gd name="connsiteY5" fmla="*/ 1076325 h 1924050"/>
                            <a:gd name="connisteX6" fmla="*/ 2314575 w 5724525"/>
                            <a:gd name="connsiteY6" fmla="*/ 771525 h 1924050"/>
                            <a:gd name="connisteX7" fmla="*/ 2505075 w 5724525"/>
                            <a:gd name="connsiteY7" fmla="*/ 590550 h 1924050"/>
                            <a:gd name="connisteX8" fmla="*/ 3600450 w 5724525"/>
                            <a:gd name="connsiteY8" fmla="*/ 428625 h 1924050"/>
                            <a:gd name="connisteX9" fmla="*/ 4019550 w 5724525"/>
                            <a:gd name="connsiteY9" fmla="*/ 180975 h 1924050"/>
                            <a:gd name="connisteX10" fmla="*/ 4448175 w 5724525"/>
                            <a:gd name="connsiteY10" fmla="*/ 0 h 1924050"/>
                            <a:gd name="connisteX11" fmla="*/ 4714875 w 5724525"/>
                            <a:gd name="connsiteY11" fmla="*/ 123825 h 1924050"/>
                            <a:gd name="connisteX12" fmla="*/ 4867275 w 5724525"/>
                            <a:gd name="connsiteY12" fmla="*/ 361950 h 1924050"/>
                            <a:gd name="connisteX13" fmla="*/ 4953000 w 5724525"/>
                            <a:gd name="connsiteY13" fmla="*/ 828675 h 1924050"/>
                            <a:gd name="connisteX14" fmla="*/ 5095875 w 5724525"/>
                            <a:gd name="connsiteY14" fmla="*/ 1247775 h 1924050"/>
                            <a:gd name="connisteX15" fmla="*/ 5372100 w 5724525"/>
                            <a:gd name="connsiteY15" fmla="*/ 1352550 h 1924050"/>
                            <a:gd name="connisteX16" fmla="*/ 5505450 w 5724525"/>
                            <a:gd name="connsiteY16" fmla="*/ 1524000 h 1924050"/>
                            <a:gd name="connisteX17" fmla="*/ 5667375 w 5724525"/>
                            <a:gd name="connsiteY17" fmla="*/ 1771650 h 1924050"/>
                            <a:gd name="connisteX18" fmla="*/ 5724525 w 5724525"/>
                            <a:gd name="connsiteY18" fmla="*/ 1885950 h 1924050"/>
                            <a:gd name="connisteX19" fmla="*/ 5524500 w 5724525"/>
                            <a:gd name="connsiteY19" fmla="*/ 1905000 h 1924050"/>
                            <a:gd name="connisteX20" fmla="*/ 5267325 w 5724525"/>
                            <a:gd name="connsiteY20" fmla="*/ 1619250 h 1924050"/>
                            <a:gd name="connisteX21" fmla="*/ 4972050 w 5724525"/>
                            <a:gd name="connsiteY21" fmla="*/ 1409700 h 1924050"/>
                            <a:gd name="connisteX22" fmla="*/ 4676775 w 5724525"/>
                            <a:gd name="connsiteY22" fmla="*/ 1000125 h 1924050"/>
                            <a:gd name="connisteX23" fmla="*/ 4610100 w 5724525"/>
                            <a:gd name="connsiteY23" fmla="*/ 781050 h 1924050"/>
                            <a:gd name="connisteX24" fmla="*/ 4619625 w 5724525"/>
                            <a:gd name="connsiteY24" fmla="*/ 476250 h 1924050"/>
                            <a:gd name="connisteX25" fmla="*/ 4476750 w 5724525"/>
                            <a:gd name="connsiteY25" fmla="*/ 361950 h 1924050"/>
                            <a:gd name="connisteX26" fmla="*/ 4267200 w 5724525"/>
                            <a:gd name="connsiteY26" fmla="*/ 314325 h 1924050"/>
                            <a:gd name="connisteX27" fmla="*/ 3924300 w 5724525"/>
                            <a:gd name="connsiteY27" fmla="*/ 504825 h 1924050"/>
                            <a:gd name="connisteX28" fmla="*/ 3629025 w 5724525"/>
                            <a:gd name="connsiteY28" fmla="*/ 666750 h 1924050"/>
                            <a:gd name="connisteX29" fmla="*/ 3400425 w 5724525"/>
                            <a:gd name="connsiteY29" fmla="*/ 723900 h 1924050"/>
                            <a:gd name="connisteX30" fmla="*/ 2876550 w 5724525"/>
                            <a:gd name="connsiteY30" fmla="*/ 742950 h 1924050"/>
                            <a:gd name="connisteX31" fmla="*/ 2571750 w 5724525"/>
                            <a:gd name="connsiteY31" fmla="*/ 866775 h 1924050"/>
                            <a:gd name="connisteX32" fmla="*/ 2286000 w 5724525"/>
                            <a:gd name="connsiteY32" fmla="*/ 1066800 h 1924050"/>
                            <a:gd name="connisteX33" fmla="*/ 1981200 w 5724525"/>
                            <a:gd name="connsiteY33" fmla="*/ 1352550 h 1924050"/>
                            <a:gd name="connisteX34" fmla="*/ 1838325 w 5724525"/>
                            <a:gd name="connsiteY34" fmla="*/ 1581150 h 1924050"/>
                            <a:gd name="connisteX35" fmla="*/ 1609725 w 5724525"/>
                            <a:gd name="connsiteY35" fmla="*/ 1866900 h 1924050"/>
                            <a:gd name="connisteX36" fmla="*/ 1238250 w 5724525"/>
                            <a:gd name="connsiteY36" fmla="*/ 1924050 h 1924050"/>
                            <a:gd name="connisteX37" fmla="*/ 1019175 w 5724525"/>
                            <a:gd name="connsiteY37" fmla="*/ 1838325 h 1924050"/>
                            <a:gd name="connisteX38" fmla="*/ 657225 w 5724525"/>
                            <a:gd name="connsiteY38" fmla="*/ 1914525 h 1924050"/>
                            <a:gd name="connisteX39" fmla="*/ 0 w 5724525"/>
                            <a:gd name="connsiteY39" fmla="*/ 1895475 h 19240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Lst>
                          <a:rect l="l" t="t" r="r" b="b"/>
                          <a:pathLst>
                            <a:path w="5724525" h="1924050">
                              <a:moveTo>
                                <a:pt x="38100" y="1885950"/>
                              </a:moveTo>
                              <a:lnTo>
                                <a:pt x="419100" y="1847850"/>
                              </a:lnTo>
                              <a:lnTo>
                                <a:pt x="723900" y="1695450"/>
                              </a:lnTo>
                              <a:lnTo>
                                <a:pt x="1362075" y="1666875"/>
                              </a:lnTo>
                              <a:lnTo>
                                <a:pt x="1590675" y="1571625"/>
                              </a:lnTo>
                              <a:lnTo>
                                <a:pt x="1962150" y="1076325"/>
                              </a:lnTo>
                              <a:lnTo>
                                <a:pt x="2314575" y="771525"/>
                              </a:lnTo>
                              <a:lnTo>
                                <a:pt x="2505075" y="590550"/>
                              </a:lnTo>
                              <a:lnTo>
                                <a:pt x="3600450" y="428625"/>
                              </a:lnTo>
                              <a:lnTo>
                                <a:pt x="4019550" y="180975"/>
                              </a:lnTo>
                              <a:lnTo>
                                <a:pt x="4448175" y="0"/>
                              </a:lnTo>
                              <a:lnTo>
                                <a:pt x="4714875" y="123825"/>
                              </a:lnTo>
                              <a:lnTo>
                                <a:pt x="4867275" y="361950"/>
                              </a:lnTo>
                              <a:lnTo>
                                <a:pt x="4953000" y="828675"/>
                              </a:lnTo>
                              <a:lnTo>
                                <a:pt x="5095875" y="1247775"/>
                              </a:lnTo>
                              <a:lnTo>
                                <a:pt x="5372100" y="1352550"/>
                              </a:lnTo>
                              <a:lnTo>
                                <a:pt x="5505450" y="1524000"/>
                              </a:lnTo>
                              <a:lnTo>
                                <a:pt x="5667375" y="1771650"/>
                              </a:lnTo>
                              <a:lnTo>
                                <a:pt x="5724525" y="1885950"/>
                              </a:lnTo>
                              <a:lnTo>
                                <a:pt x="5524500" y="1905000"/>
                              </a:lnTo>
                              <a:lnTo>
                                <a:pt x="5267325" y="1619250"/>
                              </a:lnTo>
                              <a:lnTo>
                                <a:pt x="4972050" y="1409700"/>
                              </a:lnTo>
                              <a:lnTo>
                                <a:pt x="4676775" y="1000125"/>
                              </a:lnTo>
                              <a:lnTo>
                                <a:pt x="4610100" y="781050"/>
                              </a:lnTo>
                              <a:lnTo>
                                <a:pt x="4619625" y="476250"/>
                              </a:lnTo>
                              <a:lnTo>
                                <a:pt x="4476750" y="361950"/>
                              </a:lnTo>
                              <a:lnTo>
                                <a:pt x="4267200" y="314325"/>
                              </a:lnTo>
                              <a:lnTo>
                                <a:pt x="3924300" y="504825"/>
                              </a:lnTo>
                              <a:lnTo>
                                <a:pt x="3629025" y="666750"/>
                              </a:lnTo>
                              <a:lnTo>
                                <a:pt x="3400425" y="723900"/>
                              </a:lnTo>
                              <a:lnTo>
                                <a:pt x="2876550" y="742950"/>
                              </a:lnTo>
                              <a:lnTo>
                                <a:pt x="2571750" y="866775"/>
                              </a:lnTo>
                              <a:lnTo>
                                <a:pt x="2286000" y="1066800"/>
                              </a:lnTo>
                              <a:lnTo>
                                <a:pt x="1981200" y="1352550"/>
                              </a:lnTo>
                              <a:lnTo>
                                <a:pt x="1838325" y="1581150"/>
                              </a:lnTo>
                              <a:lnTo>
                                <a:pt x="1609725" y="1866900"/>
                              </a:lnTo>
                              <a:lnTo>
                                <a:pt x="1238250" y="1924050"/>
                              </a:lnTo>
                              <a:lnTo>
                                <a:pt x="1019175" y="1838325"/>
                              </a:lnTo>
                              <a:lnTo>
                                <a:pt x="657225" y="1914525"/>
                              </a:lnTo>
                              <a:lnTo>
                                <a:pt x="0" y="1895475"/>
                              </a:lnTo>
                            </a:path>
                          </a:pathLst>
                        </a:cu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54.65pt;margin-top:273.15pt;height:151.5pt;width:450.75pt;z-index:251696128;mso-width-relative:page;mso-height-relative:page;" fillcolor="#4F81BD [3204]" filled="t" stroked="t" coordsize="5724525,1924050" o:gfxdata="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" path="m38100,1885950l419100,1847850,723900,1695450,1362075,1666875,1590675,1571625,1962150,1076325,2314575,771525,2505075,590550,3600450,428625,4019550,180975,4448175,0,4714875,123825,4867275,361950,4953000,828675,5095875,1247775,5372100,1352550,5505450,1524000,5667375,1771650,5724525,1885950,5524500,1905000,5267325,1619250,4972050,1409700,4676775,1000125,4610100,781050,4619625,476250,4476750,361950,4267200,314325,3924300,504825,3629025,666750,3400425,723900,2876550,742950,2571750,866775,2286000,1066800,1981200,1352550,1838325,1581150,1609725,1866900,1238250,1924050,1019175,1838325,657225,1914525,0,1895475e">
                <v:path o:connectlocs="38100,1885950;419100,1847850;723900,1695450;1362075,1666875;1590675,1571625;1962150,1076325;2314575,771525;2505075,590550;3600450,428625;4019550,180975;4448175,0;4714875,123825;4867275,361950;4953000,828675;5095875,1247775;5372100,1352550;5505450,1524000;5667375,1771650;5724525,1885950;5524500,1905000;5267325,1619250;4972050,1409700;4676775,1000125;4610100,781050;4619625,476250;4476750,361950;4267200,314325;3924300,504825;3629025,666750;3400425,723900;2876550,742950;2571750,866775;2286000,1066800;1981200,1352550;1838325,1581150;1609725,1866900;1238250,1924050;1019175,1838325;657225,1914525;0,1895475" o:connectangles="0,0,0,0,0,0,0,0,0,0,0,0,0,0,0,0,0,0,0,0,0,0,0,0,0,0,0,0,0,0,0,0,0,0,0,0,0,0,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5104" behindDoc="0" locked="0" layoutInCell="1" allowOverlap="1">
                <wp:simplePos x="0" y="0"/>
                <wp:positionH relativeFrom="column">
                  <wp:posOffset>4218305</wp:posOffset>
                </wp:positionH>
                <wp:positionV relativeFrom="paragraph">
                  <wp:posOffset>87630</wp:posOffset>
                </wp:positionV>
                <wp:extent cx="1590675" cy="2171700"/>
                <wp:effectExtent l="12700" t="12700" r="15875" b="25400"/>
                <wp:wrapNone/>
                <wp:docPr id="189" name="任意多边形 189"/>
                <wp:cNvGraphicFramePr/>
                <a:graphic xmlns:a="http://schemas.openxmlformats.org/drawingml/2006/main">
                  <a:graphicData uri="http://schemas.microsoft.com/office/word/2010/wordprocessingShape">
                    <wps:wsp>
                      <wps:cNvSpPr/>
                      <wps:spPr>
                        <a:xfrm>
                          <a:off x="5298440" y="1059815"/>
                          <a:ext cx="1590675" cy="2171700"/>
                        </a:xfrm>
                        <a:custGeom>
                          <a:avLst/>
                          <a:gdLst>
                            <a:gd name="connisteX0" fmla="*/ 47625 w 1590675"/>
                            <a:gd name="connsiteY0" fmla="*/ 85725 h 2171700"/>
                            <a:gd name="connisteX1" fmla="*/ 400050 w 1590675"/>
                            <a:gd name="connsiteY1" fmla="*/ 76200 h 2171700"/>
                            <a:gd name="connisteX2" fmla="*/ 523875 w 1590675"/>
                            <a:gd name="connsiteY2" fmla="*/ 190500 h 2171700"/>
                            <a:gd name="connisteX3" fmla="*/ 647700 w 1590675"/>
                            <a:gd name="connsiteY3" fmla="*/ 0 h 2171700"/>
                            <a:gd name="connisteX4" fmla="*/ 876300 w 1590675"/>
                            <a:gd name="connsiteY4" fmla="*/ 38100 h 2171700"/>
                            <a:gd name="connisteX5" fmla="*/ 1009650 w 1590675"/>
                            <a:gd name="connsiteY5" fmla="*/ 314325 h 2171700"/>
                            <a:gd name="connisteX6" fmla="*/ 1123950 w 1590675"/>
                            <a:gd name="connsiteY6" fmla="*/ 457200 h 2171700"/>
                            <a:gd name="connisteX7" fmla="*/ 1409700 w 1590675"/>
                            <a:gd name="connsiteY7" fmla="*/ 295275 h 2171700"/>
                            <a:gd name="connisteX8" fmla="*/ 1590675 w 1590675"/>
                            <a:gd name="connsiteY8" fmla="*/ 419100 h 2171700"/>
                            <a:gd name="connisteX9" fmla="*/ 1466850 w 1590675"/>
                            <a:gd name="connsiteY9" fmla="*/ 647700 h 2171700"/>
                            <a:gd name="connisteX10" fmla="*/ 1352550 w 1590675"/>
                            <a:gd name="connsiteY10" fmla="*/ 838200 h 2171700"/>
                            <a:gd name="connisteX11" fmla="*/ 1390650 w 1590675"/>
                            <a:gd name="connsiteY11" fmla="*/ 1095375 h 2171700"/>
                            <a:gd name="connisteX12" fmla="*/ 1533525 w 1590675"/>
                            <a:gd name="connsiteY12" fmla="*/ 1181100 h 2171700"/>
                            <a:gd name="connisteX13" fmla="*/ 1476375 w 1590675"/>
                            <a:gd name="connsiteY13" fmla="*/ 1371600 h 2171700"/>
                            <a:gd name="connisteX14" fmla="*/ 1362075 w 1590675"/>
                            <a:gd name="connsiteY14" fmla="*/ 1457325 h 2171700"/>
                            <a:gd name="connisteX15" fmla="*/ 1466850 w 1590675"/>
                            <a:gd name="connsiteY15" fmla="*/ 1895475 h 2171700"/>
                            <a:gd name="connisteX16" fmla="*/ 1485900 w 1590675"/>
                            <a:gd name="connsiteY16" fmla="*/ 2171700 h 2171700"/>
                            <a:gd name="connisteX17" fmla="*/ 504825 w 1590675"/>
                            <a:gd name="connsiteY17" fmla="*/ 2057400 h 2171700"/>
                            <a:gd name="connisteX18" fmla="*/ 533400 w 1590675"/>
                            <a:gd name="connsiteY18" fmla="*/ 1790700 h 2171700"/>
                            <a:gd name="connisteX19" fmla="*/ 714375 w 1590675"/>
                            <a:gd name="connsiteY19" fmla="*/ 1485900 h 2171700"/>
                            <a:gd name="connisteX20" fmla="*/ 609600 w 1590675"/>
                            <a:gd name="connsiteY20" fmla="*/ 1085850 h 2171700"/>
                            <a:gd name="connisteX21" fmla="*/ 523875 w 1590675"/>
                            <a:gd name="connsiteY21" fmla="*/ 904875 h 2171700"/>
                            <a:gd name="connisteX22" fmla="*/ 523875 w 1590675"/>
                            <a:gd name="connsiteY22" fmla="*/ 771525 h 2171700"/>
                            <a:gd name="connisteX23" fmla="*/ 352425 w 1590675"/>
                            <a:gd name="connsiteY23" fmla="*/ 733425 h 2171700"/>
                            <a:gd name="connisteX24" fmla="*/ 123825 w 1590675"/>
                            <a:gd name="connsiteY24" fmla="*/ 581025 h 2171700"/>
                            <a:gd name="connisteX25" fmla="*/ 0 w 1590675"/>
                            <a:gd name="connsiteY25" fmla="*/ 381000 h 2171700"/>
                            <a:gd name="connisteX26" fmla="*/ 47625 w 1590675"/>
                            <a:gd name="connsiteY26" fmla="*/ 85725 h 21717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Lst>
                          <a:rect l="l" t="t" r="r" b="b"/>
                          <a:pathLst>
                            <a:path w="1590675" h="2171700">
                              <a:moveTo>
                                <a:pt x="47625" y="85725"/>
                              </a:moveTo>
                              <a:lnTo>
                                <a:pt x="400050" y="76200"/>
                              </a:lnTo>
                              <a:lnTo>
                                <a:pt x="523875" y="190500"/>
                              </a:lnTo>
                              <a:lnTo>
                                <a:pt x="647700" y="0"/>
                              </a:lnTo>
                              <a:lnTo>
                                <a:pt x="876300" y="38100"/>
                              </a:lnTo>
                              <a:lnTo>
                                <a:pt x="1009650" y="314325"/>
                              </a:lnTo>
                              <a:lnTo>
                                <a:pt x="1123950" y="457200"/>
                              </a:lnTo>
                              <a:lnTo>
                                <a:pt x="1409700" y="295275"/>
                              </a:lnTo>
                              <a:lnTo>
                                <a:pt x="1590675" y="419100"/>
                              </a:lnTo>
                              <a:lnTo>
                                <a:pt x="1466850" y="647700"/>
                              </a:lnTo>
                              <a:lnTo>
                                <a:pt x="1352550" y="838200"/>
                              </a:lnTo>
                              <a:lnTo>
                                <a:pt x="1390650" y="1095375"/>
                              </a:lnTo>
                              <a:lnTo>
                                <a:pt x="1533525" y="1181100"/>
                              </a:lnTo>
                              <a:lnTo>
                                <a:pt x="1476375" y="1371600"/>
                              </a:lnTo>
                              <a:lnTo>
                                <a:pt x="1362075" y="1457325"/>
                              </a:lnTo>
                              <a:lnTo>
                                <a:pt x="1466850" y="1895475"/>
                              </a:lnTo>
                              <a:lnTo>
                                <a:pt x="1485900" y="2171700"/>
                              </a:lnTo>
                              <a:lnTo>
                                <a:pt x="504825" y="2057400"/>
                              </a:lnTo>
                              <a:lnTo>
                                <a:pt x="533400" y="1790700"/>
                              </a:lnTo>
                              <a:lnTo>
                                <a:pt x="714375" y="1485900"/>
                              </a:lnTo>
                              <a:lnTo>
                                <a:pt x="609600" y="1085850"/>
                              </a:lnTo>
                              <a:lnTo>
                                <a:pt x="523875" y="904875"/>
                              </a:lnTo>
                              <a:lnTo>
                                <a:pt x="523875" y="771525"/>
                              </a:lnTo>
                              <a:lnTo>
                                <a:pt x="352425" y="733425"/>
                              </a:lnTo>
                              <a:lnTo>
                                <a:pt x="123825" y="581025"/>
                              </a:lnTo>
                              <a:lnTo>
                                <a:pt x="0" y="381000"/>
                              </a:lnTo>
                              <a:lnTo>
                                <a:pt x="47625" y="85725"/>
                              </a:lnTo>
                              <a:close/>
                            </a:path>
                          </a:pathLst>
                        </a:custGeom>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32.15pt;margin-top:6.9pt;height:171pt;width:125.25pt;z-index:251695104;mso-width-relative:page;mso-height-relative:page;" fillcolor="#4F81BD [3204]" filled="t" stroked="t" coordsize="1590675,2171700" o:gfxdata="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CMVPHo2QAAAAoBAAAPAAAAAAAAAAEAIAAAACIAAABkcnMvZG93bnJldi54bWxQSwEC&#10;FAAUAAAACACHTuJA/q47V/UFAAAiGwAADgAAAAAAAAABACAAAAAoAQAAZHJzL2Uyb0RvYy54bWxQ&#10;SwUGAAAAAAYABgBZAQAAjwkAAAAA&#10;" path="m47625,85725l400050,76200,523875,190500,647700,0,876300,38100,1009650,314325,1123950,457200,1409700,295275,1590675,419100,1466850,647700,1352550,838200,1390650,1095375,1533525,1181100,1476375,1371600,1362075,1457325,1466850,1895475,1485900,2171700,504825,2057400,533400,1790700,714375,1485900,609600,1085850,523875,904875,523875,771525,352425,733425,123825,581025,0,381000,47625,85725xe">
                <v:path o:connectlocs="47625,85725;400050,76200;523875,190500;647700,0;876300,38100;1009650,314325;1123950,457200;1409700,295275;1590675,419100;1466850,647700;1352550,838200;1390650,1095375;1533525,1181100;1476375,1371600;1362075,1457325;1466850,1895475;1485900,2171700;504825,2057400;533400,1790700;714375,1485900;609600,1085850;523875,904875;523875,771525;352425,733425;123825,581025;0,381000;47625,85725" o:connectangles="0,0,0,0,0,0,0,0,0,0,0,0,0,0,0,0,0,0,0,0,0,0,0,0,0,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4080" behindDoc="0" locked="0" layoutInCell="1" allowOverlap="1">
                <wp:simplePos x="0" y="0"/>
                <wp:positionH relativeFrom="column">
                  <wp:posOffset>3961130</wp:posOffset>
                </wp:positionH>
                <wp:positionV relativeFrom="paragraph">
                  <wp:posOffset>2030730</wp:posOffset>
                </wp:positionV>
                <wp:extent cx="0" cy="409575"/>
                <wp:effectExtent l="12700" t="0" r="25400" b="9525"/>
                <wp:wrapNone/>
                <wp:docPr id="188" name="直接连接符 188"/>
                <wp:cNvGraphicFramePr/>
                <a:graphic xmlns:a="http://schemas.openxmlformats.org/drawingml/2006/main">
                  <a:graphicData uri="http://schemas.microsoft.com/office/word/2010/wordprocessingShape">
                    <wps:wsp>
                      <wps:cNvCnPr>
                        <a:stCxn id="186" idx="13"/>
                      </wps:cNvCnPr>
                      <wps:spPr>
                        <a:xfrm>
                          <a:off x="5041265" y="3002915"/>
                          <a:ext cx="0" cy="409575"/>
                        </a:xfrm>
                        <a:prstGeom prst="line">
                          <a:avLst/>
                        </a:prstGeom>
                        <a:ln>
                          <a:solidFill>
                            <a:srgbClr val="FFFF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1.9pt;margin-top:159.9pt;height:32.25pt;width:0pt;z-index:251694080;mso-width-relative:page;mso-height-relative:page;" filled="f" stroked="t" coordsize="21600,21600" o:gfxdata="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XqZo2AAAAAsBAAAPAAAAAAAAAAEAIAAAACIAAABkcnMvZG93bnJldi54&#10;bWxQSwECFAAUAAAACACHTuJA3o35a/oBAADTAwAADgAAAAAAAAABACAAAAAnAQAAZHJzL2Uyb0Rv&#10;Yy54bWxQSwUGAAAAAAYABgBZAQAAkwUAAAAA&#10;">
                <v:fill on="f" focussize="0,0"/>
                <v:stroke weight="2pt" color="#FFFF00 [3204]" joinstyle="round"/>
                <v:imagedata o:title=""/>
                <o:lock v:ext="edit" aspectratio="f"/>
              </v:lin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3056" behindDoc="0" locked="0" layoutInCell="1" allowOverlap="1">
                <wp:simplePos x="0" y="0"/>
                <wp:positionH relativeFrom="column">
                  <wp:posOffset>4180205</wp:posOffset>
                </wp:positionH>
                <wp:positionV relativeFrom="paragraph">
                  <wp:posOffset>3049905</wp:posOffset>
                </wp:positionV>
                <wp:extent cx="971550" cy="561975"/>
                <wp:effectExtent l="12700" t="12700" r="25400" b="15875"/>
                <wp:wrapNone/>
                <wp:docPr id="187" name="任意多边形 187"/>
                <wp:cNvGraphicFramePr/>
                <a:graphic xmlns:a="http://schemas.openxmlformats.org/drawingml/2006/main">
                  <a:graphicData uri="http://schemas.microsoft.com/office/word/2010/wordprocessingShape">
                    <wps:wsp>
                      <wps:cNvSpPr/>
                      <wps:spPr>
                        <a:xfrm>
                          <a:off x="5260340" y="4022090"/>
                          <a:ext cx="971550" cy="561975"/>
                        </a:xfrm>
                        <a:custGeom>
                          <a:avLst/>
                          <a:gdLst>
                            <a:gd name="connisteX0" fmla="*/ 0 w 971550"/>
                            <a:gd name="connsiteY0" fmla="*/ 0 h 561975"/>
                            <a:gd name="connisteX1" fmla="*/ 276225 w 971550"/>
                            <a:gd name="connsiteY1" fmla="*/ 95250 h 561975"/>
                            <a:gd name="connisteX2" fmla="*/ 971550 w 971550"/>
                            <a:gd name="connsiteY2" fmla="*/ 276225 h 561975"/>
                            <a:gd name="connisteX3" fmla="*/ 942975 w 971550"/>
                            <a:gd name="connsiteY3" fmla="*/ 381000 h 561975"/>
                            <a:gd name="connisteX4" fmla="*/ 533400 w 971550"/>
                            <a:gd name="connsiteY4" fmla="*/ 561975 h 561975"/>
                            <a:gd name="connisteX5" fmla="*/ 114300 w 971550"/>
                            <a:gd name="connsiteY5" fmla="*/ 438150 h 561975"/>
                            <a:gd name="connisteX6" fmla="*/ 0 w 971550"/>
                            <a:gd name="connsiteY6" fmla="*/ 0 h 5619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971550" h="561975">
                              <a:moveTo>
                                <a:pt x="0" y="0"/>
                              </a:moveTo>
                              <a:lnTo>
                                <a:pt x="276225" y="95250"/>
                              </a:lnTo>
                              <a:lnTo>
                                <a:pt x="971550" y="276225"/>
                              </a:lnTo>
                              <a:lnTo>
                                <a:pt x="942975" y="381000"/>
                              </a:lnTo>
                              <a:lnTo>
                                <a:pt x="533400" y="561975"/>
                              </a:lnTo>
                              <a:lnTo>
                                <a:pt x="114300" y="438150"/>
                              </a:lnTo>
                              <a:lnTo>
                                <a:pt x="0" y="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29.15pt;margin-top:240.15pt;height:44.25pt;width:76.5pt;z-index:251693056;mso-width-relative:page;mso-height-relative:page;" filled="f" stroked="t" coordsize="971550,561975" o:gfxdata="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LkunN9gAAAALAQAADwAAAAAAAAABACAAAAAiAAAAZHJzL2Rvd25y&#10;ZXYueG1sUEsBAhQAFAAAAAgAh07iQMo61lpUAwAAzwkAAA4AAAAAAAAAAQAgAAAAJwEAAGRycy9l&#10;Mm9Eb2MueG1sUEsFBgAAAAAGAAYAWQEAAO0GAAAAAA==&#10;" path="m0,0l276225,95250,971550,276225,942975,381000,533400,561975,114300,438150,0,0xe">
                <v:path o:connectlocs="0,0;276225,95250;971550,276225;942975,381000;533400,561975;114300,438150;0,0" o:connectangles="0,0,0,0,0,0,0"/>
                <v:fill on="f" focussize="0,0"/>
                <v:stroke weight="2pt" color="#FFFF00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2032" behindDoc="0" locked="0" layoutInCell="1" allowOverlap="1">
                <wp:simplePos x="0" y="0"/>
                <wp:positionH relativeFrom="column">
                  <wp:posOffset>2770505</wp:posOffset>
                </wp:positionH>
                <wp:positionV relativeFrom="paragraph">
                  <wp:posOffset>1887855</wp:posOffset>
                </wp:positionV>
                <wp:extent cx="1638300" cy="847725"/>
                <wp:effectExtent l="12700" t="12700" r="25400" b="15875"/>
                <wp:wrapNone/>
                <wp:docPr id="186" name="任意多边形 186"/>
                <wp:cNvGraphicFramePr/>
                <a:graphic xmlns:a="http://schemas.openxmlformats.org/drawingml/2006/main">
                  <a:graphicData uri="http://schemas.microsoft.com/office/word/2010/wordprocessingShape">
                    <wps:wsp>
                      <wps:cNvSpPr/>
                      <wps:spPr>
                        <a:xfrm>
                          <a:off x="3850640" y="2860040"/>
                          <a:ext cx="1638300" cy="847725"/>
                        </a:xfrm>
                        <a:custGeom>
                          <a:avLst/>
                          <a:gdLst>
                            <a:gd name="connisteX0" fmla="*/ 381000 w 1638300"/>
                            <a:gd name="connsiteY0" fmla="*/ 28575 h 847725"/>
                            <a:gd name="connisteX1" fmla="*/ 200025 w 1638300"/>
                            <a:gd name="connsiteY1" fmla="*/ 76200 h 847725"/>
                            <a:gd name="connisteX2" fmla="*/ 247650 w 1638300"/>
                            <a:gd name="connsiteY2" fmla="*/ 285750 h 847725"/>
                            <a:gd name="connisteX3" fmla="*/ 0 w 1638300"/>
                            <a:gd name="connsiteY3" fmla="*/ 390525 h 847725"/>
                            <a:gd name="connisteX4" fmla="*/ 28575 w 1638300"/>
                            <a:gd name="connsiteY4" fmla="*/ 647700 h 847725"/>
                            <a:gd name="connisteX5" fmla="*/ 485775 w 1638300"/>
                            <a:gd name="connsiteY5" fmla="*/ 600075 h 847725"/>
                            <a:gd name="connisteX6" fmla="*/ 819150 w 1638300"/>
                            <a:gd name="connsiteY6" fmla="*/ 828675 h 847725"/>
                            <a:gd name="connisteX7" fmla="*/ 981075 w 1638300"/>
                            <a:gd name="connsiteY7" fmla="*/ 847725 h 847725"/>
                            <a:gd name="connisteX8" fmla="*/ 1066800 w 1638300"/>
                            <a:gd name="connsiteY8" fmla="*/ 628650 h 847725"/>
                            <a:gd name="connisteX9" fmla="*/ 1362075 w 1638300"/>
                            <a:gd name="connsiteY9" fmla="*/ 457200 h 847725"/>
                            <a:gd name="connisteX10" fmla="*/ 1409700 w 1638300"/>
                            <a:gd name="connsiteY10" fmla="*/ 276225 h 847725"/>
                            <a:gd name="connisteX11" fmla="*/ 1638300 w 1638300"/>
                            <a:gd name="connsiteY11" fmla="*/ 247650 h 847725"/>
                            <a:gd name="connisteX12" fmla="*/ 1552575 w 1638300"/>
                            <a:gd name="connsiteY12" fmla="*/ 104775 h 847725"/>
                            <a:gd name="connisteX13" fmla="*/ 1190625 w 1638300"/>
                            <a:gd name="connsiteY13" fmla="*/ 142875 h 847725"/>
                            <a:gd name="connisteX14" fmla="*/ 1104900 w 1638300"/>
                            <a:gd name="connsiteY14" fmla="*/ 0 h 847725"/>
                            <a:gd name="connisteX15" fmla="*/ 704850 w 1638300"/>
                            <a:gd name="connsiteY15" fmla="*/ 171450 h 847725"/>
                            <a:gd name="connisteX16" fmla="*/ 590550 w 1638300"/>
                            <a:gd name="connsiteY16" fmla="*/ 0 h 847725"/>
                            <a:gd name="connisteX17" fmla="*/ 381000 w 1638300"/>
                            <a:gd name="connsiteY17" fmla="*/ 28575 h 8477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Lst>
                          <a:rect l="l" t="t" r="r" b="b"/>
                          <a:pathLst>
                            <a:path w="1638300" h="847725">
                              <a:moveTo>
                                <a:pt x="381000" y="28575"/>
                              </a:moveTo>
                              <a:lnTo>
                                <a:pt x="200025" y="76200"/>
                              </a:lnTo>
                              <a:lnTo>
                                <a:pt x="247650" y="285750"/>
                              </a:lnTo>
                              <a:lnTo>
                                <a:pt x="0" y="390525"/>
                              </a:lnTo>
                              <a:lnTo>
                                <a:pt x="28575" y="647700"/>
                              </a:lnTo>
                              <a:lnTo>
                                <a:pt x="485775" y="600075"/>
                              </a:lnTo>
                              <a:lnTo>
                                <a:pt x="819150" y="828675"/>
                              </a:lnTo>
                              <a:lnTo>
                                <a:pt x="981075" y="847725"/>
                              </a:lnTo>
                              <a:lnTo>
                                <a:pt x="1066800" y="628650"/>
                              </a:lnTo>
                              <a:lnTo>
                                <a:pt x="1362075" y="457200"/>
                              </a:lnTo>
                              <a:lnTo>
                                <a:pt x="1409700" y="276225"/>
                              </a:lnTo>
                              <a:lnTo>
                                <a:pt x="1638300" y="247650"/>
                              </a:lnTo>
                              <a:lnTo>
                                <a:pt x="1552575" y="104775"/>
                              </a:lnTo>
                              <a:lnTo>
                                <a:pt x="1190625" y="142875"/>
                              </a:lnTo>
                              <a:lnTo>
                                <a:pt x="1104900" y="0"/>
                              </a:lnTo>
                              <a:lnTo>
                                <a:pt x="704850" y="171450"/>
                              </a:lnTo>
                              <a:lnTo>
                                <a:pt x="590550" y="0"/>
                              </a:lnTo>
                              <a:lnTo>
                                <a:pt x="381000" y="28575"/>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18.15pt;margin-top:148.65pt;height:66.75pt;width:129pt;z-index:251692032;mso-width-relative:page;mso-height-relative:page;" filled="f" stroked="t" coordsize="1638300,847725" o:gfxdata="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" path="m381000,28575l200025,76200,247650,285750,0,390525,28575,647700,485775,600075,819150,828675,981075,847725,1066800,628650,1362075,457200,1409700,276225,1638300,247650,1552575,104775,1190625,142875,1104900,0,704850,171450,590550,0,381000,28575xe">
                <v:path o:connectlocs="381000,28575;200025,76200;247650,285750;0,390525;28575,647700;485775,600075;819150,828675;981075,847725;1066800,628650;1362075,457200;1409700,276225;1638300,247650;1552575,104775;1190625,142875;1104900,0;704850,171450;590550,0;381000,28575" o:connectangles="0,0,0,0,0,0,0,0,0,0,0,0,0,0,0,0,0,0"/>
                <v:fill on="f" focussize="0,0"/>
                <v:stroke weight="2pt" color="#FFFF00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91008" behindDoc="0" locked="0" layoutInCell="1" allowOverlap="1">
                <wp:simplePos x="0" y="0"/>
                <wp:positionH relativeFrom="column">
                  <wp:posOffset>3256280</wp:posOffset>
                </wp:positionH>
                <wp:positionV relativeFrom="paragraph">
                  <wp:posOffset>973455</wp:posOffset>
                </wp:positionV>
                <wp:extent cx="1495425" cy="1038225"/>
                <wp:effectExtent l="12700" t="12065" r="15875" b="16510"/>
                <wp:wrapNone/>
                <wp:docPr id="185" name="任意多边形 185"/>
                <wp:cNvGraphicFramePr/>
                <a:graphic xmlns:a="http://schemas.openxmlformats.org/drawingml/2006/main">
                  <a:graphicData uri="http://schemas.microsoft.com/office/word/2010/wordprocessingShape">
                    <wps:wsp>
                      <wps:cNvSpPr/>
                      <wps:spPr>
                        <a:xfrm>
                          <a:off x="4336415" y="1945640"/>
                          <a:ext cx="1495425" cy="1038225"/>
                        </a:xfrm>
                        <a:custGeom>
                          <a:avLst/>
                          <a:gdLst>
                            <a:gd name="connisteX0" fmla="*/ 723900 w 1495425"/>
                            <a:gd name="connsiteY0" fmla="*/ 0 h 1038225"/>
                            <a:gd name="connisteX1" fmla="*/ 190500 w 1495425"/>
                            <a:gd name="connsiteY1" fmla="*/ 219075 h 1038225"/>
                            <a:gd name="connisteX2" fmla="*/ 0 w 1495425"/>
                            <a:gd name="connsiteY2" fmla="*/ 590550 h 1038225"/>
                            <a:gd name="connisteX3" fmla="*/ 238125 w 1495425"/>
                            <a:gd name="connsiteY3" fmla="*/ 1038225 h 1038225"/>
                            <a:gd name="connisteX4" fmla="*/ 561975 w 1495425"/>
                            <a:gd name="connsiteY4" fmla="*/ 876300 h 1038225"/>
                            <a:gd name="connisteX5" fmla="*/ 1238250 w 1495425"/>
                            <a:gd name="connsiteY5" fmla="*/ 771525 h 1038225"/>
                            <a:gd name="connisteX6" fmla="*/ 1495425 w 1495425"/>
                            <a:gd name="connsiteY6" fmla="*/ 609600 h 1038225"/>
                            <a:gd name="connisteX7" fmla="*/ 1485900 w 1495425"/>
                            <a:gd name="connsiteY7" fmla="*/ 161925 h 1038225"/>
                            <a:gd name="connisteX8" fmla="*/ 685800 w 1495425"/>
                            <a:gd name="connsiteY8" fmla="*/ 28575 h 1038225"/>
                            <a:gd name="connisteX9" fmla="*/ 676275 w 1495425"/>
                            <a:gd name="connsiteY9" fmla="*/ 28575 h 10382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Lst>
                          <a:rect l="l" t="t" r="r" b="b"/>
                          <a:pathLst>
                            <a:path w="1495425" h="1038225">
                              <a:moveTo>
                                <a:pt x="723900" y="0"/>
                              </a:moveTo>
                              <a:lnTo>
                                <a:pt x="190500" y="219075"/>
                              </a:lnTo>
                              <a:lnTo>
                                <a:pt x="0" y="590550"/>
                              </a:lnTo>
                              <a:lnTo>
                                <a:pt x="238125" y="1038225"/>
                              </a:lnTo>
                              <a:lnTo>
                                <a:pt x="561975" y="876300"/>
                              </a:lnTo>
                              <a:lnTo>
                                <a:pt x="1238250" y="771525"/>
                              </a:lnTo>
                              <a:lnTo>
                                <a:pt x="1495425" y="609600"/>
                              </a:lnTo>
                              <a:lnTo>
                                <a:pt x="1485900" y="161925"/>
                              </a:lnTo>
                              <a:lnTo>
                                <a:pt x="685800" y="28575"/>
                              </a:lnTo>
                              <a:lnTo>
                                <a:pt x="676275" y="28575"/>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6.4pt;margin-top:76.65pt;height:81.75pt;width:117.75pt;z-index:251691008;mso-width-relative:page;mso-height-relative:page;" filled="f" stroked="t" coordsize="1495425,1038225" o:gfxdata="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" path="m723900,0l190500,219075,0,590550,238125,1038225,561975,876300,1238250,771525,1495425,609600,1485900,161925,685800,28575,676275,28575e">
                <v:path o:connectlocs="723900,0;190500,219075;0,590550;238125,1038225;561975,876300;1238250,771525;1495425,609600;1485900,161925;685800,28575;676275,28575" o:connectangles="0,0,0,0,0,0,0,0,0,0"/>
                <v:fill on="f" focussize="0,0"/>
                <v:stroke weight="2pt" color="#FFFF00 [2404]" joinstyle="round"/>
                <v:imagedata o:title=""/>
                <o:lock v:ext="edit" aspectratio="f"/>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689984" behindDoc="0" locked="0" layoutInCell="1" allowOverlap="1">
                <wp:simplePos x="0" y="0"/>
                <wp:positionH relativeFrom="column">
                  <wp:posOffset>4046855</wp:posOffset>
                </wp:positionH>
                <wp:positionV relativeFrom="paragraph">
                  <wp:posOffset>2197735</wp:posOffset>
                </wp:positionV>
                <wp:extent cx="1076325" cy="962025"/>
                <wp:effectExtent l="12700" t="12700" r="15875" b="15875"/>
                <wp:wrapNone/>
                <wp:docPr id="184" name="任意多边形 184"/>
                <wp:cNvGraphicFramePr/>
                <a:graphic xmlns:a="http://schemas.openxmlformats.org/drawingml/2006/main">
                  <a:graphicData uri="http://schemas.microsoft.com/office/word/2010/wordprocessingShape">
                    <wps:wsp>
                      <wps:cNvSpPr/>
                      <wps:spPr>
                        <a:xfrm>
                          <a:off x="5126990" y="3169920"/>
                          <a:ext cx="1076325" cy="962025"/>
                        </a:xfrm>
                        <a:custGeom>
                          <a:avLst/>
                          <a:gdLst>
                            <a:gd name="connisteX0" fmla="*/ 171450 w 1076325"/>
                            <a:gd name="connsiteY0" fmla="*/ 0 h 962025"/>
                            <a:gd name="connisteX1" fmla="*/ 742950 w 1076325"/>
                            <a:gd name="connsiteY1" fmla="*/ 19050 h 962025"/>
                            <a:gd name="connisteX2" fmla="*/ 1076325 w 1076325"/>
                            <a:gd name="connsiteY2" fmla="*/ 76200 h 962025"/>
                            <a:gd name="connisteX3" fmla="*/ 904875 w 1076325"/>
                            <a:gd name="connsiteY3" fmla="*/ 962025 h 962025"/>
                            <a:gd name="connisteX4" fmla="*/ 504825 w 1076325"/>
                            <a:gd name="connsiteY4" fmla="*/ 914400 h 962025"/>
                            <a:gd name="connisteX5" fmla="*/ 400050 w 1076325"/>
                            <a:gd name="connsiteY5" fmla="*/ 800100 h 962025"/>
                            <a:gd name="connisteX6" fmla="*/ 0 w 1076325"/>
                            <a:gd name="connsiteY6" fmla="*/ 485775 h 962025"/>
                            <a:gd name="connisteX7" fmla="*/ 171450 w 1076325"/>
                            <a:gd name="connsiteY7" fmla="*/ 0 h 9620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076325" h="962025">
                              <a:moveTo>
                                <a:pt x="171450" y="0"/>
                              </a:moveTo>
                              <a:lnTo>
                                <a:pt x="742950" y="19050"/>
                              </a:lnTo>
                              <a:lnTo>
                                <a:pt x="1076325" y="76200"/>
                              </a:lnTo>
                              <a:lnTo>
                                <a:pt x="904875" y="962025"/>
                              </a:lnTo>
                              <a:lnTo>
                                <a:pt x="504825" y="914400"/>
                              </a:lnTo>
                              <a:lnTo>
                                <a:pt x="400050" y="800100"/>
                              </a:lnTo>
                              <a:lnTo>
                                <a:pt x="0" y="485775"/>
                              </a:lnTo>
                              <a:lnTo>
                                <a:pt x="171450"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18.65pt;margin-top:173.05pt;height:75.75pt;width:84.75pt;z-index:251689984;mso-width-relative:page;mso-height-relative:page;" filled="f" stroked="t" coordsize="1076325,962025" o:gfxdata="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" path="m171450,0l742950,19050,1076325,76200,904875,962025,504825,914400,400050,800100,0,485775,171450,0xe">
                <v:path o:connectlocs="171450,0;742950,19050;1076325,76200;904875,962025;504825,914400;400050,800100;0,485775;171450,0" o:connectangles="0,0,0,0,0,0,0,0"/>
                <v:fill on="f" focussize="0,0"/>
                <v:stroke weight="2pt" color="#FF0000 [2404]" joinstyle="round"/>
                <v:imagedata o:title=""/>
                <o:lock v:ext="edit" aspectratio="f"/>
              </v:shape>
            </w:pict>
          </mc:Fallback>
        </mc:AlternateContent>
      </w:r>
      <w:r>
        <w:rPr>
          <w:rFonts w:hint="default" w:ascii="Times New Roman" w:hAnsi="Times New Roman" w:eastAsia="宋体" w:cs="Times New Roman"/>
          <w:u w:val="none" w:color="auto"/>
        </w:rPr>
        <w:drawing>
          <wp:anchor distT="0" distB="0" distL="114300" distR="114300" simplePos="0" relativeHeight="251688960" behindDoc="0" locked="0" layoutInCell="1" allowOverlap="1">
            <wp:simplePos x="0" y="0"/>
            <wp:positionH relativeFrom="column">
              <wp:posOffset>8016875</wp:posOffset>
            </wp:positionH>
            <wp:positionV relativeFrom="paragraph">
              <wp:posOffset>-1270</wp:posOffset>
            </wp:positionV>
            <wp:extent cx="771525" cy="1217930"/>
            <wp:effectExtent l="0" t="0" r="9525" b="1270"/>
            <wp:wrapNone/>
            <wp:docPr id="1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
                    <pic:cNvPicPr>
                      <a:picLocks noChangeAspect="1"/>
                    </pic:cNvPicPr>
                  </pic:nvPicPr>
                  <pic:blipFill>
                    <a:blip r:embed="rId140"/>
                    <a:stretch>
                      <a:fillRect/>
                    </a:stretch>
                  </pic:blipFill>
                  <pic:spPr>
                    <a:xfrm>
                      <a:off x="0" y="0"/>
                      <a:ext cx="771525" cy="1217930"/>
                    </a:xfrm>
                    <a:prstGeom prst="rect">
                      <a:avLst/>
                    </a:prstGeom>
                    <a:noFill/>
                    <a:ln>
                      <a:noFill/>
                    </a:ln>
                  </pic:spPr>
                </pic:pic>
              </a:graphicData>
            </a:graphic>
          </wp:anchor>
        </w:drawing>
      </w:r>
      <w:r>
        <w:rPr>
          <w:rFonts w:hint="default" w:ascii="Times New Roman" w:hAnsi="Times New Roman" w:eastAsia="宋体" w:cs="Times New Roman"/>
          <w:u w:val="none" w:color="auto"/>
        </w:rPr>
        <w:drawing>
          <wp:inline distT="0" distB="0" distL="114300" distR="114300">
            <wp:extent cx="8521065" cy="5422900"/>
            <wp:effectExtent l="0" t="0" r="13335" b="6350"/>
            <wp:docPr id="18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5"/>
                    <pic:cNvPicPr>
                      <a:picLocks noChangeAspect="1"/>
                    </pic:cNvPicPr>
                  </pic:nvPicPr>
                  <pic:blipFill>
                    <a:blip r:embed="rId143"/>
                    <a:stretch>
                      <a:fillRect/>
                    </a:stretch>
                  </pic:blipFill>
                  <pic:spPr>
                    <a:xfrm>
                      <a:off x="0" y="0"/>
                      <a:ext cx="8521065" cy="5422900"/>
                    </a:xfrm>
                    <a:prstGeom prst="rect">
                      <a:avLst/>
                    </a:prstGeom>
                    <a:noFill/>
                    <a:ln>
                      <a:noFill/>
                    </a:ln>
                  </pic:spPr>
                </pic:pic>
              </a:graphicData>
            </a:graphic>
          </wp:inline>
        </w:drawing>
      </w:r>
    </w:p>
    <w:p w14:paraId="636B4070">
      <w:pPr>
        <w:pStyle w:val="7"/>
        <w:ind w:left="0" w:leftChars="0" w:firstLine="0" w:firstLineChars="0"/>
        <w:rPr>
          <w:rFonts w:hint="default" w:ascii="Times New Roman" w:hAnsi="Times New Roman" w:eastAsia="宋体" w:cs="Times New Roman"/>
          <w:color w:val="auto"/>
          <w:spacing w:val="6"/>
          <w:szCs w:val="21"/>
          <w:u w:val="none" w:color="auto"/>
          <w:lang w:val="en-US" w:eastAsia="zh-CN"/>
        </w:rPr>
        <w:sectPr>
          <w:pgSz w:w="16838" w:h="11906" w:orient="landscape"/>
          <w:pgMar w:top="1531" w:right="1701" w:bottom="1531" w:left="1701" w:header="851" w:footer="850"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eastAsia="宋体" w:cs="Times New Roman"/>
          <w:color w:val="auto"/>
          <w:sz w:val="28"/>
          <w:u w:val="none" w:color="auto"/>
        </w:rPr>
        <mc:AlternateContent>
          <mc:Choice Requires="wps">
            <w:drawing>
              <wp:anchor distT="0" distB="0" distL="114300" distR="114300" simplePos="0" relativeHeight="251664384" behindDoc="0" locked="0" layoutInCell="1" allowOverlap="1">
                <wp:simplePos x="0" y="0"/>
                <wp:positionH relativeFrom="column">
                  <wp:posOffset>2858770</wp:posOffset>
                </wp:positionH>
                <wp:positionV relativeFrom="paragraph">
                  <wp:posOffset>27940</wp:posOffset>
                </wp:positionV>
                <wp:extent cx="3333750" cy="59817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3333750" cy="598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A180B">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附图3 项目环境敏感目标图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1pt;margin-top:2.2pt;height:47.1pt;width:262.5pt;z-index:251664384;mso-width-relative:page;mso-height-relative:page;" filled="f" stroked="f" coordsize="21600,21600" o:gfxdata="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U/lIG2AAAAAgBAAAPAAAAAAAAAAEAIAAAACIAAABkcnMv&#10;ZG93bnJldi54bWxQSwECFAAUAAAACACHTuJALUQSaTwCAABoBAAADgAAAAAAAAABACAAAAAnAQAA&#10;ZHJzL2Uyb0RvYy54bWxQSwUGAAAAAAYABgBZAQAA1QUAAAAA&#10;">
                <v:fill on="f" focussize="0,0"/>
                <v:stroke on="f" weight="0.5pt"/>
                <v:imagedata o:title=""/>
                <o:lock v:ext="edit" aspectratio="f"/>
                <v:textbox>
                  <w:txbxContent>
                    <w:p w14:paraId="62FA180B">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附图3 项目环境敏感目标图</w:t>
                      </w:r>
                    </w:p>
                  </w:txbxContent>
                </v:textbox>
              </v:shape>
            </w:pict>
          </mc:Fallback>
        </mc:AlternateContent>
      </w:r>
      <w:r>
        <w:rPr>
          <w:rFonts w:hint="default" w:ascii="Times New Roman" w:hAnsi="Times New Roman" w:eastAsia="宋体" w:cs="Times New Roman"/>
          <w:color w:val="auto"/>
          <w:sz w:val="28"/>
          <w:u w:val="none" w:color="auto"/>
        </w:rPr>
        <mc:AlternateContent>
          <mc:Choice Requires="wps">
            <w:drawing>
              <wp:anchor distT="0" distB="0" distL="114300" distR="114300" simplePos="0" relativeHeight="251665408" behindDoc="0" locked="0" layoutInCell="1" allowOverlap="1">
                <wp:simplePos x="0" y="0"/>
                <wp:positionH relativeFrom="column">
                  <wp:posOffset>3455670</wp:posOffset>
                </wp:positionH>
                <wp:positionV relativeFrom="paragraph">
                  <wp:posOffset>5511800</wp:posOffset>
                </wp:positionV>
                <wp:extent cx="2418715" cy="34861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418715" cy="348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19D32">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附图4 本项目监测点位图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1pt;margin-top:434pt;height:27.45pt;width:190.45pt;z-index:251665408;mso-width-relative:page;mso-height-relative:page;" filled="f" stroked="f" coordsize="21600,21600" o:gfxdata="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ICe2tsAAAALAQAADwAAAAAAAAABACAAAAAiAAAA&#10;ZHJzL2Rvd25yZXYueG1sUEsBAhQAFAAAAAgAh07iQOqwcE49AgAAaAQAAA4AAAAAAAAAAQAgAAAA&#10;KgEAAGRycy9lMm9Eb2MueG1sUEsFBgAAAAAGAAYAWQEAANkFAAAAAA==&#10;">
                <v:fill on="f" focussize="0,0"/>
                <v:stroke on="f" weight="0.5pt"/>
                <v:imagedata o:title=""/>
                <o:lock v:ext="edit" aspectratio="f"/>
                <v:textbox>
                  <w:txbxContent>
                    <w:p w14:paraId="57919D32">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附图4 本项目监测点位图</w:t>
                      </w:r>
                    </w:p>
                  </w:txbxContent>
                </v:textbox>
              </v:shape>
            </w:pict>
          </mc:Fallback>
        </mc:AlternateContent>
      </w:r>
    </w:p>
    <w:p w14:paraId="2A9DE74B">
      <w:pPr>
        <w:pStyle w:val="7"/>
        <w:ind w:left="0" w:leftChars="0" w:firstLine="0" w:firstLineChars="0"/>
        <w:jc w:val="center"/>
        <w:rPr>
          <w:rFonts w:hint="default" w:ascii="Times New Roman" w:hAnsi="Times New Roman" w:eastAsia="宋体" w:cs="Times New Roman"/>
          <w:color w:val="auto"/>
          <w:spacing w:val="6"/>
          <w:szCs w:val="21"/>
          <w:u w:val="none" w:color="auto"/>
          <w:lang w:val="en-US" w:eastAsia="zh-CN"/>
        </w:rPr>
      </w:pPr>
      <w:r>
        <w:rPr>
          <w:rFonts w:hint="default" w:ascii="Times New Roman" w:hAnsi="Times New Roman" w:eastAsia="宋体" w:cs="Times New Roman"/>
          <w:color w:val="auto"/>
          <w:sz w:val="28"/>
          <w:u w:val="none" w:color="auto"/>
        </w:rPr>
        <mc:AlternateContent>
          <mc:Choice Requires="wps">
            <w:drawing>
              <wp:anchor distT="0" distB="0" distL="114300" distR="114300" simplePos="0" relativeHeight="251719680" behindDoc="0" locked="0" layoutInCell="1" allowOverlap="1">
                <wp:simplePos x="0" y="0"/>
                <wp:positionH relativeFrom="column">
                  <wp:posOffset>3087370</wp:posOffset>
                </wp:positionH>
                <wp:positionV relativeFrom="paragraph">
                  <wp:posOffset>5581015</wp:posOffset>
                </wp:positionV>
                <wp:extent cx="3333750" cy="59817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3333750" cy="598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4EA61">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附图４ 项目现状监测布点图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1pt;margin-top:439.45pt;height:47.1pt;width:262.5pt;z-index:251719680;mso-width-relative:page;mso-height-relative:page;" filled="f" stroked="f" coordsize="21600,21600" o:gfxdata="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69T79wAAAAMAQAADwAAAAAAAAABACAAAAAiAAAA&#10;ZHJzL2Rvd25yZXYueG1sUEsBAhQAFAAAAAgAh07iQPcCy8s8AgAAagQAAA4AAAAAAAAAAQAgAAAA&#10;KwEAAGRycy9lMm9Eb2MueG1sUEsFBgAAAAAGAAYAWQEAANkFAAAAAA==&#10;">
                <v:fill on="f" focussize="0,0"/>
                <v:stroke on="f" weight="0.5pt"/>
                <v:imagedata o:title=""/>
                <o:lock v:ext="edit" aspectratio="f"/>
                <v:textbox>
                  <w:txbxContent>
                    <w:p w14:paraId="2E94EA61">
                      <w:pPr>
                        <w:jc w:val="left"/>
                        <w:rPr>
                          <w:rFonts w:hint="default" w:ascii="Times New Roman" w:hAnsi="Times New Roman" w:eastAsia="宋体" w:cs="Times New Roman"/>
                          <w:b/>
                          <w:bCs/>
                          <w:spacing w:val="6"/>
                          <w:sz w:val="28"/>
                          <w:szCs w:val="28"/>
                          <w:lang w:val="en-US" w:eastAsia="zh-CN"/>
                        </w:rPr>
                      </w:pPr>
                      <w:r>
                        <w:rPr>
                          <w:rFonts w:hint="eastAsia" w:ascii="Times New Roman" w:hAnsi="Times New Roman" w:eastAsia="宋体" w:cs="Times New Roman"/>
                          <w:b/>
                          <w:bCs/>
                          <w:spacing w:val="6"/>
                          <w:sz w:val="28"/>
                          <w:szCs w:val="28"/>
                          <w:lang w:val="en-US" w:eastAsia="zh-CN"/>
                        </w:rPr>
                        <w:t>附图４ 项目现状监测布点图</w:t>
                      </w:r>
                    </w:p>
                  </w:txbxContent>
                </v:textbox>
              </v:shape>
            </w:pict>
          </mc:Fallback>
        </mc:AlternateContent>
      </w:r>
      <w:r>
        <w:rPr>
          <w:rFonts w:hint="default" w:ascii="Times New Roman" w:hAnsi="Times New Roman" w:eastAsia="宋体" w:cs="Times New Roman"/>
          <w:sz w:val="21"/>
          <w:u w:val="none" w:color="auto"/>
        </w:rPr>
        <mc:AlternateContent>
          <mc:Choice Requires="wps">
            <w:drawing>
              <wp:anchor distT="0" distB="0" distL="114300" distR="114300" simplePos="0" relativeHeight="251704320" behindDoc="0" locked="0" layoutInCell="1" allowOverlap="1">
                <wp:simplePos x="0" y="0"/>
                <wp:positionH relativeFrom="column">
                  <wp:posOffset>2846705</wp:posOffset>
                </wp:positionH>
                <wp:positionV relativeFrom="paragraph">
                  <wp:posOffset>1578610</wp:posOffset>
                </wp:positionV>
                <wp:extent cx="1181100" cy="1076325"/>
                <wp:effectExtent l="12700" t="12700" r="25400" b="15875"/>
                <wp:wrapNone/>
                <wp:docPr id="214" name="任意多边形 214"/>
                <wp:cNvGraphicFramePr/>
                <a:graphic xmlns:a="http://schemas.openxmlformats.org/drawingml/2006/main">
                  <a:graphicData uri="http://schemas.microsoft.com/office/word/2010/wordprocessingShape">
                    <wps:wsp>
                      <wps:cNvSpPr/>
                      <wps:spPr>
                        <a:xfrm>
                          <a:off x="0" y="0"/>
                          <a:ext cx="1181100" cy="1076325"/>
                        </a:xfrm>
                        <a:custGeom>
                          <a:avLst/>
                          <a:gdLst>
                            <a:gd name="connisteX0" fmla="*/ 171450 w 1076325"/>
                            <a:gd name="connsiteY0" fmla="*/ 0 h 962025"/>
                            <a:gd name="connisteX1" fmla="*/ 742950 w 1076325"/>
                            <a:gd name="connsiteY1" fmla="*/ 19050 h 962025"/>
                            <a:gd name="connisteX2" fmla="*/ 1076325 w 1076325"/>
                            <a:gd name="connsiteY2" fmla="*/ 76200 h 962025"/>
                            <a:gd name="connisteX3" fmla="*/ 904875 w 1076325"/>
                            <a:gd name="connsiteY3" fmla="*/ 962025 h 962025"/>
                            <a:gd name="connisteX4" fmla="*/ 504825 w 1076325"/>
                            <a:gd name="connsiteY4" fmla="*/ 914400 h 962025"/>
                            <a:gd name="connisteX5" fmla="*/ 400050 w 1076325"/>
                            <a:gd name="connsiteY5" fmla="*/ 800100 h 962025"/>
                            <a:gd name="connisteX6" fmla="*/ 0 w 1076325"/>
                            <a:gd name="connsiteY6" fmla="*/ 485775 h 962025"/>
                            <a:gd name="connisteX7" fmla="*/ 171450 w 1076325"/>
                            <a:gd name="connsiteY7" fmla="*/ 0 h 9620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076325" h="962025">
                              <a:moveTo>
                                <a:pt x="171450" y="0"/>
                              </a:moveTo>
                              <a:lnTo>
                                <a:pt x="742950" y="19050"/>
                              </a:lnTo>
                              <a:lnTo>
                                <a:pt x="1076325" y="76200"/>
                              </a:lnTo>
                              <a:lnTo>
                                <a:pt x="904875" y="962025"/>
                              </a:lnTo>
                              <a:lnTo>
                                <a:pt x="504825" y="914400"/>
                              </a:lnTo>
                              <a:lnTo>
                                <a:pt x="400050" y="800100"/>
                              </a:lnTo>
                              <a:lnTo>
                                <a:pt x="0" y="485775"/>
                              </a:lnTo>
                              <a:lnTo>
                                <a:pt x="171450"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24.15pt;margin-top:124.3pt;height:84.75pt;width:93pt;z-index:251704320;mso-width-relative:page;mso-height-relative:page;" filled="f" stroked="t" coordsize="1076325,962025" o:gfxdata="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AAAAABkcnMvUEsBAhQAFAAAAAgAh07iQDPkWPjVAAAACwEAAA8A&#10;AAAAAAAAAQAgAAAAIgAAAGRycy9kb3ducmV2LnhtbFBLAQIUABQAAAAIAIdO4kAJLlAccAMAAKkK&#10;AAAOAAAAAAAAAAEAIAAAACQBAABkcnMvZTJvRG9jLnhtbFBLBQYAAAAABgAGAFkBAAAGBwAAAAA=&#10;" path="m171450,0l742950,19050,1076325,76200,904875,962025,504825,914400,400050,800100,0,485775,171450,0xe">
                <v:path o:connectlocs="188139,0;815272,21313;1181100,85253;992960,1076325;553967,1023041;438992,895161;0,543490;188139,0" o:connectangles="0,0,0,0,0,0,0,0"/>
                <v:fill on="f" focussize="0,0"/>
                <v:stroke weight="2pt" color="#FF0000 [2404]" joinstyle="round"/>
                <v:imagedata o:title=""/>
                <o:lock v:ext="edit" aspectratio="f"/>
              </v:shape>
            </w:pict>
          </mc:Fallback>
        </mc:AlternateContent>
      </w:r>
      <w:r>
        <w:rPr>
          <w:rFonts w:hint="default" w:ascii="Times New Roman" w:hAnsi="Times New Roman" w:eastAsia="宋体" w:cs="Times New Roman"/>
          <w:u w:val="none" w:color="auto"/>
        </w:rPr>
        <w:drawing>
          <wp:anchor distT="0" distB="0" distL="114300" distR="114300" simplePos="0" relativeHeight="251703296" behindDoc="0" locked="0" layoutInCell="1" allowOverlap="1">
            <wp:simplePos x="0" y="0"/>
            <wp:positionH relativeFrom="column">
              <wp:posOffset>7845425</wp:posOffset>
            </wp:positionH>
            <wp:positionV relativeFrom="paragraph">
              <wp:posOffset>-1270</wp:posOffset>
            </wp:positionV>
            <wp:extent cx="771525" cy="1217930"/>
            <wp:effectExtent l="0" t="0" r="9525" b="1270"/>
            <wp:wrapNone/>
            <wp:docPr id="2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
                    <pic:cNvPicPr>
                      <a:picLocks noChangeAspect="1"/>
                    </pic:cNvPicPr>
                  </pic:nvPicPr>
                  <pic:blipFill>
                    <a:blip r:embed="rId140"/>
                    <a:stretch>
                      <a:fillRect/>
                    </a:stretch>
                  </pic:blipFill>
                  <pic:spPr>
                    <a:xfrm>
                      <a:off x="0" y="0"/>
                      <a:ext cx="771525" cy="1217930"/>
                    </a:xfrm>
                    <a:prstGeom prst="rect">
                      <a:avLst/>
                    </a:prstGeom>
                    <a:noFill/>
                    <a:ln>
                      <a:noFill/>
                    </a:ln>
                  </pic:spPr>
                </pic:pic>
              </a:graphicData>
            </a:graphic>
          </wp:anchor>
        </w:drawing>
      </w:r>
      <w:r>
        <w:rPr>
          <w:rFonts w:hint="default" w:ascii="Times New Roman" w:hAnsi="Times New Roman" w:eastAsia="宋体" w:cs="Times New Roman"/>
          <w:sz w:val="24"/>
          <w:u w:val="none" w:color="auto"/>
        </w:rPr>
        <mc:AlternateContent>
          <mc:Choice Requires="wps">
            <w:drawing>
              <wp:anchor distT="0" distB="0" distL="114300" distR="114300" simplePos="0" relativeHeight="251716608" behindDoc="0" locked="0" layoutInCell="1" allowOverlap="1">
                <wp:simplePos x="0" y="0"/>
                <wp:positionH relativeFrom="column">
                  <wp:posOffset>7199630</wp:posOffset>
                </wp:positionH>
                <wp:positionV relativeFrom="paragraph">
                  <wp:posOffset>5243830</wp:posOffset>
                </wp:positionV>
                <wp:extent cx="104775" cy="114300"/>
                <wp:effectExtent l="12700" t="12700" r="15875" b="25400"/>
                <wp:wrapNone/>
                <wp:docPr id="212" name="椭圆 212"/>
                <wp:cNvGraphicFramePr/>
                <a:graphic xmlns:a="http://schemas.openxmlformats.org/drawingml/2006/main">
                  <a:graphicData uri="http://schemas.microsoft.com/office/word/2010/wordprocessingShape">
                    <wps:wsp>
                      <wps:cNvSpPr/>
                      <wps:spPr>
                        <a:xfrm>
                          <a:off x="8260715" y="6301740"/>
                          <a:ext cx="104775" cy="1143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66.9pt;margin-top:412.9pt;height:9pt;width:8.25pt;z-index:251716608;v-text-anchor:middle;mso-width-relative:page;mso-height-relative:page;" fillcolor="#FF0000" filled="t" stroked="t" coordsize="21600,21600" o:gfxdata="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MzB+VHYAAAADQEAAA8AAAAA&#10;AAAAAQAgAAAAIgAAAGRycy9kb3ducmV2LnhtbFBLAQIUABQAAAAIAIdO4kD9uXMdhgIAABEFAAAO&#10;AAAAAAAAAAEAIAAAACcBAABkcnMvZTJvRG9jLnhtbFBLBQYAAAAABgAGAFkBAAAfBgAAAAA=&#1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5584" behindDoc="0" locked="0" layoutInCell="1" allowOverlap="1">
                <wp:simplePos x="0" y="0"/>
                <wp:positionH relativeFrom="column">
                  <wp:posOffset>7209790</wp:posOffset>
                </wp:positionH>
                <wp:positionV relativeFrom="paragraph">
                  <wp:posOffset>5100955</wp:posOffset>
                </wp:positionV>
                <wp:extent cx="75565" cy="95250"/>
                <wp:effectExtent l="12700" t="12700" r="26035" b="25400"/>
                <wp:wrapNone/>
                <wp:docPr id="211" name="等腰三角形 211"/>
                <wp:cNvGraphicFramePr/>
                <a:graphic xmlns:a="http://schemas.openxmlformats.org/drawingml/2006/main">
                  <a:graphicData uri="http://schemas.microsoft.com/office/word/2010/wordprocessingShape">
                    <wps:wsp>
                      <wps:cNvSpPr/>
                      <wps:spPr>
                        <a:xfrm>
                          <a:off x="8251825" y="6092190"/>
                          <a:ext cx="75565" cy="95250"/>
                        </a:xfrm>
                        <a:prstGeom prst="triangle">
                          <a:avLst/>
                        </a:prstGeom>
                        <a:solidFill>
                          <a:srgbClr val="00B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567.7pt;margin-top:401.65pt;height:7.5pt;width:5.95pt;z-index:251715584;v-text-anchor:middle;mso-width-relative:page;mso-height-relative:page;" fillcolor="#00B050" filled="t" stroked="t" coordsize="21600,21600" o:gfxdata="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VXi0FdoAAAANAQAADwAAAAAAAAABACAAAAAiAAAAZHJzL2Rvd25yZXYueG1sUEsBAhQAFAAAAAgA&#10;h07iQOYCb6mVAgAAGQUAAA4AAAAAAAAAAQAgAAAAKQEAAGRycy9lMm9Eb2MueG1sUEsFBgAAAAAG&#10;AAYAWQEAADAGAAAAAA==&#10;" adj="108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4560" behindDoc="0" locked="0" layoutInCell="1" allowOverlap="1">
                <wp:simplePos x="0" y="0"/>
                <wp:positionH relativeFrom="column">
                  <wp:posOffset>7106920</wp:posOffset>
                </wp:positionH>
                <wp:positionV relativeFrom="paragraph">
                  <wp:posOffset>4826635</wp:posOffset>
                </wp:positionV>
                <wp:extent cx="1198880" cy="777240"/>
                <wp:effectExtent l="4445" t="4445" r="15875" b="18415"/>
                <wp:wrapNone/>
                <wp:docPr id="208" name="文本框 208"/>
                <wp:cNvGraphicFramePr/>
                <a:graphic xmlns:a="http://schemas.openxmlformats.org/drawingml/2006/main">
                  <a:graphicData uri="http://schemas.microsoft.com/office/word/2010/wordprocessingShape">
                    <wps:wsp>
                      <wps:cNvSpPr txBox="1"/>
                      <wps:spPr>
                        <a:xfrm>
                          <a:off x="0" y="0"/>
                          <a:ext cx="1198880" cy="777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87BD90">
                            <w:pPr>
                              <w:ind w:left="0" w:leftChars="0" w:firstLine="0" w:firstLineChars="0"/>
                              <w:jc w:val="center"/>
                              <w:rPr>
                                <w:rFonts w:hint="eastAsia"/>
                                <w:lang w:val="en-US" w:eastAsia="zh-CN"/>
                              </w:rPr>
                            </w:pPr>
                            <w:r>
                              <w:rPr>
                                <w:rFonts w:hint="eastAsia"/>
                                <w:lang w:val="en-US" w:eastAsia="zh-CN"/>
                              </w:rPr>
                              <w:t>图例</w:t>
                            </w:r>
                          </w:p>
                          <w:p w14:paraId="64DF1F08">
                            <w:pPr>
                              <w:pStyle w:val="12"/>
                              <w:keepNext w:val="0"/>
                              <w:keepLines w:val="0"/>
                              <w:pageBreakBefore w:val="0"/>
                              <w:widowControl w:val="0"/>
                              <w:kinsoku/>
                              <w:wordWrap/>
                              <w:overflowPunct/>
                              <w:topLinePunct w:val="0"/>
                              <w:bidi w:val="0"/>
                              <w:adjustRightInd w:val="0"/>
                              <w:snapToGrid w:val="0"/>
                              <w:spacing w:after="0" w:line="240" w:lineRule="auto"/>
                              <w:textAlignment w:val="auto"/>
                              <w:rPr>
                                <w:rFonts w:hint="eastAsia"/>
                                <w:sz w:val="18"/>
                                <w:szCs w:val="18"/>
                                <w:lang w:val="en-US" w:eastAsia="zh-CN"/>
                              </w:rPr>
                            </w:pPr>
                            <w:r>
                              <w:rPr>
                                <w:rFonts w:hint="eastAsia"/>
                                <w:sz w:val="18"/>
                                <w:szCs w:val="18"/>
                                <w:lang w:val="en-US" w:eastAsia="zh-CN"/>
                              </w:rPr>
                              <w:t>　　声环境监测点</w:t>
                            </w:r>
                          </w:p>
                          <w:p w14:paraId="7983644E">
                            <w:pPr>
                              <w:ind w:left="0" w:leftChars="0" w:firstLine="0" w:firstLineChars="0"/>
                              <w:rPr>
                                <w:rFonts w:hint="default"/>
                                <w:lang w:val="en-US" w:eastAsia="zh-CN"/>
                              </w:rPr>
                            </w:pPr>
                            <w:r>
                              <w:rPr>
                                <w:rFonts w:hint="eastAsia"/>
                                <w:sz w:val="18"/>
                                <w:szCs w:val="18"/>
                                <w:lang w:val="en-US" w:eastAsia="zh-CN"/>
                              </w:rPr>
                              <w:t xml:space="preserve">   环境空气监测点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9.6pt;margin-top:380.05pt;height:61.2pt;width:94.4pt;z-index:251714560;mso-width-relative:page;mso-height-relative:page;" fillcolor="#FFFFFF [3201]" filled="t" stroked="t" coordsize="21600,21600" o:gfxdata="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6gJ&#10;ltgAAAANAQAADwAAAAAAAAABACAAAAAiAAAAZHJzL2Rvd25yZXYueG1sUEsBAhQAFAAAAAgAh07i&#10;QAhYZpJbAgAAuwQAAA4AAAAAAAAAAQAgAAAAJwEAAGRycy9lMm9Eb2MueG1sUEsFBgAAAAAGAAYA&#10;WQEAAPQFAAAAAA==&#10;">
                <v:fill on="t" focussize="0,0"/>
                <v:stroke weight="0.5pt" color="#000000 [3204]" joinstyle="round"/>
                <v:imagedata o:title=""/>
                <o:lock v:ext="edit" aspectratio="f"/>
                <v:textbox>
                  <w:txbxContent>
                    <w:p w14:paraId="5787BD90">
                      <w:pPr>
                        <w:ind w:left="0" w:leftChars="0" w:firstLine="0" w:firstLineChars="0"/>
                        <w:jc w:val="center"/>
                        <w:rPr>
                          <w:rFonts w:hint="eastAsia"/>
                          <w:lang w:val="en-US" w:eastAsia="zh-CN"/>
                        </w:rPr>
                      </w:pPr>
                      <w:r>
                        <w:rPr>
                          <w:rFonts w:hint="eastAsia"/>
                          <w:lang w:val="en-US" w:eastAsia="zh-CN"/>
                        </w:rPr>
                        <w:t>图例</w:t>
                      </w:r>
                    </w:p>
                    <w:p w14:paraId="64DF1F08">
                      <w:pPr>
                        <w:pStyle w:val="12"/>
                        <w:keepNext w:val="0"/>
                        <w:keepLines w:val="0"/>
                        <w:pageBreakBefore w:val="0"/>
                        <w:widowControl w:val="0"/>
                        <w:kinsoku/>
                        <w:wordWrap/>
                        <w:overflowPunct/>
                        <w:topLinePunct w:val="0"/>
                        <w:bidi w:val="0"/>
                        <w:adjustRightInd w:val="0"/>
                        <w:snapToGrid w:val="0"/>
                        <w:spacing w:after="0" w:line="240" w:lineRule="auto"/>
                        <w:textAlignment w:val="auto"/>
                        <w:rPr>
                          <w:rFonts w:hint="eastAsia"/>
                          <w:sz w:val="18"/>
                          <w:szCs w:val="18"/>
                          <w:lang w:val="en-US" w:eastAsia="zh-CN"/>
                        </w:rPr>
                      </w:pPr>
                      <w:r>
                        <w:rPr>
                          <w:rFonts w:hint="eastAsia"/>
                          <w:sz w:val="18"/>
                          <w:szCs w:val="18"/>
                          <w:lang w:val="en-US" w:eastAsia="zh-CN"/>
                        </w:rPr>
                        <w:t>　　声环境监测点</w:t>
                      </w:r>
                    </w:p>
                    <w:p w14:paraId="7983644E">
                      <w:pPr>
                        <w:ind w:left="0" w:leftChars="0" w:firstLine="0" w:firstLineChars="0"/>
                        <w:rPr>
                          <w:rFonts w:hint="default"/>
                          <w:lang w:val="en-US" w:eastAsia="zh-CN"/>
                        </w:rPr>
                      </w:pPr>
                      <w:r>
                        <w:rPr>
                          <w:rFonts w:hint="eastAsia"/>
                          <w:sz w:val="18"/>
                          <w:szCs w:val="18"/>
                          <w:lang w:val="en-US" w:eastAsia="zh-CN"/>
                        </w:rPr>
                        <w:t xml:space="preserve">   环境空气监测点</w:t>
                      </w:r>
                    </w:p>
                  </w:txbxContent>
                </v:textbox>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698176" behindDoc="1" locked="0" layoutInCell="1" allowOverlap="1">
                <wp:simplePos x="0" y="0"/>
                <wp:positionH relativeFrom="column">
                  <wp:posOffset>7289165</wp:posOffset>
                </wp:positionH>
                <wp:positionV relativeFrom="paragraph">
                  <wp:posOffset>4023360</wp:posOffset>
                </wp:positionV>
                <wp:extent cx="95250" cy="75565"/>
                <wp:effectExtent l="12700" t="12700" r="25400" b="26035"/>
                <wp:wrapNone/>
                <wp:docPr id="210" name="等腰三角形 210"/>
                <wp:cNvGraphicFramePr/>
                <a:graphic xmlns:a="http://schemas.openxmlformats.org/drawingml/2006/main">
                  <a:graphicData uri="http://schemas.microsoft.com/office/word/2010/wordprocessingShape">
                    <wps:wsp>
                      <wps:cNvSpPr/>
                      <wps:spPr>
                        <a:xfrm>
                          <a:off x="0" y="0"/>
                          <a:ext cx="95250" cy="75565"/>
                        </a:xfrm>
                        <a:prstGeom prst="triangle">
                          <a:avLst/>
                        </a:prstGeom>
                        <a:solidFill>
                          <a:srgbClr val="00B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573.95pt;margin-top:316.8pt;height:5.95pt;width:7.5pt;z-index:-251618304;v-text-anchor:middle;mso-width-relative:page;mso-height-relative:page;" fillcolor="#00B050" filled="t" stroked="t" coordsize="21600,21600" o:gfxdata="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AjLFX3aAAAADQEA&#10;AA8AAAAAAAAAAQAgAAAAIgAAAGRycy9kb3ducmV2LnhtbFBLAQIUABQAAAAIAIdO4kAETYcTigIA&#10;AA0FAAAOAAAAAAAAAAEAIAAAACkBAABkcnMvZTJvRG9jLnhtbFBLBQYAAAAABgAGAFkBAAAlBgAA&#10;AAA=&#10;" adj="108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3536" behindDoc="0" locked="0" layoutInCell="1" allowOverlap="1">
                <wp:simplePos x="0" y="0"/>
                <wp:positionH relativeFrom="column">
                  <wp:posOffset>2470150</wp:posOffset>
                </wp:positionH>
                <wp:positionV relativeFrom="paragraph">
                  <wp:posOffset>1537970</wp:posOffset>
                </wp:positionV>
                <wp:extent cx="560705" cy="245745"/>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560705"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0E888">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N１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4.5pt;margin-top:121.1pt;height:19.35pt;width:44.15pt;z-index:251713536;mso-width-relative:page;mso-height-relative:page;" filled="f" stroked="f" coordsize="21600,21600" o:gfxdata="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7nKlNwAAAALAQAADwAAAAAAAAABACAAAAAiAAAA&#10;ZHJzL2Rvd25yZXYueG1sUEsBAhQAFAAAAAgAh07iQPvrepI8AgAAaQQAAA4AAAAAAAAAAQAgAAAA&#10;KwEAAGRycy9lMm9Eb2MueG1sUEsFBgAAAAAGAAYAWQEAANkFAAAAAA==&#10;">
                <v:fill on="f" focussize="0,0"/>
                <v:stroke on="f" weight="0.5pt"/>
                <v:imagedata o:title=""/>
                <o:lock v:ext="edit" aspectratio="f"/>
                <v:textbox>
                  <w:txbxContent>
                    <w:p w14:paraId="1360E888">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N１</w:t>
                      </w:r>
                    </w:p>
                  </w:txbxContent>
                </v:textbox>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2512" behindDoc="0" locked="0" layoutInCell="1" allowOverlap="1">
                <wp:simplePos x="0" y="0"/>
                <wp:positionH relativeFrom="column">
                  <wp:posOffset>3565525</wp:posOffset>
                </wp:positionH>
                <wp:positionV relativeFrom="paragraph">
                  <wp:posOffset>2861945</wp:posOffset>
                </wp:positionV>
                <wp:extent cx="380365" cy="245745"/>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380365"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86C0F">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N2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0.75pt;margin-top:225.35pt;height:19.35pt;width:29.95pt;z-index:251712512;mso-width-relative:page;mso-height-relative:page;" filled="f" stroked="f" coordsize="21600,21600" o:gfxdata="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&#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ZUH0dwAAAALAQAADwAAAAAAAAABACAAAAAiAAAA&#10;ZHJzL2Rvd25yZXYueG1sUEsBAhQAFAAAAAgAh07iQJR+vwc8AgAAaQQAAA4AAAAAAAAAAQAgAAAA&#10;KwEAAGRycy9lMm9Eb2MueG1sUEsFBgAAAAAGAAYAWQEAANkFAAAAAA==&#10;">
                <v:fill on="f" focussize="0,0"/>
                <v:stroke on="f" weight="0.5pt"/>
                <v:imagedata o:title=""/>
                <o:lock v:ext="edit" aspectratio="f"/>
                <v:textbox>
                  <w:txbxContent>
                    <w:p w14:paraId="5EE86C0F">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N2</w:t>
                      </w:r>
                    </w:p>
                  </w:txbxContent>
                </v:textbox>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1488" behindDoc="0" locked="0" layoutInCell="1" allowOverlap="1">
                <wp:simplePos x="0" y="0"/>
                <wp:positionH relativeFrom="column">
                  <wp:posOffset>3660140</wp:posOffset>
                </wp:positionH>
                <wp:positionV relativeFrom="paragraph">
                  <wp:posOffset>2756535</wp:posOffset>
                </wp:positionV>
                <wp:extent cx="95250" cy="75565"/>
                <wp:effectExtent l="12700" t="12700" r="25400" b="26035"/>
                <wp:wrapNone/>
                <wp:docPr id="205" name="等腰三角形 205"/>
                <wp:cNvGraphicFramePr/>
                <a:graphic xmlns:a="http://schemas.openxmlformats.org/drawingml/2006/main">
                  <a:graphicData uri="http://schemas.microsoft.com/office/word/2010/wordprocessingShape">
                    <wps:wsp>
                      <wps:cNvSpPr/>
                      <wps:spPr>
                        <a:xfrm>
                          <a:off x="0" y="0"/>
                          <a:ext cx="95250" cy="75565"/>
                        </a:xfrm>
                        <a:prstGeom prst="triangle">
                          <a:avLst/>
                        </a:prstGeom>
                        <a:solidFill>
                          <a:srgbClr val="00B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88.2pt;margin-top:217.05pt;height:5.95pt;width:7.5pt;z-index:251711488;v-text-anchor:middle;mso-width-relative:page;mso-height-relative:page;" fillcolor="#00B050" filled="t" stroked="t" coordsize="21600,21600" o:gfxdata="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ZXSV82QAAAAsB&#10;AAAPAAAAAAAAAAEAIAAAACIAAABkcnMvZG93bnJldi54bWxQSwECFAAUAAAACACHTuJAWwQZKowC&#10;AAANBQAADgAAAAAAAAABACAAAAAoAQAAZHJzL2Uyb0RvYy54bWxQSwUGAAAAAAYABgBZAQAAJgYA&#10;AAAA&#10;" adj="108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10464" behindDoc="0" locked="0" layoutInCell="1" allowOverlap="1">
                <wp:simplePos x="0" y="0"/>
                <wp:positionH relativeFrom="column">
                  <wp:posOffset>2793365</wp:posOffset>
                </wp:positionH>
                <wp:positionV relativeFrom="paragraph">
                  <wp:posOffset>1604010</wp:posOffset>
                </wp:positionV>
                <wp:extent cx="95250" cy="75565"/>
                <wp:effectExtent l="12700" t="12700" r="25400" b="26035"/>
                <wp:wrapNone/>
                <wp:docPr id="204" name="等腰三角形 204"/>
                <wp:cNvGraphicFramePr/>
                <a:graphic xmlns:a="http://schemas.openxmlformats.org/drawingml/2006/main">
                  <a:graphicData uri="http://schemas.microsoft.com/office/word/2010/wordprocessingShape">
                    <wps:wsp>
                      <wps:cNvSpPr/>
                      <wps:spPr>
                        <a:xfrm>
                          <a:off x="0" y="0"/>
                          <a:ext cx="95250" cy="75565"/>
                        </a:xfrm>
                        <a:prstGeom prst="triangle">
                          <a:avLst/>
                        </a:prstGeom>
                        <a:solidFill>
                          <a:srgbClr val="00B05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19.95pt;margin-top:126.3pt;height:5.95pt;width:7.5pt;z-index:251710464;v-text-anchor:middle;mso-width-relative:page;mso-height-relative:page;" fillcolor="#00B050" filled="t" stroked="t" coordsize="21600,21600" o:gfxdata="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XNKUz2gAAAAsB&#10;AAAPAAAAAAAAAAEAIAAAACIAAABkcnMvZG93bnJldi54bWxQSwECFAAUAAAACACHTuJABQwJ1YsC&#10;AAANBQAADgAAAAAAAAABACAAAAApAQAAZHJzL2Uyb0RvYy54bWxQSwUGAAAAAAYABgBZAQAAJgYA&#10;AAAA&#10;" adj="10800">
                <v:fill on="t" focussize="0,0"/>
                <v:stroke weight="2pt" color="#376092 [2404]" joinstyle="round"/>
                <v:imagedata o:title=""/>
                <o:lock v:ext="edit" aspectratio="f"/>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09440" behindDoc="0" locked="0" layoutInCell="1" allowOverlap="1">
                <wp:simplePos x="0" y="0"/>
                <wp:positionH relativeFrom="column">
                  <wp:posOffset>2987675</wp:posOffset>
                </wp:positionH>
                <wp:positionV relativeFrom="paragraph">
                  <wp:posOffset>518795</wp:posOffset>
                </wp:positionV>
                <wp:extent cx="380365" cy="2457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380365"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B3827">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G1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25pt;margin-top:40.85pt;height:19.35pt;width:29.95pt;z-index:251709440;mso-width-relative:page;mso-height-relative:page;" filled="f" stroked="f" coordsize="21600,21600" o:gfxdata="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&#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Nic33bAAAACgEAAA8AAAAAAAAAAQAgAAAAIgAAAGRy&#10;cy9kb3ducmV2LnhtbFBLAQIUABQAAAAIAIdO4kBogKMZOwIAAGcEAAAOAAAAAAAAAAEAIAAAACoB&#10;AABkcnMvZTJvRG9jLnhtbFBLBQYAAAAABgAGAFkBAADXBQAAAAA=&#10;">
                <v:fill on="f" focussize="0,0"/>
                <v:stroke on="f" weight="0.5pt"/>
                <v:imagedata o:title=""/>
                <o:lock v:ext="edit" aspectratio="f"/>
                <v:textbox>
                  <w:txbxContent>
                    <w:p w14:paraId="542B3827">
                      <w:pPr>
                        <w:keepNext w:val="0"/>
                        <w:keepLines w:val="0"/>
                        <w:pageBreakBefore w:val="0"/>
                        <w:widowControl w:val="0"/>
                        <w:kinsoku/>
                        <w:wordWrap/>
                        <w:overflowPunct/>
                        <w:topLinePunct w:val="0"/>
                        <w:bidi w:val="0"/>
                        <w:adjustRightInd w:val="0"/>
                        <w:snapToGrid w:val="0"/>
                        <w:spacing w:line="240" w:lineRule="auto"/>
                        <w:ind w:left="0" w:leftChars="0" w:firstLine="0" w:firstLineChars="0"/>
                        <w:textAlignment w:val="auto"/>
                        <w:rPr>
                          <w:rFonts w:hint="default" w:eastAsiaTheme="minorEastAsia"/>
                          <w:color w:val="FF0000"/>
                          <w:sz w:val="18"/>
                          <w:szCs w:val="18"/>
                          <w:lang w:val="en-US" w:eastAsia="zh-CN"/>
                        </w:rPr>
                      </w:pPr>
                      <w:r>
                        <w:rPr>
                          <w:rFonts w:hint="eastAsia"/>
                          <w:color w:val="FF0000"/>
                          <w:sz w:val="18"/>
                          <w:szCs w:val="18"/>
                          <w:lang w:val="en-US" w:eastAsia="zh-CN"/>
                        </w:rPr>
                        <w:t>G1</w:t>
                      </w:r>
                    </w:p>
                  </w:txbxContent>
                </v:textbox>
              </v:shape>
            </w:pict>
          </mc:Fallback>
        </mc:AlternateContent>
      </w:r>
      <w:r>
        <w:rPr>
          <w:rFonts w:hint="default" w:ascii="Times New Roman" w:hAnsi="Times New Roman" w:eastAsia="宋体" w:cs="Times New Roman"/>
          <w:sz w:val="24"/>
          <w:u w:val="none" w:color="auto"/>
        </w:rPr>
        <mc:AlternateContent>
          <mc:Choice Requires="wps">
            <w:drawing>
              <wp:anchor distT="0" distB="0" distL="114300" distR="114300" simplePos="0" relativeHeight="251708416" behindDoc="0" locked="0" layoutInCell="1" allowOverlap="1">
                <wp:simplePos x="0" y="0"/>
                <wp:positionH relativeFrom="column">
                  <wp:posOffset>3101340</wp:posOffset>
                </wp:positionH>
                <wp:positionV relativeFrom="paragraph">
                  <wp:posOffset>412115</wp:posOffset>
                </wp:positionV>
                <wp:extent cx="111125" cy="127000"/>
                <wp:effectExtent l="12700" t="12700" r="28575" b="12700"/>
                <wp:wrapNone/>
                <wp:docPr id="203" name="椭圆 203"/>
                <wp:cNvGraphicFramePr/>
                <a:graphic xmlns:a="http://schemas.openxmlformats.org/drawingml/2006/main">
                  <a:graphicData uri="http://schemas.microsoft.com/office/word/2010/wordprocessingShape">
                    <wps:wsp>
                      <wps:cNvSpPr/>
                      <wps:spPr>
                        <a:xfrm>
                          <a:off x="0" y="0"/>
                          <a:ext cx="111125" cy="127000"/>
                        </a:xfrm>
                        <a:prstGeom prst="ellipse">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4.2pt;margin-top:32.45pt;height:10pt;width:8.75pt;z-index:251708416;v-text-anchor:middle;mso-width-relative:page;mso-height-relative:page;" fillcolor="#FF0000" filled="t" stroked="t" coordsize="21600,21600" o:gfxdata="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izn2tYAAAAJAQAADwAAAAAAAAABACAAAAAiAAAAZHJz&#10;L2Rvd25yZXYueG1sUEsBAhQAFAAAAAgAh07iQOmXlwl4AgAABQUAAA4AAAAAAAAAAQAgAAAAJQEA&#10;AGRycy9lMm9Eb2MueG1sUEsFBgAAAAAGAAYAWQEAAA8GAAAAAA==&#10;">
                <v:fill on="t" focussize="0,0"/>
                <v:stroke weight="2pt" color="#376092 [2404]" joinstyle="round"/>
                <v:imagedata o:title=""/>
                <o:lock v:ext="edit" aspectratio="f"/>
              </v:shape>
            </w:pict>
          </mc:Fallback>
        </mc:AlternateContent>
      </w:r>
      <w:r>
        <w:rPr>
          <w:rFonts w:hint="default" w:ascii="Times New Roman" w:hAnsi="Times New Roman" w:eastAsia="宋体" w:cs="Times New Roman"/>
          <w:u w:val="none" w:color="auto"/>
        </w:rPr>
        <w:drawing>
          <wp:inline distT="0" distB="0" distL="114300" distR="114300">
            <wp:extent cx="8067675" cy="5619115"/>
            <wp:effectExtent l="0" t="0" r="9525" b="635"/>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144"/>
                    <a:srcRect t="7343"/>
                    <a:stretch>
                      <a:fillRect/>
                    </a:stretch>
                  </pic:blipFill>
                  <pic:spPr>
                    <a:xfrm>
                      <a:off x="0" y="0"/>
                      <a:ext cx="8067675" cy="5619115"/>
                    </a:xfrm>
                    <a:prstGeom prst="rect">
                      <a:avLst/>
                    </a:prstGeom>
                    <a:noFill/>
                    <a:ln>
                      <a:noFill/>
                    </a:ln>
                  </pic:spPr>
                </pic:pic>
              </a:graphicData>
            </a:graphic>
          </wp:inline>
        </w:drawing>
      </w:r>
    </w:p>
    <w:sectPr>
      <w:pgSz w:w="16838" w:h="11906" w:orient="landscape"/>
      <w:pgMar w:top="1531" w:right="1701" w:bottom="1531" w:left="1701" w:header="851" w:footer="850"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D48EC79-4A4C-4D05-A153-0B0D915E2A1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方正魏碑简体">
    <w:altName w:val="宋体"/>
    <w:panose1 w:val="02010601030101010101"/>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embedRegular r:id="rId2" w:fontKey="{3E9A65CB-E824-425C-9E63-3C00D5A75741}"/>
  </w:font>
  <w:font w:name="微软雅黑">
    <w:panose1 w:val="020B0503020204020204"/>
    <w:charset w:val="86"/>
    <w:family w:val="auto"/>
    <w:pitch w:val="default"/>
    <w:sig w:usb0="80000287" w:usb1="2ACF3C50" w:usb2="00000016" w:usb3="00000000" w:csb0="0004001F" w:csb1="00000000"/>
    <w:embedRegular r:id="rId3" w:fontKey="{61ADA487-B2F3-4BE7-B3E5-2117836CF4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0C60C">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1BFA3">
    <w:pPr>
      <w:pStyle w:val="19"/>
      <w:framePr w:wrap="around" w:vAnchor="text" w:hAnchor="margin" w:xAlign="center" w:y="1"/>
      <w:rPr>
        <w:rStyle w:val="30"/>
      </w:rPr>
    </w:pPr>
    <w:r>
      <w:fldChar w:fldCharType="begin"/>
    </w:r>
    <w:r>
      <w:rPr>
        <w:rStyle w:val="30"/>
      </w:rPr>
      <w:instrText xml:space="preserve">PAGE  </w:instrText>
    </w:r>
    <w:r>
      <w:fldChar w:fldCharType="end"/>
    </w:r>
  </w:p>
  <w:p w14:paraId="62A2AAFF">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A8D0">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B928">
    <w:pPr>
      <w:pStyle w:val="1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E5EE8B">
                          <w:pPr>
                            <w:pStyle w:val="19"/>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eh5KC3gEAAL8DAAAOAAAAAAAA&#10;AAEAIAAAAB4BAABkcnMvZTJvRG9jLnhtbFBLBQYAAAAABgAGAFkBAABuBQAAAAA=&#10;">
              <v:fill on="f" focussize="0,0"/>
              <v:stroke on="f"/>
              <v:imagedata o:title=""/>
              <o:lock v:ext="edit" aspectratio="f"/>
              <v:textbox inset="0mm,0mm,0mm,0mm" style="mso-fit-shape-to-text:t;">
                <w:txbxContent>
                  <w:p w14:paraId="59E5EE8B">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F5674">
    <w:pPr>
      <w:pStyle w:val="19"/>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5D7AA4">
                          <w:pPr>
                            <w:pStyle w:val="19"/>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Ojh/A3gEAAL8DAAAOAAAAAAAA&#10;AAEAIAAAAB4BAABkcnMvZTJvRG9jLnhtbFBLBQYAAAAABgAGAFkBAABuBQAAAAA=&#10;">
              <v:fill on="f" focussize="0,0"/>
              <v:stroke on="f"/>
              <v:imagedata o:title=""/>
              <o:lock v:ext="edit" aspectratio="f"/>
              <v:textbox inset="0mm,0mm,0mm,0mm" style="mso-fit-shape-to-text:t;">
                <w:txbxContent>
                  <w:p w14:paraId="775D7AA4">
                    <w:pPr>
                      <w:pStyle w:val="1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3160A"/>
    <w:multiLevelType w:val="singleLevel"/>
    <w:tmpl w:val="9833160A"/>
    <w:lvl w:ilvl="0" w:tentative="0">
      <w:start w:val="2"/>
      <w:numFmt w:val="decimal"/>
      <w:suff w:val="nothing"/>
      <w:lvlText w:val="（%1）"/>
      <w:lvlJc w:val="left"/>
    </w:lvl>
  </w:abstractNum>
  <w:abstractNum w:abstractNumId="1">
    <w:nsid w:val="023D0C3E"/>
    <w:multiLevelType w:val="singleLevel"/>
    <w:tmpl w:val="023D0C3E"/>
    <w:lvl w:ilvl="0" w:tentative="0">
      <w:start w:val="1"/>
      <w:numFmt w:val="decimal"/>
      <w:suff w:val="nothing"/>
      <w:lvlText w:val="（%1）"/>
      <w:lvlJc w:val="left"/>
    </w:lvl>
  </w:abstractNum>
  <w:abstractNum w:abstractNumId="2">
    <w:nsid w:val="27A15702"/>
    <w:multiLevelType w:val="singleLevel"/>
    <w:tmpl w:val="27A15702"/>
    <w:lvl w:ilvl="0" w:tentative="0">
      <w:start w:val="3"/>
      <w:numFmt w:val="decimal"/>
      <w:suff w:val="nothing"/>
      <w:lvlText w:val="（%1）"/>
      <w:lvlJc w:val="left"/>
    </w:lvl>
  </w:abstractNum>
  <w:abstractNum w:abstractNumId="3">
    <w:nsid w:val="628EF4E8"/>
    <w:multiLevelType w:val="singleLevel"/>
    <w:tmpl w:val="628EF4E8"/>
    <w:lvl w:ilvl="0" w:tentative="0">
      <w:start w:val="1"/>
      <w:numFmt w:val="chineseCounting"/>
      <w:suff w:val="nothing"/>
      <w:lvlText w:val="%1、"/>
      <w:lvlJc w:val="left"/>
      <w:rPr>
        <w:rFonts w:hint="eastAsia"/>
      </w:rPr>
    </w:lvl>
  </w:abstractNum>
  <w:abstractNum w:abstractNumId="4">
    <w:nsid w:val="7A283C1B"/>
    <w:multiLevelType w:val="singleLevel"/>
    <w:tmpl w:val="7A283C1B"/>
    <w:lvl w:ilvl="0" w:tentative="0">
      <w:start w:val="3"/>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NDlkZTI2YjNkM2RhMGEwNzM5NDNlMWI1ZWZlZTUifQ=="/>
  </w:docVars>
  <w:rsids>
    <w:rsidRoot w:val="00172A27"/>
    <w:rsid w:val="000060B3"/>
    <w:rsid w:val="00041AB6"/>
    <w:rsid w:val="0004364B"/>
    <w:rsid w:val="00061B1F"/>
    <w:rsid w:val="000733C4"/>
    <w:rsid w:val="00074783"/>
    <w:rsid w:val="000770EC"/>
    <w:rsid w:val="0008070B"/>
    <w:rsid w:val="000810AC"/>
    <w:rsid w:val="00081A02"/>
    <w:rsid w:val="00082231"/>
    <w:rsid w:val="00092D38"/>
    <w:rsid w:val="0009377B"/>
    <w:rsid w:val="00094AED"/>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64EC3"/>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23F9"/>
    <w:rsid w:val="00384676"/>
    <w:rsid w:val="00390857"/>
    <w:rsid w:val="003A4BF3"/>
    <w:rsid w:val="003B420D"/>
    <w:rsid w:val="003C6C16"/>
    <w:rsid w:val="003D794D"/>
    <w:rsid w:val="003E3058"/>
    <w:rsid w:val="003E76A9"/>
    <w:rsid w:val="003F0809"/>
    <w:rsid w:val="003F5F2A"/>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71251"/>
    <w:rsid w:val="00484B9B"/>
    <w:rsid w:val="004855F6"/>
    <w:rsid w:val="0048661E"/>
    <w:rsid w:val="00494670"/>
    <w:rsid w:val="004A3653"/>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115C"/>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1658"/>
    <w:rsid w:val="007A2170"/>
    <w:rsid w:val="007A22BF"/>
    <w:rsid w:val="007A3323"/>
    <w:rsid w:val="007A5D16"/>
    <w:rsid w:val="007B72B8"/>
    <w:rsid w:val="007B7A58"/>
    <w:rsid w:val="007C21B5"/>
    <w:rsid w:val="007E2CA6"/>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0A3"/>
    <w:rsid w:val="008C2D01"/>
    <w:rsid w:val="008C40E6"/>
    <w:rsid w:val="008D0F7A"/>
    <w:rsid w:val="008D68E4"/>
    <w:rsid w:val="008E0506"/>
    <w:rsid w:val="008E0CFF"/>
    <w:rsid w:val="008E5D6B"/>
    <w:rsid w:val="008E76F0"/>
    <w:rsid w:val="008F15FE"/>
    <w:rsid w:val="008F1E2F"/>
    <w:rsid w:val="008F2D29"/>
    <w:rsid w:val="008F5187"/>
    <w:rsid w:val="008F60D8"/>
    <w:rsid w:val="00902727"/>
    <w:rsid w:val="0090312B"/>
    <w:rsid w:val="0091736D"/>
    <w:rsid w:val="009233C9"/>
    <w:rsid w:val="00926557"/>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2656F"/>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5DFB"/>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4B7"/>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A4427"/>
    <w:rsid w:val="00FB503A"/>
    <w:rsid w:val="00FB516C"/>
    <w:rsid w:val="00FD0236"/>
    <w:rsid w:val="00FD18F4"/>
    <w:rsid w:val="00FD54DB"/>
    <w:rsid w:val="00FD619F"/>
    <w:rsid w:val="01290F7E"/>
    <w:rsid w:val="01296E64"/>
    <w:rsid w:val="015D123B"/>
    <w:rsid w:val="015D1E09"/>
    <w:rsid w:val="01987FE8"/>
    <w:rsid w:val="01AD573E"/>
    <w:rsid w:val="01C963F3"/>
    <w:rsid w:val="01D554EF"/>
    <w:rsid w:val="020C4348"/>
    <w:rsid w:val="02251150"/>
    <w:rsid w:val="024F1621"/>
    <w:rsid w:val="02697903"/>
    <w:rsid w:val="026F44B9"/>
    <w:rsid w:val="02893A28"/>
    <w:rsid w:val="02906F11"/>
    <w:rsid w:val="02BA1CB5"/>
    <w:rsid w:val="02BD75DA"/>
    <w:rsid w:val="02C157CE"/>
    <w:rsid w:val="02F96569"/>
    <w:rsid w:val="03452021"/>
    <w:rsid w:val="03461EE0"/>
    <w:rsid w:val="03474672"/>
    <w:rsid w:val="03AD03BA"/>
    <w:rsid w:val="03B4524F"/>
    <w:rsid w:val="03EA7B21"/>
    <w:rsid w:val="04110AB2"/>
    <w:rsid w:val="048953CF"/>
    <w:rsid w:val="04AC5F01"/>
    <w:rsid w:val="04C12C4B"/>
    <w:rsid w:val="04D213A5"/>
    <w:rsid w:val="04F97CD0"/>
    <w:rsid w:val="05297FB4"/>
    <w:rsid w:val="052F35F3"/>
    <w:rsid w:val="05626791"/>
    <w:rsid w:val="05A32387"/>
    <w:rsid w:val="05E53ECA"/>
    <w:rsid w:val="05F040DB"/>
    <w:rsid w:val="05F83EAE"/>
    <w:rsid w:val="05FE62EB"/>
    <w:rsid w:val="063E7D85"/>
    <w:rsid w:val="064A387B"/>
    <w:rsid w:val="06532360"/>
    <w:rsid w:val="06892060"/>
    <w:rsid w:val="06897EFF"/>
    <w:rsid w:val="06AD696B"/>
    <w:rsid w:val="06CC433B"/>
    <w:rsid w:val="06D878FB"/>
    <w:rsid w:val="07293586"/>
    <w:rsid w:val="07295285"/>
    <w:rsid w:val="073954C6"/>
    <w:rsid w:val="07477A62"/>
    <w:rsid w:val="07533984"/>
    <w:rsid w:val="07536B19"/>
    <w:rsid w:val="07636392"/>
    <w:rsid w:val="076B48E3"/>
    <w:rsid w:val="07770C56"/>
    <w:rsid w:val="078057A6"/>
    <w:rsid w:val="078D0DDB"/>
    <w:rsid w:val="07C0102B"/>
    <w:rsid w:val="07E850FA"/>
    <w:rsid w:val="08084DEC"/>
    <w:rsid w:val="08195BCA"/>
    <w:rsid w:val="08427419"/>
    <w:rsid w:val="086C0EED"/>
    <w:rsid w:val="08716585"/>
    <w:rsid w:val="08786F92"/>
    <w:rsid w:val="08972A8F"/>
    <w:rsid w:val="08C6352B"/>
    <w:rsid w:val="092217DD"/>
    <w:rsid w:val="09300784"/>
    <w:rsid w:val="093A7294"/>
    <w:rsid w:val="096B2789"/>
    <w:rsid w:val="09EC1756"/>
    <w:rsid w:val="09F90C10"/>
    <w:rsid w:val="0A193F05"/>
    <w:rsid w:val="0A263993"/>
    <w:rsid w:val="0A2D3AC2"/>
    <w:rsid w:val="0A2E793C"/>
    <w:rsid w:val="0A4B00AB"/>
    <w:rsid w:val="0A5B6057"/>
    <w:rsid w:val="0AA755DF"/>
    <w:rsid w:val="0AB748EF"/>
    <w:rsid w:val="0B120D44"/>
    <w:rsid w:val="0B273AD6"/>
    <w:rsid w:val="0B456570"/>
    <w:rsid w:val="0B5925E2"/>
    <w:rsid w:val="0B9B3CD2"/>
    <w:rsid w:val="0BD27BF6"/>
    <w:rsid w:val="0BF16A19"/>
    <w:rsid w:val="0C027094"/>
    <w:rsid w:val="0C172B63"/>
    <w:rsid w:val="0C184199"/>
    <w:rsid w:val="0C395F24"/>
    <w:rsid w:val="0C3B3C7D"/>
    <w:rsid w:val="0C40232D"/>
    <w:rsid w:val="0C784562"/>
    <w:rsid w:val="0C7C553E"/>
    <w:rsid w:val="0CAB2EAE"/>
    <w:rsid w:val="0CBA7757"/>
    <w:rsid w:val="0CCE03B8"/>
    <w:rsid w:val="0CD10F55"/>
    <w:rsid w:val="0CE53206"/>
    <w:rsid w:val="0CF229F3"/>
    <w:rsid w:val="0CFB016A"/>
    <w:rsid w:val="0D2E16FD"/>
    <w:rsid w:val="0D482ECB"/>
    <w:rsid w:val="0D4C099C"/>
    <w:rsid w:val="0D584ACF"/>
    <w:rsid w:val="0D621C7D"/>
    <w:rsid w:val="0D670627"/>
    <w:rsid w:val="0D8A50C6"/>
    <w:rsid w:val="0D8B0A01"/>
    <w:rsid w:val="0DB37F58"/>
    <w:rsid w:val="0DD319EC"/>
    <w:rsid w:val="0DF9416F"/>
    <w:rsid w:val="0E004196"/>
    <w:rsid w:val="0E73034D"/>
    <w:rsid w:val="0E8303CD"/>
    <w:rsid w:val="0E9B5A27"/>
    <w:rsid w:val="0EA7186A"/>
    <w:rsid w:val="0EB37C49"/>
    <w:rsid w:val="0F0567BC"/>
    <w:rsid w:val="0F13775A"/>
    <w:rsid w:val="0F225395"/>
    <w:rsid w:val="0F2468A9"/>
    <w:rsid w:val="0F346E76"/>
    <w:rsid w:val="0F5F45FE"/>
    <w:rsid w:val="0F6146BF"/>
    <w:rsid w:val="0F6E4136"/>
    <w:rsid w:val="0F792F14"/>
    <w:rsid w:val="0F955B67"/>
    <w:rsid w:val="0F9A112B"/>
    <w:rsid w:val="0FCF7A74"/>
    <w:rsid w:val="0FE439F8"/>
    <w:rsid w:val="101165C6"/>
    <w:rsid w:val="101302D5"/>
    <w:rsid w:val="10343780"/>
    <w:rsid w:val="103C4234"/>
    <w:rsid w:val="106466F5"/>
    <w:rsid w:val="106D2F64"/>
    <w:rsid w:val="108A4E9E"/>
    <w:rsid w:val="109147DE"/>
    <w:rsid w:val="10B63710"/>
    <w:rsid w:val="10D85C0C"/>
    <w:rsid w:val="10D91A83"/>
    <w:rsid w:val="10E43065"/>
    <w:rsid w:val="10F10820"/>
    <w:rsid w:val="10F902A5"/>
    <w:rsid w:val="11013FEA"/>
    <w:rsid w:val="111C2F7A"/>
    <w:rsid w:val="111E2068"/>
    <w:rsid w:val="11362007"/>
    <w:rsid w:val="113F3763"/>
    <w:rsid w:val="11665CA1"/>
    <w:rsid w:val="1178275A"/>
    <w:rsid w:val="117874EE"/>
    <w:rsid w:val="11904838"/>
    <w:rsid w:val="119D6F55"/>
    <w:rsid w:val="11B87FF8"/>
    <w:rsid w:val="11D7227B"/>
    <w:rsid w:val="11F62A84"/>
    <w:rsid w:val="122E5E1C"/>
    <w:rsid w:val="1235718D"/>
    <w:rsid w:val="124473D0"/>
    <w:rsid w:val="125F420A"/>
    <w:rsid w:val="127D0637"/>
    <w:rsid w:val="129E21C5"/>
    <w:rsid w:val="12F10346"/>
    <w:rsid w:val="13062441"/>
    <w:rsid w:val="131023E9"/>
    <w:rsid w:val="131274CE"/>
    <w:rsid w:val="1315344A"/>
    <w:rsid w:val="133F1F60"/>
    <w:rsid w:val="136441CE"/>
    <w:rsid w:val="1367628A"/>
    <w:rsid w:val="138A28AF"/>
    <w:rsid w:val="13951726"/>
    <w:rsid w:val="13BD7970"/>
    <w:rsid w:val="13D83D66"/>
    <w:rsid w:val="13FD017F"/>
    <w:rsid w:val="14396509"/>
    <w:rsid w:val="14616AAF"/>
    <w:rsid w:val="14770FD3"/>
    <w:rsid w:val="14A16D5C"/>
    <w:rsid w:val="14B339C3"/>
    <w:rsid w:val="14BB769E"/>
    <w:rsid w:val="14DC1B42"/>
    <w:rsid w:val="14DD2C3C"/>
    <w:rsid w:val="14E1762E"/>
    <w:rsid w:val="15756CA2"/>
    <w:rsid w:val="15783F61"/>
    <w:rsid w:val="158B78E8"/>
    <w:rsid w:val="159F405F"/>
    <w:rsid w:val="15D771B9"/>
    <w:rsid w:val="15E30600"/>
    <w:rsid w:val="15F16E5F"/>
    <w:rsid w:val="16087E1D"/>
    <w:rsid w:val="160D2D4A"/>
    <w:rsid w:val="161B2B0B"/>
    <w:rsid w:val="16292732"/>
    <w:rsid w:val="163A4125"/>
    <w:rsid w:val="166B5873"/>
    <w:rsid w:val="167B50D2"/>
    <w:rsid w:val="16A212C8"/>
    <w:rsid w:val="16C750F9"/>
    <w:rsid w:val="16D21A7E"/>
    <w:rsid w:val="170524D3"/>
    <w:rsid w:val="17125CEF"/>
    <w:rsid w:val="171C4DC0"/>
    <w:rsid w:val="171F7A62"/>
    <w:rsid w:val="17473FBC"/>
    <w:rsid w:val="17701D14"/>
    <w:rsid w:val="17735226"/>
    <w:rsid w:val="1787048B"/>
    <w:rsid w:val="17D96267"/>
    <w:rsid w:val="17DB07D7"/>
    <w:rsid w:val="17F20B9E"/>
    <w:rsid w:val="18144605"/>
    <w:rsid w:val="182553A7"/>
    <w:rsid w:val="18335536"/>
    <w:rsid w:val="184719C8"/>
    <w:rsid w:val="1848361B"/>
    <w:rsid w:val="18511A82"/>
    <w:rsid w:val="185B6DA2"/>
    <w:rsid w:val="188E4177"/>
    <w:rsid w:val="188F4697"/>
    <w:rsid w:val="189F624C"/>
    <w:rsid w:val="18F25011"/>
    <w:rsid w:val="18F40C6C"/>
    <w:rsid w:val="18FF3EF5"/>
    <w:rsid w:val="195B6FA0"/>
    <w:rsid w:val="196E4F64"/>
    <w:rsid w:val="197A0A75"/>
    <w:rsid w:val="199F4638"/>
    <w:rsid w:val="19A45D04"/>
    <w:rsid w:val="19A76BC3"/>
    <w:rsid w:val="19C34B9B"/>
    <w:rsid w:val="1A191415"/>
    <w:rsid w:val="1A1C66C0"/>
    <w:rsid w:val="1A1E49AB"/>
    <w:rsid w:val="1A295ADA"/>
    <w:rsid w:val="1A42393B"/>
    <w:rsid w:val="1A4B3FA5"/>
    <w:rsid w:val="1A520C44"/>
    <w:rsid w:val="1A643E28"/>
    <w:rsid w:val="1A695F16"/>
    <w:rsid w:val="1A82798A"/>
    <w:rsid w:val="1A942575"/>
    <w:rsid w:val="1AA41D75"/>
    <w:rsid w:val="1AAD45DE"/>
    <w:rsid w:val="1ABF5D64"/>
    <w:rsid w:val="1AFB48B2"/>
    <w:rsid w:val="1B024A1B"/>
    <w:rsid w:val="1B046F80"/>
    <w:rsid w:val="1B2F75A5"/>
    <w:rsid w:val="1B3267B5"/>
    <w:rsid w:val="1B40161D"/>
    <w:rsid w:val="1B441859"/>
    <w:rsid w:val="1B6606B1"/>
    <w:rsid w:val="1BA03663"/>
    <w:rsid w:val="1BAB04C0"/>
    <w:rsid w:val="1BC63545"/>
    <w:rsid w:val="1BD23908"/>
    <w:rsid w:val="1BDA6A1C"/>
    <w:rsid w:val="1C1D463E"/>
    <w:rsid w:val="1C28664A"/>
    <w:rsid w:val="1C2D24CB"/>
    <w:rsid w:val="1C5E7925"/>
    <w:rsid w:val="1C6A3ED7"/>
    <w:rsid w:val="1C844CE7"/>
    <w:rsid w:val="1C8C02F2"/>
    <w:rsid w:val="1C8C7367"/>
    <w:rsid w:val="1CCF593F"/>
    <w:rsid w:val="1CFD070F"/>
    <w:rsid w:val="1D443012"/>
    <w:rsid w:val="1D5F6196"/>
    <w:rsid w:val="1D6132A5"/>
    <w:rsid w:val="1D6F4110"/>
    <w:rsid w:val="1D8E56D5"/>
    <w:rsid w:val="1D937C1B"/>
    <w:rsid w:val="1DBB2111"/>
    <w:rsid w:val="1DFA2157"/>
    <w:rsid w:val="1E146B6F"/>
    <w:rsid w:val="1E183DA3"/>
    <w:rsid w:val="1E291A1F"/>
    <w:rsid w:val="1E3A434A"/>
    <w:rsid w:val="1E47473A"/>
    <w:rsid w:val="1E613BBC"/>
    <w:rsid w:val="1E7A43DA"/>
    <w:rsid w:val="1E7B12B0"/>
    <w:rsid w:val="1E92588C"/>
    <w:rsid w:val="1EA336D1"/>
    <w:rsid w:val="1EB94756"/>
    <w:rsid w:val="1ED371BF"/>
    <w:rsid w:val="1F0461F4"/>
    <w:rsid w:val="1F7234EC"/>
    <w:rsid w:val="1F7D268D"/>
    <w:rsid w:val="1F7F413E"/>
    <w:rsid w:val="1FAB6E52"/>
    <w:rsid w:val="1FCD0819"/>
    <w:rsid w:val="1FE22653"/>
    <w:rsid w:val="1FE7539E"/>
    <w:rsid w:val="20136D5C"/>
    <w:rsid w:val="201E74B3"/>
    <w:rsid w:val="20403ED8"/>
    <w:rsid w:val="20601879"/>
    <w:rsid w:val="20671BE0"/>
    <w:rsid w:val="20963CB8"/>
    <w:rsid w:val="20A81A1B"/>
    <w:rsid w:val="20AB6165"/>
    <w:rsid w:val="20B07FB6"/>
    <w:rsid w:val="20B646FB"/>
    <w:rsid w:val="20B9542D"/>
    <w:rsid w:val="20DA503D"/>
    <w:rsid w:val="20E4289A"/>
    <w:rsid w:val="20F97448"/>
    <w:rsid w:val="210345C1"/>
    <w:rsid w:val="21307981"/>
    <w:rsid w:val="213B74B1"/>
    <w:rsid w:val="21406457"/>
    <w:rsid w:val="215A2310"/>
    <w:rsid w:val="215A30CC"/>
    <w:rsid w:val="219777FC"/>
    <w:rsid w:val="21C03C6E"/>
    <w:rsid w:val="21DE318A"/>
    <w:rsid w:val="21E3182A"/>
    <w:rsid w:val="21E44F07"/>
    <w:rsid w:val="21EF5B80"/>
    <w:rsid w:val="22100C69"/>
    <w:rsid w:val="221763B9"/>
    <w:rsid w:val="22576990"/>
    <w:rsid w:val="22922F20"/>
    <w:rsid w:val="22B12860"/>
    <w:rsid w:val="22B861CB"/>
    <w:rsid w:val="22B91715"/>
    <w:rsid w:val="22F47480"/>
    <w:rsid w:val="233A011C"/>
    <w:rsid w:val="235558E1"/>
    <w:rsid w:val="235B1EB5"/>
    <w:rsid w:val="235F050E"/>
    <w:rsid w:val="235F3061"/>
    <w:rsid w:val="236666FD"/>
    <w:rsid w:val="2370492D"/>
    <w:rsid w:val="23973715"/>
    <w:rsid w:val="23A73C68"/>
    <w:rsid w:val="23B25C07"/>
    <w:rsid w:val="23DE1C48"/>
    <w:rsid w:val="240210CD"/>
    <w:rsid w:val="24036245"/>
    <w:rsid w:val="24101808"/>
    <w:rsid w:val="24527FAD"/>
    <w:rsid w:val="24B2466D"/>
    <w:rsid w:val="24BF09F7"/>
    <w:rsid w:val="24D40B71"/>
    <w:rsid w:val="24E1433D"/>
    <w:rsid w:val="252D53FE"/>
    <w:rsid w:val="25365E7C"/>
    <w:rsid w:val="25383810"/>
    <w:rsid w:val="25401AAE"/>
    <w:rsid w:val="254035A9"/>
    <w:rsid w:val="25445C0D"/>
    <w:rsid w:val="2571677C"/>
    <w:rsid w:val="25800C0A"/>
    <w:rsid w:val="258059F5"/>
    <w:rsid w:val="259157C4"/>
    <w:rsid w:val="25E81B7F"/>
    <w:rsid w:val="25EB7E37"/>
    <w:rsid w:val="25EC2D81"/>
    <w:rsid w:val="25F94025"/>
    <w:rsid w:val="260809E9"/>
    <w:rsid w:val="264A579B"/>
    <w:rsid w:val="26597F66"/>
    <w:rsid w:val="266B0E1F"/>
    <w:rsid w:val="26835EAD"/>
    <w:rsid w:val="26876325"/>
    <w:rsid w:val="268D2FF6"/>
    <w:rsid w:val="26A5340D"/>
    <w:rsid w:val="26B4291F"/>
    <w:rsid w:val="270E7353"/>
    <w:rsid w:val="270F7B55"/>
    <w:rsid w:val="27375C47"/>
    <w:rsid w:val="276C31F9"/>
    <w:rsid w:val="277057A2"/>
    <w:rsid w:val="277573CB"/>
    <w:rsid w:val="278C0F07"/>
    <w:rsid w:val="27C369FF"/>
    <w:rsid w:val="280C74A9"/>
    <w:rsid w:val="28306FBE"/>
    <w:rsid w:val="28347DE8"/>
    <w:rsid w:val="283B3AEE"/>
    <w:rsid w:val="28410C5F"/>
    <w:rsid w:val="28966DF5"/>
    <w:rsid w:val="28973986"/>
    <w:rsid w:val="28B3335B"/>
    <w:rsid w:val="28BA05E3"/>
    <w:rsid w:val="28BA4B04"/>
    <w:rsid w:val="28C31BDA"/>
    <w:rsid w:val="28F80FAA"/>
    <w:rsid w:val="29001E4B"/>
    <w:rsid w:val="291373E1"/>
    <w:rsid w:val="29206EB8"/>
    <w:rsid w:val="294320E8"/>
    <w:rsid w:val="295416A6"/>
    <w:rsid w:val="29542F25"/>
    <w:rsid w:val="29595666"/>
    <w:rsid w:val="29874881"/>
    <w:rsid w:val="29BA48E6"/>
    <w:rsid w:val="29D1714C"/>
    <w:rsid w:val="29E325E0"/>
    <w:rsid w:val="2A231C57"/>
    <w:rsid w:val="2A452503"/>
    <w:rsid w:val="2A800E59"/>
    <w:rsid w:val="2AA26CFA"/>
    <w:rsid w:val="2AB32EED"/>
    <w:rsid w:val="2AE412F9"/>
    <w:rsid w:val="2B1B31E2"/>
    <w:rsid w:val="2B3E30FF"/>
    <w:rsid w:val="2B471E95"/>
    <w:rsid w:val="2B746B21"/>
    <w:rsid w:val="2B763DE1"/>
    <w:rsid w:val="2B764647"/>
    <w:rsid w:val="2B815FDC"/>
    <w:rsid w:val="2B8C3E6A"/>
    <w:rsid w:val="2B8C4B86"/>
    <w:rsid w:val="2B984BDA"/>
    <w:rsid w:val="2BA936A8"/>
    <w:rsid w:val="2BBD35BE"/>
    <w:rsid w:val="2BC458AC"/>
    <w:rsid w:val="2BD57CEC"/>
    <w:rsid w:val="2C053F72"/>
    <w:rsid w:val="2C211933"/>
    <w:rsid w:val="2C315A5A"/>
    <w:rsid w:val="2C443781"/>
    <w:rsid w:val="2C4B1C25"/>
    <w:rsid w:val="2CAF54B1"/>
    <w:rsid w:val="2CF301D5"/>
    <w:rsid w:val="2D073142"/>
    <w:rsid w:val="2D3C71CA"/>
    <w:rsid w:val="2D434D9A"/>
    <w:rsid w:val="2D5A4622"/>
    <w:rsid w:val="2D9E56F5"/>
    <w:rsid w:val="2DC342DF"/>
    <w:rsid w:val="2DD55CAF"/>
    <w:rsid w:val="2E1B5085"/>
    <w:rsid w:val="2E253880"/>
    <w:rsid w:val="2E667F96"/>
    <w:rsid w:val="2E8226AB"/>
    <w:rsid w:val="2EB02A1F"/>
    <w:rsid w:val="2EC5068E"/>
    <w:rsid w:val="2EC658E5"/>
    <w:rsid w:val="2F0C2A5D"/>
    <w:rsid w:val="2F212B1B"/>
    <w:rsid w:val="2F25085E"/>
    <w:rsid w:val="2F260C2E"/>
    <w:rsid w:val="2FB971F8"/>
    <w:rsid w:val="2FD065E6"/>
    <w:rsid w:val="2FD96870"/>
    <w:rsid w:val="30442F65"/>
    <w:rsid w:val="30580BC9"/>
    <w:rsid w:val="308D4258"/>
    <w:rsid w:val="30E107B4"/>
    <w:rsid w:val="310D3357"/>
    <w:rsid w:val="311E2ED7"/>
    <w:rsid w:val="314F1BC2"/>
    <w:rsid w:val="315027DF"/>
    <w:rsid w:val="315619EE"/>
    <w:rsid w:val="315C449C"/>
    <w:rsid w:val="31B82709"/>
    <w:rsid w:val="31C53C32"/>
    <w:rsid w:val="31D05482"/>
    <w:rsid w:val="31D614F1"/>
    <w:rsid w:val="31DA3FAB"/>
    <w:rsid w:val="31EC5663"/>
    <w:rsid w:val="3206335D"/>
    <w:rsid w:val="322A1CE7"/>
    <w:rsid w:val="32400B34"/>
    <w:rsid w:val="324C4353"/>
    <w:rsid w:val="32646A2D"/>
    <w:rsid w:val="32924AAF"/>
    <w:rsid w:val="329E6876"/>
    <w:rsid w:val="32B71F49"/>
    <w:rsid w:val="32D16A7D"/>
    <w:rsid w:val="333015F2"/>
    <w:rsid w:val="333F0073"/>
    <w:rsid w:val="334B6320"/>
    <w:rsid w:val="33572DC8"/>
    <w:rsid w:val="33926726"/>
    <w:rsid w:val="33A56BCE"/>
    <w:rsid w:val="33CC336D"/>
    <w:rsid w:val="33D934D4"/>
    <w:rsid w:val="33FE2F6A"/>
    <w:rsid w:val="340E07E5"/>
    <w:rsid w:val="34144A3C"/>
    <w:rsid w:val="34226A9A"/>
    <w:rsid w:val="34235BF7"/>
    <w:rsid w:val="342D254D"/>
    <w:rsid w:val="346040E6"/>
    <w:rsid w:val="34B6295A"/>
    <w:rsid w:val="34BD5094"/>
    <w:rsid w:val="352445B0"/>
    <w:rsid w:val="35362BE0"/>
    <w:rsid w:val="355B0E0A"/>
    <w:rsid w:val="355D23D3"/>
    <w:rsid w:val="356C61A9"/>
    <w:rsid w:val="358C5FA8"/>
    <w:rsid w:val="35903C8D"/>
    <w:rsid w:val="35977693"/>
    <w:rsid w:val="35A96892"/>
    <w:rsid w:val="35BC67BA"/>
    <w:rsid w:val="35C15DF1"/>
    <w:rsid w:val="36074A7F"/>
    <w:rsid w:val="360B1E2F"/>
    <w:rsid w:val="360B3624"/>
    <w:rsid w:val="36266C69"/>
    <w:rsid w:val="364221DA"/>
    <w:rsid w:val="366A2FFA"/>
    <w:rsid w:val="36783969"/>
    <w:rsid w:val="36841F29"/>
    <w:rsid w:val="36923549"/>
    <w:rsid w:val="369D0EB6"/>
    <w:rsid w:val="36A54CBC"/>
    <w:rsid w:val="36B75FBF"/>
    <w:rsid w:val="36BD0C45"/>
    <w:rsid w:val="37446423"/>
    <w:rsid w:val="374C0952"/>
    <w:rsid w:val="375E66FE"/>
    <w:rsid w:val="377A726D"/>
    <w:rsid w:val="377B621A"/>
    <w:rsid w:val="37B62A06"/>
    <w:rsid w:val="37DC126C"/>
    <w:rsid w:val="37E00298"/>
    <w:rsid w:val="382320D1"/>
    <w:rsid w:val="388303A3"/>
    <w:rsid w:val="388D7F53"/>
    <w:rsid w:val="38B302F9"/>
    <w:rsid w:val="38BE464E"/>
    <w:rsid w:val="38F12CD3"/>
    <w:rsid w:val="38F94775"/>
    <w:rsid w:val="3912086A"/>
    <w:rsid w:val="39177657"/>
    <w:rsid w:val="392971ED"/>
    <w:rsid w:val="39325651"/>
    <w:rsid w:val="394F1D24"/>
    <w:rsid w:val="397D6E0E"/>
    <w:rsid w:val="39AB64C1"/>
    <w:rsid w:val="39B93538"/>
    <w:rsid w:val="3A037BB4"/>
    <w:rsid w:val="3A043EB0"/>
    <w:rsid w:val="3A322081"/>
    <w:rsid w:val="3A3F4332"/>
    <w:rsid w:val="3A4C3959"/>
    <w:rsid w:val="3A5334DD"/>
    <w:rsid w:val="3A6C4074"/>
    <w:rsid w:val="3A843945"/>
    <w:rsid w:val="3A872856"/>
    <w:rsid w:val="3AB72586"/>
    <w:rsid w:val="3ABC4C89"/>
    <w:rsid w:val="3ADC1882"/>
    <w:rsid w:val="3B027CA5"/>
    <w:rsid w:val="3B1E4D13"/>
    <w:rsid w:val="3B2B341D"/>
    <w:rsid w:val="3B3763D1"/>
    <w:rsid w:val="3B3B31B7"/>
    <w:rsid w:val="3B716164"/>
    <w:rsid w:val="3B787F67"/>
    <w:rsid w:val="3B9A4CE4"/>
    <w:rsid w:val="3BB822C1"/>
    <w:rsid w:val="3BCB6250"/>
    <w:rsid w:val="3BE85DE5"/>
    <w:rsid w:val="3BFC3900"/>
    <w:rsid w:val="3C0F49B8"/>
    <w:rsid w:val="3C2F6E1E"/>
    <w:rsid w:val="3C3042B3"/>
    <w:rsid w:val="3C4B742A"/>
    <w:rsid w:val="3C4F64BA"/>
    <w:rsid w:val="3C94492D"/>
    <w:rsid w:val="3CA31014"/>
    <w:rsid w:val="3CB2418E"/>
    <w:rsid w:val="3CB41376"/>
    <w:rsid w:val="3CDA245A"/>
    <w:rsid w:val="3CDB2776"/>
    <w:rsid w:val="3D0B4AEA"/>
    <w:rsid w:val="3D1E06B7"/>
    <w:rsid w:val="3D2A245B"/>
    <w:rsid w:val="3D3436AA"/>
    <w:rsid w:val="3D3C0E16"/>
    <w:rsid w:val="3D43669F"/>
    <w:rsid w:val="3D50442D"/>
    <w:rsid w:val="3D6B30DD"/>
    <w:rsid w:val="3D830CA6"/>
    <w:rsid w:val="3D91499A"/>
    <w:rsid w:val="3DB57251"/>
    <w:rsid w:val="3DD86A9B"/>
    <w:rsid w:val="3DD97894"/>
    <w:rsid w:val="3DE06D17"/>
    <w:rsid w:val="3DE151C6"/>
    <w:rsid w:val="3DEE4511"/>
    <w:rsid w:val="3DFB6F0D"/>
    <w:rsid w:val="3E0A7B48"/>
    <w:rsid w:val="3E312871"/>
    <w:rsid w:val="3E3259C1"/>
    <w:rsid w:val="3E4139B5"/>
    <w:rsid w:val="3E4876CD"/>
    <w:rsid w:val="3E8872F3"/>
    <w:rsid w:val="3EAA7C48"/>
    <w:rsid w:val="3EAE41D0"/>
    <w:rsid w:val="3EBF2540"/>
    <w:rsid w:val="3EDA0523"/>
    <w:rsid w:val="3F180A8E"/>
    <w:rsid w:val="3F1F0E9D"/>
    <w:rsid w:val="3F7742E6"/>
    <w:rsid w:val="3FBB23E6"/>
    <w:rsid w:val="3FD423F2"/>
    <w:rsid w:val="3FD634AE"/>
    <w:rsid w:val="3FF21CC8"/>
    <w:rsid w:val="3FFA278B"/>
    <w:rsid w:val="4001677D"/>
    <w:rsid w:val="402C128B"/>
    <w:rsid w:val="403857E4"/>
    <w:rsid w:val="40552625"/>
    <w:rsid w:val="407A6407"/>
    <w:rsid w:val="40AA74D8"/>
    <w:rsid w:val="40AF4C03"/>
    <w:rsid w:val="40B25CC9"/>
    <w:rsid w:val="40BE271C"/>
    <w:rsid w:val="412C7048"/>
    <w:rsid w:val="4144523E"/>
    <w:rsid w:val="4145184A"/>
    <w:rsid w:val="41931657"/>
    <w:rsid w:val="41967399"/>
    <w:rsid w:val="41A2751E"/>
    <w:rsid w:val="41D86B9F"/>
    <w:rsid w:val="41F40005"/>
    <w:rsid w:val="4200449D"/>
    <w:rsid w:val="423A3BCC"/>
    <w:rsid w:val="424E57D2"/>
    <w:rsid w:val="426E4E56"/>
    <w:rsid w:val="42720990"/>
    <w:rsid w:val="42A345A2"/>
    <w:rsid w:val="42A62C2F"/>
    <w:rsid w:val="42B26C49"/>
    <w:rsid w:val="42B557A1"/>
    <w:rsid w:val="42BB7663"/>
    <w:rsid w:val="431E31A2"/>
    <w:rsid w:val="433A6FE6"/>
    <w:rsid w:val="433B77E3"/>
    <w:rsid w:val="4344354E"/>
    <w:rsid w:val="43480868"/>
    <w:rsid w:val="4350713C"/>
    <w:rsid w:val="436653E0"/>
    <w:rsid w:val="43C4431A"/>
    <w:rsid w:val="43CB5554"/>
    <w:rsid w:val="43E8388F"/>
    <w:rsid w:val="440C55AD"/>
    <w:rsid w:val="44231AC5"/>
    <w:rsid w:val="44801F58"/>
    <w:rsid w:val="4484791C"/>
    <w:rsid w:val="44A361F7"/>
    <w:rsid w:val="44AE5F74"/>
    <w:rsid w:val="44B951CC"/>
    <w:rsid w:val="44CD14E0"/>
    <w:rsid w:val="44DC563E"/>
    <w:rsid w:val="44E14213"/>
    <w:rsid w:val="44E932AA"/>
    <w:rsid w:val="44E93C84"/>
    <w:rsid w:val="44F20B0B"/>
    <w:rsid w:val="45035463"/>
    <w:rsid w:val="452E5F4C"/>
    <w:rsid w:val="4535258D"/>
    <w:rsid w:val="45394E49"/>
    <w:rsid w:val="45433394"/>
    <w:rsid w:val="45450E25"/>
    <w:rsid w:val="4545342E"/>
    <w:rsid w:val="454A3BF6"/>
    <w:rsid w:val="454C5D74"/>
    <w:rsid w:val="455A5771"/>
    <w:rsid w:val="45612018"/>
    <w:rsid w:val="456A1083"/>
    <w:rsid w:val="458946E9"/>
    <w:rsid w:val="45A47C0E"/>
    <w:rsid w:val="45FB2130"/>
    <w:rsid w:val="46164604"/>
    <w:rsid w:val="46256B39"/>
    <w:rsid w:val="464E1FF0"/>
    <w:rsid w:val="46577FD6"/>
    <w:rsid w:val="466B0031"/>
    <w:rsid w:val="46977246"/>
    <w:rsid w:val="46B502DF"/>
    <w:rsid w:val="46B856BC"/>
    <w:rsid w:val="46D955A7"/>
    <w:rsid w:val="47133957"/>
    <w:rsid w:val="477E7852"/>
    <w:rsid w:val="4797218C"/>
    <w:rsid w:val="47A07E0C"/>
    <w:rsid w:val="47B42040"/>
    <w:rsid w:val="47E1141E"/>
    <w:rsid w:val="47E54C4F"/>
    <w:rsid w:val="47EF1560"/>
    <w:rsid w:val="480D0FB8"/>
    <w:rsid w:val="48230F2B"/>
    <w:rsid w:val="48281919"/>
    <w:rsid w:val="4870272E"/>
    <w:rsid w:val="487C383D"/>
    <w:rsid w:val="48A479A6"/>
    <w:rsid w:val="48DD7E71"/>
    <w:rsid w:val="48DF33D4"/>
    <w:rsid w:val="48EE583B"/>
    <w:rsid w:val="48EF0D8C"/>
    <w:rsid w:val="48FE5985"/>
    <w:rsid w:val="49465201"/>
    <w:rsid w:val="49813612"/>
    <w:rsid w:val="4998544A"/>
    <w:rsid w:val="49DC7715"/>
    <w:rsid w:val="49E9164F"/>
    <w:rsid w:val="49EE5FED"/>
    <w:rsid w:val="4A023139"/>
    <w:rsid w:val="4A0E4803"/>
    <w:rsid w:val="4A28348E"/>
    <w:rsid w:val="4A326B6A"/>
    <w:rsid w:val="4A37360C"/>
    <w:rsid w:val="4A4B337E"/>
    <w:rsid w:val="4A4F03CC"/>
    <w:rsid w:val="4A54394D"/>
    <w:rsid w:val="4A634A59"/>
    <w:rsid w:val="4A6D3C27"/>
    <w:rsid w:val="4A7B576F"/>
    <w:rsid w:val="4A86010C"/>
    <w:rsid w:val="4AF561A9"/>
    <w:rsid w:val="4BA86402"/>
    <w:rsid w:val="4BE00951"/>
    <w:rsid w:val="4C14035E"/>
    <w:rsid w:val="4C1B0BC7"/>
    <w:rsid w:val="4C430AAB"/>
    <w:rsid w:val="4C4A0649"/>
    <w:rsid w:val="4C5479B0"/>
    <w:rsid w:val="4C6445DD"/>
    <w:rsid w:val="4C7E5ECA"/>
    <w:rsid w:val="4C876AA5"/>
    <w:rsid w:val="4CA23BE3"/>
    <w:rsid w:val="4CA543E4"/>
    <w:rsid w:val="4CFC72FA"/>
    <w:rsid w:val="4D0E00FB"/>
    <w:rsid w:val="4D176606"/>
    <w:rsid w:val="4D253D0B"/>
    <w:rsid w:val="4D2D0C77"/>
    <w:rsid w:val="4D4C680F"/>
    <w:rsid w:val="4DAF337F"/>
    <w:rsid w:val="4DCD0D7B"/>
    <w:rsid w:val="4DDB6B97"/>
    <w:rsid w:val="4DE65204"/>
    <w:rsid w:val="4DEC4FB0"/>
    <w:rsid w:val="4E075D8A"/>
    <w:rsid w:val="4E0872B1"/>
    <w:rsid w:val="4E2F2707"/>
    <w:rsid w:val="4E3848E2"/>
    <w:rsid w:val="4E5B00A1"/>
    <w:rsid w:val="4E845E0D"/>
    <w:rsid w:val="4EB15812"/>
    <w:rsid w:val="4EBC7D13"/>
    <w:rsid w:val="4EC00FAD"/>
    <w:rsid w:val="4ED1563A"/>
    <w:rsid w:val="4ED27E93"/>
    <w:rsid w:val="4EDF237F"/>
    <w:rsid w:val="4F29666A"/>
    <w:rsid w:val="4F90539D"/>
    <w:rsid w:val="4F9843DC"/>
    <w:rsid w:val="4FC62A8C"/>
    <w:rsid w:val="4FE20F0D"/>
    <w:rsid w:val="4FE51552"/>
    <w:rsid w:val="5007044A"/>
    <w:rsid w:val="50151DD1"/>
    <w:rsid w:val="501C5093"/>
    <w:rsid w:val="50504C4B"/>
    <w:rsid w:val="50507AA5"/>
    <w:rsid w:val="50552999"/>
    <w:rsid w:val="50757C77"/>
    <w:rsid w:val="509C6E7C"/>
    <w:rsid w:val="50BD6F87"/>
    <w:rsid w:val="50C568F2"/>
    <w:rsid w:val="50CE6465"/>
    <w:rsid w:val="50D94E68"/>
    <w:rsid w:val="50E33C7D"/>
    <w:rsid w:val="510468BB"/>
    <w:rsid w:val="5106008C"/>
    <w:rsid w:val="512832A6"/>
    <w:rsid w:val="512C5469"/>
    <w:rsid w:val="51525698"/>
    <w:rsid w:val="515C0248"/>
    <w:rsid w:val="5162104E"/>
    <w:rsid w:val="51C1269B"/>
    <w:rsid w:val="51FD400C"/>
    <w:rsid w:val="520B09A5"/>
    <w:rsid w:val="520E0886"/>
    <w:rsid w:val="52824896"/>
    <w:rsid w:val="528C3213"/>
    <w:rsid w:val="52927709"/>
    <w:rsid w:val="529E580F"/>
    <w:rsid w:val="52BB6DFA"/>
    <w:rsid w:val="52DB5B68"/>
    <w:rsid w:val="52E87F2C"/>
    <w:rsid w:val="5311687F"/>
    <w:rsid w:val="531B015F"/>
    <w:rsid w:val="531C6FD2"/>
    <w:rsid w:val="53597B4C"/>
    <w:rsid w:val="53A039CC"/>
    <w:rsid w:val="53A1505A"/>
    <w:rsid w:val="53B04ADD"/>
    <w:rsid w:val="53BC0E1D"/>
    <w:rsid w:val="53CC1574"/>
    <w:rsid w:val="53CC2030"/>
    <w:rsid w:val="54063E08"/>
    <w:rsid w:val="540939FA"/>
    <w:rsid w:val="543437E8"/>
    <w:rsid w:val="543905CE"/>
    <w:rsid w:val="544B12C9"/>
    <w:rsid w:val="544B33F9"/>
    <w:rsid w:val="545A3B96"/>
    <w:rsid w:val="547A3158"/>
    <w:rsid w:val="547C5F7A"/>
    <w:rsid w:val="54C17930"/>
    <w:rsid w:val="54C33791"/>
    <w:rsid w:val="54F73313"/>
    <w:rsid w:val="54F80955"/>
    <w:rsid w:val="55441D0D"/>
    <w:rsid w:val="555170A7"/>
    <w:rsid w:val="555B64D8"/>
    <w:rsid w:val="5563533B"/>
    <w:rsid w:val="55782BE6"/>
    <w:rsid w:val="5587536D"/>
    <w:rsid w:val="559B174B"/>
    <w:rsid w:val="55A33913"/>
    <w:rsid w:val="55C67DF5"/>
    <w:rsid w:val="55CD5333"/>
    <w:rsid w:val="55CE0CF4"/>
    <w:rsid w:val="55CF225D"/>
    <w:rsid w:val="55D410E8"/>
    <w:rsid w:val="56066443"/>
    <w:rsid w:val="56291875"/>
    <w:rsid w:val="56464A92"/>
    <w:rsid w:val="567B52E1"/>
    <w:rsid w:val="56B22A9C"/>
    <w:rsid w:val="56E63E48"/>
    <w:rsid w:val="57194968"/>
    <w:rsid w:val="573973D3"/>
    <w:rsid w:val="574D6467"/>
    <w:rsid w:val="574F7976"/>
    <w:rsid w:val="577522D1"/>
    <w:rsid w:val="577E46FF"/>
    <w:rsid w:val="57946E25"/>
    <w:rsid w:val="57951578"/>
    <w:rsid w:val="57B72A76"/>
    <w:rsid w:val="57C3426C"/>
    <w:rsid w:val="57CE1F93"/>
    <w:rsid w:val="57CE763E"/>
    <w:rsid w:val="57E36310"/>
    <w:rsid w:val="58083356"/>
    <w:rsid w:val="5813309A"/>
    <w:rsid w:val="58256FFE"/>
    <w:rsid w:val="585C1990"/>
    <w:rsid w:val="58615BB3"/>
    <w:rsid w:val="587F3119"/>
    <w:rsid w:val="58801DB1"/>
    <w:rsid w:val="588743D1"/>
    <w:rsid w:val="5887701A"/>
    <w:rsid w:val="58AC2BA6"/>
    <w:rsid w:val="58B37E96"/>
    <w:rsid w:val="58CB6C64"/>
    <w:rsid w:val="59187354"/>
    <w:rsid w:val="595B4F24"/>
    <w:rsid w:val="597D566F"/>
    <w:rsid w:val="59885CF6"/>
    <w:rsid w:val="59A64D1A"/>
    <w:rsid w:val="59B33781"/>
    <w:rsid w:val="59C0439F"/>
    <w:rsid w:val="59D979CB"/>
    <w:rsid w:val="59F11BEC"/>
    <w:rsid w:val="59F77A38"/>
    <w:rsid w:val="59FC455B"/>
    <w:rsid w:val="5A041F9C"/>
    <w:rsid w:val="5A1B1E51"/>
    <w:rsid w:val="5A715E56"/>
    <w:rsid w:val="5A885D02"/>
    <w:rsid w:val="5A8D35E1"/>
    <w:rsid w:val="5ABE2233"/>
    <w:rsid w:val="5AC32B55"/>
    <w:rsid w:val="5AC96644"/>
    <w:rsid w:val="5B2B24A8"/>
    <w:rsid w:val="5B4162F9"/>
    <w:rsid w:val="5B621F5C"/>
    <w:rsid w:val="5B731331"/>
    <w:rsid w:val="5B7E766A"/>
    <w:rsid w:val="5B9C33A6"/>
    <w:rsid w:val="5B9F1A9F"/>
    <w:rsid w:val="5BD35292"/>
    <w:rsid w:val="5BDF5D95"/>
    <w:rsid w:val="5BF70CF0"/>
    <w:rsid w:val="5BFE7528"/>
    <w:rsid w:val="5C0B2EEB"/>
    <w:rsid w:val="5C30720A"/>
    <w:rsid w:val="5C642EC4"/>
    <w:rsid w:val="5C693288"/>
    <w:rsid w:val="5C892B7A"/>
    <w:rsid w:val="5C936E98"/>
    <w:rsid w:val="5CE42094"/>
    <w:rsid w:val="5D0E2C5C"/>
    <w:rsid w:val="5D4B1222"/>
    <w:rsid w:val="5D5E2637"/>
    <w:rsid w:val="5D662559"/>
    <w:rsid w:val="5D7C6FEB"/>
    <w:rsid w:val="5D841BB9"/>
    <w:rsid w:val="5D8F6D1E"/>
    <w:rsid w:val="5D916C44"/>
    <w:rsid w:val="5DAF73C1"/>
    <w:rsid w:val="5DDD2202"/>
    <w:rsid w:val="5DDE5FE8"/>
    <w:rsid w:val="5DFC638B"/>
    <w:rsid w:val="5E2467F1"/>
    <w:rsid w:val="5E292143"/>
    <w:rsid w:val="5E425EA2"/>
    <w:rsid w:val="5E6325A8"/>
    <w:rsid w:val="5E802B0B"/>
    <w:rsid w:val="5EF20796"/>
    <w:rsid w:val="5F02222A"/>
    <w:rsid w:val="5F1A2B43"/>
    <w:rsid w:val="5F4660E8"/>
    <w:rsid w:val="5F61165F"/>
    <w:rsid w:val="5F6A6755"/>
    <w:rsid w:val="5F7C7D03"/>
    <w:rsid w:val="5F965252"/>
    <w:rsid w:val="5F9E7E1A"/>
    <w:rsid w:val="5FB837BB"/>
    <w:rsid w:val="5FC23BC4"/>
    <w:rsid w:val="5FCD1D80"/>
    <w:rsid w:val="5FE349C6"/>
    <w:rsid w:val="5FE603A6"/>
    <w:rsid w:val="60082FA4"/>
    <w:rsid w:val="601D1118"/>
    <w:rsid w:val="60293985"/>
    <w:rsid w:val="60333179"/>
    <w:rsid w:val="604F6C39"/>
    <w:rsid w:val="60521CB7"/>
    <w:rsid w:val="607C0FFE"/>
    <w:rsid w:val="608C0997"/>
    <w:rsid w:val="60B72DB6"/>
    <w:rsid w:val="60C57EE8"/>
    <w:rsid w:val="60CC405A"/>
    <w:rsid w:val="60ED0160"/>
    <w:rsid w:val="610C16B3"/>
    <w:rsid w:val="610E0DA0"/>
    <w:rsid w:val="613D6D46"/>
    <w:rsid w:val="61686204"/>
    <w:rsid w:val="616B23F9"/>
    <w:rsid w:val="61790604"/>
    <w:rsid w:val="618E0057"/>
    <w:rsid w:val="619D7C6E"/>
    <w:rsid w:val="61BE18D7"/>
    <w:rsid w:val="61C64420"/>
    <w:rsid w:val="61E215D8"/>
    <w:rsid w:val="620B6CB1"/>
    <w:rsid w:val="620D46B6"/>
    <w:rsid w:val="621243C2"/>
    <w:rsid w:val="621B3775"/>
    <w:rsid w:val="62364782"/>
    <w:rsid w:val="62827830"/>
    <w:rsid w:val="6292214A"/>
    <w:rsid w:val="62AE0E71"/>
    <w:rsid w:val="62DA27B5"/>
    <w:rsid w:val="62EE0F7A"/>
    <w:rsid w:val="63186C78"/>
    <w:rsid w:val="633221C3"/>
    <w:rsid w:val="633D5090"/>
    <w:rsid w:val="634336CC"/>
    <w:rsid w:val="634B53E2"/>
    <w:rsid w:val="637175BF"/>
    <w:rsid w:val="637E0AB4"/>
    <w:rsid w:val="638E67FA"/>
    <w:rsid w:val="6394356A"/>
    <w:rsid w:val="63C61B2C"/>
    <w:rsid w:val="63D40BE9"/>
    <w:rsid w:val="63DD7EBA"/>
    <w:rsid w:val="63E6661D"/>
    <w:rsid w:val="63FC15BA"/>
    <w:rsid w:val="64102431"/>
    <w:rsid w:val="64143F6C"/>
    <w:rsid w:val="6417567D"/>
    <w:rsid w:val="643171B6"/>
    <w:rsid w:val="643A0597"/>
    <w:rsid w:val="643B3538"/>
    <w:rsid w:val="645A6108"/>
    <w:rsid w:val="647E0F40"/>
    <w:rsid w:val="64923598"/>
    <w:rsid w:val="64A11AC5"/>
    <w:rsid w:val="64A5243A"/>
    <w:rsid w:val="64CA441D"/>
    <w:rsid w:val="64CD2516"/>
    <w:rsid w:val="64F531DE"/>
    <w:rsid w:val="65373578"/>
    <w:rsid w:val="655A2308"/>
    <w:rsid w:val="65631979"/>
    <w:rsid w:val="65674A25"/>
    <w:rsid w:val="65782A03"/>
    <w:rsid w:val="65C40785"/>
    <w:rsid w:val="65C9123C"/>
    <w:rsid w:val="65D263B3"/>
    <w:rsid w:val="65D550A8"/>
    <w:rsid w:val="65F64ABF"/>
    <w:rsid w:val="66215782"/>
    <w:rsid w:val="663469B8"/>
    <w:rsid w:val="665405DE"/>
    <w:rsid w:val="66877835"/>
    <w:rsid w:val="66DC078E"/>
    <w:rsid w:val="66DF115D"/>
    <w:rsid w:val="66E12AAF"/>
    <w:rsid w:val="66E77831"/>
    <w:rsid w:val="66F978FF"/>
    <w:rsid w:val="671F124A"/>
    <w:rsid w:val="674F58CE"/>
    <w:rsid w:val="677A33C6"/>
    <w:rsid w:val="677D782E"/>
    <w:rsid w:val="679C71A7"/>
    <w:rsid w:val="67EB5499"/>
    <w:rsid w:val="681F6961"/>
    <w:rsid w:val="68437083"/>
    <w:rsid w:val="684E5006"/>
    <w:rsid w:val="68514DF7"/>
    <w:rsid w:val="6852376A"/>
    <w:rsid w:val="68610A2F"/>
    <w:rsid w:val="687E630D"/>
    <w:rsid w:val="68805514"/>
    <w:rsid w:val="688356D2"/>
    <w:rsid w:val="68856B55"/>
    <w:rsid w:val="688B0677"/>
    <w:rsid w:val="68C21D29"/>
    <w:rsid w:val="68CB7079"/>
    <w:rsid w:val="690C1B6B"/>
    <w:rsid w:val="69131C82"/>
    <w:rsid w:val="69316E2F"/>
    <w:rsid w:val="694E2071"/>
    <w:rsid w:val="69704E84"/>
    <w:rsid w:val="69735746"/>
    <w:rsid w:val="69766163"/>
    <w:rsid w:val="697A3B33"/>
    <w:rsid w:val="69A9560C"/>
    <w:rsid w:val="69D4144B"/>
    <w:rsid w:val="69D44760"/>
    <w:rsid w:val="69F30378"/>
    <w:rsid w:val="69FA3BEB"/>
    <w:rsid w:val="6A1E5099"/>
    <w:rsid w:val="6A520EC7"/>
    <w:rsid w:val="6AA13331"/>
    <w:rsid w:val="6AF87E20"/>
    <w:rsid w:val="6AFE17D2"/>
    <w:rsid w:val="6B2D4BF7"/>
    <w:rsid w:val="6B322639"/>
    <w:rsid w:val="6B812067"/>
    <w:rsid w:val="6B8D165D"/>
    <w:rsid w:val="6B8D7038"/>
    <w:rsid w:val="6BE379B8"/>
    <w:rsid w:val="6BF6265F"/>
    <w:rsid w:val="6BFD4B70"/>
    <w:rsid w:val="6C01153C"/>
    <w:rsid w:val="6C2F6506"/>
    <w:rsid w:val="6C4E6837"/>
    <w:rsid w:val="6C5A7D26"/>
    <w:rsid w:val="6C636C38"/>
    <w:rsid w:val="6C644EB7"/>
    <w:rsid w:val="6C6B2DFD"/>
    <w:rsid w:val="6C795284"/>
    <w:rsid w:val="6C7C0DB6"/>
    <w:rsid w:val="6C9C42B3"/>
    <w:rsid w:val="6CB02B08"/>
    <w:rsid w:val="6CB53253"/>
    <w:rsid w:val="6CC77823"/>
    <w:rsid w:val="6CDB13D9"/>
    <w:rsid w:val="6CF20E44"/>
    <w:rsid w:val="6CF35484"/>
    <w:rsid w:val="6CF81A1A"/>
    <w:rsid w:val="6D5B50DE"/>
    <w:rsid w:val="6D67538A"/>
    <w:rsid w:val="6D77028D"/>
    <w:rsid w:val="6D9425D7"/>
    <w:rsid w:val="6DB34098"/>
    <w:rsid w:val="6DB545B6"/>
    <w:rsid w:val="6DC17AF6"/>
    <w:rsid w:val="6DCC7B1B"/>
    <w:rsid w:val="6DD8201C"/>
    <w:rsid w:val="6DD9555F"/>
    <w:rsid w:val="6DE02FB4"/>
    <w:rsid w:val="6DF577AE"/>
    <w:rsid w:val="6DF61B6F"/>
    <w:rsid w:val="6DFA0ECE"/>
    <w:rsid w:val="6E066EDC"/>
    <w:rsid w:val="6E3563A1"/>
    <w:rsid w:val="6E514CED"/>
    <w:rsid w:val="6E8D72AA"/>
    <w:rsid w:val="6EB563D5"/>
    <w:rsid w:val="6ED92677"/>
    <w:rsid w:val="6EEE3AC1"/>
    <w:rsid w:val="6EFC40CE"/>
    <w:rsid w:val="6F1C024E"/>
    <w:rsid w:val="6F2071CA"/>
    <w:rsid w:val="6F225983"/>
    <w:rsid w:val="6F2474E3"/>
    <w:rsid w:val="6F25039A"/>
    <w:rsid w:val="6F53755B"/>
    <w:rsid w:val="6FA2294C"/>
    <w:rsid w:val="6FA80114"/>
    <w:rsid w:val="6FFC5590"/>
    <w:rsid w:val="70015B38"/>
    <w:rsid w:val="700510C2"/>
    <w:rsid w:val="702F2114"/>
    <w:rsid w:val="704647B3"/>
    <w:rsid w:val="706D1DD0"/>
    <w:rsid w:val="706D341A"/>
    <w:rsid w:val="70856B87"/>
    <w:rsid w:val="70950698"/>
    <w:rsid w:val="70A61A3C"/>
    <w:rsid w:val="70C90DA9"/>
    <w:rsid w:val="70D527EE"/>
    <w:rsid w:val="70E551BC"/>
    <w:rsid w:val="7103616B"/>
    <w:rsid w:val="71267542"/>
    <w:rsid w:val="713A2FED"/>
    <w:rsid w:val="715B5300"/>
    <w:rsid w:val="717162E3"/>
    <w:rsid w:val="717470EF"/>
    <w:rsid w:val="71864485"/>
    <w:rsid w:val="71B47D1E"/>
    <w:rsid w:val="71CB1E97"/>
    <w:rsid w:val="71D27F8A"/>
    <w:rsid w:val="71F21C57"/>
    <w:rsid w:val="71FD4747"/>
    <w:rsid w:val="721D430E"/>
    <w:rsid w:val="721F6F7D"/>
    <w:rsid w:val="722078EA"/>
    <w:rsid w:val="722A7366"/>
    <w:rsid w:val="724C0EBA"/>
    <w:rsid w:val="72553024"/>
    <w:rsid w:val="725F475F"/>
    <w:rsid w:val="72715FB1"/>
    <w:rsid w:val="72771CAC"/>
    <w:rsid w:val="72800ED4"/>
    <w:rsid w:val="729D53D6"/>
    <w:rsid w:val="72B312A9"/>
    <w:rsid w:val="72C62D8B"/>
    <w:rsid w:val="72C8065F"/>
    <w:rsid w:val="72F71196"/>
    <w:rsid w:val="73122968"/>
    <w:rsid w:val="73137F9A"/>
    <w:rsid w:val="731F5D5E"/>
    <w:rsid w:val="736F5BA3"/>
    <w:rsid w:val="73781BAB"/>
    <w:rsid w:val="73A14F14"/>
    <w:rsid w:val="73C37B61"/>
    <w:rsid w:val="73C51AD5"/>
    <w:rsid w:val="73D35749"/>
    <w:rsid w:val="73F76E3B"/>
    <w:rsid w:val="74065409"/>
    <w:rsid w:val="741C4C2C"/>
    <w:rsid w:val="741E793C"/>
    <w:rsid w:val="74203DBD"/>
    <w:rsid w:val="7426422C"/>
    <w:rsid w:val="744877CF"/>
    <w:rsid w:val="745E3944"/>
    <w:rsid w:val="74836F8A"/>
    <w:rsid w:val="74903C0E"/>
    <w:rsid w:val="74AC2FDB"/>
    <w:rsid w:val="74B310ED"/>
    <w:rsid w:val="74BF5CE3"/>
    <w:rsid w:val="75781E04"/>
    <w:rsid w:val="757B2AF6"/>
    <w:rsid w:val="75855E0F"/>
    <w:rsid w:val="758B7C0D"/>
    <w:rsid w:val="758F3128"/>
    <w:rsid w:val="75C06AE4"/>
    <w:rsid w:val="75CC3E6C"/>
    <w:rsid w:val="75D51296"/>
    <w:rsid w:val="75DE488F"/>
    <w:rsid w:val="75E402E5"/>
    <w:rsid w:val="75F65592"/>
    <w:rsid w:val="7635099D"/>
    <w:rsid w:val="763C227A"/>
    <w:rsid w:val="763D6712"/>
    <w:rsid w:val="768A7BE8"/>
    <w:rsid w:val="76C517A0"/>
    <w:rsid w:val="770E6AAE"/>
    <w:rsid w:val="77321372"/>
    <w:rsid w:val="77383B2B"/>
    <w:rsid w:val="773B4006"/>
    <w:rsid w:val="775766A7"/>
    <w:rsid w:val="77594E5D"/>
    <w:rsid w:val="77700DC3"/>
    <w:rsid w:val="77762421"/>
    <w:rsid w:val="77B56B1F"/>
    <w:rsid w:val="77CB37B4"/>
    <w:rsid w:val="77DE2941"/>
    <w:rsid w:val="77F71C38"/>
    <w:rsid w:val="7806124E"/>
    <w:rsid w:val="78067DBB"/>
    <w:rsid w:val="780F09F4"/>
    <w:rsid w:val="78233347"/>
    <w:rsid w:val="78544C43"/>
    <w:rsid w:val="787F7B36"/>
    <w:rsid w:val="788B412F"/>
    <w:rsid w:val="788D1757"/>
    <w:rsid w:val="78A90480"/>
    <w:rsid w:val="78AA6CAB"/>
    <w:rsid w:val="78C338C8"/>
    <w:rsid w:val="79291846"/>
    <w:rsid w:val="793D367B"/>
    <w:rsid w:val="794E47DA"/>
    <w:rsid w:val="79777824"/>
    <w:rsid w:val="797E5943"/>
    <w:rsid w:val="799878B2"/>
    <w:rsid w:val="7A0D39E5"/>
    <w:rsid w:val="7A1B772C"/>
    <w:rsid w:val="7A364017"/>
    <w:rsid w:val="7A6D7405"/>
    <w:rsid w:val="7A733BC3"/>
    <w:rsid w:val="7A8265E1"/>
    <w:rsid w:val="7AB568B9"/>
    <w:rsid w:val="7AD65B35"/>
    <w:rsid w:val="7B05468B"/>
    <w:rsid w:val="7B0574E6"/>
    <w:rsid w:val="7B686D42"/>
    <w:rsid w:val="7B841746"/>
    <w:rsid w:val="7BEB1AB4"/>
    <w:rsid w:val="7C574A95"/>
    <w:rsid w:val="7C6C5AC7"/>
    <w:rsid w:val="7CBA3C7B"/>
    <w:rsid w:val="7CBB26D3"/>
    <w:rsid w:val="7CC6544B"/>
    <w:rsid w:val="7D0239FF"/>
    <w:rsid w:val="7D12434A"/>
    <w:rsid w:val="7D195337"/>
    <w:rsid w:val="7D287972"/>
    <w:rsid w:val="7D4C3528"/>
    <w:rsid w:val="7D5E40CD"/>
    <w:rsid w:val="7D755F55"/>
    <w:rsid w:val="7D791449"/>
    <w:rsid w:val="7D8745E5"/>
    <w:rsid w:val="7D9F4904"/>
    <w:rsid w:val="7DA4016C"/>
    <w:rsid w:val="7DB14637"/>
    <w:rsid w:val="7DC720AD"/>
    <w:rsid w:val="7DCD56F2"/>
    <w:rsid w:val="7DFE16C0"/>
    <w:rsid w:val="7DFF1847"/>
    <w:rsid w:val="7E167057"/>
    <w:rsid w:val="7E2252B1"/>
    <w:rsid w:val="7E325517"/>
    <w:rsid w:val="7E442304"/>
    <w:rsid w:val="7E4B4533"/>
    <w:rsid w:val="7E527769"/>
    <w:rsid w:val="7E611BB9"/>
    <w:rsid w:val="7E786F03"/>
    <w:rsid w:val="7E9453B8"/>
    <w:rsid w:val="7EB048EF"/>
    <w:rsid w:val="7EC86E2C"/>
    <w:rsid w:val="7EF74790"/>
    <w:rsid w:val="7F001CE7"/>
    <w:rsid w:val="7F3B065C"/>
    <w:rsid w:val="7F560410"/>
    <w:rsid w:val="7F624CBC"/>
    <w:rsid w:val="7F7C0292"/>
    <w:rsid w:val="7F8801C2"/>
    <w:rsid w:val="7FD36AE7"/>
    <w:rsid w:val="7FE23090"/>
    <w:rsid w:val="7FE47E50"/>
    <w:rsid w:val="7FE555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qFormat="1" w:unhideWhenUsed="0" w:uiPriority="0" w:semiHidden="0" w:name="List 3" w:locked="1"/>
    <w:lsdException w:qFormat="1"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locked/>
    <w:uiPriority w:val="0"/>
    <w:pPr>
      <w:adjustRightInd w:val="0"/>
      <w:snapToGrid w:val="0"/>
      <w:spacing w:line="600" w:lineRule="exact"/>
      <w:outlineLvl w:val="1"/>
    </w:pPr>
    <w:rPr>
      <w:b/>
      <w:bCs/>
      <w:color w:val="000000"/>
    </w:rPr>
  </w:style>
  <w:style w:type="paragraph" w:styleId="4">
    <w:name w:val="heading 3"/>
    <w:basedOn w:val="1"/>
    <w:next w:val="1"/>
    <w:autoRedefine/>
    <w:qFormat/>
    <w:locked/>
    <w:uiPriority w:val="0"/>
    <w:pPr>
      <w:spacing w:line="560" w:lineRule="exact"/>
      <w:ind w:firstLine="120" w:firstLineChars="50"/>
      <w:outlineLvl w:val="2"/>
    </w:pPr>
    <w:rPr>
      <w:b/>
      <w:bCs/>
      <w:color w:val="000000"/>
      <w:kern w:val="2"/>
      <w:sz w:val="24"/>
      <w:szCs w:val="24"/>
      <w:lang w:val="en-US" w:eastAsia="zh-CN" w:bidi="ar-SA"/>
    </w:rPr>
  </w:style>
  <w:style w:type="paragraph" w:styleId="5">
    <w:name w:val="heading 4"/>
    <w:basedOn w:val="1"/>
    <w:next w:val="1"/>
    <w:autoRedefine/>
    <w:qFormat/>
    <w:locked/>
    <w:uiPriority w:val="0"/>
    <w:pPr>
      <w:keepNext/>
      <w:keepLines/>
      <w:ind w:firstLine="0" w:firstLineChars="0"/>
      <w:outlineLvl w:val="3"/>
    </w:pPr>
    <w:rPr>
      <w:b/>
      <w:bCs/>
      <w:szCs w:val="28"/>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6">
    <w:name w:val="List 3"/>
    <w:basedOn w:val="1"/>
    <w:next w:val="7"/>
    <w:autoRedefine/>
    <w:qFormat/>
    <w:locked/>
    <w:uiPriority w:val="0"/>
    <w:pPr>
      <w:widowControl w:val="0"/>
      <w:spacing w:line="240" w:lineRule="auto"/>
      <w:ind w:left="100" w:leftChars="400" w:hanging="200" w:hangingChars="200"/>
      <w:contextualSpacing/>
      <w:jc w:val="both"/>
    </w:pPr>
    <w:rPr>
      <w:rFonts w:ascii="Times New Roman" w:hAnsi="Times New Roman" w:eastAsia="仿宋_GB2312" w:cs="Times New Roman"/>
      <w:kern w:val="2"/>
      <w:sz w:val="21"/>
      <w:szCs w:val="24"/>
      <w:lang w:val="en-US" w:eastAsia="zh-CN" w:bidi="ar-SA"/>
    </w:rPr>
  </w:style>
  <w:style w:type="paragraph" w:styleId="7">
    <w:name w:val="List 4"/>
    <w:basedOn w:val="1"/>
    <w:autoRedefine/>
    <w:qFormat/>
    <w:locked/>
    <w:uiPriority w:val="0"/>
    <w:pPr>
      <w:ind w:left="100" w:leftChars="600" w:hanging="200" w:hangingChars="200"/>
      <w:contextualSpacing/>
    </w:pPr>
  </w:style>
  <w:style w:type="paragraph" w:styleId="8">
    <w:name w:val="Normal Indent"/>
    <w:basedOn w:val="1"/>
    <w:autoRedefine/>
    <w:qFormat/>
    <w:locked/>
    <w:uiPriority w:val="0"/>
    <w:pPr>
      <w:adjustRightInd w:val="0"/>
      <w:ind w:firstLine="566"/>
      <w:jc w:val="left"/>
      <w:textAlignment w:val="baseline"/>
    </w:pPr>
    <w:rPr>
      <w:sz w:val="28"/>
      <w:szCs w:val="20"/>
    </w:rPr>
  </w:style>
  <w:style w:type="paragraph" w:styleId="9">
    <w:name w:val="index 5"/>
    <w:basedOn w:val="1"/>
    <w:next w:val="1"/>
    <w:autoRedefine/>
    <w:qFormat/>
    <w:locked/>
    <w:uiPriority w:val="0"/>
    <w:pPr>
      <w:ind w:left="1680"/>
    </w:pPr>
  </w:style>
  <w:style w:type="paragraph" w:styleId="10">
    <w:name w:val="Document Map"/>
    <w:basedOn w:val="1"/>
    <w:autoRedefine/>
    <w:semiHidden/>
    <w:qFormat/>
    <w:locked/>
    <w:uiPriority w:val="0"/>
    <w:pPr>
      <w:shd w:val="clear" w:color="auto" w:fill="000080"/>
    </w:pPr>
  </w:style>
  <w:style w:type="paragraph" w:styleId="11">
    <w:name w:val="annotation text"/>
    <w:basedOn w:val="1"/>
    <w:link w:val="38"/>
    <w:autoRedefine/>
    <w:semiHidden/>
    <w:qFormat/>
    <w:uiPriority w:val="0"/>
    <w:pPr>
      <w:jc w:val="left"/>
    </w:pPr>
    <w:rPr>
      <w:kern w:val="0"/>
      <w:sz w:val="24"/>
      <w:szCs w:val="20"/>
    </w:rPr>
  </w:style>
  <w:style w:type="paragraph" w:styleId="12">
    <w:name w:val="Body Text"/>
    <w:basedOn w:val="1"/>
    <w:next w:val="1"/>
    <w:link w:val="37"/>
    <w:autoRedefine/>
    <w:qFormat/>
    <w:uiPriority w:val="0"/>
    <w:pPr>
      <w:widowControl/>
      <w:snapToGrid w:val="0"/>
      <w:spacing w:before="60" w:after="160" w:line="259" w:lineRule="auto"/>
      <w:ind w:right="113"/>
    </w:pPr>
    <w:rPr>
      <w:kern w:val="0"/>
      <w:sz w:val="18"/>
      <w:szCs w:val="20"/>
    </w:rPr>
  </w:style>
  <w:style w:type="paragraph" w:styleId="13">
    <w:name w:val="Body Text Indent"/>
    <w:basedOn w:val="1"/>
    <w:link w:val="39"/>
    <w:autoRedefine/>
    <w:qFormat/>
    <w:uiPriority w:val="0"/>
    <w:pPr>
      <w:spacing w:after="120"/>
      <w:ind w:left="420" w:leftChars="200"/>
    </w:pPr>
    <w:rPr>
      <w:kern w:val="0"/>
      <w:sz w:val="24"/>
      <w:szCs w:val="20"/>
    </w:rPr>
  </w:style>
  <w:style w:type="paragraph" w:styleId="14">
    <w:name w:val="Plain Text"/>
    <w:basedOn w:val="1"/>
    <w:next w:val="1"/>
    <w:autoRedefine/>
    <w:qFormat/>
    <w:locked/>
    <w:uiPriority w:val="0"/>
    <w:rPr>
      <w:rFonts w:ascii="宋体" w:hAnsi="Courier New"/>
      <w:szCs w:val="21"/>
    </w:rPr>
  </w:style>
  <w:style w:type="paragraph" w:styleId="15">
    <w:name w:val="Date"/>
    <w:basedOn w:val="1"/>
    <w:next w:val="1"/>
    <w:link w:val="40"/>
    <w:autoRedefine/>
    <w:qFormat/>
    <w:uiPriority w:val="0"/>
    <w:pPr>
      <w:ind w:left="100" w:leftChars="2500"/>
    </w:pPr>
    <w:rPr>
      <w:kern w:val="0"/>
      <w:sz w:val="24"/>
      <w:szCs w:val="20"/>
    </w:rPr>
  </w:style>
  <w:style w:type="paragraph" w:styleId="16">
    <w:name w:val="Body Text Indent 2"/>
    <w:basedOn w:val="1"/>
    <w:next w:val="17"/>
    <w:qFormat/>
    <w:locked/>
    <w:uiPriority w:val="0"/>
    <w:pPr>
      <w:adjustRightInd w:val="0"/>
      <w:snapToGrid w:val="0"/>
      <w:spacing w:line="360" w:lineRule="auto"/>
      <w:ind w:left="0" w:leftChars="0" w:firstLine="720" w:firstLineChars="200"/>
    </w:pPr>
    <w:rPr>
      <w:rFonts w:ascii="Times New Roman" w:hAnsi="Times New Roman" w:eastAsia="宋体"/>
      <w:sz w:val="24"/>
    </w:rPr>
  </w:style>
  <w:style w:type="paragraph" w:styleId="17">
    <w:name w:val="Body Text First Indent 2"/>
    <w:basedOn w:val="13"/>
    <w:autoRedefine/>
    <w:qFormat/>
    <w:locked/>
    <w:uiPriority w:val="0"/>
    <w:pPr>
      <w:ind w:firstLine="420" w:firstLineChars="200"/>
    </w:pPr>
    <w:rPr>
      <w:lang w:val="en-US" w:eastAsia="zh-CN"/>
    </w:rPr>
  </w:style>
  <w:style w:type="paragraph" w:styleId="18">
    <w:name w:val="Balloon Text"/>
    <w:basedOn w:val="1"/>
    <w:link w:val="41"/>
    <w:autoRedefine/>
    <w:semiHidden/>
    <w:qFormat/>
    <w:uiPriority w:val="0"/>
    <w:rPr>
      <w:kern w:val="0"/>
      <w:sz w:val="18"/>
      <w:szCs w:val="20"/>
    </w:rPr>
  </w:style>
  <w:style w:type="paragraph" w:styleId="19">
    <w:name w:val="footer"/>
    <w:basedOn w:val="1"/>
    <w:link w:val="42"/>
    <w:autoRedefine/>
    <w:qFormat/>
    <w:uiPriority w:val="99"/>
    <w:pPr>
      <w:tabs>
        <w:tab w:val="center" w:pos="4153"/>
        <w:tab w:val="right" w:pos="8306"/>
      </w:tabs>
      <w:snapToGrid w:val="0"/>
      <w:jc w:val="left"/>
    </w:pPr>
    <w:rPr>
      <w:kern w:val="0"/>
      <w:sz w:val="18"/>
      <w:szCs w:val="20"/>
    </w:rPr>
  </w:style>
  <w:style w:type="paragraph" w:styleId="20">
    <w:name w:val="header"/>
    <w:basedOn w:val="1"/>
    <w:link w:val="43"/>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autoRedefine/>
    <w:qFormat/>
    <w:locked/>
    <w:uiPriority w:val="0"/>
  </w:style>
  <w:style w:type="paragraph" w:styleId="22">
    <w:name w:val="Normal (Web)"/>
    <w:basedOn w:val="1"/>
    <w:link w:val="44"/>
    <w:autoRedefine/>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
    <w:next w:val="1"/>
    <w:autoRedefine/>
    <w:qFormat/>
    <w:locked/>
    <w:uiPriority w:val="0"/>
    <w:pPr>
      <w:spacing w:line="360" w:lineRule="auto"/>
      <w:ind w:firstLine="200" w:firstLineChars="200"/>
    </w:pPr>
    <w:rPr>
      <w:rFonts w:ascii="Calibri Light" w:hAnsi="Calibri Light"/>
      <w:bCs/>
      <w:sz w:val="24"/>
      <w:szCs w:val="32"/>
    </w:rPr>
  </w:style>
  <w:style w:type="paragraph" w:styleId="24">
    <w:name w:val="annotation subject"/>
    <w:basedOn w:val="11"/>
    <w:next w:val="11"/>
    <w:link w:val="45"/>
    <w:autoRedefine/>
    <w:semiHidden/>
    <w:qFormat/>
    <w:uiPriority w:val="0"/>
    <w:rPr>
      <w:b/>
      <w:sz w:val="24"/>
      <w:szCs w:val="20"/>
    </w:rPr>
  </w:style>
  <w:style w:type="paragraph" w:styleId="25">
    <w:name w:val="Body Text First Indent"/>
    <w:basedOn w:val="12"/>
    <w:next w:val="1"/>
    <w:autoRedefine/>
    <w:qFormat/>
    <w:locked/>
    <w:uiPriority w:val="0"/>
    <w:pPr>
      <w:overflowPunct w:val="0"/>
      <w:autoSpaceDE w:val="0"/>
      <w:autoSpaceDN w:val="0"/>
      <w:adjustRightInd w:val="0"/>
      <w:spacing w:line="360" w:lineRule="auto"/>
      <w:ind w:firstLine="539"/>
      <w:textAlignment w:val="baseline"/>
    </w:pPr>
    <w:rPr>
      <w:kern w:val="0"/>
      <w:sz w:val="28"/>
      <w:szCs w:val="20"/>
    </w:rPr>
  </w:style>
  <w:style w:type="table" w:styleId="27">
    <w:name w:val="Table Grid"/>
    <w:basedOn w:val="26"/>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0"/>
    <w:rPr>
      <w:b/>
    </w:rPr>
  </w:style>
  <w:style w:type="character" w:styleId="30">
    <w:name w:val="page number"/>
    <w:basedOn w:val="28"/>
    <w:autoRedefine/>
    <w:qFormat/>
    <w:locked/>
    <w:uiPriority w:val="0"/>
  </w:style>
  <w:style w:type="character" w:styleId="31">
    <w:name w:val="Emphasis"/>
    <w:basedOn w:val="28"/>
    <w:autoRedefine/>
    <w:qFormat/>
    <w:locked/>
    <w:uiPriority w:val="0"/>
    <w:rPr>
      <w:i/>
    </w:rPr>
  </w:style>
  <w:style w:type="character" w:styleId="32">
    <w:name w:val="Hyperlink"/>
    <w:basedOn w:val="28"/>
    <w:autoRedefine/>
    <w:qFormat/>
    <w:locked/>
    <w:uiPriority w:val="0"/>
    <w:rPr>
      <w:color w:val="0000FF"/>
      <w:u w:val="single"/>
    </w:rPr>
  </w:style>
  <w:style w:type="character" w:styleId="33">
    <w:name w:val="annotation reference"/>
    <w:autoRedefine/>
    <w:semiHidden/>
    <w:qFormat/>
    <w:uiPriority w:val="0"/>
    <w:rPr>
      <w:sz w:val="21"/>
    </w:rPr>
  </w:style>
  <w:style w:type="paragraph" w:customStyle="1" w:styleId="34">
    <w:name w:val="Default"/>
    <w:basedOn w:val="35"/>
    <w:next w:val="1"/>
    <w:autoRedefine/>
    <w:qFormat/>
    <w:uiPriority w:val="0"/>
    <w:pPr>
      <w:widowControl w:val="0"/>
      <w:autoSpaceDE w:val="0"/>
      <w:autoSpaceDN w:val="0"/>
      <w:adjustRightInd w:val="0"/>
      <w:spacing w:line="360" w:lineRule="auto"/>
      <w:ind w:firstLine="200" w:firstLineChars="200"/>
    </w:pPr>
    <w:rPr>
      <w:rFonts w:ascii="幼圆" w:hAnsi="Calibri" w:eastAsia="幼圆" w:cs="幼圆"/>
      <w:color w:val="000000"/>
      <w:sz w:val="24"/>
      <w:szCs w:val="24"/>
      <w:lang w:val="en-US" w:eastAsia="zh-CN" w:bidi="ar-SA"/>
    </w:rPr>
  </w:style>
  <w:style w:type="paragraph" w:customStyle="1" w:styleId="35">
    <w:name w:val="纯文本1"/>
    <w:next w:val="14"/>
    <w:autoRedefine/>
    <w:qFormat/>
    <w:uiPriority w:val="0"/>
    <w:pPr>
      <w:widowControl w:val="0"/>
      <w:adjustRightInd w:val="0"/>
      <w:jc w:val="both"/>
    </w:pPr>
    <w:rPr>
      <w:rFonts w:ascii="宋体" w:hAnsi="Courier New" w:eastAsia="仿宋_GB2312" w:cs="Times New Roman"/>
      <w:kern w:val="2"/>
      <w:sz w:val="32"/>
      <w:lang w:val="en-US" w:eastAsia="zh-CN" w:bidi="ar-SA"/>
    </w:rPr>
  </w:style>
  <w:style w:type="paragraph" w:customStyle="1" w:styleId="36">
    <w:name w:val="xl27"/>
    <w:basedOn w:val="1"/>
    <w:autoRedefine/>
    <w:qFormat/>
    <w:uiPriority w:val="0"/>
    <w:pPr>
      <w:widowControl/>
      <w:spacing w:before="100" w:beforeAutospacing="1" w:after="100" w:afterAutospacing="1" w:line="240" w:lineRule="auto"/>
      <w:ind w:firstLine="0" w:firstLineChars="0"/>
      <w:jc w:val="center"/>
    </w:pPr>
    <w:rPr>
      <w:rFonts w:hint="eastAsia" w:ascii="楷体_GB2312" w:hAnsi="Arial Unicode MS" w:eastAsia="楷体_GB2312"/>
      <w:kern w:val="0"/>
      <w:szCs w:val="28"/>
    </w:rPr>
  </w:style>
  <w:style w:type="character" w:customStyle="1" w:styleId="37">
    <w:name w:val="正文文本 Char"/>
    <w:link w:val="12"/>
    <w:autoRedefine/>
    <w:qFormat/>
    <w:locked/>
    <w:uiPriority w:val="0"/>
    <w:rPr>
      <w:sz w:val="18"/>
    </w:rPr>
  </w:style>
  <w:style w:type="character" w:customStyle="1" w:styleId="38">
    <w:name w:val="批注文字 Char"/>
    <w:link w:val="11"/>
    <w:autoRedefine/>
    <w:qFormat/>
    <w:locked/>
    <w:uiPriority w:val="0"/>
    <w:rPr>
      <w:rFonts w:ascii="Times New Roman" w:hAnsi="Times New Roman" w:eastAsia="宋体"/>
      <w:sz w:val="24"/>
    </w:rPr>
  </w:style>
  <w:style w:type="character" w:customStyle="1" w:styleId="39">
    <w:name w:val="正文文本缩进 Char"/>
    <w:link w:val="13"/>
    <w:autoRedefine/>
    <w:semiHidden/>
    <w:qFormat/>
    <w:locked/>
    <w:uiPriority w:val="0"/>
    <w:rPr>
      <w:rFonts w:ascii="Times New Roman" w:hAnsi="Times New Roman" w:eastAsia="宋体"/>
      <w:sz w:val="24"/>
    </w:rPr>
  </w:style>
  <w:style w:type="character" w:customStyle="1" w:styleId="40">
    <w:name w:val="日期 Char"/>
    <w:link w:val="15"/>
    <w:autoRedefine/>
    <w:qFormat/>
    <w:locked/>
    <w:uiPriority w:val="0"/>
    <w:rPr>
      <w:rFonts w:ascii="Times New Roman" w:hAnsi="Times New Roman" w:eastAsia="宋体"/>
      <w:sz w:val="24"/>
    </w:rPr>
  </w:style>
  <w:style w:type="character" w:customStyle="1" w:styleId="41">
    <w:name w:val="批注框文本 Char"/>
    <w:link w:val="18"/>
    <w:autoRedefine/>
    <w:semiHidden/>
    <w:qFormat/>
    <w:locked/>
    <w:uiPriority w:val="0"/>
    <w:rPr>
      <w:rFonts w:ascii="Times New Roman" w:hAnsi="Times New Roman" w:eastAsia="宋体"/>
      <w:sz w:val="18"/>
    </w:rPr>
  </w:style>
  <w:style w:type="character" w:customStyle="1" w:styleId="42">
    <w:name w:val="页脚 Char"/>
    <w:link w:val="19"/>
    <w:autoRedefine/>
    <w:qFormat/>
    <w:locked/>
    <w:uiPriority w:val="99"/>
    <w:rPr>
      <w:sz w:val="18"/>
    </w:rPr>
  </w:style>
  <w:style w:type="character" w:customStyle="1" w:styleId="43">
    <w:name w:val="页眉 Char"/>
    <w:link w:val="20"/>
    <w:autoRedefine/>
    <w:qFormat/>
    <w:locked/>
    <w:uiPriority w:val="0"/>
    <w:rPr>
      <w:sz w:val="18"/>
    </w:rPr>
  </w:style>
  <w:style w:type="character" w:customStyle="1" w:styleId="44">
    <w:name w:val="普通(网站) Char"/>
    <w:link w:val="22"/>
    <w:autoRedefine/>
    <w:qFormat/>
    <w:locked/>
    <w:uiPriority w:val="0"/>
    <w:rPr>
      <w:rFonts w:ascii="宋体" w:hAnsi="宋体" w:eastAsia="宋体"/>
      <w:sz w:val="24"/>
    </w:rPr>
  </w:style>
  <w:style w:type="character" w:customStyle="1" w:styleId="45">
    <w:name w:val="批注主题 Char"/>
    <w:link w:val="24"/>
    <w:autoRedefine/>
    <w:semiHidden/>
    <w:qFormat/>
    <w:locked/>
    <w:uiPriority w:val="0"/>
    <w:rPr>
      <w:rFonts w:ascii="Times New Roman" w:hAnsi="Times New Roman" w:eastAsia="宋体"/>
      <w:b/>
      <w:kern w:val="2"/>
      <w:sz w:val="24"/>
    </w:rPr>
  </w:style>
  <w:style w:type="paragraph" w:customStyle="1" w:styleId="46">
    <w:name w:val="Date1"/>
    <w:basedOn w:val="1"/>
    <w:next w:val="1"/>
    <w:autoRedefine/>
    <w:qFormat/>
    <w:uiPriority w:val="0"/>
    <w:pPr>
      <w:adjustRightInd w:val="0"/>
      <w:jc w:val="left"/>
      <w:textAlignment w:val="baseline"/>
    </w:pPr>
    <w:rPr>
      <w:rFonts w:ascii="宋体" w:hAnsi="宋体"/>
      <w:sz w:val="28"/>
      <w:szCs w:val="20"/>
    </w:rPr>
  </w:style>
  <w:style w:type="character" w:customStyle="1" w:styleId="47">
    <w:name w:val="日期 字符"/>
    <w:autoRedefine/>
    <w:semiHidden/>
    <w:qFormat/>
    <w:uiPriority w:val="0"/>
    <w:rPr>
      <w:rFonts w:ascii="Times New Roman" w:hAnsi="Times New Roman" w:eastAsia="宋体"/>
      <w:sz w:val="24"/>
    </w:rPr>
  </w:style>
  <w:style w:type="character" w:customStyle="1" w:styleId="48">
    <w:name w:val="正文文本 字符1"/>
    <w:autoRedefine/>
    <w:semiHidden/>
    <w:qFormat/>
    <w:uiPriority w:val="0"/>
    <w:rPr>
      <w:rFonts w:ascii="Times New Roman" w:hAnsi="Times New Roman" w:eastAsia="宋体"/>
      <w:sz w:val="24"/>
    </w:rPr>
  </w:style>
  <w:style w:type="character" w:customStyle="1" w:styleId="49">
    <w:name w:val="批注文字 字符1"/>
    <w:autoRedefine/>
    <w:semiHidden/>
    <w:qFormat/>
    <w:uiPriority w:val="0"/>
    <w:rPr>
      <w:rFonts w:ascii="Times New Roman" w:hAnsi="Times New Roman" w:eastAsia="宋体"/>
      <w:sz w:val="24"/>
    </w:rPr>
  </w:style>
  <w:style w:type="character" w:customStyle="1" w:styleId="50">
    <w:name w:val="页脚 字符"/>
    <w:basedOn w:val="28"/>
    <w:autoRedefine/>
    <w:qFormat/>
    <w:uiPriority w:val="99"/>
  </w:style>
  <w:style w:type="character" w:customStyle="1" w:styleId="51">
    <w:name w:val="表格 Char"/>
    <w:link w:val="52"/>
    <w:autoRedefine/>
    <w:qFormat/>
    <w:locked/>
    <w:uiPriority w:val="0"/>
    <w:rPr>
      <w:rFonts w:ascii="宋体"/>
      <w:sz w:val="21"/>
    </w:rPr>
  </w:style>
  <w:style w:type="paragraph" w:customStyle="1" w:styleId="52">
    <w:name w:val="表格"/>
    <w:basedOn w:val="1"/>
    <w:link w:val="51"/>
    <w:autoRedefine/>
    <w:qFormat/>
    <w:uiPriority w:val="0"/>
    <w:pPr>
      <w:adjustRightInd w:val="0"/>
      <w:snapToGrid w:val="0"/>
      <w:spacing w:beforeLines="10" w:afterLines="10" w:line="259" w:lineRule="auto"/>
      <w:jc w:val="center"/>
    </w:pPr>
    <w:rPr>
      <w:rFonts w:ascii="宋体"/>
      <w:kern w:val="0"/>
      <w:szCs w:val="20"/>
    </w:rPr>
  </w:style>
  <w:style w:type="paragraph" w:customStyle="1" w:styleId="53">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4">
    <w:name w:val="！正文 Alt+0"/>
    <w:basedOn w:val="1"/>
    <w:autoRedefine/>
    <w:qFormat/>
    <w:uiPriority w:val="0"/>
    <w:pPr>
      <w:spacing w:line="360" w:lineRule="auto"/>
      <w:ind w:firstLine="200" w:firstLineChars="200"/>
    </w:pPr>
    <w:rPr>
      <w:rFonts w:ascii="Times New Roman" w:hAnsi="Times New Roman"/>
      <w:sz w:val="28"/>
      <w:szCs w:val="28"/>
    </w:rPr>
  </w:style>
  <w:style w:type="paragraph" w:customStyle="1" w:styleId="55">
    <w:name w:val="ctrl+~  正文"/>
    <w:basedOn w:val="1"/>
    <w:autoRedefine/>
    <w:qFormat/>
    <w:uiPriority w:val="0"/>
    <w:pPr>
      <w:spacing w:line="480" w:lineRule="exact"/>
      <w:ind w:firstLine="480" w:firstLineChars="200"/>
    </w:pPr>
    <w:rPr>
      <w:rFonts w:eastAsia="Times New Roman"/>
      <w:sz w:val="24"/>
      <w:szCs w:val="20"/>
    </w:rPr>
  </w:style>
  <w:style w:type="paragraph" w:customStyle="1" w:styleId="56">
    <w:name w:val="表头2"/>
    <w:basedOn w:val="57"/>
    <w:autoRedefine/>
    <w:qFormat/>
    <w:uiPriority w:val="99"/>
    <w:pPr>
      <w:spacing w:beforeLines="100" w:afterLines="50" w:line="240" w:lineRule="auto"/>
      <w:ind w:firstLine="0" w:firstLineChars="0"/>
      <w:jc w:val="center"/>
    </w:pPr>
    <w:rPr>
      <w:rFonts w:ascii="Times New Roman" w:hAnsi="Times New Roman" w:cs="Times New Roman"/>
      <w:b/>
      <w:bCs/>
      <w:sz w:val="20"/>
      <w:szCs w:val="20"/>
    </w:rPr>
  </w:style>
  <w:style w:type="paragraph" w:customStyle="1" w:styleId="57">
    <w:name w:val="正文（用）"/>
    <w:basedOn w:val="1"/>
    <w:autoRedefine/>
    <w:qFormat/>
    <w:uiPriority w:val="99"/>
    <w:pPr>
      <w:ind w:firstLine="480" w:firstLineChars="200"/>
      <w:jc w:val="left"/>
    </w:pPr>
    <w:rPr>
      <w:rFonts w:ascii="宋体" w:hAnsi="宋体" w:cs="宋体"/>
      <w:kern w:val="0"/>
    </w:rPr>
  </w:style>
  <w:style w:type="paragraph" w:customStyle="1" w:styleId="58">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59">
    <w:name w:val="BG1"/>
    <w:basedOn w:val="1"/>
    <w:autoRedefine/>
    <w:qFormat/>
    <w:uiPriority w:val="0"/>
    <w:pPr>
      <w:autoSpaceDE w:val="0"/>
      <w:autoSpaceDN w:val="0"/>
      <w:jc w:val="center"/>
    </w:pPr>
    <w:rPr>
      <w:color w:val="000000"/>
      <w:kern w:val="0"/>
    </w:rPr>
  </w:style>
  <w:style w:type="paragraph" w:customStyle="1" w:styleId="60">
    <w:name w:val="样式 样式2 + (西文) 黑体 (中文) 黑体 居中"/>
    <w:basedOn w:val="61"/>
    <w:autoRedefine/>
    <w:qFormat/>
    <w:uiPriority w:val="0"/>
    <w:pPr>
      <w:spacing w:line="360" w:lineRule="auto"/>
      <w:ind w:firstLine="0" w:firstLineChars="0"/>
      <w:jc w:val="center"/>
    </w:pPr>
    <w:rPr>
      <w:rFonts w:ascii="宋体" w:hAnsi="宋体"/>
      <w:b/>
      <w:szCs w:val="20"/>
    </w:rPr>
  </w:style>
  <w:style w:type="paragraph" w:customStyle="1" w:styleId="61">
    <w:name w:val="样式2"/>
    <w:basedOn w:val="1"/>
    <w:autoRedefine/>
    <w:qFormat/>
    <w:uiPriority w:val="0"/>
    <w:pPr>
      <w:spacing w:line="500" w:lineRule="exact"/>
      <w:ind w:firstLine="480" w:firstLineChars="200"/>
      <w:textAlignment w:val="baseline"/>
    </w:pPr>
    <w:rPr>
      <w:sz w:val="24"/>
    </w:rPr>
  </w:style>
  <w:style w:type="paragraph" w:customStyle="1" w:styleId="62">
    <w:name w:val="lxc 表格文字"/>
    <w:basedOn w:val="25"/>
    <w:next w:val="14"/>
    <w:autoRedefine/>
    <w:qFormat/>
    <w:uiPriority w:val="0"/>
    <w:pPr>
      <w:snapToGrid w:val="0"/>
      <w:spacing w:line="240" w:lineRule="auto"/>
      <w:ind w:firstLine="0"/>
      <w:textAlignment w:val="center"/>
    </w:pPr>
    <w:rPr>
      <w:rFonts w:ascii="Times New Roman"/>
      <w:spacing w:val="0"/>
      <w:kern w:val="2"/>
      <w:sz w:val="21"/>
      <w:szCs w:val="18"/>
    </w:rPr>
  </w:style>
  <w:style w:type="paragraph" w:customStyle="1" w:styleId="63">
    <w:name w:val="陆晶 正文"/>
    <w:basedOn w:val="1"/>
    <w:autoRedefine/>
    <w:qFormat/>
    <w:uiPriority w:val="0"/>
    <w:pPr>
      <w:spacing w:line="480" w:lineRule="exact"/>
      <w:ind w:firstLine="584" w:firstLineChars="200"/>
    </w:pPr>
    <w:rPr>
      <w:rFonts w:hint="eastAsia" w:ascii="宋体" w:hAnsi="宋体"/>
      <w:color w:val="000000"/>
      <w:spacing w:val="6"/>
      <w:kern w:val="0"/>
      <w:szCs w:val="28"/>
    </w:rPr>
  </w:style>
  <w:style w:type="paragraph" w:customStyle="1" w:styleId="64">
    <w:name w:val="lh-表格文字-报告表"/>
    <w:autoRedefine/>
    <w:qFormat/>
    <w:uiPriority w:val="0"/>
    <w:pPr>
      <w:jc w:val="center"/>
    </w:pPr>
    <w:rPr>
      <w:rFonts w:ascii="Calibri" w:hAnsi="Calibri" w:eastAsia="宋体" w:cs="Times New Roman"/>
      <w:snapToGrid w:val="0"/>
      <w:sz w:val="21"/>
      <w:szCs w:val="24"/>
      <w:lang w:val="en-US" w:eastAsia="zh-CN" w:bidi="ar-SA"/>
    </w:rPr>
  </w:style>
  <w:style w:type="paragraph" w:customStyle="1" w:styleId="65">
    <w:name w:val="List Paragraph"/>
    <w:basedOn w:val="1"/>
    <w:autoRedefine/>
    <w:qFormat/>
    <w:uiPriority w:val="34"/>
    <w:pPr>
      <w:ind w:firstLine="420" w:firstLineChars="200"/>
    </w:pPr>
    <w:rPr>
      <w:rFonts w:ascii="Calibri" w:hAnsi="Calibri" w:eastAsia="宋体" w:cs="Times New Roman"/>
      <w:szCs w:val="22"/>
    </w:rPr>
  </w:style>
  <w:style w:type="paragraph" w:customStyle="1" w:styleId="66">
    <w:name w:val="222表头"/>
    <w:basedOn w:val="1"/>
    <w:autoRedefine/>
    <w:qFormat/>
    <w:uiPriority w:val="0"/>
    <w:pPr>
      <w:spacing w:line="360" w:lineRule="exact"/>
      <w:jc w:val="center"/>
    </w:pPr>
    <w:rPr>
      <w:rFonts w:ascii="宋体" w:hAnsi="宋体" w:eastAsia="Times New Roman"/>
      <w:b/>
      <w:szCs w:val="21"/>
    </w:rPr>
  </w:style>
  <w:style w:type="paragraph" w:customStyle="1" w:styleId="67">
    <w:name w:val="表格内容"/>
    <w:basedOn w:val="1"/>
    <w:next w:val="68"/>
    <w:autoRedefine/>
    <w:qFormat/>
    <w:uiPriority w:val="0"/>
    <w:pPr>
      <w:jc w:val="center"/>
    </w:pPr>
    <w:rPr>
      <w:kern w:val="0"/>
      <w:sz w:val="20"/>
      <w:szCs w:val="21"/>
    </w:rPr>
  </w:style>
  <w:style w:type="paragraph" w:customStyle="1" w:styleId="68">
    <w:name w:val="正文N"/>
    <w:basedOn w:val="1"/>
    <w:autoRedefine/>
    <w:qFormat/>
    <w:uiPriority w:val="0"/>
    <w:pPr>
      <w:spacing w:line="560" w:lineRule="exact"/>
      <w:ind w:firstLine="560" w:firstLineChars="200"/>
    </w:pPr>
    <w:rPr>
      <w:rFonts w:eastAsia="仿宋_GB2312"/>
      <w:sz w:val="28"/>
      <w:szCs w:val="28"/>
    </w:rPr>
  </w:style>
  <w:style w:type="paragraph" w:customStyle="1" w:styleId="69">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表格内文字"/>
    <w:basedOn w:val="1"/>
    <w:next w:val="1"/>
    <w:autoRedefine/>
    <w:qFormat/>
    <w:uiPriority w:val="0"/>
    <w:pPr>
      <w:jc w:val="center"/>
    </w:pPr>
    <w:rPr>
      <w:rFonts w:ascii="Times New Roman" w:hAnsi="Times New Roman"/>
      <w:spacing w:val="1"/>
      <w:kern w:val="0"/>
    </w:rPr>
  </w:style>
  <w:style w:type="paragraph" w:customStyle="1" w:styleId="71">
    <w:name w:val="表格文字"/>
    <w:basedOn w:val="25"/>
    <w:next w:val="1"/>
    <w:autoRedefine/>
    <w:qFormat/>
    <w:uiPriority w:val="0"/>
    <w:pPr>
      <w:adjustRightInd w:val="0"/>
      <w:snapToGrid w:val="0"/>
      <w:jc w:val="center"/>
    </w:pPr>
    <w:rPr>
      <w:rFonts w:ascii="宋体" w:hAnsi="宋体" w:eastAsia="宋体"/>
      <w:kern w:val="2"/>
      <w:sz w:val="21"/>
      <w:lang w:val="en-US" w:eastAsia="zh-CN" w:bidi="ar-SA"/>
    </w:rPr>
  </w:style>
  <w:style w:type="table" w:customStyle="1" w:styleId="72">
    <w:name w:val="标准表格"/>
    <w:basedOn w:val="26"/>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CCE8C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华文仿宋"/>
        <w:sz w:val="18"/>
      </w:rPr>
      <w:tblPr/>
      <w:trPr>
        <w:tblHeader/>
      </w:trPr>
    </w:tblStylePr>
    <w:tblStylePr w:type="firstCol">
      <w:pPr>
        <w:jc w:val="center"/>
      </w:pPr>
    </w:tblStylePr>
  </w:style>
  <w:style w:type="paragraph" w:customStyle="1" w:styleId="73">
    <w:name w:val="表格正文"/>
    <w:basedOn w:val="1"/>
    <w:next w:val="1"/>
    <w:autoRedefine/>
    <w:qFormat/>
    <w:uiPriority w:val="99"/>
    <w:pPr>
      <w:jc w:val="center"/>
    </w:pPr>
    <w:rPr>
      <w:rFonts w:ascii="方正魏碑简体" w:eastAsia="方正魏碑简体"/>
    </w:rPr>
  </w:style>
  <w:style w:type="paragraph" w:customStyle="1" w:styleId="74">
    <w:name w:val="表文字"/>
    <w:basedOn w:val="22"/>
    <w:autoRedefine/>
    <w:qFormat/>
    <w:uiPriority w:val="0"/>
    <w:pPr>
      <w:overflowPunct w:val="0"/>
      <w:autoSpaceDE w:val="0"/>
      <w:autoSpaceDN w:val="0"/>
      <w:adjustRightInd w:val="0"/>
      <w:spacing w:line="240" w:lineRule="atLeast"/>
      <w:jc w:val="center"/>
      <w:textAlignment w:val="baseline"/>
    </w:pPr>
    <w:rPr>
      <w:kern w:val="0"/>
      <w:sz w:val="24"/>
      <w:szCs w:val="20"/>
    </w:rPr>
  </w:style>
  <w:style w:type="paragraph" w:customStyle="1" w:styleId="75">
    <w:name w:val="公式"/>
    <w:basedOn w:val="1"/>
    <w:next w:val="1"/>
    <w:autoRedefine/>
    <w:qFormat/>
    <w:uiPriority w:val="0"/>
    <w:pPr>
      <w:spacing w:before="120" w:after="120" w:line="240" w:lineRule="auto"/>
      <w:ind w:firstLine="0" w:firstLineChars="0"/>
      <w:jc w:val="center"/>
    </w:pPr>
    <w:rPr>
      <w:rFonts w:eastAsia="华文仿宋"/>
      <w:snapToGrid w:val="0"/>
      <w:sz w:val="28"/>
      <w:szCs w:val="18"/>
    </w:rPr>
  </w:style>
  <w:style w:type="paragraph" w:customStyle="1" w:styleId="76">
    <w:name w:val="填表内容"/>
    <w:basedOn w:val="1"/>
    <w:autoRedefine/>
    <w:qFormat/>
    <w:uiPriority w:val="0"/>
    <w:pPr>
      <w:adjustRightInd w:val="0"/>
      <w:spacing w:line="480" w:lineRule="exact"/>
      <w:ind w:firstLine="560" w:firstLineChars="200"/>
      <w:jc w:val="left"/>
      <w:textAlignment w:val="baseline"/>
    </w:pPr>
    <w:rPr>
      <w:rFonts w:ascii="楷体_GB2312" w:eastAsia="楷体_GB2312"/>
      <w:sz w:val="28"/>
      <w:szCs w:val="20"/>
    </w:rPr>
  </w:style>
  <w:style w:type="paragraph" w:customStyle="1" w:styleId="77">
    <w:name w:val="表体"/>
    <w:basedOn w:val="1"/>
    <w:autoRedefine/>
    <w:qFormat/>
    <w:uiPriority w:val="0"/>
    <w:pPr>
      <w:adjustRightInd w:val="0"/>
      <w:snapToGrid w:val="0"/>
      <w:spacing w:line="240" w:lineRule="atLeast"/>
      <w:jc w:val="center"/>
    </w:pPr>
    <w:rPr>
      <w:rFonts w:ascii="仿宋_GB2312" w:eastAsia="仿宋_GB2312"/>
    </w:rPr>
  </w:style>
  <w:style w:type="paragraph" w:customStyle="1" w:styleId="78">
    <w:name w:val=" Char1"/>
    <w:basedOn w:val="1"/>
    <w:autoRedefine/>
    <w:qFormat/>
    <w:uiPriority w:val="0"/>
    <w:pPr>
      <w:spacing w:line="360" w:lineRule="auto"/>
      <w:ind w:firstLine="200" w:firstLineChars="200"/>
    </w:pPr>
    <w:rPr>
      <w:rFonts w:ascii="宋体" w:hAnsi="宋体"/>
      <w:kern w:val="0"/>
      <w:sz w:val="24"/>
      <w:szCs w:val="20"/>
    </w:rPr>
  </w:style>
  <w:style w:type="paragraph" w:customStyle="1" w:styleId="79">
    <w:name w:val="ZS-表头"/>
    <w:basedOn w:val="1"/>
    <w:next w:val="80"/>
    <w:autoRedefine/>
    <w:qFormat/>
    <w:uiPriority w:val="0"/>
    <w:pPr>
      <w:jc w:val="center"/>
    </w:pPr>
    <w:rPr>
      <w:rFonts w:eastAsia="黑体"/>
      <w:b/>
    </w:rPr>
  </w:style>
  <w:style w:type="paragraph" w:customStyle="1" w:styleId="80">
    <w:name w:val="ZS-表格"/>
    <w:basedOn w:val="1"/>
    <w:autoRedefine/>
    <w:qFormat/>
    <w:uiPriority w:val="0"/>
    <w:pPr>
      <w:spacing w:line="240" w:lineRule="auto"/>
      <w:jc w:val="center"/>
    </w:pPr>
    <w:rPr>
      <w:sz w:val="21"/>
    </w:rPr>
  </w:style>
  <w:style w:type="paragraph" w:customStyle="1" w:styleId="81">
    <w:name w:val="_cyj_正文"/>
    <w:basedOn w:val="1"/>
    <w:autoRedefine/>
    <w:qFormat/>
    <w:uiPriority w:val="0"/>
    <w:pPr>
      <w:spacing w:line="480" w:lineRule="exact"/>
      <w:ind w:firstLine="200" w:firstLineChars="200"/>
    </w:pPr>
    <w:rPr>
      <w:rFonts w:hAnsi="宋体"/>
      <w:sz w:val="24"/>
      <w:szCs w:val="24"/>
    </w:rPr>
  </w:style>
  <w:style w:type="paragraph" w:customStyle="1" w:styleId="82">
    <w:name w:val="7表格文字"/>
    <w:basedOn w:val="1"/>
    <w:autoRedefine/>
    <w:qFormat/>
    <w:uiPriority w:val="0"/>
    <w:pPr>
      <w:spacing w:line="240" w:lineRule="auto"/>
      <w:ind w:firstLine="0" w:firstLineChars="0"/>
      <w:jc w:val="center"/>
    </w:pPr>
    <w:rPr>
      <w:sz w:val="21"/>
    </w:rPr>
  </w:style>
  <w:style w:type="paragraph" w:customStyle="1" w:styleId="83">
    <w:name w:val="样式 小四 黑色 行距: 固定值 26 磅"/>
    <w:basedOn w:val="1"/>
    <w:autoRedefine/>
    <w:qFormat/>
    <w:uiPriority w:val="0"/>
    <w:pPr>
      <w:spacing w:line="520" w:lineRule="exact"/>
      <w:ind w:firstLine="504" w:firstLineChars="200"/>
    </w:pPr>
    <w:rPr>
      <w:rFonts w:cs="宋体"/>
      <w:color w:val="000000"/>
      <w:spacing w:val="6"/>
      <w:sz w:val="24"/>
      <w:szCs w:val="20"/>
    </w:rPr>
  </w:style>
  <w:style w:type="paragraph" w:customStyle="1" w:styleId="84">
    <w:name w:val="表格中文字信用"/>
    <w:basedOn w:val="1"/>
    <w:autoRedefine/>
    <w:qFormat/>
    <w:uiPriority w:val="0"/>
    <w:pPr>
      <w:jc w:val="center"/>
    </w:pPr>
    <w:rPr>
      <w:sz w:val="21"/>
      <w:szCs w:val="21"/>
    </w:rPr>
  </w:style>
  <w:style w:type="paragraph" w:customStyle="1" w:styleId="85">
    <w:name w:val="赵"/>
    <w:basedOn w:val="1"/>
    <w:autoRedefine/>
    <w:qFormat/>
    <w:uiPriority w:val="0"/>
    <w:pPr>
      <w:spacing w:line="360" w:lineRule="auto"/>
      <w:ind w:firstLine="200" w:firstLineChars="200"/>
    </w:pPr>
    <w:rPr>
      <w:sz w:val="24"/>
    </w:rPr>
  </w:style>
  <w:style w:type="paragraph" w:customStyle="1" w:styleId="86">
    <w:name w:val="无间隔1"/>
    <w:basedOn w:val="3"/>
    <w:autoRedefine/>
    <w:qFormat/>
    <w:uiPriority w:val="1"/>
    <w:pPr>
      <w:keepNext w:val="0"/>
      <w:keepLines w:val="0"/>
      <w:spacing w:before="440" w:beforeLines="0" w:after="440" w:afterLines="0" w:line="400" w:lineRule="exact"/>
    </w:pPr>
    <w:rPr>
      <w:rFonts w:ascii="Times New Roman" w:hAnsi="Times New Roman" w:eastAsia="宋体"/>
      <w:color w:val="000000"/>
      <w:sz w:val="28"/>
    </w:rPr>
  </w:style>
  <w:style w:type="paragraph" w:customStyle="1" w:styleId="87">
    <w:name w:val="全文"/>
    <w:basedOn w:val="1"/>
    <w:autoRedefine/>
    <w:qFormat/>
    <w:uiPriority w:val="0"/>
    <w:pPr>
      <w:widowControl/>
      <w:spacing w:line="500" w:lineRule="exact"/>
      <w:ind w:firstLine="200" w:firstLineChars="200"/>
      <w:jc w:val="left"/>
    </w:pPr>
    <w:rPr>
      <w:rFonts w:ascii="Times New Roman" w:hAnsi="Times New Roman" w:eastAsia="宋体" w:cs="Times New Roman"/>
      <w:kern w:val="0"/>
      <w:szCs w:val="24"/>
      <w:lang w:eastAsia="en-US" w:bidi="en-US"/>
    </w:rPr>
  </w:style>
  <w:style w:type="paragraph" w:customStyle="1" w:styleId="88">
    <w:name w:val="表头111"/>
    <w:basedOn w:val="1"/>
    <w:autoRedefine/>
    <w:qFormat/>
    <w:uiPriority w:val="0"/>
    <w:pPr>
      <w:adjustRightInd w:val="0"/>
      <w:snapToGrid w:val="0"/>
      <w:spacing w:before="120" w:after="120"/>
      <w:jc w:val="center"/>
    </w:pPr>
    <w:rPr>
      <w:b/>
      <w:sz w:val="24"/>
      <w:szCs w:val="28"/>
    </w:rPr>
  </w:style>
  <w:style w:type="paragraph" w:customStyle="1" w:styleId="89">
    <w:name w:val="正文 首行缩进:  2 字符"/>
    <w:basedOn w:val="1"/>
    <w:autoRedefine/>
    <w:qFormat/>
    <w:uiPriority w:val="0"/>
    <w:pPr>
      <w:widowControl w:val="0"/>
      <w:snapToGrid w:val="0"/>
      <w:spacing w:after="0" w:line="500" w:lineRule="exact"/>
      <w:ind w:firstLine="480" w:firstLineChars="200"/>
    </w:pPr>
    <w:rPr>
      <w:rFonts w:ascii="宋体" w:hAnsi="宋体" w:cs="宋体"/>
      <w:kern w:val="2"/>
      <w:sz w:val="24"/>
      <w:szCs w:val="24"/>
      <w:lang w:eastAsia="zh-CN" w:bidi="ar-SA"/>
    </w:rPr>
  </w:style>
  <w:style w:type="paragraph" w:customStyle="1" w:styleId="90">
    <w:name w:val="正文 首行缩进"/>
    <w:basedOn w:val="1"/>
    <w:autoRedefine/>
    <w:qFormat/>
    <w:uiPriority w:val="0"/>
    <w:pPr>
      <w:spacing w:line="360" w:lineRule="auto"/>
      <w:ind w:firstLine="200" w:firstLineChars="200"/>
    </w:pPr>
    <w:rPr>
      <w:rFonts w:cs="宋体"/>
      <w:kern w:val="0"/>
      <w:szCs w:val="20"/>
    </w:rPr>
  </w:style>
  <w:style w:type="paragraph" w:customStyle="1" w:styleId="91">
    <w:name w:val="TT表格文字"/>
    <w:basedOn w:val="1"/>
    <w:autoRedefine/>
    <w:qFormat/>
    <w:uiPriority w:val="0"/>
    <w:pPr>
      <w:jc w:val="center"/>
    </w:pPr>
    <w:rPr>
      <w:rFonts w:cs="宋体"/>
      <w:szCs w:val="20"/>
    </w:rPr>
  </w:style>
  <w:style w:type="paragraph" w:customStyle="1" w:styleId="92">
    <w:name w:val="1表头"/>
    <w:basedOn w:val="1"/>
    <w:autoRedefine/>
    <w:qFormat/>
    <w:uiPriority w:val="0"/>
    <w:pPr>
      <w:adjustRightInd w:val="0"/>
      <w:snapToGrid w:val="0"/>
      <w:spacing w:before="62" w:beforeLines="20" w:after="62" w:afterLines="20"/>
      <w:jc w:val="center"/>
    </w:pPr>
    <w:rPr>
      <w:b/>
      <w:szCs w:val="24"/>
    </w:rPr>
  </w:style>
  <w:style w:type="paragraph" w:customStyle="1" w:styleId="93">
    <w:name w:val="1正文"/>
    <w:autoRedefine/>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4">
    <w:name w:val="样式 表格名称 + 小四 段前: 0.5 行"/>
    <w:basedOn w:val="1"/>
    <w:qFormat/>
    <w:uiPriority w:val="0"/>
    <w:pPr>
      <w:spacing w:before="50" w:beforeLines="50"/>
      <w:jc w:val="center"/>
    </w:pPr>
    <w:rPr>
      <w:rFonts w:cs="宋体"/>
      <w:b/>
      <w:bCs/>
    </w:rPr>
  </w:style>
  <w:style w:type="paragraph" w:customStyle="1" w:styleId="95">
    <w:name w:val="Table Paragraph"/>
    <w:basedOn w:val="1"/>
    <w:qFormat/>
    <w:uiPriority w:val="1"/>
    <w:pPr>
      <w:jc w:val="left"/>
    </w:pPr>
    <w:rPr>
      <w:rFonts w:ascii="Calibri" w:hAnsi="Calibri"/>
      <w:kern w:val="0"/>
      <w:sz w:val="22"/>
      <w:szCs w:val="22"/>
      <w:lang w:eastAsia="en-US"/>
    </w:rPr>
  </w:style>
  <w:style w:type="paragraph" w:customStyle="1" w:styleId="96">
    <w:name w:val="小表格"/>
    <w:basedOn w:val="1"/>
    <w:qFormat/>
    <w:uiPriority w:val="0"/>
    <w:pPr>
      <w:spacing w:line="240" w:lineRule="auto"/>
      <w:ind w:firstLine="0" w:firstLineChars="0"/>
      <w:jc w:val="center"/>
    </w:pPr>
    <w:rPr>
      <w:rFonts w:hint="eastAsia"/>
      <w:sz w:val="21"/>
      <w:szCs w:val="21"/>
    </w:rPr>
  </w:style>
  <w:style w:type="paragraph" w:customStyle="1" w:styleId="97">
    <w:name w:val="正文-易恒"/>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98">
    <w:name w:val="表头-易恒"/>
    <w:basedOn w:val="97"/>
    <w:next w:val="97"/>
    <w:qFormat/>
    <w:uiPriority w:val="0"/>
    <w:pPr>
      <w:spacing w:beforeLines="50" w:line="240" w:lineRule="auto"/>
      <w:ind w:firstLine="0" w:firstLineChars="0"/>
      <w:jc w:val="center"/>
    </w:pPr>
    <w:rPr>
      <w:b/>
    </w:rPr>
  </w:style>
  <w:style w:type="paragraph" w:customStyle="1" w:styleId="99">
    <w:name w:val="表格-易恒"/>
    <w:basedOn w:val="97"/>
    <w:qFormat/>
    <w:uiPriority w:val="0"/>
    <w:pPr>
      <w:spacing w:line="240" w:lineRule="auto"/>
      <w:ind w:firstLine="0" w:firstLineChars="0"/>
      <w:jc w:val="center"/>
    </w:pPr>
    <w:rPr>
      <w:sz w:val="21"/>
    </w:rPr>
  </w:style>
  <w:style w:type="paragraph" w:customStyle="1" w:styleId="100">
    <w:name w:val="样式 正文缩进 + 四号 加粗 黑色 首行缩进:  2 字符"/>
    <w:basedOn w:val="8"/>
    <w:qFormat/>
    <w:uiPriority w:val="0"/>
    <w:pPr>
      <w:spacing w:line="360" w:lineRule="auto"/>
      <w:ind w:firstLine="562"/>
    </w:pPr>
    <w:rPr>
      <w:rFonts w:cs="宋体"/>
      <w:b/>
      <w:bCs/>
      <w:color w:val="000000"/>
      <w:sz w:val="28"/>
    </w:rPr>
  </w:style>
  <w:style w:type="paragraph" w:customStyle="1" w:styleId="101">
    <w:name w:val="正文  小4"/>
    <w:qFormat/>
    <w:uiPriority w:val="0"/>
    <w:pPr>
      <w:spacing w:line="360" w:lineRule="auto"/>
      <w:ind w:firstLine="200" w:firstLineChars="200"/>
      <w:jc w:val="both"/>
    </w:pPr>
    <w:rPr>
      <w:rFonts w:ascii="Calibri" w:hAnsi="Calibri" w:eastAsia="宋体" w:cs="Times New Roman"/>
      <w:sz w:val="24"/>
      <w:szCs w:val="24"/>
      <w:lang w:val="en-US" w:eastAsia="zh-CN" w:bidi="ar-SA"/>
    </w:rPr>
  </w:style>
  <w:style w:type="paragraph" w:customStyle="1" w:styleId="102">
    <w:name w:val="5、正文"/>
    <w:basedOn w:val="14"/>
    <w:qFormat/>
    <w:uiPriority w:val="0"/>
    <w:rPr>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56.jpeg"/><Relationship Id="rId98" Type="http://schemas.openxmlformats.org/officeDocument/2006/relationships/image" Target="media/image55.jpeg"/><Relationship Id="rId97" Type="http://schemas.openxmlformats.org/officeDocument/2006/relationships/image" Target="media/image54.png"/><Relationship Id="rId96" Type="http://schemas.openxmlformats.org/officeDocument/2006/relationships/image" Target="media/image53.png"/><Relationship Id="rId95" Type="http://schemas.openxmlformats.org/officeDocument/2006/relationships/image" Target="media/image52.png"/><Relationship Id="rId94" Type="http://schemas.openxmlformats.org/officeDocument/2006/relationships/image" Target="media/image51.jpeg"/><Relationship Id="rId93" Type="http://schemas.openxmlformats.org/officeDocument/2006/relationships/image" Target="media/image50.png"/><Relationship Id="rId92" Type="http://schemas.openxmlformats.org/officeDocument/2006/relationships/image" Target="media/image49.wmf"/><Relationship Id="rId91" Type="http://schemas.openxmlformats.org/officeDocument/2006/relationships/oleObject" Target="embeddings/oleObject35.bin"/><Relationship Id="rId90" Type="http://schemas.openxmlformats.org/officeDocument/2006/relationships/image" Target="media/image48.wmf"/><Relationship Id="rId9" Type="http://schemas.openxmlformats.org/officeDocument/2006/relationships/image" Target="media/image1.jpeg"/><Relationship Id="rId89" Type="http://schemas.openxmlformats.org/officeDocument/2006/relationships/oleObject" Target="embeddings/oleObject34.bin"/><Relationship Id="rId88" Type="http://schemas.openxmlformats.org/officeDocument/2006/relationships/image" Target="media/image47.wmf"/><Relationship Id="rId87" Type="http://schemas.openxmlformats.org/officeDocument/2006/relationships/oleObject" Target="embeddings/oleObject33.bin"/><Relationship Id="rId86" Type="http://schemas.openxmlformats.org/officeDocument/2006/relationships/image" Target="media/image46.wmf"/><Relationship Id="rId85" Type="http://schemas.openxmlformats.org/officeDocument/2006/relationships/oleObject" Target="embeddings/oleObject32.bin"/><Relationship Id="rId84" Type="http://schemas.openxmlformats.org/officeDocument/2006/relationships/oleObject" Target="embeddings/oleObject31.bin"/><Relationship Id="rId83" Type="http://schemas.openxmlformats.org/officeDocument/2006/relationships/oleObject" Target="embeddings/oleObject30.bin"/><Relationship Id="rId82" Type="http://schemas.openxmlformats.org/officeDocument/2006/relationships/image" Target="media/image45.wmf"/><Relationship Id="rId81" Type="http://schemas.openxmlformats.org/officeDocument/2006/relationships/oleObject" Target="embeddings/oleObject29.bin"/><Relationship Id="rId80" Type="http://schemas.openxmlformats.org/officeDocument/2006/relationships/image" Target="media/image44.wmf"/><Relationship Id="rId8" Type="http://schemas.openxmlformats.org/officeDocument/2006/relationships/theme" Target="theme/theme1.xml"/><Relationship Id="rId79" Type="http://schemas.openxmlformats.org/officeDocument/2006/relationships/oleObject" Target="embeddings/oleObject28.bin"/><Relationship Id="rId78" Type="http://schemas.openxmlformats.org/officeDocument/2006/relationships/image" Target="media/image43.wmf"/><Relationship Id="rId77" Type="http://schemas.openxmlformats.org/officeDocument/2006/relationships/oleObject" Target="embeddings/oleObject27.bin"/><Relationship Id="rId76" Type="http://schemas.openxmlformats.org/officeDocument/2006/relationships/oleObject" Target="embeddings/oleObject26.bin"/><Relationship Id="rId75" Type="http://schemas.openxmlformats.org/officeDocument/2006/relationships/image" Target="media/image42.wmf"/><Relationship Id="rId74" Type="http://schemas.openxmlformats.org/officeDocument/2006/relationships/oleObject" Target="embeddings/oleObject25.bin"/><Relationship Id="rId73" Type="http://schemas.openxmlformats.org/officeDocument/2006/relationships/image" Target="media/image41.wmf"/><Relationship Id="rId72" Type="http://schemas.openxmlformats.org/officeDocument/2006/relationships/oleObject" Target="embeddings/oleObject24.bin"/><Relationship Id="rId71" Type="http://schemas.openxmlformats.org/officeDocument/2006/relationships/image" Target="media/image40.wmf"/><Relationship Id="rId70" Type="http://schemas.openxmlformats.org/officeDocument/2006/relationships/oleObject" Target="embeddings/oleObject23.bin"/><Relationship Id="rId7" Type="http://schemas.openxmlformats.org/officeDocument/2006/relationships/footer" Target="footer5.xml"/><Relationship Id="rId69" Type="http://schemas.openxmlformats.org/officeDocument/2006/relationships/image" Target="media/image39.wmf"/><Relationship Id="rId68" Type="http://schemas.openxmlformats.org/officeDocument/2006/relationships/oleObject" Target="embeddings/oleObject22.bin"/><Relationship Id="rId67" Type="http://schemas.openxmlformats.org/officeDocument/2006/relationships/image" Target="media/image38.wmf"/><Relationship Id="rId66" Type="http://schemas.openxmlformats.org/officeDocument/2006/relationships/oleObject" Target="embeddings/oleObject21.bin"/><Relationship Id="rId65" Type="http://schemas.openxmlformats.org/officeDocument/2006/relationships/image" Target="media/image37.wmf"/><Relationship Id="rId64" Type="http://schemas.openxmlformats.org/officeDocument/2006/relationships/oleObject" Target="embeddings/oleObject20.bin"/><Relationship Id="rId63" Type="http://schemas.openxmlformats.org/officeDocument/2006/relationships/oleObject" Target="embeddings/oleObject19.bin"/><Relationship Id="rId62" Type="http://schemas.openxmlformats.org/officeDocument/2006/relationships/image" Target="media/image36.wmf"/><Relationship Id="rId61" Type="http://schemas.openxmlformats.org/officeDocument/2006/relationships/oleObject" Target="embeddings/oleObject18.bin"/><Relationship Id="rId60" Type="http://schemas.openxmlformats.org/officeDocument/2006/relationships/image" Target="media/image35.wmf"/><Relationship Id="rId6" Type="http://schemas.openxmlformats.org/officeDocument/2006/relationships/footer" Target="footer4.xml"/><Relationship Id="rId59" Type="http://schemas.openxmlformats.org/officeDocument/2006/relationships/oleObject" Target="embeddings/oleObject17.bin"/><Relationship Id="rId58" Type="http://schemas.openxmlformats.org/officeDocument/2006/relationships/oleObject" Target="embeddings/oleObject16.bin"/><Relationship Id="rId57" Type="http://schemas.openxmlformats.org/officeDocument/2006/relationships/image" Target="media/image34.wmf"/><Relationship Id="rId56" Type="http://schemas.openxmlformats.org/officeDocument/2006/relationships/oleObject" Target="embeddings/oleObject15.bin"/><Relationship Id="rId55" Type="http://schemas.openxmlformats.org/officeDocument/2006/relationships/image" Target="media/image33.wmf"/><Relationship Id="rId54" Type="http://schemas.openxmlformats.org/officeDocument/2006/relationships/oleObject" Target="embeddings/oleObject14.bin"/><Relationship Id="rId53" Type="http://schemas.openxmlformats.org/officeDocument/2006/relationships/image" Target="media/image32.wmf"/><Relationship Id="rId52" Type="http://schemas.openxmlformats.org/officeDocument/2006/relationships/oleObject" Target="embeddings/oleObject13.bin"/><Relationship Id="rId51" Type="http://schemas.openxmlformats.org/officeDocument/2006/relationships/image" Target="media/image31.wmf"/><Relationship Id="rId50" Type="http://schemas.openxmlformats.org/officeDocument/2006/relationships/oleObject" Target="embeddings/oleObject12.bin"/><Relationship Id="rId5" Type="http://schemas.openxmlformats.org/officeDocument/2006/relationships/footer" Target="footer3.xml"/><Relationship Id="rId49" Type="http://schemas.openxmlformats.org/officeDocument/2006/relationships/image" Target="media/image30.wmf"/><Relationship Id="rId48" Type="http://schemas.openxmlformats.org/officeDocument/2006/relationships/oleObject" Target="embeddings/oleObject11.bin"/><Relationship Id="rId47" Type="http://schemas.openxmlformats.org/officeDocument/2006/relationships/image" Target="media/image29.wmf"/><Relationship Id="rId46" Type="http://schemas.openxmlformats.org/officeDocument/2006/relationships/oleObject" Target="embeddings/oleObject10.bin"/><Relationship Id="rId45" Type="http://schemas.openxmlformats.org/officeDocument/2006/relationships/image" Target="media/image28.wmf"/><Relationship Id="rId44" Type="http://schemas.openxmlformats.org/officeDocument/2006/relationships/oleObject" Target="embeddings/oleObject9.bin"/><Relationship Id="rId43" Type="http://schemas.openxmlformats.org/officeDocument/2006/relationships/image" Target="media/image27.wmf"/><Relationship Id="rId42" Type="http://schemas.openxmlformats.org/officeDocument/2006/relationships/oleObject" Target="embeddings/oleObject8.bin"/><Relationship Id="rId41" Type="http://schemas.openxmlformats.org/officeDocument/2006/relationships/image" Target="media/image26.wmf"/><Relationship Id="rId40" Type="http://schemas.openxmlformats.org/officeDocument/2006/relationships/oleObject" Target="embeddings/oleObject7.bin"/><Relationship Id="rId4" Type="http://schemas.openxmlformats.org/officeDocument/2006/relationships/footer" Target="footer2.xml"/><Relationship Id="rId39" Type="http://schemas.openxmlformats.org/officeDocument/2006/relationships/image" Target="media/image25.wmf"/><Relationship Id="rId38" Type="http://schemas.openxmlformats.org/officeDocument/2006/relationships/oleObject" Target="embeddings/oleObject6.bin"/><Relationship Id="rId37" Type="http://schemas.openxmlformats.org/officeDocument/2006/relationships/image" Target="media/image24.wmf"/><Relationship Id="rId36" Type="http://schemas.openxmlformats.org/officeDocument/2006/relationships/oleObject" Target="embeddings/oleObject5.bin"/><Relationship Id="rId35" Type="http://schemas.openxmlformats.org/officeDocument/2006/relationships/image" Target="media/image23.wmf"/><Relationship Id="rId34" Type="http://schemas.openxmlformats.org/officeDocument/2006/relationships/oleObject" Target="embeddings/oleObject4.bin"/><Relationship Id="rId33" Type="http://schemas.openxmlformats.org/officeDocument/2006/relationships/image" Target="media/image22.wmf"/><Relationship Id="rId32" Type="http://schemas.openxmlformats.org/officeDocument/2006/relationships/oleObject" Target="embeddings/oleObject3.bin"/><Relationship Id="rId31" Type="http://schemas.openxmlformats.org/officeDocument/2006/relationships/image" Target="media/image21.png"/><Relationship Id="rId30" Type="http://schemas.openxmlformats.org/officeDocument/2006/relationships/image" Target="media/image20.wmf"/><Relationship Id="rId3" Type="http://schemas.openxmlformats.org/officeDocument/2006/relationships/footer" Target="footer1.xml"/><Relationship Id="rId29" Type="http://schemas.openxmlformats.org/officeDocument/2006/relationships/oleObject" Target="embeddings/oleObject2.bin"/><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emf"/><Relationship Id="rId18" Type="http://schemas.openxmlformats.org/officeDocument/2006/relationships/oleObject" Target="embeddings/oleObject1.bin"/><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7" Type="http://schemas.openxmlformats.org/officeDocument/2006/relationships/fontTable" Target="fontTable.xml"/><Relationship Id="rId146" Type="http://schemas.openxmlformats.org/officeDocument/2006/relationships/numbering" Target="numbering.xml"/><Relationship Id="rId145" Type="http://schemas.openxmlformats.org/officeDocument/2006/relationships/customXml" Target="../customXml/item1.xml"/><Relationship Id="rId144" Type="http://schemas.openxmlformats.org/officeDocument/2006/relationships/image" Target="media/image101.png"/><Relationship Id="rId143" Type="http://schemas.openxmlformats.org/officeDocument/2006/relationships/image" Target="media/image100.png"/><Relationship Id="rId142" Type="http://schemas.openxmlformats.org/officeDocument/2006/relationships/image" Target="media/image99.png"/><Relationship Id="rId141" Type="http://schemas.openxmlformats.org/officeDocument/2006/relationships/image" Target="media/image98.png"/><Relationship Id="rId140" Type="http://schemas.openxmlformats.org/officeDocument/2006/relationships/image" Target="media/image97.png"/><Relationship Id="rId14" Type="http://schemas.openxmlformats.org/officeDocument/2006/relationships/image" Target="media/image6.png"/><Relationship Id="rId139" Type="http://schemas.openxmlformats.org/officeDocument/2006/relationships/image" Target="media/image96.png"/><Relationship Id="rId138" Type="http://schemas.openxmlformats.org/officeDocument/2006/relationships/image" Target="media/image95.png"/><Relationship Id="rId137" Type="http://schemas.openxmlformats.org/officeDocument/2006/relationships/image" Target="media/image94.png"/><Relationship Id="rId136" Type="http://schemas.openxmlformats.org/officeDocument/2006/relationships/image" Target="media/image93.png"/><Relationship Id="rId135" Type="http://schemas.openxmlformats.org/officeDocument/2006/relationships/image" Target="media/image92.png"/><Relationship Id="rId134" Type="http://schemas.openxmlformats.org/officeDocument/2006/relationships/image" Target="media/image91.png"/><Relationship Id="rId133" Type="http://schemas.openxmlformats.org/officeDocument/2006/relationships/image" Target="media/image90.png"/><Relationship Id="rId132" Type="http://schemas.openxmlformats.org/officeDocument/2006/relationships/image" Target="media/image89.png"/><Relationship Id="rId131" Type="http://schemas.openxmlformats.org/officeDocument/2006/relationships/image" Target="media/image88.png"/><Relationship Id="rId130" Type="http://schemas.openxmlformats.org/officeDocument/2006/relationships/image" Target="media/image87.png"/><Relationship Id="rId13" Type="http://schemas.openxmlformats.org/officeDocument/2006/relationships/image" Target="media/image5.png"/><Relationship Id="rId129" Type="http://schemas.openxmlformats.org/officeDocument/2006/relationships/image" Target="media/image86.png"/><Relationship Id="rId128" Type="http://schemas.openxmlformats.org/officeDocument/2006/relationships/image" Target="media/image85.png"/><Relationship Id="rId127" Type="http://schemas.openxmlformats.org/officeDocument/2006/relationships/image" Target="media/image84.png"/><Relationship Id="rId126" Type="http://schemas.openxmlformats.org/officeDocument/2006/relationships/image" Target="media/image83.png"/><Relationship Id="rId125" Type="http://schemas.openxmlformats.org/officeDocument/2006/relationships/image" Target="media/image82.png"/><Relationship Id="rId124" Type="http://schemas.openxmlformats.org/officeDocument/2006/relationships/image" Target="media/image81.png"/><Relationship Id="rId123" Type="http://schemas.openxmlformats.org/officeDocument/2006/relationships/image" Target="media/image80.png"/><Relationship Id="rId122" Type="http://schemas.openxmlformats.org/officeDocument/2006/relationships/image" Target="media/image79.png"/><Relationship Id="rId121" Type="http://schemas.openxmlformats.org/officeDocument/2006/relationships/image" Target="media/image78.png"/><Relationship Id="rId120" Type="http://schemas.openxmlformats.org/officeDocument/2006/relationships/image" Target="media/image77.png"/><Relationship Id="rId12" Type="http://schemas.openxmlformats.org/officeDocument/2006/relationships/image" Target="media/image4.png"/><Relationship Id="rId119" Type="http://schemas.openxmlformats.org/officeDocument/2006/relationships/image" Target="media/image76.png"/><Relationship Id="rId118" Type="http://schemas.openxmlformats.org/officeDocument/2006/relationships/image" Target="media/image75.png"/><Relationship Id="rId117" Type="http://schemas.openxmlformats.org/officeDocument/2006/relationships/image" Target="media/image74.png"/><Relationship Id="rId116" Type="http://schemas.openxmlformats.org/officeDocument/2006/relationships/image" Target="media/image73.png"/><Relationship Id="rId115" Type="http://schemas.openxmlformats.org/officeDocument/2006/relationships/image" Target="media/image72.png"/><Relationship Id="rId114" Type="http://schemas.openxmlformats.org/officeDocument/2006/relationships/image" Target="media/image71.png"/><Relationship Id="rId113" Type="http://schemas.openxmlformats.org/officeDocument/2006/relationships/image" Target="media/image70.png"/><Relationship Id="rId112" Type="http://schemas.openxmlformats.org/officeDocument/2006/relationships/image" Target="media/image69.png"/><Relationship Id="rId111" Type="http://schemas.openxmlformats.org/officeDocument/2006/relationships/image" Target="media/image68.png"/><Relationship Id="rId110" Type="http://schemas.openxmlformats.org/officeDocument/2006/relationships/image" Target="media/image67.png"/><Relationship Id="rId11" Type="http://schemas.openxmlformats.org/officeDocument/2006/relationships/image" Target="media/image3.png"/><Relationship Id="rId109" Type="http://schemas.openxmlformats.org/officeDocument/2006/relationships/image" Target="media/image66.png"/><Relationship Id="rId108" Type="http://schemas.openxmlformats.org/officeDocument/2006/relationships/image" Target="media/image65.png"/><Relationship Id="rId107" Type="http://schemas.openxmlformats.org/officeDocument/2006/relationships/image" Target="media/image64.png"/><Relationship Id="rId106" Type="http://schemas.openxmlformats.org/officeDocument/2006/relationships/image" Target="media/image63.png"/><Relationship Id="rId105" Type="http://schemas.openxmlformats.org/officeDocument/2006/relationships/image" Target="media/image62.png"/><Relationship Id="rId104" Type="http://schemas.openxmlformats.org/officeDocument/2006/relationships/image" Target="media/image61.jpeg"/><Relationship Id="rId103" Type="http://schemas.openxmlformats.org/officeDocument/2006/relationships/image" Target="media/image60.jpeg"/><Relationship Id="rId102" Type="http://schemas.openxmlformats.org/officeDocument/2006/relationships/image" Target="media/image59.jpeg"/><Relationship Id="rId101" Type="http://schemas.openxmlformats.org/officeDocument/2006/relationships/image" Target="media/image58.jpeg"/><Relationship Id="rId100" Type="http://schemas.openxmlformats.org/officeDocument/2006/relationships/image" Target="media/image57.jpe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tags>
    <s:tag s:spid="">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item s:name="KSO_WM_BEAUTIFY_FLAG" s:val=""/>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134</Pages>
  <Words>19020</Words>
  <Characters>20332</Characters>
  <Lines>277</Lines>
  <Paragraphs>78</Paragraphs>
  <TotalTime>0</TotalTime>
  <ScaleCrop>false</ScaleCrop>
  <LinksUpToDate>false</LinksUpToDate>
  <CharactersWithSpaces>20587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ww</dc:creator>
  <cp:lastModifiedBy>trouble</cp:lastModifiedBy>
  <cp:lastPrinted>2020-12-29T02:43:00Z</cp:lastPrinted>
  <dcterms:modified xsi:type="dcterms:W3CDTF">2025-08-18T08:42:19Z</dcterms:modified>
  <dc:title>附件2</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D34329FB0AEE4E0D9705F9DB36A320E0_13</vt:lpwstr>
  </property>
  <property fmtid="{D5CDD505-2E9C-101B-9397-08002B2CF9AE}" pid="4" name="KSOTemplateDocerSaveRecord">
    <vt:lpwstr>eyJoZGlkIjoiOWI2NDlkZTI2YjNkM2RhMGEwNzM5NDNlMWI1ZWZlZTUiLCJ1c2VySWQiOiIxMTI0OTE0MTc2In0=</vt:lpwstr>
  </property>
</Properties>
</file>