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年度部门整体支出绩效评价基础数据表</w:t>
      </w:r>
    </w:p>
    <w:tbl>
      <w:tblPr>
        <w:tblStyle w:val="10"/>
        <w:tblW w:w="4997" w:type="pct"/>
        <w:jc w:val="center"/>
        <w:tblLayout w:type="autofit"/>
        <w:tblCellMar>
          <w:top w:w="0" w:type="dxa"/>
          <w:left w:w="108" w:type="dxa"/>
          <w:bottom w:w="0" w:type="dxa"/>
          <w:right w:w="108" w:type="dxa"/>
        </w:tblCellMar>
      </w:tblPr>
      <w:tblGrid>
        <w:gridCol w:w="3414"/>
        <w:gridCol w:w="2074"/>
        <w:gridCol w:w="2585"/>
        <w:gridCol w:w="1775"/>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37</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37</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1252.61</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673.27</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673.26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630" w:firstLineChars="30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3.52</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2.09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3570.04</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1573.96</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1573.96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lang w:eastAsia="zh-CN"/>
              </w:rPr>
              <w:t>县级</w:t>
            </w:r>
            <w:r>
              <w:rPr>
                <w:rFonts w:hint="eastAsia" w:ascii="新宋体" w:hAnsi="新宋体" w:eastAsia="新宋体" w:cs="新宋体"/>
                <w:sz w:val="21"/>
                <w:szCs w:val="21"/>
              </w:rPr>
              <w:t>专项资金</w:t>
            </w:r>
          </w:p>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（地方一般债务付息）</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916.93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746.28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746.28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.商业服务业等支出项目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86.81</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39.68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39.68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3.粮油物资储备支出项目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2566.3</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788</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788</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认真</w:t>
            </w:r>
            <w:r>
              <w:rPr>
                <w:rFonts w:hint="eastAsia" w:ascii="新宋体" w:hAnsi="新宋体" w:eastAsia="新宋体" w:cs="新宋体"/>
                <w:sz w:val="21"/>
                <w:szCs w:val="21"/>
              </w:rPr>
              <w:t>贯彻落实中央“八项规定”</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规范支出标准与范围</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Times New Roman" w:hAnsi="Times New Roman" w:eastAsia="仿宋_GB2312" w:cs="Times New Roman"/>
          <w:sz w:val="22"/>
        </w:rPr>
        <w:t>填表人：</w:t>
      </w:r>
      <w:r>
        <w:rPr>
          <w:rFonts w:hint="eastAsia" w:eastAsia="仿宋_GB2312" w:cs="Times New Roman"/>
          <w:sz w:val="22"/>
          <w:lang w:eastAsia="zh-CN"/>
        </w:rPr>
        <w:t>易文艳</w:t>
      </w:r>
      <w:r>
        <w:rPr>
          <w:rFonts w:hint="default" w:ascii="Times New Roman" w:hAnsi="Times New Roman" w:eastAsia="仿宋_GB2312" w:cs="Times New Roman"/>
          <w:sz w:val="22"/>
        </w:rPr>
        <w:t xml:space="preserve">   填报日期：</w:t>
      </w:r>
      <w:r>
        <w:rPr>
          <w:rFonts w:hint="eastAsia" w:eastAsia="仿宋_GB2312" w:cs="Times New Roman"/>
          <w:sz w:val="22"/>
          <w:lang w:val="en-US" w:eastAsia="zh-CN"/>
        </w:rPr>
        <w:t>2023.7.5</w:t>
      </w:r>
      <w:r>
        <w:rPr>
          <w:rFonts w:hint="default" w:ascii="Times New Roman" w:hAnsi="Times New Roman" w:eastAsia="仿宋_GB2312" w:cs="Times New Roman"/>
          <w:sz w:val="22"/>
        </w:rPr>
        <w:t xml:space="preserve">   联系电话</w:t>
      </w:r>
      <w:r>
        <w:rPr>
          <w:rFonts w:hint="eastAsia" w:eastAsia="仿宋_GB2312" w:cs="Times New Roman"/>
          <w:sz w:val="22"/>
          <w:lang w:val="en-US" w:eastAsia="zh-CN"/>
        </w:rPr>
        <w:t>:15073036878</w:t>
      </w:r>
      <w:r>
        <w:rPr>
          <w:rFonts w:hint="default" w:ascii="Times New Roman" w:hAnsi="Times New Roman" w:eastAsia="仿宋_GB2312" w:cs="Times New Roman"/>
          <w:sz w:val="22"/>
        </w:rPr>
        <w:t xml:space="preserve">   单位负责人签字：</w:t>
      </w:r>
      <w:r>
        <w:rPr>
          <w:rFonts w:hint="eastAsia" w:eastAsia="仿宋_GB2312" w:cs="Times New Roman"/>
          <w:sz w:val="22"/>
          <w:lang w:eastAsia="zh-CN"/>
        </w:rPr>
        <w:t>陈兵</w:t>
      </w:r>
      <w:r>
        <w:rPr>
          <w:rFonts w:hint="default" w:ascii="Times New Roman" w:hAnsi="Times New Roman" w:eastAsia="仿宋_GB2312" w:cs="Times New Roman"/>
          <w:sz w:val="22"/>
        </w:rPr>
        <w:br w:type="page"/>
      </w: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年度部门整体支出绩效自评表</w:t>
      </w:r>
    </w:p>
    <w:tbl>
      <w:tblPr>
        <w:tblStyle w:val="10"/>
        <w:tblW w:w="499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
        <w:gridCol w:w="923"/>
        <w:gridCol w:w="923"/>
        <w:gridCol w:w="1246"/>
        <w:gridCol w:w="1136"/>
        <w:gridCol w:w="1077"/>
        <w:gridCol w:w="726"/>
        <w:gridCol w:w="1063"/>
        <w:gridCol w:w="15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58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10" w:type="pct"/>
            <w:gridSpan w:val="8"/>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华容县商务粮食局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58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38" w:type="pct"/>
            <w:gridSpan w:val="2"/>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633"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77"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45"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69"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40"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06"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38" w:type="pct"/>
            <w:gridSpan w:val="2"/>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633"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342</w:t>
            </w:r>
          </w:p>
        </w:tc>
        <w:tc>
          <w:tcPr>
            <w:tcW w:w="577"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2247.23</w:t>
            </w:r>
          </w:p>
        </w:tc>
        <w:tc>
          <w:tcPr>
            <w:tcW w:w="545"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2247.23</w:t>
            </w:r>
          </w:p>
        </w:tc>
        <w:tc>
          <w:tcPr>
            <w:tcW w:w="369"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40"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06"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8"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按收入性质分：</w:t>
            </w:r>
            <w:r>
              <w:rPr>
                <w:rFonts w:hint="eastAsia" w:ascii="新宋体" w:hAnsi="新宋体" w:eastAsia="新宋体" w:cs="新宋体"/>
                <w:i w:val="0"/>
                <w:iCs w:val="0"/>
                <w:color w:val="000000"/>
                <w:sz w:val="21"/>
                <w:szCs w:val="21"/>
                <w:lang w:val="en-US" w:eastAsia="zh-CN"/>
              </w:rPr>
              <w:t>2247.23</w:t>
            </w:r>
          </w:p>
        </w:tc>
        <w:tc>
          <w:tcPr>
            <w:tcW w:w="2261"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按支出性质分：</w:t>
            </w:r>
            <w:r>
              <w:rPr>
                <w:rFonts w:hint="eastAsia" w:ascii="新宋体" w:hAnsi="新宋体" w:eastAsia="新宋体" w:cs="新宋体"/>
                <w:color w:val="000000"/>
                <w:sz w:val="21"/>
                <w:szCs w:val="21"/>
                <w:lang w:val="en-US" w:eastAsia="zh-CN"/>
              </w:rPr>
              <w:t>2247.23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8"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其中：一般公共预算：</w:t>
            </w:r>
            <w:r>
              <w:rPr>
                <w:rFonts w:hint="eastAsia" w:ascii="新宋体" w:hAnsi="新宋体" w:eastAsia="新宋体" w:cs="新宋体"/>
                <w:i w:val="0"/>
                <w:iCs w:val="0"/>
                <w:color w:val="000000"/>
                <w:sz w:val="21"/>
                <w:szCs w:val="21"/>
                <w:lang w:val="en-US" w:eastAsia="zh-CN"/>
              </w:rPr>
              <w:t>2247.23</w:t>
            </w:r>
          </w:p>
        </w:tc>
        <w:tc>
          <w:tcPr>
            <w:tcW w:w="2261"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673.27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8"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r>
              <w:rPr>
                <w:rFonts w:hint="eastAsia" w:ascii="新宋体" w:hAnsi="新宋体" w:eastAsia="新宋体" w:cs="新宋体"/>
                <w:i w:val="0"/>
                <w:iCs w:val="0"/>
                <w:color w:val="000000"/>
                <w:sz w:val="21"/>
                <w:szCs w:val="21"/>
                <w:lang w:val="en-US" w:eastAsia="zh-CN"/>
              </w:rPr>
              <w:t>0</w:t>
            </w:r>
          </w:p>
        </w:tc>
        <w:tc>
          <w:tcPr>
            <w:tcW w:w="2261"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1573.96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8"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纳入专户管理的非税收入拨款：</w:t>
            </w:r>
            <w:r>
              <w:rPr>
                <w:rFonts w:hint="eastAsia" w:ascii="新宋体" w:hAnsi="新宋体" w:eastAsia="新宋体" w:cs="新宋体"/>
                <w:i w:val="0"/>
                <w:iCs w:val="0"/>
                <w:color w:val="000000"/>
                <w:sz w:val="21"/>
                <w:szCs w:val="21"/>
                <w:lang w:val="en-US" w:eastAsia="zh-CN"/>
              </w:rPr>
              <w:t>0</w:t>
            </w:r>
          </w:p>
        </w:tc>
        <w:tc>
          <w:tcPr>
            <w:tcW w:w="2261"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48"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其他资金：</w:t>
            </w:r>
            <w:r>
              <w:rPr>
                <w:rFonts w:hint="eastAsia" w:ascii="新宋体" w:hAnsi="新宋体" w:eastAsia="新宋体" w:cs="新宋体"/>
                <w:i w:val="0"/>
                <w:iCs w:val="0"/>
                <w:color w:val="000000"/>
                <w:sz w:val="21"/>
                <w:szCs w:val="21"/>
                <w:lang w:val="en-US" w:eastAsia="zh-CN"/>
              </w:rPr>
              <w:t>0</w:t>
            </w:r>
          </w:p>
        </w:tc>
        <w:tc>
          <w:tcPr>
            <w:tcW w:w="2261"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58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48"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61"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48"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保单位正常运转</w:t>
            </w:r>
          </w:p>
        </w:tc>
        <w:tc>
          <w:tcPr>
            <w:tcW w:w="2261" w:type="pct"/>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58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指标一：</w:t>
            </w:r>
            <w:r>
              <w:rPr>
                <w:rFonts w:hint="eastAsia" w:ascii="新宋体" w:hAnsi="新宋体" w:eastAsia="新宋体" w:cs="新宋体"/>
                <w:color w:val="000000"/>
                <w:sz w:val="21"/>
                <w:szCs w:val="21"/>
              </w:rPr>
              <w:t>粮食收购平稳有序</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18316吨</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18316吨</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指标二：</w:t>
            </w:r>
            <w:r>
              <w:rPr>
                <w:rFonts w:hint="eastAsia" w:ascii="新宋体" w:hAnsi="新宋体" w:eastAsia="新宋体" w:cs="新宋体"/>
                <w:color w:val="000000"/>
                <w:w w:val="95"/>
                <w:sz w:val="21"/>
                <w:szCs w:val="21"/>
              </w:rPr>
              <w:t>壮大外贸主体</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pacing w:val="-6"/>
                <w:w w:val="95"/>
                <w:sz w:val="21"/>
                <w:szCs w:val="21"/>
                <w:lang w:val="en-US" w:eastAsia="zh-CN"/>
              </w:rPr>
              <w:t>备案59家，新增4家</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59+4</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指标三：</w:t>
            </w:r>
            <w:r>
              <w:rPr>
                <w:rFonts w:hint="eastAsia" w:ascii="新宋体" w:hAnsi="新宋体" w:eastAsia="新宋体" w:cs="新宋体"/>
                <w:color w:val="000000"/>
                <w:sz w:val="21"/>
                <w:szCs w:val="21"/>
              </w:rPr>
              <w:t>抓业绩回流</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出口超过10000万元</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10000万元</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华都国际建材家居市场项目</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基本完工</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已完成</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新宋体" w:hAnsi="新宋体" w:eastAsia="新宋体" w:cs="新宋体"/>
                <w:color w:val="000000"/>
                <w:sz w:val="21"/>
                <w:szCs w:val="21"/>
              </w:rPr>
            </w:pP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80" w:lineRule="exac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4"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80" w:lineRule="exact"/>
              <w:ind w:left="0" w:right="0"/>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pacing w:val="-6"/>
                <w:w w:val="95"/>
                <w:sz w:val="21"/>
                <w:szCs w:val="21"/>
              </w:rPr>
              <w:t>中农联农产品电商物流园项目</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一二期年底基本已完成</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已完成</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中农联分三期工程，一二期土建工程已完工。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控制在指标预算内</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严格控制预算</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合格</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58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8"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6"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指标一：</w:t>
            </w:r>
            <w:r>
              <w:rPr>
                <w:rFonts w:hint="eastAsia" w:ascii="新宋体" w:hAnsi="新宋体" w:eastAsia="新宋体" w:cs="新宋体"/>
                <w:color w:val="000000"/>
                <w:sz w:val="21"/>
                <w:szCs w:val="21"/>
              </w:rPr>
              <w:t>2022年1月至11月我县社会消费品零售总额135.4亿元，同比增速2.6%</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135.4亿元</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超额完成</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7"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指标二.</w:t>
            </w:r>
            <w:r>
              <w:rPr>
                <w:rFonts w:hint="eastAsia" w:ascii="新宋体" w:hAnsi="新宋体" w:eastAsia="新宋体" w:cs="新宋体"/>
                <w:color w:val="000000"/>
                <w:sz w:val="21"/>
                <w:szCs w:val="21"/>
              </w:rPr>
              <w:t>电商销售农产品网络零售额3.79亿元</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3.79亿元</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已完成</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0"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指标三.</w:t>
            </w:r>
            <w:r>
              <w:rPr>
                <w:rFonts w:hint="eastAsia" w:ascii="新宋体" w:hAnsi="新宋体" w:eastAsia="新宋体" w:cs="新宋体"/>
                <w:color w:val="000000"/>
                <w:sz w:val="21"/>
                <w:szCs w:val="21"/>
              </w:rPr>
              <w:t>完成粮油加工业总产值22.5亿，同比增长10%</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22.5亿</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超额完成</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3</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新增标准化配送中心一个、全国“放心粮油”加工企业一家、粮油示范店2个、粮油连锁加盟店2个</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已完成</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已完成</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rPr>
              <w:t>农贸市场标准化建</w:t>
            </w:r>
            <w:r>
              <w:rPr>
                <w:rFonts w:hint="eastAsia" w:ascii="新宋体" w:hAnsi="新宋体" w:eastAsia="新宋体" w:cs="新宋体"/>
                <w:color w:val="000000"/>
                <w:sz w:val="21"/>
                <w:szCs w:val="21"/>
                <w:lang w:eastAsia="zh-CN"/>
              </w:rPr>
              <w:t>设项目</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建设环境良好</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优</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3"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搞好农贸市场改造。农贸市场建设是民生工程、民心工程，能有效提升民生福祉</w:t>
            </w:r>
            <w:r>
              <w:rPr>
                <w:rFonts w:hint="eastAsia" w:ascii="新宋体" w:hAnsi="新宋体" w:eastAsia="新宋体" w:cs="新宋体"/>
                <w:color w:val="000000"/>
                <w:sz w:val="21"/>
                <w:szCs w:val="21"/>
                <w:lang w:eastAsia="zh-CN"/>
              </w:rPr>
              <w:t>。</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可持续</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优</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8" w:type="pct"/>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群众满</w:t>
            </w:r>
            <w:r>
              <w:rPr>
                <w:rFonts w:hint="eastAsia" w:ascii="新宋体" w:hAnsi="新宋体" w:eastAsia="新宋体" w:cs="新宋体"/>
                <w:color w:val="000000"/>
                <w:sz w:val="21"/>
                <w:szCs w:val="21"/>
                <w:lang w:eastAsia="zh-CN"/>
              </w:rPr>
              <w:t>意</w:t>
            </w:r>
            <w:r>
              <w:rPr>
                <w:rFonts w:hint="eastAsia" w:ascii="新宋体" w:hAnsi="新宋体" w:eastAsia="新宋体" w:cs="新宋体"/>
                <w:color w:val="000000"/>
                <w:sz w:val="21"/>
                <w:szCs w:val="21"/>
              </w:rPr>
              <w:t>率</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58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项目开发商满意率</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100%</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210" w:firstLineChars="10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val="en-US" w:eastAsia="zh-CN"/>
              </w:rPr>
              <w:t>5</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58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9"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468" w:type="pct"/>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63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577"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3283" w:type="pct"/>
            <w:gridSpan w:val="6"/>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69"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40"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98</w:t>
            </w:r>
          </w:p>
        </w:tc>
        <w:tc>
          <w:tcPr>
            <w:tcW w:w="806"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r>
    </w:tbl>
    <w:p>
      <w:pPr>
        <w:keepNext w:val="0"/>
        <w:keepLines w:val="0"/>
        <w:pageBreakBefore w:val="0"/>
        <w:widowControl w:val="0"/>
        <w:kinsoku/>
        <w:wordWrap/>
        <w:overflowPunct/>
        <w:topLinePunct w:val="0"/>
        <w:autoSpaceDE/>
        <w:autoSpaceDN/>
        <w:bidi w:val="0"/>
        <w:adjustRightInd/>
        <w:snapToGrid/>
        <w:spacing w:before="157" w:beforeLines="50"/>
        <w:textAlignment w:val="auto"/>
        <w:rPr>
          <w:rFonts w:hint="eastAsia" w:ascii="宋体" w:hAnsi="宋体" w:eastAsia="宋体" w:cs="宋体"/>
          <w:sz w:val="22"/>
          <w:lang w:val="en-US" w:eastAsia="zh-CN"/>
        </w:rPr>
      </w:pPr>
      <w:r>
        <w:rPr>
          <w:rFonts w:hint="eastAsia" w:ascii="宋体" w:hAnsi="宋体" w:eastAsia="宋体" w:cs="宋体"/>
          <w:sz w:val="22"/>
        </w:rPr>
        <w:t>说明：</w:t>
      </w:r>
      <w:r>
        <w:rPr>
          <w:rFonts w:hint="eastAsia" w:ascii="宋体" w:hAnsi="宋体" w:eastAsia="宋体" w:cs="宋体"/>
          <w:sz w:val="22"/>
          <w:lang w:eastAsia="zh-CN"/>
        </w:rPr>
        <w:t>以上数据参照</w:t>
      </w:r>
      <w:r>
        <w:rPr>
          <w:rFonts w:hint="eastAsia" w:ascii="宋体" w:hAnsi="宋体" w:eastAsia="宋体" w:cs="宋体"/>
          <w:sz w:val="22"/>
          <w:lang w:val="en-US" w:eastAsia="zh-CN"/>
        </w:rPr>
        <w:t>2022年部门决算报表中的“收入支出决算总表”(财决01表)。</w:t>
      </w:r>
    </w:p>
    <w:p>
      <w:pPr>
        <w:pStyle w:val="8"/>
        <w:rPr>
          <w:rFonts w:hint="eastAsia" w:ascii="宋体" w:hAnsi="宋体" w:eastAsia="宋体" w:cs="宋体"/>
          <w:lang w:val="en-US" w:eastAsia="zh-CN"/>
        </w:rPr>
      </w:pPr>
    </w:p>
    <w:p>
      <w:pPr>
        <w:rPr>
          <w:rFonts w:hint="eastAsia" w:ascii="黑体" w:hAnsi="黑体" w:eastAsia="黑体" w:cs="黑体"/>
          <w:sz w:val="32"/>
          <w:szCs w:val="32"/>
          <w:lang w:val="en-US" w:eastAsia="zh-CN"/>
        </w:rPr>
      </w:pPr>
      <w:r>
        <w:rPr>
          <w:rFonts w:hint="eastAsia" w:ascii="宋体" w:hAnsi="宋体" w:eastAsia="宋体" w:cs="宋体"/>
          <w:sz w:val="22"/>
          <w:szCs w:val="22"/>
        </w:rPr>
        <w:t>填表人：</w:t>
      </w:r>
      <w:r>
        <w:rPr>
          <w:rFonts w:hint="eastAsia" w:ascii="宋体" w:hAnsi="宋体" w:eastAsia="宋体" w:cs="宋体"/>
          <w:sz w:val="22"/>
          <w:szCs w:val="22"/>
          <w:lang w:eastAsia="zh-CN"/>
        </w:rPr>
        <w:t>易文艳</w:t>
      </w:r>
      <w:r>
        <w:rPr>
          <w:rFonts w:hint="eastAsia" w:ascii="宋体" w:hAnsi="宋体" w:eastAsia="宋体" w:cs="宋体"/>
          <w:sz w:val="22"/>
          <w:szCs w:val="22"/>
        </w:rPr>
        <w:t xml:space="preserve">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填报日期</w:t>
      </w:r>
      <w:r>
        <w:rPr>
          <w:rFonts w:hint="eastAsia" w:ascii="宋体" w:hAnsi="宋体" w:eastAsia="宋体" w:cs="宋体"/>
          <w:sz w:val="22"/>
          <w:szCs w:val="22"/>
          <w:lang w:eastAsia="zh-CN"/>
        </w:rPr>
        <w:t>：</w:t>
      </w:r>
      <w:r>
        <w:rPr>
          <w:rFonts w:hint="eastAsia" w:ascii="宋体" w:hAnsi="宋体" w:eastAsia="宋体" w:cs="宋体"/>
          <w:sz w:val="22"/>
          <w:szCs w:val="22"/>
          <w:lang w:val="en-US" w:eastAsia="zh-CN"/>
        </w:rPr>
        <w:t>2023.7.5</w:t>
      </w:r>
      <w:r>
        <w:rPr>
          <w:rFonts w:hint="eastAsia" w:ascii="宋体" w:hAnsi="宋体" w:eastAsia="宋体" w:cs="宋体"/>
          <w:sz w:val="22"/>
          <w:szCs w:val="22"/>
        </w:rPr>
        <w:t xml:space="preserve">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联系电话</w:t>
      </w:r>
      <w:r>
        <w:rPr>
          <w:rFonts w:hint="eastAsia" w:ascii="宋体" w:hAnsi="宋体" w:eastAsia="宋体" w:cs="宋体"/>
          <w:sz w:val="22"/>
          <w:szCs w:val="22"/>
          <w:lang w:val="en-US" w:eastAsia="zh-CN"/>
        </w:rPr>
        <w:t>:15073036878</w:t>
      </w:r>
      <w:r>
        <w:rPr>
          <w:rFonts w:hint="eastAsia" w:ascii="宋体" w:hAnsi="宋体" w:eastAsia="宋体" w:cs="宋体"/>
          <w:sz w:val="22"/>
          <w:szCs w:val="22"/>
        </w:rPr>
        <w:t xml:space="preserve">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单位负责人签字：</w:t>
      </w:r>
      <w:r>
        <w:rPr>
          <w:rFonts w:hint="eastAsia" w:ascii="宋体" w:hAnsi="宋体" w:cs="宋体"/>
          <w:sz w:val="22"/>
          <w:szCs w:val="22"/>
          <w:lang w:eastAsia="zh-CN"/>
        </w:rPr>
        <w:t>陈兵</w:t>
      </w:r>
      <w:r>
        <w:rPr>
          <w:rFonts w:hint="eastAsia" w:ascii="宋体" w:hAnsi="宋体" w:eastAsia="宋体" w:cs="宋体"/>
          <w:sz w:val="22"/>
          <w:szCs w:val="2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商务粮食局</w:t>
      </w:r>
      <w:r>
        <w:rPr>
          <w:rFonts w:hint="eastAsia" w:ascii="方正小标宋简体" w:hAnsi="方正小标宋简体" w:eastAsia="方正小标宋简体" w:cs="方正小标宋简体"/>
          <w:sz w:val="44"/>
          <w:szCs w:val="44"/>
        </w:rPr>
        <w:t>整体支出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5</w:t>
      </w:r>
      <w:r>
        <w:rPr>
          <w:rFonts w:hint="default" w:ascii="Times New Roman" w:hAnsi="Times New Roman" w:eastAsia="楷体_GB2312" w:cs="Times New Roman"/>
          <w:sz w:val="32"/>
          <w:szCs w:val="32"/>
        </w:rPr>
        <w:t xml:space="preserve"> 日</w:t>
      </w:r>
    </w:p>
    <w:p>
      <w:pPr>
        <w:jc w:val="center"/>
        <w:rPr>
          <w:rFonts w:hint="default" w:ascii="Times New Roman" w:hAnsi="Times New Roman" w:eastAsia="仿宋_GB2312" w:cs="Times New Roman"/>
          <w:sz w:val="32"/>
          <w:szCs w:val="32"/>
        </w:rPr>
        <w:sectPr>
          <w:footerReference r:id="rId3" w:type="default"/>
          <w:pgSz w:w="11906" w:h="16838"/>
          <w:pgMar w:top="1417" w:right="1134" w:bottom="1134" w:left="1134"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商务粮食局</w:t>
      </w:r>
      <w:r>
        <w:rPr>
          <w:rFonts w:hint="eastAsia" w:ascii="方正小标宋简体" w:hAnsi="方正小标宋简体" w:eastAsia="方正小标宋简体" w:cs="方正小标宋简体"/>
          <w:sz w:val="44"/>
          <w:szCs w:val="44"/>
        </w:rPr>
        <w:t>整体支出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部门（单位）基本情况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商务粮食局是政府对内经外贸、商贸流通、粮食流通和储备实施一体化管理的综合职能部门，是财政全额预算拨款的行政单位。内设股室15个。即：办公室（加挂政策法规股）、财务审计股(加挂国有资产管理股)、人事股、市场运行股(加挂成品油管理股)、市场体系建设和秩序股、商贸服务股(加挂电子商务股)、外经外贸股(加挂对外劳务服务中心)、粮食调控和储备股、粮食行业发展和监督检查股成品油管理股。现有人员编制</w:t>
      </w:r>
      <w:r>
        <w:rPr>
          <w:rFonts w:hint="eastAsia" w:ascii="宋体" w:hAnsi="宋体" w:eastAsia="宋体" w:cs="宋体"/>
          <w:sz w:val="32"/>
          <w:szCs w:val="32"/>
          <w:lang w:val="en-US" w:eastAsia="zh-CN"/>
        </w:rPr>
        <w:t>37</w:t>
      </w:r>
      <w:r>
        <w:rPr>
          <w:rFonts w:hint="eastAsia" w:ascii="宋体" w:hAnsi="宋体" w:eastAsia="宋体" w:cs="宋体"/>
          <w:sz w:val="32"/>
          <w:szCs w:val="32"/>
        </w:rPr>
        <w:t>名，(其中：行政编制</w:t>
      </w:r>
      <w:r>
        <w:rPr>
          <w:rFonts w:hint="eastAsia" w:ascii="宋体" w:hAnsi="宋体" w:eastAsia="宋体" w:cs="宋体"/>
          <w:sz w:val="32"/>
          <w:szCs w:val="32"/>
          <w:lang w:val="en-US" w:eastAsia="zh-CN"/>
        </w:rPr>
        <w:t>14</w:t>
      </w:r>
      <w:r>
        <w:rPr>
          <w:rFonts w:hint="eastAsia" w:ascii="宋体" w:hAnsi="宋体" w:eastAsia="宋体" w:cs="宋体"/>
          <w:sz w:val="32"/>
          <w:szCs w:val="32"/>
        </w:rPr>
        <w:t>名；工勤编制</w:t>
      </w:r>
      <w:r>
        <w:rPr>
          <w:rFonts w:hint="eastAsia" w:ascii="宋体" w:hAnsi="宋体" w:eastAsia="宋体" w:cs="宋体"/>
          <w:sz w:val="32"/>
          <w:szCs w:val="32"/>
          <w:lang w:val="en-US" w:eastAsia="zh-CN"/>
        </w:rPr>
        <w:t>23</w:t>
      </w:r>
      <w:r>
        <w:rPr>
          <w:rFonts w:hint="eastAsia" w:ascii="宋体" w:hAnsi="宋体" w:eastAsia="宋体" w:cs="宋体"/>
          <w:sz w:val="32"/>
          <w:szCs w:val="32"/>
        </w:rPr>
        <w:t>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二、基本支出情况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基本支出主要用于为保障机构正常运转、完成日常工作任务而发生的费用支出，包括人员经费支出和公用经费支出。20</w:t>
      </w:r>
      <w:r>
        <w:rPr>
          <w:rFonts w:hint="eastAsia" w:ascii="宋体" w:hAnsi="宋体" w:eastAsia="宋体" w:cs="宋体"/>
          <w:sz w:val="32"/>
          <w:szCs w:val="32"/>
          <w:lang w:val="en-US" w:eastAsia="zh-CN"/>
        </w:rPr>
        <w:t>22</w:t>
      </w:r>
      <w:r>
        <w:rPr>
          <w:rFonts w:hint="eastAsia" w:ascii="宋体" w:hAnsi="宋体" w:eastAsia="宋体" w:cs="宋体"/>
          <w:sz w:val="32"/>
          <w:szCs w:val="32"/>
        </w:rPr>
        <w:t>年基本支出</w:t>
      </w:r>
      <w:r>
        <w:rPr>
          <w:rFonts w:hint="eastAsia" w:ascii="宋体" w:hAnsi="宋体" w:eastAsia="宋体" w:cs="宋体"/>
          <w:sz w:val="32"/>
          <w:szCs w:val="32"/>
          <w:lang w:val="en-US" w:eastAsia="zh-CN"/>
        </w:rPr>
        <w:t>673.27</w:t>
      </w:r>
      <w:r>
        <w:rPr>
          <w:rFonts w:hint="eastAsia" w:ascii="宋体" w:hAnsi="宋体" w:eastAsia="宋体" w:cs="宋体"/>
          <w:sz w:val="32"/>
          <w:szCs w:val="32"/>
        </w:rPr>
        <w:t>万元：其中：</w:t>
      </w:r>
      <w:r>
        <w:rPr>
          <w:rFonts w:hint="eastAsia" w:ascii="宋体" w:hAnsi="宋体" w:eastAsia="宋体" w:cs="宋体"/>
          <w:sz w:val="32"/>
          <w:szCs w:val="32"/>
          <w:lang w:eastAsia="zh-CN"/>
        </w:rPr>
        <w:t>人员经费</w:t>
      </w:r>
      <w:r>
        <w:rPr>
          <w:rFonts w:hint="eastAsia" w:ascii="宋体" w:hAnsi="宋体" w:eastAsia="宋体" w:cs="宋体"/>
          <w:sz w:val="32"/>
          <w:szCs w:val="32"/>
        </w:rPr>
        <w:t>支出</w:t>
      </w:r>
      <w:r>
        <w:rPr>
          <w:rFonts w:hint="eastAsia" w:ascii="宋体" w:hAnsi="宋体" w:eastAsia="宋体" w:cs="宋体"/>
          <w:sz w:val="32"/>
          <w:szCs w:val="32"/>
          <w:lang w:val="en-US" w:eastAsia="zh-CN"/>
        </w:rPr>
        <w:t>524.11</w:t>
      </w:r>
      <w:r>
        <w:rPr>
          <w:rFonts w:hint="eastAsia" w:ascii="宋体" w:hAnsi="宋体" w:eastAsia="宋体" w:cs="宋体"/>
          <w:sz w:val="32"/>
          <w:szCs w:val="32"/>
        </w:rPr>
        <w:t>万元</w:t>
      </w:r>
      <w:r>
        <w:rPr>
          <w:rFonts w:hint="eastAsia" w:ascii="宋体" w:hAnsi="宋体" w:eastAsia="宋体" w:cs="宋体"/>
          <w:sz w:val="32"/>
          <w:szCs w:val="32"/>
          <w:lang w:eastAsia="zh-CN"/>
        </w:rPr>
        <w:t>，公用经费</w:t>
      </w:r>
      <w:r>
        <w:rPr>
          <w:rFonts w:hint="eastAsia" w:ascii="宋体" w:hAnsi="宋体" w:eastAsia="宋体" w:cs="宋体"/>
          <w:sz w:val="32"/>
          <w:szCs w:val="32"/>
        </w:rPr>
        <w:t>支出</w:t>
      </w:r>
      <w:r>
        <w:rPr>
          <w:rFonts w:hint="eastAsia" w:ascii="宋体" w:hAnsi="宋体" w:eastAsia="宋体" w:cs="宋体"/>
          <w:sz w:val="32"/>
          <w:szCs w:val="32"/>
          <w:lang w:val="en-US" w:eastAsia="zh-CN"/>
        </w:rPr>
        <w:t>149.16</w:t>
      </w:r>
      <w:r>
        <w:rPr>
          <w:rFonts w:hint="eastAsia" w:ascii="宋体" w:hAnsi="宋体" w:eastAsia="宋体" w:cs="宋体"/>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三、项目支出情况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项目支出是县政府安排的特定行政工作任务而发生的支出，主要包括</w:t>
      </w:r>
      <w:r>
        <w:rPr>
          <w:rFonts w:hint="eastAsia" w:ascii="宋体" w:hAnsi="宋体" w:eastAsia="宋体" w:cs="宋体"/>
          <w:sz w:val="32"/>
          <w:szCs w:val="32"/>
          <w:lang w:eastAsia="zh-CN"/>
        </w:rPr>
        <w:t>债务利息支出</w:t>
      </w:r>
      <w:r>
        <w:rPr>
          <w:rFonts w:hint="eastAsia" w:ascii="宋体" w:hAnsi="宋体" w:eastAsia="宋体" w:cs="宋体"/>
          <w:sz w:val="32"/>
          <w:szCs w:val="32"/>
        </w:rPr>
        <w:t>、</w:t>
      </w:r>
      <w:r>
        <w:rPr>
          <w:rFonts w:hint="eastAsia" w:ascii="宋体" w:hAnsi="宋体" w:eastAsia="宋体" w:cs="宋体"/>
          <w:sz w:val="32"/>
          <w:szCs w:val="32"/>
          <w:lang w:eastAsia="zh-CN"/>
        </w:rPr>
        <w:t>限上企业培育奖励资金</w:t>
      </w:r>
      <w:r>
        <w:rPr>
          <w:rFonts w:hint="eastAsia" w:ascii="宋体" w:hAnsi="宋体" w:eastAsia="宋体" w:cs="宋体"/>
          <w:sz w:val="32"/>
          <w:szCs w:val="32"/>
        </w:rPr>
        <w:t>、</w:t>
      </w:r>
      <w:r>
        <w:rPr>
          <w:rFonts w:hint="eastAsia" w:ascii="宋体" w:hAnsi="宋体" w:eastAsia="宋体" w:cs="宋体"/>
          <w:sz w:val="32"/>
          <w:szCs w:val="32"/>
          <w:lang w:eastAsia="zh-CN"/>
        </w:rPr>
        <w:t>县粮食风险补贴</w:t>
      </w:r>
      <w:r>
        <w:rPr>
          <w:rFonts w:hint="eastAsia" w:ascii="宋体" w:hAnsi="宋体" w:eastAsia="宋体" w:cs="宋体"/>
          <w:sz w:val="32"/>
          <w:szCs w:val="32"/>
        </w:rPr>
        <w:t>、</w:t>
      </w:r>
      <w:r>
        <w:rPr>
          <w:rFonts w:hint="eastAsia" w:ascii="宋体" w:hAnsi="宋体" w:eastAsia="宋体" w:cs="宋体"/>
          <w:sz w:val="32"/>
          <w:szCs w:val="32"/>
          <w:lang w:eastAsia="zh-CN"/>
        </w:rPr>
        <w:t>冷冻猪肉补贴</w:t>
      </w:r>
      <w:r>
        <w:rPr>
          <w:rFonts w:hint="eastAsia" w:ascii="宋体" w:hAnsi="宋体" w:eastAsia="宋体" w:cs="宋体"/>
          <w:sz w:val="32"/>
          <w:szCs w:val="32"/>
        </w:rPr>
        <w:t>、</w:t>
      </w:r>
      <w:r>
        <w:rPr>
          <w:rFonts w:hint="eastAsia" w:ascii="宋体" w:hAnsi="宋体" w:eastAsia="宋体" w:cs="宋体"/>
          <w:sz w:val="32"/>
          <w:szCs w:val="32"/>
          <w:lang w:eastAsia="zh-CN"/>
        </w:rPr>
        <w:t>标准化储备仓建设</w:t>
      </w:r>
      <w:r>
        <w:rPr>
          <w:rFonts w:hint="eastAsia" w:ascii="宋体" w:hAnsi="宋体" w:eastAsia="宋体" w:cs="宋体"/>
          <w:sz w:val="32"/>
          <w:szCs w:val="32"/>
        </w:rPr>
        <w:t>等。20</w:t>
      </w:r>
      <w:r>
        <w:rPr>
          <w:rFonts w:hint="eastAsia" w:ascii="宋体" w:hAnsi="宋体" w:eastAsia="宋体" w:cs="宋体"/>
          <w:sz w:val="32"/>
          <w:szCs w:val="32"/>
          <w:lang w:val="en-US" w:eastAsia="zh-CN"/>
        </w:rPr>
        <w:t>22</w:t>
      </w:r>
      <w:r>
        <w:rPr>
          <w:rFonts w:hint="eastAsia" w:ascii="宋体" w:hAnsi="宋体" w:eastAsia="宋体" w:cs="宋体"/>
          <w:sz w:val="32"/>
          <w:szCs w:val="32"/>
        </w:rPr>
        <w:t>年项目总支出</w:t>
      </w:r>
      <w:r>
        <w:rPr>
          <w:rFonts w:hint="eastAsia" w:ascii="宋体" w:hAnsi="宋体" w:eastAsia="宋体" w:cs="宋体"/>
          <w:sz w:val="32"/>
          <w:szCs w:val="32"/>
          <w:lang w:val="en-US" w:eastAsia="zh-CN"/>
        </w:rPr>
        <w:t>1573.96</w:t>
      </w:r>
      <w:r>
        <w:rPr>
          <w:rFonts w:hint="eastAsia" w:ascii="宋体" w:hAnsi="宋体" w:eastAsia="宋体" w:cs="宋体"/>
          <w:sz w:val="32"/>
          <w:szCs w:val="32"/>
        </w:rPr>
        <w:t>万元。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、部门整体支出绩效情况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2022</w:t>
      </w:r>
      <w:r>
        <w:rPr>
          <w:rFonts w:hint="eastAsia" w:ascii="宋体" w:hAnsi="宋体" w:eastAsia="宋体" w:cs="宋体"/>
          <w:sz w:val="32"/>
          <w:szCs w:val="32"/>
        </w:rPr>
        <w:t>年，根据局年初工作规划和重点性工作，围绕县委、县政府“六大工程”和“四大会战”工作任务，积极履职，强化管理，较好的完成了年度工作目标。通过加强预算收支的管理，不断建立健全内部管理制度，梳理内部管理流程，部门整体支出管理情况得到了提升</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、存在的问题及原因分析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通过对我局整体支出情况的分析，反映出目前在整体支出的预算编制、执行和管理过程中，依然存在一些问题和不足；针对这些不足，我局将积极采取改进措施，持续改进，不断规范和强化管理。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1、年度预算编制有待进一步加强，支出严格按预算执行。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2、本年项目任务多，项目资金申请工作需与财政等相关部门加强联系。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rPr>
        <w:t>3、单位各项内部控制管理制度有待进一步完善</w:t>
      </w:r>
      <w:r>
        <w:rPr>
          <w:rFonts w:hint="eastAsia" w:ascii="宋体" w:hAnsi="宋体" w:eastAsia="宋体" w:cs="宋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、下一步改进措施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1、科学合理编制预算，严格执行预算。建议按照《预算法》及其实施条例的相关规定，参考上一年的预算执行情况和年度的收支预测科学编制预算。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2、</w:t>
      </w:r>
      <w:r>
        <w:rPr>
          <w:rFonts w:hint="eastAsia" w:ascii="宋体" w:hAnsi="宋体" w:eastAsia="宋体" w:cs="宋体"/>
          <w:sz w:val="32"/>
          <w:szCs w:val="32"/>
          <w:lang w:eastAsia="zh-CN"/>
        </w:rPr>
        <w:t>进一步</w:t>
      </w:r>
      <w:r>
        <w:rPr>
          <w:rFonts w:hint="eastAsia" w:ascii="宋体" w:hAnsi="宋体" w:eastAsia="宋体" w:cs="宋体"/>
          <w:sz w:val="32"/>
          <w:szCs w:val="32"/>
        </w:rPr>
        <w:t>加强财务管理，严格财务审核</w:t>
      </w:r>
      <w:r>
        <w:rPr>
          <w:rFonts w:hint="eastAsia" w:ascii="宋体" w:hAnsi="宋体" w:eastAsia="宋体" w:cs="宋体"/>
          <w:sz w:val="32"/>
          <w:szCs w:val="32"/>
          <w:lang w:eastAsia="zh-CN"/>
        </w:rPr>
        <w:t>。</w:t>
      </w:r>
      <w:r>
        <w:rPr>
          <w:rFonts w:hint="eastAsia" w:ascii="宋体" w:hAnsi="宋体" w:eastAsia="宋体" w:cs="宋体"/>
          <w:sz w:val="32"/>
          <w:szCs w:val="32"/>
        </w:rPr>
        <w:t>按照实际的费用支出内容进行财务核算，在预算金额内严格控制费用的支出，控制超支现象的发生。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宋体" w:hAnsi="宋体" w:eastAsia="宋体" w:cs="宋体"/>
          <w:sz w:val="32"/>
          <w:szCs w:val="32"/>
        </w:rPr>
      </w:pPr>
      <w:r>
        <w:rPr>
          <w:rFonts w:hint="eastAsia" w:ascii="宋体" w:hAnsi="宋体" w:eastAsia="宋体" w:cs="宋体"/>
          <w:sz w:val="32"/>
          <w:szCs w:val="32"/>
        </w:rPr>
        <w:t>3、</w:t>
      </w:r>
      <w:r>
        <w:rPr>
          <w:rFonts w:hint="eastAsia" w:ascii="宋体" w:hAnsi="宋体" w:eastAsia="宋体" w:cs="宋体"/>
          <w:sz w:val="32"/>
          <w:szCs w:val="32"/>
          <w:lang w:eastAsia="zh-CN"/>
        </w:rPr>
        <w:t>进一步</w:t>
      </w:r>
      <w:r>
        <w:rPr>
          <w:rFonts w:hint="eastAsia" w:ascii="宋体" w:hAnsi="宋体" w:eastAsia="宋体" w:cs="宋体"/>
          <w:sz w:val="32"/>
          <w:szCs w:val="32"/>
        </w:rPr>
        <w:t>完善管理制度。</w:t>
      </w:r>
      <w:r>
        <w:rPr>
          <w:rFonts w:hint="eastAsia" w:ascii="宋体" w:hAnsi="宋体" w:eastAsia="宋体" w:cs="宋体"/>
          <w:sz w:val="32"/>
          <w:szCs w:val="32"/>
          <w:lang w:eastAsia="zh-CN"/>
        </w:rPr>
        <w:t>认真</w:t>
      </w:r>
      <w:r>
        <w:rPr>
          <w:rFonts w:hint="eastAsia" w:ascii="宋体" w:hAnsi="宋体" w:eastAsia="宋体" w:cs="宋体"/>
          <w:sz w:val="32"/>
          <w:szCs w:val="32"/>
        </w:rPr>
        <w:t>贯彻落实中央“八项规定”，建立</w:t>
      </w:r>
      <w:r>
        <w:rPr>
          <w:rFonts w:hint="eastAsia" w:ascii="宋体" w:hAnsi="宋体" w:eastAsia="宋体" w:cs="宋体"/>
          <w:sz w:val="32"/>
          <w:szCs w:val="32"/>
          <w:lang w:eastAsia="zh-CN"/>
        </w:rPr>
        <w:t>健</w:t>
      </w:r>
      <w:r>
        <w:rPr>
          <w:rFonts w:hint="eastAsia" w:ascii="宋体" w:hAnsi="宋体" w:eastAsia="宋体" w:cs="宋体"/>
          <w:sz w:val="32"/>
          <w:szCs w:val="32"/>
        </w:rPr>
        <w:t>全新的财务管理制度，</w:t>
      </w:r>
      <w:r>
        <w:rPr>
          <w:rFonts w:hint="eastAsia" w:ascii="宋体" w:hAnsi="宋体" w:eastAsia="宋体" w:cs="宋体"/>
          <w:sz w:val="32"/>
          <w:szCs w:val="32"/>
          <w:lang w:eastAsia="zh-CN"/>
        </w:rPr>
        <w:t>严控</w:t>
      </w:r>
      <w:r>
        <w:rPr>
          <w:rFonts w:hint="eastAsia" w:ascii="宋体" w:hAnsi="宋体" w:eastAsia="宋体" w:cs="宋体"/>
          <w:sz w:val="32"/>
          <w:szCs w:val="32"/>
        </w:rPr>
        <w:t>“三公”经费</w:t>
      </w:r>
      <w:r>
        <w:rPr>
          <w:rFonts w:hint="eastAsia" w:ascii="宋体" w:hAnsi="宋体" w:eastAsia="宋体" w:cs="宋体"/>
          <w:sz w:val="32"/>
          <w:szCs w:val="32"/>
          <w:lang w:eastAsia="zh-CN"/>
        </w:rPr>
        <w:t>使用，</w:t>
      </w:r>
      <w:r>
        <w:rPr>
          <w:rFonts w:hint="eastAsia" w:ascii="宋体" w:hAnsi="宋体" w:eastAsia="宋体" w:cs="宋体"/>
          <w:sz w:val="32"/>
          <w:szCs w:val="32"/>
        </w:rPr>
        <w:t>规范支出标准与范围</w:t>
      </w:r>
      <w:r>
        <w:rPr>
          <w:rFonts w:hint="eastAsia" w:ascii="宋体" w:hAnsi="宋体" w:eastAsia="宋体" w:cs="宋体"/>
          <w:sz w:val="32"/>
          <w:szCs w:val="32"/>
          <w:lang w:eastAsia="zh-CN"/>
        </w:rPr>
        <w:t>。</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宋体" w:hAnsi="宋体" w:eastAsia="宋体" w:cs="宋体"/>
          <w:sz w:val="32"/>
          <w:szCs w:val="32"/>
          <w:lang w:val="en-US" w:eastAsia="zh-CN"/>
        </w:rPr>
        <w:sectPr>
          <w:pgSz w:w="11906" w:h="16838"/>
          <w:pgMar w:top="1984" w:right="1701" w:bottom="1984" w:left="170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r>
        <w:rPr>
          <w:rFonts w:hint="eastAsia" w:ascii="宋体" w:hAnsi="宋体" w:eastAsia="宋体" w:cs="宋体"/>
          <w:sz w:val="32"/>
          <w:szCs w:val="32"/>
          <w:lang w:val="en-US" w:eastAsia="zh-CN"/>
        </w:rPr>
        <w:t>无</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10"/>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宋体" w:hAnsi="宋体" w:eastAsia="宋体" w:cs="宋体"/>
                <w:b/>
                <w:bCs/>
                <w:kern w:val="0"/>
                <w:sz w:val="24"/>
                <w:lang w:val="en-US" w:eastAsia="zh-CN"/>
              </w:rPr>
            </w:pPr>
            <w:r>
              <w:rPr>
                <w:rFonts w:hint="eastAsia" w:ascii="仿宋_GB2312" w:hAnsi="宋体" w:eastAsia="仿宋_GB2312" w:cs="宋体"/>
                <w:b/>
                <w:bCs/>
                <w:kern w:val="0"/>
                <w:sz w:val="18"/>
                <w:szCs w:val="18"/>
                <w:lang w:val="en-US" w:eastAsia="zh-CN"/>
              </w:rPr>
              <w:t>97.5</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8"/>
        <w:rPr>
          <w:rFonts w:hint="eastAsia"/>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10"/>
        <w:tblW w:w="98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0"/>
        <w:gridCol w:w="1080"/>
        <w:gridCol w:w="1080"/>
        <w:gridCol w:w="1224"/>
        <w:gridCol w:w="1134"/>
        <w:gridCol w:w="1134"/>
        <w:gridCol w:w="828"/>
        <w:gridCol w:w="873"/>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华文仿宋" w:hAnsi="华文仿宋" w:eastAsia="华文仿宋" w:cs="华文仿宋"/>
                <w:color w:val="000000"/>
                <w:sz w:val="18"/>
                <w:szCs w:val="18"/>
              </w:rPr>
              <w:t>华容县2022年粮油千亿产业工程（湖南优质粮油工程升级版）重点县项目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商务部</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119" w:type="dxa"/>
            <w:gridSpan w:val="3"/>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华容县商务粮食局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828"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500</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500</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300</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保项目运转</w:t>
            </w:r>
          </w:p>
        </w:tc>
        <w:tc>
          <w:tcPr>
            <w:tcW w:w="4253" w:type="dxa"/>
            <w:gridSpan w:val="4"/>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已完成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水稻种植面积</w:t>
            </w:r>
            <w:r>
              <w:rPr>
                <w:rFonts w:hint="eastAsia" w:eastAsia="仿宋_GB2312" w:cs="Times New Roman"/>
                <w:color w:val="000000"/>
                <w:sz w:val="20"/>
                <w:szCs w:val="20"/>
                <w:lang w:val="en-US" w:eastAsia="zh-CN"/>
              </w:rPr>
              <w:t>133</w:t>
            </w:r>
            <w:r>
              <w:rPr>
                <w:rFonts w:hint="eastAsia" w:ascii="Times New Roman" w:hAnsi="Times New Roman" w:eastAsia="仿宋_GB2312" w:cs="Times New Roman"/>
                <w:color w:val="000000"/>
                <w:sz w:val="20"/>
                <w:szCs w:val="20"/>
              </w:rPr>
              <w:t>万亩</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133万亩</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133.8万亩</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推广优质稻生产面积</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95万亩</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rPr>
              <w:t>95万亩</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持续加强“华容稻”区域公用品牌建设</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提升品牌价值</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已完成</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按时完成项目建设任务</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已完成</w:t>
            </w: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已完成</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控制预算</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lang w:eastAsia="zh-CN"/>
              </w:rPr>
              <w:t>严格控制在预算内</w:t>
            </w: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ascii="Times New Roman" w:hAnsi="Times New Roman" w:eastAsia="仿宋_GB2312" w:cs="Times New Roman"/>
                <w:color w:val="000000"/>
                <w:sz w:val="20"/>
                <w:szCs w:val="20"/>
                <w:lang w:eastAsia="zh-CN"/>
              </w:rPr>
              <w:t>已完成</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2022年实现粮食加工产值22.32亿元</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22亿元</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已完成</w:t>
            </w: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10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订单收购面积稳步增长</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已完成</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服务能力得到大幅提升</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已完成</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采取稻鸭、稻渔、稻虾共生</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生态种养、绿色防控</w:t>
            </w:r>
            <w:r>
              <w:rPr>
                <w:rFonts w:hint="default" w:eastAsia="仿宋_GB2312" w:cs="Times New Roman"/>
                <w:color w:val="000000"/>
                <w:sz w:val="20"/>
                <w:szCs w:val="20"/>
                <w:lang w:eastAsia="zh-CN"/>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已完成</w:t>
            </w: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rPr>
              <w:t>引导产品结构调优，带动产业链条壮大，促进粮食经济强县</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农民增收</w:t>
            </w:r>
            <w:r>
              <w:rPr>
                <w:rFonts w:hint="eastAsia" w:ascii="Times New Roman" w:hAnsi="Times New Roman" w:eastAsia="仿宋_GB2312" w:cs="Times New Roman"/>
                <w:color w:val="000000"/>
                <w:sz w:val="20"/>
                <w:szCs w:val="20"/>
                <w:lang w:eastAsia="zh-CN"/>
              </w:rPr>
              <w:t>，</w:t>
            </w:r>
            <w:r>
              <w:rPr>
                <w:rFonts w:hint="eastAsia" w:ascii="Times New Roman" w:hAnsi="Times New Roman" w:eastAsia="仿宋_GB2312" w:cs="Times New Roman"/>
                <w:color w:val="000000"/>
                <w:sz w:val="20"/>
                <w:szCs w:val="20"/>
              </w:rPr>
              <w:t>企业增效</w:t>
            </w:r>
            <w:r>
              <w:rPr>
                <w:rFonts w:hint="eastAsia" w:ascii="Times New Roman" w:hAnsi="Times New Roman" w:eastAsia="仿宋_GB2312" w:cs="Times New Roman"/>
                <w:color w:val="000000"/>
                <w:sz w:val="20"/>
                <w:szCs w:val="20"/>
                <w:lang w:eastAsia="zh-CN"/>
              </w:rPr>
              <w:t>。</w:t>
            </w: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eastAsia="zh-CN"/>
              </w:rPr>
              <w:t>已完成</w:t>
            </w: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5</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5</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满意率达到99%</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95%</w:t>
            </w: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99%</w:t>
            </w: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10</w:t>
            </w: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134"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6732" w:type="dxa"/>
            <w:gridSpan w:val="6"/>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82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98</w:t>
            </w:r>
          </w:p>
        </w:tc>
        <w:tc>
          <w:tcPr>
            <w:tcW w:w="1418" w:type="dxa"/>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rPr>
      </w:pPr>
    </w:p>
    <w:p>
      <w:pPr>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填表人：</w:t>
      </w:r>
      <w:r>
        <w:rPr>
          <w:rFonts w:hint="eastAsia" w:ascii="新宋体" w:hAnsi="新宋体" w:eastAsia="新宋体" w:cs="新宋体"/>
          <w:sz w:val="21"/>
          <w:szCs w:val="21"/>
          <w:lang w:eastAsia="zh-CN"/>
        </w:rPr>
        <w:t>段杰</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填报日期：</w:t>
      </w:r>
      <w:r>
        <w:rPr>
          <w:rFonts w:hint="eastAsia" w:ascii="新宋体" w:hAnsi="新宋体" w:eastAsia="新宋体" w:cs="新宋体"/>
          <w:sz w:val="21"/>
          <w:szCs w:val="21"/>
          <w:lang w:val="en-US" w:eastAsia="zh-CN"/>
        </w:rPr>
        <w:t>2023.7.5</w:t>
      </w:r>
      <w:r>
        <w:rPr>
          <w:rFonts w:hint="eastAsia" w:ascii="新宋体" w:hAnsi="新宋体" w:eastAsia="新宋体" w:cs="新宋体"/>
          <w:sz w:val="21"/>
          <w:szCs w:val="21"/>
        </w:rPr>
        <w:t xml:space="preserve">   联系电话：</w:t>
      </w:r>
      <w:r>
        <w:rPr>
          <w:rFonts w:hint="eastAsia" w:ascii="新宋体" w:hAnsi="新宋体" w:eastAsia="新宋体" w:cs="新宋体"/>
          <w:sz w:val="21"/>
          <w:szCs w:val="21"/>
          <w:lang w:val="en-US" w:eastAsia="zh-CN"/>
        </w:rPr>
        <w:t>18711231118</w:t>
      </w:r>
      <w:r>
        <w:rPr>
          <w:rFonts w:hint="eastAsia" w:ascii="新宋体" w:hAnsi="新宋体" w:eastAsia="新宋体" w:cs="新宋体"/>
          <w:sz w:val="21"/>
          <w:szCs w:val="21"/>
        </w:rPr>
        <w:t xml:space="preserve">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单位负责人签字</w:t>
      </w:r>
      <w:bookmarkStart w:id="0" w:name="_GoBack"/>
      <w:bookmarkEnd w:id="0"/>
      <w:r>
        <w:rPr>
          <w:rFonts w:hint="eastAsia" w:ascii="新宋体" w:hAnsi="新宋体" w:eastAsia="新宋体" w:cs="新宋体"/>
          <w:sz w:val="21"/>
          <w:szCs w:val="21"/>
        </w:rPr>
        <w:t>：</w:t>
      </w:r>
      <w:r>
        <w:rPr>
          <w:rFonts w:hint="eastAsia" w:ascii="新宋体" w:hAnsi="新宋体" w:eastAsia="新宋体" w:cs="新宋体"/>
          <w:sz w:val="21"/>
          <w:szCs w:val="21"/>
          <w:lang w:eastAsia="zh-CN"/>
        </w:rPr>
        <w:t>胡祥胜</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商务粮食局千亿粮油工程项目</w:t>
      </w:r>
      <w:r>
        <w:rPr>
          <w:rFonts w:hint="eastAsia" w:ascii="方正小标宋简体" w:hAnsi="方正小标宋简体" w:eastAsia="方正小标宋简体" w:cs="方正小标宋简体"/>
          <w:sz w:val="44"/>
          <w:szCs w:val="44"/>
        </w:rPr>
        <w:t>支出</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 xml:space="preserve">年 </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 xml:space="preserve"> 月 </w:t>
      </w:r>
      <w:r>
        <w:rPr>
          <w:rFonts w:hint="eastAsia" w:eastAsia="楷体_GB2312" w:cs="Times New Roman"/>
          <w:sz w:val="32"/>
          <w:szCs w:val="32"/>
          <w:lang w:val="en-US" w:eastAsia="zh-CN"/>
        </w:rPr>
        <w:t>5</w:t>
      </w:r>
      <w:r>
        <w:rPr>
          <w:rFonts w:hint="default" w:ascii="Times New Roman" w:hAnsi="Times New Roman" w:eastAsia="楷体_GB2312" w:cs="Times New Roman"/>
          <w:sz w:val="32"/>
          <w:szCs w:val="32"/>
        </w:rPr>
        <w:t xml:space="preserve"> 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b w:val="0"/>
          <w:bCs w:val="0"/>
          <w:sz w:val="44"/>
          <w:szCs w:val="44"/>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b w:val="0"/>
          <w:bCs w:val="0"/>
          <w:sz w:val="44"/>
          <w:szCs w:val="44"/>
        </w:rPr>
        <w:t>202</w:t>
      </w:r>
      <w:r>
        <w:rPr>
          <w:rFonts w:hint="eastAsia" w:ascii="方正小标宋简体" w:hAnsi="方正小标宋简体" w:eastAsia="方正小标宋简体" w:cs="方正小标宋简体"/>
          <w:b w:val="0"/>
          <w:bCs w:val="0"/>
          <w:sz w:val="44"/>
          <w:szCs w:val="44"/>
          <w:lang w:val="en-US" w:eastAsia="zh-CN"/>
        </w:rPr>
        <w:t>2</w:t>
      </w:r>
      <w:r>
        <w:rPr>
          <w:rFonts w:hint="eastAsia" w:ascii="方正小标宋简体" w:hAnsi="方正小标宋简体" w:eastAsia="方正小标宋简体" w:cs="方正小标宋简体"/>
          <w:b w:val="0"/>
          <w:bCs w:val="0"/>
          <w:sz w:val="44"/>
          <w:szCs w:val="44"/>
        </w:rPr>
        <w:t>年度</w:t>
      </w:r>
      <w:r>
        <w:rPr>
          <w:rFonts w:hint="eastAsia" w:ascii="方正小标宋简体" w:hAnsi="方正小标宋简体" w:eastAsia="方正小标宋简体" w:cs="方正小标宋简体"/>
          <w:b w:val="0"/>
          <w:bCs w:val="0"/>
          <w:sz w:val="44"/>
          <w:szCs w:val="44"/>
          <w:lang w:eastAsia="zh-CN"/>
        </w:rPr>
        <w:t>商务粮食局千亿粮油工程项目</w:t>
      </w:r>
      <w:r>
        <w:rPr>
          <w:rFonts w:hint="eastAsia" w:ascii="方正小标宋简体" w:hAnsi="方正小标宋简体" w:eastAsia="方正小标宋简体" w:cs="方正小标宋简体"/>
          <w:b w:val="0"/>
          <w:bCs w:val="0"/>
          <w:sz w:val="44"/>
          <w:szCs w:val="44"/>
        </w:rPr>
        <w:t>支出</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b w:val="0"/>
          <w:bCs w:val="0"/>
          <w:sz w:val="32"/>
          <w:szCs w:val="32"/>
        </w:rPr>
      </w:pPr>
      <w:r>
        <w:rPr>
          <w:rFonts w:hint="eastAsia" w:ascii="方正小标宋简体" w:hAnsi="方正小标宋简体" w:eastAsia="方正小标宋简体" w:cs="方正小标宋简体"/>
          <w:b w:val="0"/>
          <w:bCs w:val="0"/>
          <w:sz w:val="44"/>
          <w:szCs w:val="44"/>
        </w:rPr>
        <w:t>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widowControl w:val="0"/>
        <w:kinsoku/>
        <w:wordWrap/>
        <w:overflowPunct/>
        <w:topLinePunct w:val="0"/>
        <w:autoSpaceDE/>
        <w:autoSpaceDN/>
        <w:bidi w:val="0"/>
        <w:adjustRightInd/>
        <w:snapToGrid/>
        <w:spacing w:line="600" w:lineRule="exact"/>
        <w:ind w:left="0" w:leftChars="0"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eastAsia="仿宋_GB2312"/>
          <w:sz w:val="30"/>
          <w:szCs w:val="30"/>
        </w:rPr>
      </w:pPr>
      <w:r>
        <w:rPr>
          <w:rFonts w:hint="eastAsia" w:eastAsia="仿宋_GB2312"/>
          <w:sz w:val="30"/>
          <w:szCs w:val="30"/>
          <w:lang w:eastAsia="zh-CN"/>
        </w:rPr>
        <w:t>（一）项目概况：</w:t>
      </w:r>
      <w:r>
        <w:rPr>
          <w:rFonts w:hint="eastAsia" w:eastAsia="仿宋_GB2312"/>
          <w:sz w:val="30"/>
          <w:szCs w:val="30"/>
        </w:rPr>
        <w:t>华容县有14个乡镇，73万人口，水稻种植面积145万亩（复种），总产、单产一直稳居全省前列。华容是全国粮食生产百强县、全国粮食生产标兵县、全国现代农业示范县。2017-2019年连续三年成为湖南省实施国家优质粮油工程项目县，其中2017年度和2019年两个年度被确定为“中国好粮油行动”国家级示范县。通过三年多的努力奋斗，顺利完成项目建设任务，通过了省市项目检查和验收，取得了预期的绩效目标。</w:t>
      </w:r>
    </w:p>
    <w:p>
      <w:pPr>
        <w:keepNext w:val="0"/>
        <w:keepLines w:val="0"/>
        <w:pageBreakBefore w:val="0"/>
        <w:widowControl w:val="0"/>
        <w:kinsoku/>
        <w:wordWrap/>
        <w:overflowPunct/>
        <w:topLinePunct w:val="0"/>
        <w:autoSpaceDE/>
        <w:autoSpaceDN/>
        <w:bidi w:val="0"/>
        <w:adjustRightInd/>
        <w:snapToGrid/>
        <w:spacing w:line="600" w:lineRule="exact"/>
        <w:ind w:firstLine="600" w:firstLineChars="200"/>
        <w:textAlignment w:val="auto"/>
        <w:rPr>
          <w:rFonts w:hint="eastAsia" w:eastAsia="仿宋_GB2312"/>
          <w:sz w:val="30"/>
          <w:szCs w:val="30"/>
        </w:rPr>
      </w:pPr>
      <w:r>
        <w:rPr>
          <w:rFonts w:hint="eastAsia" w:eastAsia="仿宋_GB2312"/>
          <w:sz w:val="30"/>
          <w:szCs w:val="30"/>
        </w:rPr>
        <w:t>根据省粮食和物资储备局、省财政厅关于印发《2022年粮油千亿产业工程（湖南优质粮油工程升级版）专项资金申报指南》的通知精神（湘粮产〔2021〕156号），我县于2021年11月积极组织专项材料申报，通过市、省两级粮食主管部门的审查，再次将我县确定为2022-2023年粮油千亿产业工程（湖南优质粮油工程升级版）项目重点县，滚动实施两年。项目实施一年来，在省市粮食主管部门的指导督促下，在县委、县人民政府的坚强领导下，积极整合商务粮食、农业农村、市场监督、财政金融、广播宣传等职能部门和行业协会的优势资源，通过全县从事粮食生产、加工、流通和产后服务的龙头企业、新型农业经营主体和广大粮农的共同努力，基本如期完成了预期的项目建设任务。根据岳阳市粮食和物资储备局的要求，对2022年项目实施情况和财政专项资金使用情况进行绩效评价。为此，县政府组织了以县商务粮食局为主，相关职能部门参与的工作班子，采取查阅资料、考察现场、财务检查、抽样调查、会议座谈等形式，围绕项目预算执行情况、项目产出情况、项目效益情况和项目的满意度情况组织绩效自我评价。本项目滚动实施两年，其中拟在2022年完成项目建设总投资2720万元，其中专项资金预算为500万元。</w:t>
      </w:r>
    </w:p>
    <w:p>
      <w:pPr>
        <w:pStyle w:val="17"/>
        <w:keepNext w:val="0"/>
        <w:keepLines w:val="0"/>
        <w:pageBreakBefore w:val="0"/>
        <w:widowControl w:val="0"/>
        <w:kinsoku/>
        <w:wordWrap/>
        <w:overflowPunct/>
        <w:topLinePunct w:val="0"/>
        <w:autoSpaceDE/>
        <w:autoSpaceDN/>
        <w:bidi w:val="0"/>
        <w:adjustRightInd/>
        <w:snapToGrid/>
        <w:spacing w:before="0" w:beforeAutospacing="0" w:after="0" w:afterAutospacing="0" w:line="640" w:lineRule="exact"/>
        <w:ind w:firstLine="600" w:firstLineChars="200"/>
        <w:jc w:val="both"/>
        <w:textAlignment w:val="auto"/>
        <w:rPr>
          <w:rFonts w:hint="eastAsia" w:ascii="Times New Roman" w:hAnsi="Times New Roman" w:eastAsia="仿宋_GB2312" w:cs="Times New Roman"/>
          <w:kern w:val="2"/>
          <w:sz w:val="30"/>
          <w:szCs w:val="30"/>
          <w:lang w:val="en-US" w:eastAsia="zh-CN" w:bidi="ar-SA"/>
        </w:rPr>
      </w:pPr>
      <w:r>
        <w:rPr>
          <w:rFonts w:hint="eastAsia" w:eastAsia="仿宋_GB2312"/>
          <w:sz w:val="30"/>
          <w:szCs w:val="30"/>
        </w:rPr>
        <w:t>(二)项目绩效目标</w:t>
      </w:r>
      <w:r>
        <w:rPr>
          <w:rFonts w:hint="eastAsia" w:eastAsia="仿宋_GB2312"/>
          <w:sz w:val="30"/>
          <w:szCs w:val="30"/>
          <w:lang w:eastAsia="zh-CN"/>
        </w:rPr>
        <w:t>：</w:t>
      </w:r>
      <w:r>
        <w:rPr>
          <w:rFonts w:hint="eastAsia" w:ascii="Times New Roman" w:hAnsi="Times New Roman" w:eastAsia="仿宋_GB2312" w:cs="Times New Roman"/>
          <w:kern w:val="2"/>
          <w:sz w:val="30"/>
          <w:szCs w:val="30"/>
          <w:lang w:val="en-US" w:eastAsia="zh-CN" w:bidi="ar-SA"/>
        </w:rPr>
        <w:t>实施粮油千亿产业工程重点项目，将充分运用2017年以来既有成效，大力推进“三链协同”，深入实施“五优联动”，做实粮食绿色仓储、品种品质品牌、质量追溯、机械装备、应急保障能力、节约减损健康消费提升等“六大提升行动”，继续巩固和构建“五优联动”的粮食产业经济新格局。</w:t>
      </w:r>
    </w:p>
    <w:p>
      <w:pPr>
        <w:keepNext w:val="0"/>
        <w:keepLines w:val="0"/>
        <w:pageBreakBefore w:val="0"/>
        <w:widowControl w:val="0"/>
        <w:kinsoku/>
        <w:wordWrap/>
        <w:overflowPunct/>
        <w:topLinePunct w:val="0"/>
        <w:autoSpaceDE/>
        <w:autoSpaceDN/>
        <w:bidi w:val="0"/>
        <w:adjustRightInd/>
        <w:snapToGrid/>
        <w:spacing w:line="640" w:lineRule="exact"/>
        <w:ind w:left="0" w:leftChars="0" w:firstLine="600" w:firstLineChars="200"/>
        <w:textAlignment w:val="auto"/>
        <w:rPr>
          <w:rFonts w:hint="eastAsia" w:ascii="黑体" w:hAnsi="黑体" w:eastAsia="黑体" w:cs="黑体"/>
          <w:color w:val="auto"/>
          <w:sz w:val="30"/>
          <w:szCs w:val="30"/>
        </w:rPr>
      </w:pPr>
      <w:r>
        <w:rPr>
          <w:rFonts w:hint="eastAsia" w:ascii="黑体" w:hAnsi="黑体" w:eastAsia="黑体" w:cs="黑体"/>
          <w:color w:val="auto"/>
          <w:sz w:val="30"/>
          <w:szCs w:val="30"/>
        </w:rPr>
        <w:t>二、绩效评价工作开展情况</w:t>
      </w:r>
    </w:p>
    <w:p>
      <w:pPr>
        <w:keepNext w:val="0"/>
        <w:keepLines w:val="0"/>
        <w:pageBreakBefore w:val="0"/>
        <w:widowControl w:val="0"/>
        <w:kinsoku/>
        <w:wordWrap/>
        <w:overflowPunct/>
        <w:topLinePunct w:val="0"/>
        <w:autoSpaceDE/>
        <w:autoSpaceDN/>
        <w:bidi w:val="0"/>
        <w:adjustRightInd/>
        <w:snapToGrid/>
        <w:spacing w:line="640" w:lineRule="exact"/>
        <w:ind w:firstLine="602" w:firstLineChars="200"/>
        <w:textAlignment w:val="auto"/>
        <w:rPr>
          <w:rFonts w:hint="eastAsia" w:eastAsia="仿宋_GB2312"/>
          <w:color w:val="0000FF"/>
          <w:sz w:val="30"/>
          <w:szCs w:val="30"/>
        </w:rPr>
      </w:pPr>
      <w:r>
        <w:rPr>
          <w:rFonts w:hint="eastAsia" w:eastAsia="仿宋_GB2312"/>
          <w:b/>
          <w:bCs/>
          <w:color w:val="auto"/>
          <w:sz w:val="30"/>
          <w:szCs w:val="30"/>
        </w:rPr>
        <w:t>(一)绩效评价目的、对象和范围。</w:t>
      </w:r>
    </w:p>
    <w:p>
      <w:pPr>
        <w:pStyle w:val="2"/>
        <w:keepNext w:val="0"/>
        <w:keepLines w:val="0"/>
        <w:pageBreakBefore w:val="0"/>
        <w:widowControl w:val="0"/>
        <w:kinsoku/>
        <w:wordWrap/>
        <w:overflowPunct/>
        <w:topLinePunct w:val="0"/>
        <w:autoSpaceDE/>
        <w:autoSpaceDN/>
        <w:bidi w:val="0"/>
        <w:adjustRightInd/>
        <w:snapToGrid/>
        <w:spacing w:after="0" w:line="640" w:lineRule="exact"/>
        <w:ind w:left="0" w:leftChars="0" w:firstLine="640" w:firstLineChars="200"/>
        <w:textAlignment w:val="auto"/>
        <w:rPr>
          <w:rFonts w:hint="eastAsia"/>
        </w:rPr>
      </w:pPr>
      <w:r>
        <w:rPr>
          <w:rFonts w:hint="eastAsia" w:ascii="仿宋_GB2312" w:hAnsi="仿宋_GB2312" w:eastAsia="仿宋_GB2312" w:cs="仿宋_GB2312"/>
          <w:sz w:val="32"/>
          <w:szCs w:val="32"/>
        </w:rPr>
        <w:t>2022-2023年项目实施主体企业（联合体）11家。二是完善项目实施方案，项目整体设计纵向突出了六大提升行动，横向除了培育两家示范企业和重点企业外，还扶持了8家粮食产业联合体，重点培育“华容稻”粮食产业发展的后劲，代表性地推广和实施绿色仓储试点项目，持续加强“华容稻”区域公用品牌建设，进一步提升“华容稻”区域公用品牌的认知度、知名度和美誉度，提升品牌价值</w:t>
      </w:r>
    </w:p>
    <w:p>
      <w:pPr>
        <w:keepNext w:val="0"/>
        <w:keepLines w:val="0"/>
        <w:pageBreakBefore w:val="0"/>
        <w:widowControl w:val="0"/>
        <w:numPr>
          <w:ilvl w:val="0"/>
          <w:numId w:val="1"/>
        </w:numPr>
        <w:kinsoku/>
        <w:wordWrap/>
        <w:overflowPunct/>
        <w:topLinePunct w:val="0"/>
        <w:autoSpaceDE/>
        <w:autoSpaceDN/>
        <w:bidi w:val="0"/>
        <w:adjustRightInd/>
        <w:snapToGrid/>
        <w:spacing w:line="640" w:lineRule="exact"/>
        <w:ind w:left="0" w:leftChars="0" w:firstLine="602" w:firstLineChars="200"/>
        <w:textAlignment w:val="auto"/>
        <w:rPr>
          <w:rFonts w:hint="eastAsia" w:eastAsia="仿宋_GB2312"/>
          <w:b/>
          <w:bCs/>
          <w:color w:val="auto"/>
          <w:sz w:val="30"/>
          <w:szCs w:val="30"/>
        </w:rPr>
      </w:pPr>
      <w:r>
        <w:rPr>
          <w:rFonts w:hint="eastAsia" w:eastAsia="仿宋_GB2312"/>
          <w:b/>
          <w:bCs/>
          <w:color w:val="auto"/>
          <w:sz w:val="30"/>
          <w:szCs w:val="30"/>
        </w:rPr>
        <w:t>绩效评价原则、评价指标体系(附表说明)、评价方法、 评价标准等。</w:t>
      </w:r>
    </w:p>
    <w:p>
      <w:pPr>
        <w:pStyle w:val="5"/>
        <w:keepNext w:val="0"/>
        <w:keepLines w:val="0"/>
        <w:pageBreakBefore w:val="0"/>
        <w:widowControl w:val="0"/>
        <w:kinsoku/>
        <w:wordWrap/>
        <w:overflowPunct/>
        <w:topLinePunct w:val="0"/>
        <w:autoSpaceDE/>
        <w:autoSpaceDN/>
        <w:bidi w:val="0"/>
        <w:adjustRightInd w:val="0"/>
        <w:snapToGrid w:val="0"/>
        <w:spacing w:after="0" w:line="640" w:lineRule="exact"/>
        <w:ind w:firstLine="600" w:firstLineChars="200"/>
        <w:textAlignment w:val="auto"/>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实施“六大提升行动”是新一轮优质粮油工程的战略部署，其根本宗旨就是从数量上保障国家粮食安全，中国人的饭碗要端在自己手上；从质量上，促进粮食产业供给侧结构性转变，满足人民群众日益上涨的对美好生活的追求；同时，通过农机农技融合、一二三产业融合、企业与农民的融合发展，着力提高粮食生产水平和生产能力。结合华容粮食产业的实际，执行六大提升行动，重点在“粮食绿色仓储提升行动、粮食品种品质品牌提升行动、粮食质量追溯提升行动、粮食机械装备提升行动”四个方面；重点安排和实施了新建恒温仓储和成品旧仓库的改造升级项目；隔检测设备的添置与应用项目；粮食精深加工生产能力的提升和改造项目；新增粮食烘干和产后服务设备建设项目；优质品种的推广和区域公用品牌建设等具体工程项目。各实施主体按照项目任务清单基本如期完成了项目建设任务。在粮食应急保障能力提升行动中主要是通过县直属的丰穗粮食购销公司除旧建新标准化仓容3.5万吨、粮食节约减损健康消费提升行动主要是县商务粮食局结合粮食安全日的活动开展了节粮知识的普及宣传活动。</w:t>
      </w:r>
    </w:p>
    <w:tbl>
      <w:tblPr>
        <w:tblStyle w:val="10"/>
        <w:tblW w:w="90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3514"/>
        <w:gridCol w:w="1410"/>
        <w:gridCol w:w="1360"/>
        <w:gridCol w:w="16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1" w:hRule="atLeast"/>
          <w:jc w:val="center"/>
        </w:trPr>
        <w:tc>
          <w:tcPr>
            <w:tcW w:w="11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类</w:t>
            </w: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指标任务</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绩效</w:t>
            </w:r>
          </w:p>
          <w:p>
            <w:pPr>
              <w:keepNext w:val="0"/>
              <w:keepLines w:val="0"/>
              <w:suppressLineNumbers w:val="0"/>
              <w:snapToGrid w:val="0"/>
              <w:spacing w:before="0" w:beforeAutospacing="0" w:after="0" w:afterAutospacing="0"/>
              <w:ind w:left="0" w:right="0"/>
              <w:jc w:val="center"/>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目标</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实际</w:t>
            </w:r>
          </w:p>
          <w:p>
            <w:pPr>
              <w:keepNext w:val="0"/>
              <w:keepLines w:val="0"/>
              <w:suppressLineNumbers w:val="0"/>
              <w:snapToGrid w:val="0"/>
              <w:spacing w:before="0" w:beforeAutospacing="0" w:after="0" w:afterAutospacing="0"/>
              <w:ind w:left="0" w:right="0"/>
              <w:jc w:val="center"/>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完成</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eastAsia" w:ascii="Times New Roman" w:hAnsi="Times New Roman" w:eastAsia="仿宋_GB2312" w:cs="Times New Roman"/>
                <w:color w:val="auto"/>
                <w:kern w:val="2"/>
                <w:sz w:val="30"/>
                <w:szCs w:val="30"/>
                <w:lang w:val="en-US" w:eastAsia="zh-CN" w:bidi="ar-SA"/>
              </w:rPr>
            </w:pPr>
            <w:r>
              <w:rPr>
                <w:rFonts w:hint="eastAsia" w:ascii="Times New Roman" w:hAnsi="Times New Roman" w:eastAsia="仿宋_GB2312" w:cs="Times New Roman"/>
                <w:color w:val="auto"/>
                <w:kern w:val="2"/>
                <w:sz w:val="30"/>
                <w:szCs w:val="30"/>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10" w:type="dxa"/>
            <w:vMerge w:val="restart"/>
            <w:tcBorders>
              <w:top w:val="single" w:color="auto" w:sz="4" w:space="0"/>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数量</w:t>
            </w:r>
          </w:p>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r>
              <w:rPr>
                <w:rFonts w:hint="eastAsia" w:ascii="仿宋_GB2312" w:hAnsi="仿宋_GB2312" w:eastAsia="仿宋_GB2312" w:cs="仿宋_GB2312"/>
                <w:b/>
                <w:bCs/>
                <w:kern w:val="0"/>
                <w:sz w:val="24"/>
              </w:rPr>
              <w:t>指标</w:t>
            </w: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水稻生产总面积</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133万亩</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133.8万亩</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
                <w:bCs/>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水稻生产总产量</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55万吨</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55.6万吨</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
                <w:bCs/>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优质稻生产面积</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95万亩</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95.5万亩</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
                <w:bCs/>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高档优质稻面积</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47万亩</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47.5万亩</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推广生态种植面积</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32万亩</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32.1万亩</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优质优价订单收购面积</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47万亩</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47.1万亩</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110" w:type="dxa"/>
            <w:vMerge w:val="restart"/>
            <w:tcBorders>
              <w:top w:val="single" w:color="auto" w:sz="4" w:space="0"/>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质量</w:t>
            </w:r>
          </w:p>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r>
              <w:rPr>
                <w:rFonts w:hint="eastAsia" w:ascii="仿宋_GB2312" w:hAnsi="仿宋_GB2312" w:eastAsia="仿宋_GB2312" w:cs="仿宋_GB2312"/>
                <w:b/>
                <w:bCs/>
                <w:kern w:val="0"/>
                <w:sz w:val="24"/>
              </w:rPr>
              <w:t>指标</w:t>
            </w: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新增粮食日烘干能力</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330吨</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332吨</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总能力达到4550吨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优质粮油绝对增加量</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15.5万吨</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15.6万吨</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粮油优质品率</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67.1%</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67.15%</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优质粮油产品市场占有率</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66%</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66%</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新建改旧、增加仓容</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4.8万吨</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4.85万吨</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新增绿色食品认证/注册商标</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2/2</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6/3</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新增湖南好粮油产品/省级放心粮油企业</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1/1</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2/1</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110" w:type="dxa"/>
            <w:vMerge w:val="continue"/>
            <w:tcBorders>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新增省/市农业产业化龙头企业</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1/2</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2/5</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1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时效</w:t>
            </w:r>
          </w:p>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
                <w:bCs/>
                <w:kern w:val="0"/>
                <w:sz w:val="24"/>
              </w:rPr>
            </w:pPr>
            <w:r>
              <w:rPr>
                <w:rFonts w:hint="eastAsia" w:ascii="仿宋_GB2312" w:hAnsi="仿宋_GB2312" w:eastAsia="仿宋_GB2312" w:cs="仿宋_GB2312"/>
                <w:b/>
                <w:bCs/>
                <w:kern w:val="0"/>
                <w:sz w:val="24"/>
              </w:rPr>
              <w:t>指标</w:t>
            </w: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按时完成项目建设任务</w:t>
            </w:r>
          </w:p>
        </w:tc>
        <w:tc>
          <w:tcPr>
            <w:tcW w:w="4444" w:type="dxa"/>
            <w:gridSpan w:val="3"/>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按《实施方案》如期完成项目建设、检查验收、财务审计、资金拨付和绩效评价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110" w:type="dxa"/>
            <w:vMerge w:val="restart"/>
            <w:tcBorders>
              <w:top w:val="single" w:color="auto" w:sz="4" w:space="0"/>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b/>
                <w:bCs/>
                <w:kern w:val="0"/>
                <w:sz w:val="24"/>
              </w:rPr>
            </w:pPr>
            <w:r>
              <w:rPr>
                <w:rFonts w:hint="eastAsia" w:ascii="仿宋_GB2312" w:hAnsi="仿宋_GB2312" w:eastAsia="仿宋_GB2312" w:cs="仿宋_GB2312"/>
                <w:b/>
                <w:bCs/>
                <w:kern w:val="0"/>
                <w:sz w:val="24"/>
              </w:rPr>
              <w:t>效益指标</w:t>
            </w: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经济：全县粮油加工总产值</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22.3亿元</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22.32亿元</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351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社会：带动粮农年增加收入</w:t>
            </w:r>
          </w:p>
        </w:tc>
        <w:tc>
          <w:tcPr>
            <w:tcW w:w="141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240元</w:t>
            </w:r>
          </w:p>
        </w:tc>
        <w:tc>
          <w:tcPr>
            <w:tcW w:w="1360"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242元</w:t>
            </w:r>
          </w:p>
        </w:tc>
        <w:tc>
          <w:tcPr>
            <w:tcW w:w="1674" w:type="dxa"/>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110" w:type="dxa"/>
            <w:vMerge w:val="continue"/>
            <w:tcBorders>
              <w:left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p>
        </w:tc>
        <w:tc>
          <w:tcPr>
            <w:tcW w:w="7958"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生态：推广生态种养、统防统治、绿色防控等生产方式，带动农药化肥分别减量40%和30%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jc w:val="center"/>
        </w:trPr>
        <w:tc>
          <w:tcPr>
            <w:tcW w:w="1110" w:type="dxa"/>
            <w:tcBorders>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center"/>
              <w:rPr>
                <w:rFonts w:hint="default" w:ascii="仿宋_GB2312" w:hAnsi="仿宋_GB2312" w:eastAsia="仿宋_GB2312" w:cs="仿宋_GB2312"/>
                <w:kern w:val="0"/>
                <w:sz w:val="24"/>
              </w:rPr>
            </w:pPr>
            <w:r>
              <w:rPr>
                <w:rFonts w:hint="eastAsia" w:ascii="仿宋_GB2312" w:hAnsi="仿宋_GB2312" w:eastAsia="仿宋_GB2312" w:cs="仿宋_GB2312"/>
                <w:b/>
                <w:bCs/>
                <w:kern w:val="0"/>
                <w:sz w:val="24"/>
              </w:rPr>
              <w:t>可持续影响</w:t>
            </w:r>
          </w:p>
        </w:tc>
        <w:tc>
          <w:tcPr>
            <w:tcW w:w="7958" w:type="dxa"/>
            <w:gridSpan w:val="4"/>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napToGrid w:val="0"/>
              <w:spacing w:before="0" w:beforeAutospacing="0" w:after="0" w:afterAutospacing="0"/>
              <w:ind w:left="0" w:right="0"/>
              <w:jc w:val="left"/>
              <w:rPr>
                <w:rFonts w:hint="default" w:ascii="仿宋_GB2312" w:hAnsi="仿宋_GB2312" w:eastAsia="仿宋_GB2312" w:cs="仿宋_GB2312"/>
                <w:bCs/>
                <w:kern w:val="0"/>
                <w:sz w:val="24"/>
              </w:rPr>
            </w:pPr>
            <w:r>
              <w:rPr>
                <w:rFonts w:hint="eastAsia" w:ascii="仿宋_GB2312" w:hAnsi="仿宋_GB2312" w:eastAsia="仿宋_GB2312" w:cs="仿宋_GB2312"/>
                <w:bCs/>
                <w:kern w:val="0"/>
                <w:sz w:val="24"/>
              </w:rPr>
              <w:t>引导产品结构调优，带动产业链条壮大，促进粮食经济强县</w:t>
            </w:r>
          </w:p>
        </w:tc>
      </w:tr>
    </w:tbl>
    <w:p>
      <w:pPr>
        <w:pStyle w:val="5"/>
        <w:keepNext w:val="0"/>
        <w:keepLines w:val="0"/>
        <w:pageBreakBefore w:val="0"/>
        <w:widowControl w:val="0"/>
        <w:kinsoku/>
        <w:wordWrap/>
        <w:overflowPunct/>
        <w:topLinePunct w:val="0"/>
        <w:autoSpaceDE/>
        <w:autoSpaceDN/>
        <w:bidi w:val="0"/>
        <w:adjustRightInd w:val="0"/>
        <w:snapToGrid w:val="0"/>
        <w:spacing w:after="0" w:line="660" w:lineRule="exact"/>
        <w:ind w:left="0" w:leftChars="0" w:firstLine="602" w:firstLineChars="200"/>
        <w:textAlignment w:val="auto"/>
        <w:rPr>
          <w:rFonts w:hint="eastAsia" w:eastAsia="仿宋_GB2312"/>
          <w:color w:val="auto"/>
          <w:sz w:val="30"/>
          <w:szCs w:val="30"/>
        </w:rPr>
      </w:pPr>
      <w:r>
        <w:rPr>
          <w:rFonts w:hint="eastAsia" w:eastAsia="仿宋_GB2312"/>
          <w:b/>
          <w:bCs/>
          <w:color w:val="auto"/>
          <w:sz w:val="30"/>
          <w:szCs w:val="30"/>
        </w:rPr>
        <w:t>(三)绩效评价工作过程</w:t>
      </w:r>
      <w:r>
        <w:rPr>
          <w:rFonts w:hint="eastAsia" w:eastAsia="仿宋_GB2312"/>
          <w:color w:val="auto"/>
          <w:sz w:val="30"/>
          <w:szCs w:val="30"/>
        </w:rPr>
        <w:t>。</w:t>
      </w:r>
    </w:p>
    <w:p>
      <w:pPr>
        <w:pStyle w:val="5"/>
        <w:keepNext w:val="0"/>
        <w:keepLines w:val="0"/>
        <w:pageBreakBefore w:val="0"/>
        <w:widowControl w:val="0"/>
        <w:kinsoku/>
        <w:wordWrap/>
        <w:overflowPunct/>
        <w:topLinePunct w:val="0"/>
        <w:autoSpaceDE/>
        <w:autoSpaceDN/>
        <w:bidi w:val="0"/>
        <w:adjustRightInd w:val="0"/>
        <w:snapToGrid w:val="0"/>
        <w:spacing w:after="0" w:line="660" w:lineRule="exact"/>
        <w:ind w:left="0" w:leftChars="0" w:firstLine="600" w:firstLineChars="200"/>
        <w:textAlignment w:val="auto"/>
        <w:rPr>
          <w:rFonts w:hint="eastAsia" w:eastAsia="仿宋_GB2312"/>
          <w:color w:val="0000FF"/>
          <w:sz w:val="30"/>
          <w:szCs w:val="30"/>
        </w:rPr>
      </w:pPr>
      <w:r>
        <w:rPr>
          <w:rFonts w:hint="eastAsia" w:ascii="Times New Roman" w:hAnsi="Times New Roman" w:eastAsia="仿宋_GB2312" w:cs="Times New Roman"/>
          <w:color w:val="auto"/>
          <w:kern w:val="2"/>
          <w:sz w:val="30"/>
          <w:szCs w:val="30"/>
          <w:lang w:val="en-US" w:eastAsia="zh-CN" w:bidi="ar-SA"/>
        </w:rPr>
        <w:t>对照责任状和项目计划，采取现场勘查、设备清点、资料查阅、财务审计等措施，逐项进行检查验收，逐单位组织绩效评价。同时，对全县的年度项目推进情况也进行了整体评估。</w:t>
      </w:r>
    </w:p>
    <w:p>
      <w:pPr>
        <w:keepNext w:val="0"/>
        <w:keepLines w:val="0"/>
        <w:pageBreakBefore w:val="0"/>
        <w:widowControl w:val="0"/>
        <w:kinsoku/>
        <w:wordWrap/>
        <w:overflowPunct/>
        <w:topLinePunct w:val="0"/>
        <w:autoSpaceDE/>
        <w:autoSpaceDN/>
        <w:bidi w:val="0"/>
        <w:adjustRightInd/>
        <w:snapToGrid/>
        <w:spacing w:line="660" w:lineRule="exact"/>
        <w:ind w:left="0" w:leftChars="0"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pStyle w:val="5"/>
        <w:keepNext w:val="0"/>
        <w:keepLines w:val="0"/>
        <w:pageBreakBefore w:val="0"/>
        <w:widowControl w:val="0"/>
        <w:kinsoku/>
        <w:wordWrap/>
        <w:overflowPunct/>
        <w:topLinePunct w:val="0"/>
        <w:autoSpaceDE/>
        <w:autoSpaceDN/>
        <w:bidi w:val="0"/>
        <w:adjustRightInd w:val="0"/>
        <w:snapToGrid w:val="0"/>
        <w:spacing w:after="0" w:line="660" w:lineRule="exact"/>
        <w:ind w:left="0" w:leftChars="0" w:firstLine="600" w:firstLineChars="200"/>
        <w:textAlignment w:val="auto"/>
        <w:rPr>
          <w:rFonts w:hint="eastAsia"/>
        </w:rPr>
      </w:pPr>
      <w:r>
        <w:rPr>
          <w:rFonts w:hint="eastAsia" w:ascii="仿宋_GB2312" w:hAnsi="仿宋_GB2312" w:eastAsia="仿宋_GB2312" w:cs="仿宋_GB2312"/>
          <w:sz w:val="30"/>
          <w:szCs w:val="30"/>
        </w:rPr>
        <w:t>充分运用中央、省有关粮油产业发展政策和行业政策，积极向国家、省申报粮油产业、物流和技术改造项目，争取上级项目资金支持。逐步增加地方产业引导资金规模，落实减轻企业负担各项规定。争取粮油初加工生产环节用电享受农业生产用电价格优惠政策。企业开发新技术、新产品、新工艺发生的研发费用，符合税法规定条件的，可以在计算应纳税所得额时按规定加计扣除。统筹规划，在预算编制环节整合资金。设立专项资金，确保项目启动、连续投入、连片建设、不被资金卡壳。自下而上对口申报的相应专项资金，以项目整合带动资金整合，实现集中投入、重点支持。建立发展“优质粮油工程”项目“绿色贷款通道”，鼓励银行等金融机构加大对建设“优质粮油工程”项目建设的信贷投放力度，完善粮油加工企业等项目建设主体的贷款担保机制，简化担保审贷和报批手续，并适当给予相应的贷款利息补贴，鼓励企业采取并购重组等形式做大做强。</w:t>
      </w:r>
    </w:p>
    <w:p>
      <w:pPr>
        <w:keepNext w:val="0"/>
        <w:keepLines w:val="0"/>
        <w:pageBreakBefore w:val="0"/>
        <w:kinsoku/>
        <w:wordWrap/>
        <w:overflowPunct/>
        <w:topLinePunct w:val="0"/>
        <w:autoSpaceDE/>
        <w:autoSpaceDN/>
        <w:bidi w:val="0"/>
        <w:adjustRightInd/>
        <w:snapToGrid/>
        <w:spacing w:line="620" w:lineRule="exact"/>
        <w:ind w:left="0" w:leftChars="0"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pStyle w:val="5"/>
        <w:keepNext w:val="0"/>
        <w:keepLines w:val="0"/>
        <w:pageBreakBefore w:val="0"/>
        <w:kinsoku/>
        <w:wordWrap/>
        <w:overflowPunct/>
        <w:topLinePunct w:val="0"/>
        <w:autoSpaceDE/>
        <w:autoSpaceDN/>
        <w:bidi w:val="0"/>
        <w:adjustRightInd w:val="0"/>
        <w:snapToGrid w:val="0"/>
        <w:spacing w:line="620" w:lineRule="exact"/>
        <w:ind w:left="0" w:leftChars="0" w:firstLine="600" w:firstLineChars="200"/>
        <w:textAlignment w:val="auto"/>
        <w:rPr>
          <w:rFonts w:hint="eastAsia" w:eastAsia="仿宋_GB2312"/>
          <w:sz w:val="30"/>
          <w:szCs w:val="30"/>
          <w:lang w:eastAsia="zh-CN"/>
        </w:rPr>
      </w:pPr>
      <w:r>
        <w:rPr>
          <w:rFonts w:hint="eastAsia" w:eastAsia="仿宋_GB2312"/>
          <w:sz w:val="30"/>
          <w:szCs w:val="30"/>
        </w:rPr>
        <w:t>(一)</w:t>
      </w:r>
      <w:r>
        <w:rPr>
          <w:rFonts w:hint="eastAsia" w:eastAsia="仿宋_GB2312"/>
          <w:b/>
          <w:bCs/>
          <w:sz w:val="30"/>
          <w:szCs w:val="30"/>
        </w:rPr>
        <w:t>项目决策情况</w:t>
      </w:r>
      <w:r>
        <w:rPr>
          <w:rFonts w:hint="eastAsia" w:eastAsia="仿宋_GB2312"/>
          <w:sz w:val="30"/>
          <w:szCs w:val="30"/>
          <w:lang w:eastAsia="zh-CN"/>
        </w:rPr>
        <w:t>：</w:t>
      </w:r>
    </w:p>
    <w:p>
      <w:pPr>
        <w:pStyle w:val="5"/>
        <w:keepNext w:val="0"/>
        <w:keepLines w:val="0"/>
        <w:pageBreakBefore w:val="0"/>
        <w:kinsoku/>
        <w:wordWrap/>
        <w:overflowPunct/>
        <w:topLinePunct w:val="0"/>
        <w:autoSpaceDE/>
        <w:autoSpaceDN/>
        <w:bidi w:val="0"/>
        <w:adjustRightInd w:val="0"/>
        <w:snapToGrid w:val="0"/>
        <w:spacing w:line="62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华容县商务粮食局、县财政局负责编制2</w:t>
      </w:r>
      <w:r>
        <w:rPr>
          <w:rFonts w:ascii="仿宋_GB2312" w:hAnsi="仿宋_GB2312" w:eastAsia="仿宋_GB2312" w:cs="仿宋_GB2312"/>
          <w:sz w:val="32"/>
          <w:szCs w:val="32"/>
        </w:rPr>
        <w:t>022</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2023</w:t>
      </w:r>
      <w:r>
        <w:rPr>
          <w:rFonts w:hint="eastAsia" w:ascii="仿宋_GB2312" w:hAnsi="仿宋_GB2312" w:eastAsia="仿宋_GB2312" w:cs="仿宋_GB2312"/>
          <w:sz w:val="32"/>
          <w:szCs w:val="32"/>
        </w:rPr>
        <w:t>年本项目项目实施方案和财政补助资金按进度拨付；负责本县“优质粮油工程”行动计划的监督检查和总体绩效评价；管理全县范围内的实施项目和示范企业；负责实施主体的监督检查、指导实施及考核验收。县财政局负责及时拨付相关资金，会同县商务粮食局等有关部门组织对资金使用情况进行监督检查和绩效考评，确保资金使用合理、安全。预算支出决策由各实施主体根据经营发展的实际情况，通过项目申报材料的形式提出申请，由县级商务粮食部门审批通过批准实施。</w:t>
      </w:r>
    </w:p>
    <w:p>
      <w:pPr>
        <w:keepNext w:val="0"/>
        <w:keepLines w:val="0"/>
        <w:pageBreakBefore w:val="0"/>
        <w:numPr>
          <w:ilvl w:val="0"/>
          <w:numId w:val="0"/>
        </w:numPr>
        <w:kinsoku/>
        <w:wordWrap/>
        <w:overflowPunct/>
        <w:topLinePunct w:val="0"/>
        <w:autoSpaceDE/>
        <w:autoSpaceDN/>
        <w:bidi w:val="0"/>
        <w:adjustRightInd/>
        <w:snapToGrid/>
        <w:spacing w:line="620" w:lineRule="exact"/>
        <w:ind w:left="0" w:leftChars="0" w:firstLine="600" w:firstLineChars="200"/>
        <w:textAlignment w:val="auto"/>
        <w:rPr>
          <w:rFonts w:hint="eastAsia" w:eastAsia="仿宋_GB2312"/>
          <w:sz w:val="30"/>
          <w:szCs w:val="30"/>
          <w:lang w:eastAsia="zh-CN"/>
        </w:rPr>
      </w:pPr>
      <w:r>
        <w:rPr>
          <w:rFonts w:hint="eastAsia" w:eastAsia="仿宋_GB2312"/>
          <w:sz w:val="30"/>
          <w:szCs w:val="30"/>
          <w:lang w:eastAsia="zh-CN"/>
        </w:rPr>
        <w:t>（二）</w:t>
      </w:r>
      <w:r>
        <w:rPr>
          <w:rFonts w:hint="eastAsia" w:eastAsia="仿宋_GB2312"/>
          <w:b/>
          <w:bCs/>
          <w:sz w:val="30"/>
          <w:szCs w:val="30"/>
        </w:rPr>
        <w:t>项目过程情况</w:t>
      </w:r>
      <w:r>
        <w:rPr>
          <w:rFonts w:hint="eastAsia" w:eastAsia="仿宋_GB2312"/>
          <w:sz w:val="30"/>
          <w:szCs w:val="30"/>
          <w:lang w:eastAsia="zh-CN"/>
        </w:rPr>
        <w:t>：</w:t>
      </w:r>
    </w:p>
    <w:p>
      <w:pPr>
        <w:keepNext w:val="0"/>
        <w:keepLines w:val="0"/>
        <w:pageBreakBefore w:val="0"/>
        <w:numPr>
          <w:ilvl w:val="0"/>
          <w:numId w:val="0"/>
        </w:numPr>
        <w:kinsoku/>
        <w:wordWrap/>
        <w:overflowPunct/>
        <w:topLinePunct w:val="0"/>
        <w:autoSpaceDE/>
        <w:autoSpaceDN/>
        <w:bidi w:val="0"/>
        <w:adjustRightInd/>
        <w:snapToGrid/>
        <w:spacing w:line="620" w:lineRule="exact"/>
        <w:ind w:left="0" w:leftChars="0" w:firstLine="640" w:firstLineChars="200"/>
        <w:textAlignment w:val="auto"/>
        <w:rPr>
          <w:rFonts w:hint="eastAsia" w:eastAsia="仿宋_GB2312"/>
          <w:sz w:val="30"/>
          <w:szCs w:val="30"/>
        </w:rPr>
      </w:pPr>
      <w:r>
        <w:rPr>
          <w:rFonts w:hint="eastAsia" w:ascii="仿宋_GB2312" w:hAnsi="仿宋_GB2312" w:eastAsia="仿宋_GB2312" w:cs="仿宋_GB2312"/>
          <w:sz w:val="32"/>
          <w:szCs w:val="32"/>
        </w:rPr>
        <w:t>一是加强项目责任分解，各项目实施主体于今年7月份按照“六个落实”的要求，以法人代表的名义向华容县商务粮食局递交了《目标责任书》，围绕建设内容、标准要求、配套资金、订单收购、预期绩效等都做了具体、明确的承诺；二是加强项目执行督查，县商务粮食局的主要领导、主管领导多次深入企业现场指导，督查督办，做到一月一督办、一季一讲评，组织了两次阶段性的检查督查活动，迎接市商务粮食局督察督办2次，都起到了较好的效果；三是咬定青山不放松，围绕15个预期绩效指标，组织项目实施主体进行了培训，明确了方法和路径，引导企业有的放矢、创造性地开展工作，确保了投入到位、工作到位、绩效到位</w:t>
      </w:r>
    </w:p>
    <w:p>
      <w:pPr>
        <w:pStyle w:val="5"/>
        <w:keepNext w:val="0"/>
        <w:keepLines w:val="0"/>
        <w:pageBreakBefore w:val="0"/>
        <w:numPr>
          <w:ilvl w:val="0"/>
          <w:numId w:val="1"/>
        </w:numPr>
        <w:kinsoku/>
        <w:wordWrap/>
        <w:overflowPunct/>
        <w:topLinePunct w:val="0"/>
        <w:autoSpaceDE/>
        <w:autoSpaceDN/>
        <w:bidi w:val="0"/>
        <w:adjustRightInd w:val="0"/>
        <w:snapToGrid w:val="0"/>
        <w:spacing w:line="620" w:lineRule="exact"/>
        <w:ind w:left="0" w:leftChars="0" w:firstLine="602" w:firstLineChars="200"/>
        <w:textAlignment w:val="auto"/>
        <w:rPr>
          <w:rFonts w:hint="eastAsia" w:eastAsia="仿宋_GB2312"/>
          <w:sz w:val="30"/>
          <w:szCs w:val="30"/>
          <w:lang w:eastAsia="zh-CN"/>
        </w:rPr>
      </w:pPr>
      <w:r>
        <w:rPr>
          <w:rFonts w:hint="eastAsia" w:eastAsia="仿宋_GB2312"/>
          <w:b/>
          <w:bCs/>
          <w:sz w:val="30"/>
          <w:szCs w:val="30"/>
        </w:rPr>
        <w:t>项目产出情况</w:t>
      </w:r>
      <w:r>
        <w:rPr>
          <w:rFonts w:hint="eastAsia" w:eastAsia="仿宋_GB2312"/>
          <w:sz w:val="30"/>
          <w:szCs w:val="30"/>
          <w:lang w:eastAsia="zh-CN"/>
        </w:rPr>
        <w:t>：</w:t>
      </w:r>
    </w:p>
    <w:p>
      <w:pPr>
        <w:pStyle w:val="5"/>
        <w:keepNext w:val="0"/>
        <w:keepLines w:val="0"/>
        <w:pageBreakBefore w:val="0"/>
        <w:numPr>
          <w:ilvl w:val="0"/>
          <w:numId w:val="0"/>
        </w:numPr>
        <w:kinsoku/>
        <w:wordWrap/>
        <w:overflowPunct/>
        <w:topLinePunct w:val="0"/>
        <w:autoSpaceDE/>
        <w:autoSpaceDN/>
        <w:bidi w:val="0"/>
        <w:adjustRightInd w:val="0"/>
        <w:snapToGrid w:val="0"/>
        <w:spacing w:line="620" w:lineRule="exact"/>
        <w:ind w:left="0" w:leftChars="0" w:firstLine="600" w:firstLineChars="200"/>
        <w:textAlignment w:val="auto"/>
        <w:rPr>
          <w:rFonts w:hint="eastAsia" w:eastAsia="仿宋_GB2312"/>
          <w:sz w:val="30"/>
          <w:szCs w:val="30"/>
        </w:rPr>
      </w:pPr>
      <w:r>
        <w:rPr>
          <w:rFonts w:hint="eastAsia" w:eastAsia="仿宋_GB2312"/>
          <w:sz w:val="30"/>
          <w:szCs w:val="30"/>
        </w:rPr>
        <w:t>根据“岳阳大米”产业联盟对岳阳市范围内适用性优质品质的推荐，华容县重点推广兆优和盛泰优两个高档优质稻品种，全面粮食面积稳定在133万亩，优质稻面积95.5万亩，其中高档优质稻占50%，采取稻鸭、稻渔、稻虾共生、共养面积32.2万亩。</w:t>
      </w:r>
    </w:p>
    <w:p>
      <w:pPr>
        <w:pStyle w:val="5"/>
        <w:keepNext w:val="0"/>
        <w:keepLines w:val="0"/>
        <w:pageBreakBefore w:val="0"/>
        <w:numPr>
          <w:ilvl w:val="0"/>
          <w:numId w:val="1"/>
        </w:numPr>
        <w:kinsoku/>
        <w:wordWrap/>
        <w:overflowPunct/>
        <w:topLinePunct w:val="0"/>
        <w:autoSpaceDE/>
        <w:autoSpaceDN/>
        <w:bidi w:val="0"/>
        <w:adjustRightInd w:val="0"/>
        <w:snapToGrid w:val="0"/>
        <w:spacing w:line="620" w:lineRule="exact"/>
        <w:ind w:left="0" w:leftChars="0" w:firstLine="602" w:firstLineChars="200"/>
        <w:textAlignment w:val="auto"/>
        <w:rPr>
          <w:rFonts w:hint="eastAsia" w:eastAsia="仿宋_GB2312"/>
          <w:b/>
          <w:bCs/>
          <w:sz w:val="30"/>
          <w:szCs w:val="30"/>
        </w:rPr>
      </w:pPr>
      <w:r>
        <w:rPr>
          <w:rFonts w:hint="eastAsia" w:eastAsia="仿宋_GB2312"/>
          <w:b/>
          <w:bCs/>
          <w:sz w:val="30"/>
          <w:szCs w:val="30"/>
        </w:rPr>
        <w:t>项目效益情况。</w:t>
      </w:r>
    </w:p>
    <w:p>
      <w:pPr>
        <w:pStyle w:val="5"/>
        <w:keepNext w:val="0"/>
        <w:keepLines w:val="0"/>
        <w:pageBreakBefore w:val="0"/>
        <w:numPr>
          <w:ilvl w:val="0"/>
          <w:numId w:val="0"/>
        </w:numPr>
        <w:kinsoku/>
        <w:wordWrap/>
        <w:overflowPunct/>
        <w:topLinePunct w:val="0"/>
        <w:autoSpaceDE/>
        <w:autoSpaceDN/>
        <w:bidi w:val="0"/>
        <w:adjustRightInd w:val="0"/>
        <w:snapToGrid w:val="0"/>
        <w:spacing w:line="620" w:lineRule="exact"/>
        <w:ind w:left="0" w:leftChars="0" w:firstLine="600" w:firstLineChars="200"/>
        <w:textAlignment w:val="auto"/>
        <w:rPr>
          <w:rFonts w:hint="eastAsia" w:eastAsia="仿宋_GB2312"/>
          <w:sz w:val="30"/>
          <w:szCs w:val="30"/>
        </w:rPr>
      </w:pPr>
      <w:r>
        <w:rPr>
          <w:rFonts w:hint="eastAsia" w:eastAsia="仿宋_GB2312"/>
          <w:sz w:val="30"/>
          <w:szCs w:val="30"/>
        </w:rPr>
        <w:t>通过六大提升行动的实施，特别是紧紧抓住了“优品种、优品质、优品牌”三个纲领性的工作重点，全县粮食仓库总容量达到4.85万吨（不含中储粮华容直属库），粮食产后日烘干能力达到4550吨，2022年实现粮食加工产值22.32亿元；粮油优质品率达到67.15%；预期绩效目标全面完成。</w:t>
      </w:r>
    </w:p>
    <w:p>
      <w:pPr>
        <w:keepNext w:val="0"/>
        <w:keepLines w:val="0"/>
        <w:pageBreakBefore w:val="0"/>
        <w:kinsoku/>
        <w:wordWrap/>
        <w:overflowPunct/>
        <w:topLinePunct w:val="0"/>
        <w:autoSpaceDE/>
        <w:autoSpaceDN/>
        <w:bidi w:val="0"/>
        <w:adjustRightInd/>
        <w:snapToGrid/>
        <w:spacing w:line="620" w:lineRule="exact"/>
        <w:ind w:left="0" w:leftChars="0"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pStyle w:val="5"/>
        <w:keepNext w:val="0"/>
        <w:keepLines w:val="0"/>
        <w:pageBreakBefore w:val="0"/>
        <w:kinsoku/>
        <w:wordWrap/>
        <w:overflowPunct/>
        <w:topLinePunct w:val="0"/>
        <w:autoSpaceDE/>
        <w:autoSpaceDN/>
        <w:bidi w:val="0"/>
        <w:adjustRightInd w:val="0"/>
        <w:snapToGrid w:val="0"/>
        <w:spacing w:line="62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华容县实施优质粮油工程项目，促进粮食大县向粮食经济强县终于迈开了坚实的一步，其经验体会主要有以下三个方面：</w:t>
      </w:r>
    </w:p>
    <w:p>
      <w:pPr>
        <w:pStyle w:val="5"/>
        <w:keepNext w:val="0"/>
        <w:keepLines w:val="0"/>
        <w:pageBreakBefore w:val="0"/>
        <w:kinsoku/>
        <w:wordWrap/>
        <w:overflowPunct/>
        <w:topLinePunct w:val="0"/>
        <w:autoSpaceDE/>
        <w:autoSpaceDN/>
        <w:bidi w:val="0"/>
        <w:adjustRightInd w:val="0"/>
        <w:snapToGrid w:val="0"/>
        <w:spacing w:line="62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一是得益于国家和粮食主管部门对优质粮油工程科学精准的定位，打破了过去农业部门管生产、粮食部门管加工、工商部门管市场三张皮的问题，六大提升的项目设计贯穿整个产业链条，高屋建瓴，拉动性很强。</w:t>
      </w:r>
    </w:p>
    <w:p>
      <w:pPr>
        <w:pStyle w:val="5"/>
        <w:keepNext w:val="0"/>
        <w:keepLines w:val="0"/>
        <w:pageBreakBefore w:val="0"/>
        <w:kinsoku/>
        <w:wordWrap/>
        <w:overflowPunct/>
        <w:topLinePunct w:val="0"/>
        <w:autoSpaceDE/>
        <w:autoSpaceDN/>
        <w:bidi w:val="0"/>
        <w:adjustRightInd w:val="0"/>
        <w:snapToGrid w:val="0"/>
        <w:spacing w:line="62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二是得益于广大的农民兄弟和市场主体的积极参与，他们才是创造产业和历史真正的英雄，也正是这股力量的投入和努力，带来了“华容稻”优质粮食产业的变迁。</w:t>
      </w:r>
    </w:p>
    <w:p>
      <w:pPr>
        <w:pStyle w:val="5"/>
        <w:keepNext w:val="0"/>
        <w:keepLines w:val="0"/>
        <w:pageBreakBefore w:val="0"/>
        <w:kinsoku/>
        <w:wordWrap/>
        <w:overflowPunct/>
        <w:topLinePunct w:val="0"/>
        <w:autoSpaceDE/>
        <w:autoSpaceDN/>
        <w:bidi w:val="0"/>
        <w:adjustRightInd w:val="0"/>
        <w:snapToGrid w:val="0"/>
        <w:spacing w:line="620" w:lineRule="exact"/>
        <w:ind w:left="0" w:leftChars="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三是得益于粮食、财政等项目主管部门的精细管理和精准推进，在公开公平公正的原则下，逐年遴选项目实施主体，逐年狠抓项目落实，逐年跟踪进行绩效评估，用抓铁有痕的精神确保财政资金发挥最大的撬动作用和绩效目标。</w:t>
      </w:r>
    </w:p>
    <w:p>
      <w:pPr>
        <w:pStyle w:val="2"/>
        <w:keepNext w:val="0"/>
        <w:keepLines w:val="0"/>
        <w:pageBreakBefore w:val="0"/>
        <w:kinsoku/>
        <w:wordWrap/>
        <w:overflowPunct/>
        <w:topLinePunct w:val="0"/>
        <w:autoSpaceDE/>
        <w:autoSpaceDN/>
        <w:bidi w:val="0"/>
        <w:spacing w:after="0" w:line="620" w:lineRule="exact"/>
        <w:ind w:left="0" w:leftChars="0" w:firstLine="600" w:firstLineChars="200"/>
        <w:textAlignment w:val="auto"/>
        <w:rPr>
          <w:rFonts w:hint="eastAsia"/>
          <w:sz w:val="30"/>
          <w:szCs w:val="30"/>
        </w:rPr>
      </w:pPr>
      <w:r>
        <w:rPr>
          <w:rFonts w:hint="eastAsia" w:ascii="仿宋_GB2312" w:hAnsi="仿宋_GB2312" w:eastAsia="仿宋_GB2312" w:cs="仿宋_GB2312"/>
          <w:sz w:val="30"/>
          <w:szCs w:val="30"/>
        </w:rPr>
        <w:t>我们坚信，只要紧扣打造“华容稻”区域公用品牌这个主旋律，坚持政府引导和企业主导两条主线，双轮驱动，充分调动农民和新型农业经营主体的积极性，跃马扬鞭，华容县优质粮油产业一定会有更加辉煌灿烂的明天。</w:t>
      </w:r>
    </w:p>
    <w:p>
      <w:pPr>
        <w:keepNext w:val="0"/>
        <w:keepLines w:val="0"/>
        <w:pageBreakBefore w:val="0"/>
        <w:widowControl/>
        <w:numPr>
          <w:ilvl w:val="0"/>
          <w:numId w:val="2"/>
        </w:numPr>
        <w:kinsoku/>
        <w:wordWrap/>
        <w:overflowPunct/>
        <w:topLinePunct w:val="0"/>
        <w:autoSpaceDE/>
        <w:autoSpaceDN/>
        <w:bidi w:val="0"/>
        <w:adjustRightInd/>
        <w:snapToGrid/>
        <w:spacing w:line="620" w:lineRule="exact"/>
        <w:ind w:left="0" w:leftChars="0" w:firstLine="600" w:firstLineChars="200"/>
        <w:jc w:val="both"/>
        <w:textAlignment w:val="auto"/>
        <w:rPr>
          <w:rFonts w:hint="eastAsia" w:ascii="黑体" w:hAnsi="黑体" w:eastAsia="黑体" w:cs="黑体"/>
          <w:sz w:val="30"/>
          <w:szCs w:val="30"/>
        </w:rPr>
      </w:pPr>
      <w:r>
        <w:rPr>
          <w:rFonts w:hint="eastAsia" w:ascii="黑体" w:hAnsi="黑体" w:eastAsia="黑体" w:cs="黑体"/>
          <w:sz w:val="30"/>
          <w:szCs w:val="30"/>
        </w:rPr>
        <w:t>其他需要说明的问题</w:t>
      </w:r>
    </w:p>
    <w:p>
      <w:pPr>
        <w:pStyle w:val="5"/>
        <w:keepNext w:val="0"/>
        <w:keepLines w:val="0"/>
        <w:pageBreakBefore w:val="0"/>
        <w:kinsoku/>
        <w:wordWrap/>
        <w:overflowPunct/>
        <w:topLinePunct w:val="0"/>
        <w:autoSpaceDE/>
        <w:autoSpaceDN/>
        <w:bidi w:val="0"/>
        <w:adjustRightInd w:val="0"/>
        <w:snapToGrid w:val="0"/>
        <w:spacing w:line="620" w:lineRule="exact"/>
        <w:ind w:left="0" w:leftChars="0" w:firstLine="600" w:firstLineChars="200"/>
        <w:textAlignment w:val="auto"/>
        <w:rPr>
          <w:sz w:val="30"/>
          <w:szCs w:val="30"/>
        </w:rPr>
      </w:pPr>
      <w:r>
        <w:rPr>
          <w:rFonts w:hint="eastAsia" w:ascii="仿宋_GB2312" w:hAnsi="仿宋_GB2312" w:eastAsia="仿宋_GB2312" w:cs="仿宋_GB2312"/>
          <w:sz w:val="30"/>
          <w:szCs w:val="30"/>
        </w:rPr>
        <w:t>华容县多年实施优质粮油工程项目，坚持做到了一年一度公开遴选、优胜劣汰；一年一度明确项目建设任务和预期目标，分企业、分项目、分阶段专项督查；财政资金做到了专款专用、专账管理、专项审计；在各级检查和财政监督中没有发现违纪违规和违反操作规程的问题。</w:t>
      </w:r>
    </w:p>
    <w:p>
      <w:pPr>
        <w:pStyle w:val="2"/>
        <w:keepNext w:val="0"/>
        <w:keepLines w:val="0"/>
        <w:pageBreakBefore w:val="0"/>
        <w:numPr>
          <w:ilvl w:val="0"/>
          <w:numId w:val="0"/>
        </w:numPr>
        <w:kinsoku/>
        <w:wordWrap/>
        <w:overflowPunct/>
        <w:topLinePunct w:val="0"/>
        <w:autoSpaceDE/>
        <w:autoSpaceDN/>
        <w:bidi w:val="0"/>
        <w:spacing w:after="0" w:line="620" w:lineRule="exact"/>
        <w:ind w:left="0" w:leftChars="0" w:firstLine="420" w:firstLineChars="200"/>
        <w:textAlignment w:val="auto"/>
        <w:rPr>
          <w:rFonts w:hint="eastAsia"/>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FF685483-BC42-4CD3-B4B8-227BCC4B96E3}"/>
  </w:font>
  <w:font w:name="Arial">
    <w:panose1 w:val="020B0604020202020204"/>
    <w:charset w:val="01"/>
    <w:family w:val="swiss"/>
    <w:pitch w:val="default"/>
    <w:sig w:usb0="E0002AFF" w:usb1="C0007843" w:usb2="00000009" w:usb3="00000000" w:csb0="400001FF" w:csb1="FFFF0000"/>
    <w:embedRegular r:id="rId2" w:fontKey="{E8BA4AFD-6A0D-461C-A2B9-2EECDD501974}"/>
  </w:font>
  <w:font w:name="黑体">
    <w:panose1 w:val="02010609060101010101"/>
    <w:charset w:val="86"/>
    <w:family w:val="auto"/>
    <w:pitch w:val="default"/>
    <w:sig w:usb0="800002BF" w:usb1="38CF7CFA" w:usb2="00000016" w:usb3="00000000" w:csb0="00040001" w:csb1="00000000"/>
    <w:embedRegular r:id="rId3" w:fontKey="{8AA53EA8-A9EB-44D3-92CC-6EC8AE04458E}"/>
  </w:font>
  <w:font w:name="Courier New">
    <w:panose1 w:val="02070309020205020404"/>
    <w:charset w:val="01"/>
    <w:family w:val="modern"/>
    <w:pitch w:val="default"/>
    <w:sig w:usb0="E0000AFF" w:usb1="40007843" w:usb2="00000001" w:usb3="00000000" w:csb0="400001BF" w:csb1="DFF70000"/>
    <w:embedRegular r:id="rId4" w:fontKey="{C5BCE162-6F55-4743-9264-18A0300717E6}"/>
  </w:font>
  <w:font w:name="Symbol">
    <w:panose1 w:val="05050102010706020507"/>
    <w:charset w:val="02"/>
    <w:family w:val="roman"/>
    <w:pitch w:val="default"/>
    <w:sig w:usb0="00000000" w:usb1="00000000" w:usb2="00000000" w:usb3="00000000" w:csb0="80000000" w:csb1="00000000"/>
    <w:embedRegular r:id="rId5" w:fontKey="{EB19B12A-C6D0-49BC-8034-49C123F34810}"/>
  </w:font>
  <w:font w:name="Calibri">
    <w:panose1 w:val="020F0502020204030204"/>
    <w:charset w:val="00"/>
    <w:family w:val="swiss"/>
    <w:pitch w:val="default"/>
    <w:sig w:usb0="E00002FF" w:usb1="4000ACFF" w:usb2="00000001" w:usb3="00000000" w:csb0="2000019F" w:csb1="00000000"/>
    <w:embedRegular r:id="rId6" w:fontKey="{1034E108-A068-43AE-A6E7-F2E468ACF427}"/>
  </w:font>
  <w:font w:name="方正小标宋简体">
    <w:panose1 w:val="03000509000000000000"/>
    <w:charset w:val="86"/>
    <w:family w:val="auto"/>
    <w:pitch w:val="default"/>
    <w:sig w:usb0="00000001" w:usb1="080E0000" w:usb2="00000000" w:usb3="00000000" w:csb0="00040000" w:csb1="00000000"/>
    <w:embedRegular r:id="rId7" w:fontKey="{FBE9E977-8EF6-4C09-B3BE-28E741038340}"/>
  </w:font>
  <w:font w:name="新宋体">
    <w:panose1 w:val="02010609030101010101"/>
    <w:charset w:val="86"/>
    <w:family w:val="auto"/>
    <w:pitch w:val="default"/>
    <w:sig w:usb0="00000003" w:usb1="288F0000" w:usb2="00000006" w:usb3="00000000" w:csb0="00040001" w:csb1="00000000"/>
    <w:embedRegular r:id="rId8" w:fontKey="{F66C1F59-5812-45BD-92BA-08953299A436}"/>
  </w:font>
  <w:font w:name="仿宋_GB2312">
    <w:panose1 w:val="02010609030101010101"/>
    <w:charset w:val="86"/>
    <w:family w:val="auto"/>
    <w:pitch w:val="default"/>
    <w:sig w:usb0="00000001" w:usb1="080E0000" w:usb2="00000000" w:usb3="00000000" w:csb0="00040000" w:csb1="00000000"/>
    <w:embedRegular r:id="rId9" w:fontKey="{9C231D20-25E7-4558-A817-B2AC303B5E11}"/>
  </w:font>
  <w:font w:name="方正小标宋_GBK">
    <w:panose1 w:val="02000000000000000000"/>
    <w:charset w:val="86"/>
    <w:family w:val="script"/>
    <w:pitch w:val="default"/>
    <w:sig w:usb0="A00002BF" w:usb1="38CF7CFA" w:usb2="00082016" w:usb3="00000000" w:csb0="00040001" w:csb1="00000000"/>
    <w:embedRegular r:id="rId10" w:fontKey="{5115495E-C446-4276-8A56-46049B4AA37A}"/>
  </w:font>
  <w:font w:name="楷体_GB2312">
    <w:panose1 w:val="02010609030101010101"/>
    <w:charset w:val="86"/>
    <w:family w:val="auto"/>
    <w:pitch w:val="default"/>
    <w:sig w:usb0="00000001" w:usb1="080E0000" w:usb2="00000000" w:usb3="00000000" w:csb0="00040000" w:csb1="00000000"/>
    <w:embedRegular r:id="rId11" w:fontKey="{9AC775CB-8460-43A2-97D9-55B4C1B1BF51}"/>
  </w:font>
  <w:font w:name="华文仿宋">
    <w:panose1 w:val="02010600040101010101"/>
    <w:charset w:val="86"/>
    <w:family w:val="auto"/>
    <w:pitch w:val="default"/>
    <w:sig w:usb0="00000287" w:usb1="080F0000" w:usb2="00000000" w:usb3="00000000" w:csb0="0004009F" w:csb1="DFD70000"/>
    <w:embedRegular r:id="rId12" w:fontKey="{BFA57E7F-5035-4AD0-8E84-E2F5B772D9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6"/>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7B10BA"/>
    <w:multiLevelType w:val="singleLevel"/>
    <w:tmpl w:val="AF7B10BA"/>
    <w:lvl w:ilvl="0" w:tentative="0">
      <w:start w:val="6"/>
      <w:numFmt w:val="chineseCounting"/>
      <w:suff w:val="nothing"/>
      <w:lvlText w:val="%1、"/>
      <w:lvlJc w:val="left"/>
      <w:rPr>
        <w:rFonts w:hint="eastAsia"/>
      </w:rPr>
    </w:lvl>
  </w:abstractNum>
  <w:abstractNum w:abstractNumId="1">
    <w:nsid w:val="BB0659A1"/>
    <w:multiLevelType w:val="singleLevel"/>
    <w:tmpl w:val="BB0659A1"/>
    <w:lvl w:ilvl="0" w:tentative="0">
      <w:start w:val="2"/>
      <w:numFmt w:val="chineseCounting"/>
      <w:lvlText w:val="(%1)"/>
      <w:lvlJc w:val="left"/>
      <w:pPr>
        <w:tabs>
          <w:tab w:val="left" w:pos="312"/>
        </w:tabs>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yZDZjMWViMDVjZjk3MTg5MzE1YzI0ZDJlZGMyZTQifQ=="/>
  </w:docVars>
  <w:rsids>
    <w:rsidRoot w:val="0CCB7736"/>
    <w:rsid w:val="00047FEF"/>
    <w:rsid w:val="000A3906"/>
    <w:rsid w:val="001776F1"/>
    <w:rsid w:val="006F0A16"/>
    <w:rsid w:val="00773328"/>
    <w:rsid w:val="00821883"/>
    <w:rsid w:val="00917857"/>
    <w:rsid w:val="00A755C2"/>
    <w:rsid w:val="01192269"/>
    <w:rsid w:val="016A347B"/>
    <w:rsid w:val="02B50488"/>
    <w:rsid w:val="0338470A"/>
    <w:rsid w:val="034822A9"/>
    <w:rsid w:val="03D86621"/>
    <w:rsid w:val="04EE6171"/>
    <w:rsid w:val="05395EA9"/>
    <w:rsid w:val="085F360E"/>
    <w:rsid w:val="0ABD557B"/>
    <w:rsid w:val="0BBB5A8D"/>
    <w:rsid w:val="0C104906"/>
    <w:rsid w:val="0CCB7736"/>
    <w:rsid w:val="0D9E0E8D"/>
    <w:rsid w:val="0EAB7397"/>
    <w:rsid w:val="0EF755B3"/>
    <w:rsid w:val="0F17035E"/>
    <w:rsid w:val="0F4E168D"/>
    <w:rsid w:val="102A4E49"/>
    <w:rsid w:val="11404466"/>
    <w:rsid w:val="11963ADD"/>
    <w:rsid w:val="11AD38A1"/>
    <w:rsid w:val="11EB0F5C"/>
    <w:rsid w:val="11F20483"/>
    <w:rsid w:val="1252588B"/>
    <w:rsid w:val="136F31F8"/>
    <w:rsid w:val="138750E0"/>
    <w:rsid w:val="15A620D3"/>
    <w:rsid w:val="16467A84"/>
    <w:rsid w:val="16A3369E"/>
    <w:rsid w:val="178536BD"/>
    <w:rsid w:val="19516372"/>
    <w:rsid w:val="19575CC2"/>
    <w:rsid w:val="19A80228"/>
    <w:rsid w:val="19EB0738"/>
    <w:rsid w:val="1A101464"/>
    <w:rsid w:val="1AB74849"/>
    <w:rsid w:val="1AC52FF2"/>
    <w:rsid w:val="1AE6175D"/>
    <w:rsid w:val="1B742AA7"/>
    <w:rsid w:val="1BD357CC"/>
    <w:rsid w:val="1CA34935"/>
    <w:rsid w:val="1D0C2A2A"/>
    <w:rsid w:val="1D5A640E"/>
    <w:rsid w:val="1F7640EC"/>
    <w:rsid w:val="20A15152"/>
    <w:rsid w:val="20D76C5F"/>
    <w:rsid w:val="21057490"/>
    <w:rsid w:val="214A230E"/>
    <w:rsid w:val="21B052C4"/>
    <w:rsid w:val="22FF5445"/>
    <w:rsid w:val="238D0E57"/>
    <w:rsid w:val="24256710"/>
    <w:rsid w:val="251E7983"/>
    <w:rsid w:val="259F7565"/>
    <w:rsid w:val="260D5D83"/>
    <w:rsid w:val="27632778"/>
    <w:rsid w:val="27EE074A"/>
    <w:rsid w:val="284A2254"/>
    <w:rsid w:val="292F1467"/>
    <w:rsid w:val="29786927"/>
    <w:rsid w:val="297B51B4"/>
    <w:rsid w:val="29E40467"/>
    <w:rsid w:val="29F527E2"/>
    <w:rsid w:val="2BB05779"/>
    <w:rsid w:val="2BF35971"/>
    <w:rsid w:val="2C487650"/>
    <w:rsid w:val="2E4F43C0"/>
    <w:rsid w:val="2EC7368E"/>
    <w:rsid w:val="2F426D7A"/>
    <w:rsid w:val="2F84084E"/>
    <w:rsid w:val="30FB4B41"/>
    <w:rsid w:val="31621165"/>
    <w:rsid w:val="323C5548"/>
    <w:rsid w:val="334D5E0F"/>
    <w:rsid w:val="37450F88"/>
    <w:rsid w:val="37D6106F"/>
    <w:rsid w:val="38F862EB"/>
    <w:rsid w:val="39343807"/>
    <w:rsid w:val="397B7BD0"/>
    <w:rsid w:val="39887BBC"/>
    <w:rsid w:val="39F3020A"/>
    <w:rsid w:val="3A53023B"/>
    <w:rsid w:val="3AF42D2D"/>
    <w:rsid w:val="3B1F00AA"/>
    <w:rsid w:val="3B3A041F"/>
    <w:rsid w:val="3BAE6BF9"/>
    <w:rsid w:val="3BEF3B6D"/>
    <w:rsid w:val="3CCA47F2"/>
    <w:rsid w:val="3CDE0708"/>
    <w:rsid w:val="3D5877DF"/>
    <w:rsid w:val="3DC55CAA"/>
    <w:rsid w:val="3DD556CA"/>
    <w:rsid w:val="3DF761A2"/>
    <w:rsid w:val="3E4D085C"/>
    <w:rsid w:val="3F450429"/>
    <w:rsid w:val="3FCC4DE7"/>
    <w:rsid w:val="40226C80"/>
    <w:rsid w:val="40C451A5"/>
    <w:rsid w:val="4156470B"/>
    <w:rsid w:val="41943ACE"/>
    <w:rsid w:val="425D4066"/>
    <w:rsid w:val="4270620D"/>
    <w:rsid w:val="43173FD4"/>
    <w:rsid w:val="44143822"/>
    <w:rsid w:val="44654A12"/>
    <w:rsid w:val="44C64C7F"/>
    <w:rsid w:val="45241F0A"/>
    <w:rsid w:val="457C5F26"/>
    <w:rsid w:val="4835623D"/>
    <w:rsid w:val="49C23BDC"/>
    <w:rsid w:val="49CF255F"/>
    <w:rsid w:val="4B2C5DCD"/>
    <w:rsid w:val="4B7D1173"/>
    <w:rsid w:val="4BF376D7"/>
    <w:rsid w:val="4C150E22"/>
    <w:rsid w:val="4C2839D2"/>
    <w:rsid w:val="4C4D2557"/>
    <w:rsid w:val="4C6A38FC"/>
    <w:rsid w:val="4CE74BC3"/>
    <w:rsid w:val="4CF5000E"/>
    <w:rsid w:val="4DB17672"/>
    <w:rsid w:val="4FA7086B"/>
    <w:rsid w:val="50AC44C4"/>
    <w:rsid w:val="50EA6DB9"/>
    <w:rsid w:val="51CA7471"/>
    <w:rsid w:val="52194C1C"/>
    <w:rsid w:val="521C2FA3"/>
    <w:rsid w:val="522529B2"/>
    <w:rsid w:val="52F23027"/>
    <w:rsid w:val="53910AF4"/>
    <w:rsid w:val="555952B3"/>
    <w:rsid w:val="556B5A36"/>
    <w:rsid w:val="55AF40BB"/>
    <w:rsid w:val="55D371A6"/>
    <w:rsid w:val="562B1021"/>
    <w:rsid w:val="56F72F7C"/>
    <w:rsid w:val="586243BF"/>
    <w:rsid w:val="58FD3402"/>
    <w:rsid w:val="5AAF7799"/>
    <w:rsid w:val="5AEE366B"/>
    <w:rsid w:val="5B5C1753"/>
    <w:rsid w:val="5B712351"/>
    <w:rsid w:val="5C5A1B50"/>
    <w:rsid w:val="5E134100"/>
    <w:rsid w:val="5E4C6F4F"/>
    <w:rsid w:val="5F7A1C50"/>
    <w:rsid w:val="5FAC1E1D"/>
    <w:rsid w:val="5FF144B7"/>
    <w:rsid w:val="60153CF8"/>
    <w:rsid w:val="601C4AB5"/>
    <w:rsid w:val="60BE691E"/>
    <w:rsid w:val="61444403"/>
    <w:rsid w:val="62265BDF"/>
    <w:rsid w:val="62E1699A"/>
    <w:rsid w:val="64147F0D"/>
    <w:rsid w:val="64D66362"/>
    <w:rsid w:val="65860217"/>
    <w:rsid w:val="667E0AA1"/>
    <w:rsid w:val="672E3664"/>
    <w:rsid w:val="68FB17C3"/>
    <w:rsid w:val="695F12F9"/>
    <w:rsid w:val="69636C3A"/>
    <w:rsid w:val="69CF7B2C"/>
    <w:rsid w:val="6A0B0004"/>
    <w:rsid w:val="6BA1010E"/>
    <w:rsid w:val="6BE946CC"/>
    <w:rsid w:val="6CE47E41"/>
    <w:rsid w:val="6CED5810"/>
    <w:rsid w:val="6CF92413"/>
    <w:rsid w:val="6D336BAE"/>
    <w:rsid w:val="6DCB7BEB"/>
    <w:rsid w:val="6DFE5E04"/>
    <w:rsid w:val="6E87203D"/>
    <w:rsid w:val="6F9278BB"/>
    <w:rsid w:val="707A34D1"/>
    <w:rsid w:val="70825E6A"/>
    <w:rsid w:val="71572F19"/>
    <w:rsid w:val="719B7427"/>
    <w:rsid w:val="724A6793"/>
    <w:rsid w:val="72DC6522"/>
    <w:rsid w:val="72DE7B9D"/>
    <w:rsid w:val="741F26FA"/>
    <w:rsid w:val="74470DF8"/>
    <w:rsid w:val="75FD1676"/>
    <w:rsid w:val="76EE5E4E"/>
    <w:rsid w:val="782F2E91"/>
    <w:rsid w:val="78A36E63"/>
    <w:rsid w:val="792875EA"/>
    <w:rsid w:val="799536BA"/>
    <w:rsid w:val="79E201A6"/>
    <w:rsid w:val="7ADA140A"/>
    <w:rsid w:val="7B170752"/>
    <w:rsid w:val="7B2506B9"/>
    <w:rsid w:val="7B8F681B"/>
    <w:rsid w:val="7B940DD3"/>
    <w:rsid w:val="7BF92E07"/>
    <w:rsid w:val="7C8F6AF9"/>
    <w:rsid w:val="7CE02C9B"/>
    <w:rsid w:val="7DD96C0E"/>
    <w:rsid w:val="7E474F7B"/>
    <w:rsid w:val="7E8F7AC1"/>
    <w:rsid w:val="7ED1156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0"/>
    <w:pPr>
      <w:keepNext/>
      <w:keepLines/>
      <w:outlineLvl w:val="0"/>
    </w:pPr>
    <w:rPr>
      <w:rFonts w:eastAsia="黑体"/>
      <w:bCs/>
      <w:kern w:val="44"/>
      <w:szCs w:val="44"/>
    </w:rPr>
  </w:style>
  <w:style w:type="character" w:default="1" w:styleId="12">
    <w:name w:val="Default Paragraph Font"/>
    <w:semiHidden/>
    <w:qFormat/>
    <w:uiPriority w:val="99"/>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unhideWhenUsed/>
    <w:qFormat/>
    <w:uiPriority w:val="0"/>
    <w:pPr>
      <w:ind w:firstLine="420" w:firstLineChars="200"/>
    </w:pPr>
  </w:style>
  <w:style w:type="paragraph" w:styleId="3">
    <w:name w:val="Body Text Indent"/>
    <w:basedOn w:val="1"/>
    <w:unhideWhenUsed/>
    <w:qFormat/>
    <w:uiPriority w:val="0"/>
    <w:pPr>
      <w:spacing w:after="120"/>
      <w:ind w:left="420" w:leftChars="200"/>
    </w:pPr>
  </w:style>
  <w:style w:type="paragraph" w:styleId="5">
    <w:name w:val="Body Text"/>
    <w:basedOn w:val="1"/>
    <w:qFormat/>
    <w:uiPriority w:val="99"/>
  </w:style>
  <w:style w:type="paragraph" w:styleId="6">
    <w:name w:val="footer"/>
    <w:basedOn w:val="1"/>
    <w:link w:val="14"/>
    <w:qFormat/>
    <w:uiPriority w:val="99"/>
    <w:pPr>
      <w:tabs>
        <w:tab w:val="center" w:pos="4153"/>
        <w:tab w:val="right" w:pos="8306"/>
      </w:tabs>
      <w:snapToGrid w:val="0"/>
      <w:jc w:val="left"/>
    </w:pPr>
    <w:rPr>
      <w:sz w:val="18"/>
      <w:szCs w:val="18"/>
    </w:rPr>
  </w:style>
  <w:style w:type="paragraph" w:styleId="7">
    <w:name w:val="header"/>
    <w:basedOn w:val="1"/>
    <w:link w:val="1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footnote text"/>
    <w:basedOn w:val="1"/>
    <w:next w:val="1"/>
    <w:qFormat/>
    <w:uiPriority w:val="0"/>
    <w:pPr>
      <w:snapToGrid w:val="0"/>
      <w:jc w:val="left"/>
    </w:pPr>
    <w:rPr>
      <w:sz w:val="18"/>
      <w:szCs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1">
    <w:name w:val="Table Grid"/>
    <w:basedOn w:val="10"/>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page number"/>
    <w:basedOn w:val="12"/>
    <w:qFormat/>
    <w:uiPriority w:val="99"/>
    <w:rPr>
      <w:rFonts w:cs="Times New Roman"/>
    </w:rPr>
  </w:style>
  <w:style w:type="character" w:customStyle="1" w:styleId="14">
    <w:name w:val="Footer Char"/>
    <w:basedOn w:val="12"/>
    <w:link w:val="6"/>
    <w:semiHidden/>
    <w:qFormat/>
    <w:uiPriority w:val="99"/>
    <w:rPr>
      <w:sz w:val="18"/>
      <w:szCs w:val="18"/>
    </w:rPr>
  </w:style>
  <w:style w:type="character" w:customStyle="1" w:styleId="15">
    <w:name w:val="Header Char"/>
    <w:basedOn w:val="12"/>
    <w:link w:val="7"/>
    <w:semiHidden/>
    <w:qFormat/>
    <w:uiPriority w:val="99"/>
    <w:rPr>
      <w:sz w:val="18"/>
      <w:szCs w:val="18"/>
    </w:rPr>
  </w:style>
  <w:style w:type="paragraph" w:styleId="16">
    <w:name w:val="List Paragraph"/>
    <w:basedOn w:val="1"/>
    <w:qFormat/>
    <w:uiPriority w:val="99"/>
    <w:pPr>
      <w:ind w:firstLine="420" w:firstLineChars="200"/>
    </w:pPr>
    <w:rPr>
      <w:rFonts w:ascii="Calibri" w:hAnsi="Calibri"/>
      <w:szCs w:val="22"/>
    </w:rPr>
  </w:style>
  <w:style w:type="paragraph" w:customStyle="1" w:styleId="17">
    <w:name w:val="one-p"/>
    <w:basedOn w:val="1"/>
    <w:qFormat/>
    <w:uiPriority w:val="99"/>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21</Pages>
  <Words>8120</Words>
  <Characters>8783</Characters>
  <Lines>0</Lines>
  <Paragraphs>0</Paragraphs>
  <TotalTime>34</TotalTime>
  <ScaleCrop>false</ScaleCrop>
  <LinksUpToDate>false</LinksUpToDate>
  <CharactersWithSpaces>8973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Administrator</cp:lastModifiedBy>
  <cp:lastPrinted>2023-06-29T01:04:00Z</cp:lastPrinted>
  <dcterms:modified xsi:type="dcterms:W3CDTF">2023-07-13T09:17:39Z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KSOSaveFontToCloudKey">
    <vt:lpwstr>386772509_embed</vt:lpwstr>
  </property>
  <property fmtid="{D5CDD505-2E9C-101B-9397-08002B2CF9AE}" pid="4" name="ICV">
    <vt:lpwstr>8B82C017CE154FFABE49E3DC2A10693D_13</vt:lpwstr>
  </property>
</Properties>
</file>